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14C1" w:rsidRPr="007B7B61" w:rsidRDefault="002014C1" w:rsidP="002014C1">
      <w:pPr>
        <w:jc w:val="center"/>
        <w:rPr>
          <w:rFonts w:ascii="Arial" w:hAnsi="Arial" w:cs="Arial"/>
          <w:sz w:val="32"/>
          <w:szCs w:val="32"/>
          <w:lang w:val="en-US"/>
        </w:rPr>
      </w:pPr>
      <w:r w:rsidRPr="007B7B61">
        <w:rPr>
          <w:rFonts w:ascii="Arial" w:hAnsi="Arial" w:cs="Arial"/>
          <w:sz w:val="32"/>
          <w:szCs w:val="32"/>
          <w:lang w:val="en-US"/>
        </w:rPr>
        <w:t>POLITECNICO DI TORINO – DEPARTMENT OF MECHANICS</w:t>
      </w:r>
    </w:p>
    <w:p w:rsidR="002014C1" w:rsidRPr="007B7B61" w:rsidRDefault="002014C1" w:rsidP="002014C1">
      <w:pPr>
        <w:jc w:val="center"/>
        <w:rPr>
          <w:rFonts w:ascii="Arial" w:hAnsi="Arial" w:cs="Arial"/>
          <w:b/>
          <w:sz w:val="28"/>
          <w:szCs w:val="28"/>
          <w:lang w:val="en-US"/>
        </w:rPr>
      </w:pPr>
    </w:p>
    <w:p w:rsidR="002014C1" w:rsidRPr="006E6D6F" w:rsidRDefault="002014C1" w:rsidP="002014C1">
      <w:pPr>
        <w:jc w:val="center"/>
        <w:rPr>
          <w:rFonts w:ascii="Arial" w:hAnsi="Arial" w:cs="Arial"/>
          <w:b/>
          <w:sz w:val="28"/>
          <w:szCs w:val="28"/>
          <w:lang w:val="en-US"/>
        </w:rPr>
      </w:pPr>
      <w:r w:rsidRPr="006E6D6F">
        <w:rPr>
          <w:rFonts w:ascii="Arial" w:hAnsi="Arial" w:cs="Arial"/>
          <w:b/>
          <w:sz w:val="28"/>
          <w:szCs w:val="28"/>
          <w:lang w:val="en-US"/>
        </w:rPr>
        <w:t>DOCTORATE SCHOOL</w:t>
      </w:r>
    </w:p>
    <w:p w:rsidR="002014C1" w:rsidRDefault="002014C1" w:rsidP="002014C1">
      <w:pPr>
        <w:jc w:val="center"/>
        <w:rPr>
          <w:rFonts w:ascii="Arial" w:hAnsi="Arial" w:cs="Arial"/>
          <w:b/>
          <w:sz w:val="24"/>
          <w:szCs w:val="24"/>
          <w:lang w:val="en-US"/>
        </w:rPr>
      </w:pPr>
      <w:r w:rsidRPr="006E6D6F">
        <w:rPr>
          <w:rFonts w:ascii="Arial" w:hAnsi="Arial" w:cs="Arial"/>
          <w:b/>
          <w:sz w:val="28"/>
          <w:szCs w:val="28"/>
          <w:lang w:val="en-US"/>
        </w:rPr>
        <w:t>PhD in Biomedical Engineering</w:t>
      </w:r>
      <w:r w:rsidRPr="006E6D6F">
        <w:rPr>
          <w:rFonts w:ascii="Arial" w:hAnsi="Arial" w:cs="Arial"/>
          <w:b/>
          <w:sz w:val="24"/>
          <w:szCs w:val="24"/>
          <w:lang w:val="en-US"/>
        </w:rPr>
        <w:t xml:space="preserve"> </w:t>
      </w:r>
      <w:r>
        <w:rPr>
          <w:rFonts w:ascii="Arial" w:hAnsi="Arial" w:cs="Arial"/>
          <w:b/>
          <w:sz w:val="24"/>
          <w:szCs w:val="24"/>
          <w:lang w:val="en-US"/>
        </w:rPr>
        <w:t>– XXIV Cycle</w:t>
      </w:r>
    </w:p>
    <w:p w:rsidR="002014C1" w:rsidRPr="006E6D6F" w:rsidRDefault="002014C1" w:rsidP="002014C1">
      <w:pPr>
        <w:jc w:val="center"/>
        <w:rPr>
          <w:rFonts w:ascii="Arial" w:hAnsi="Arial" w:cs="Arial"/>
          <w:b/>
          <w:sz w:val="24"/>
          <w:szCs w:val="24"/>
          <w:lang w:val="en-US"/>
        </w:rPr>
      </w:pPr>
    </w:p>
    <w:p w:rsidR="002014C1" w:rsidRDefault="002014C1" w:rsidP="002014C1">
      <w:pPr>
        <w:jc w:val="center"/>
        <w:rPr>
          <w:rFonts w:ascii="Arial" w:hAnsi="Arial" w:cs="Arial"/>
          <w:sz w:val="24"/>
          <w:szCs w:val="24"/>
          <w:lang w:val="it-IT"/>
        </w:rPr>
      </w:pPr>
      <w:r>
        <w:rPr>
          <w:rFonts w:ascii="Arial" w:hAnsi="Arial" w:cs="Arial"/>
          <w:noProof/>
          <w:sz w:val="24"/>
          <w:szCs w:val="24"/>
          <w:lang w:val="it-IT" w:eastAsia="it-IT"/>
        </w:rPr>
        <w:drawing>
          <wp:inline distT="0" distB="0" distL="0" distR="0">
            <wp:extent cx="2105025" cy="2105025"/>
            <wp:effectExtent l="19050" t="0" r="9525" b="0"/>
            <wp:docPr id="1" name="Immagine 0" descr="Politecnico_di_Torino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tecnico_di_Torino_Logo.gif"/>
                    <pic:cNvPicPr/>
                  </pic:nvPicPr>
                  <pic:blipFill>
                    <a:blip r:embed="rId7"/>
                    <a:stretch>
                      <a:fillRect/>
                    </a:stretch>
                  </pic:blipFill>
                  <pic:spPr>
                    <a:xfrm>
                      <a:off x="0" y="0"/>
                      <a:ext cx="2105025" cy="2105025"/>
                    </a:xfrm>
                    <a:prstGeom prst="rect">
                      <a:avLst/>
                    </a:prstGeom>
                  </pic:spPr>
                </pic:pic>
              </a:graphicData>
            </a:graphic>
          </wp:inline>
        </w:drawing>
      </w:r>
    </w:p>
    <w:p w:rsidR="002014C1" w:rsidRPr="00953A2F" w:rsidRDefault="002014C1" w:rsidP="002014C1">
      <w:pPr>
        <w:tabs>
          <w:tab w:val="left" w:pos="990"/>
        </w:tabs>
        <w:spacing w:after="480"/>
        <w:jc w:val="center"/>
        <w:rPr>
          <w:rFonts w:ascii="Arial" w:hAnsi="Arial" w:cs="Arial"/>
          <w:b/>
          <w:sz w:val="28"/>
          <w:szCs w:val="28"/>
          <w:lang w:val="en-US"/>
        </w:rPr>
      </w:pPr>
      <w:r w:rsidRPr="007B7B61">
        <w:rPr>
          <w:rFonts w:ascii="Arial" w:hAnsi="Arial" w:cs="Arial"/>
          <w:b/>
          <w:sz w:val="28"/>
          <w:szCs w:val="28"/>
          <w:lang w:val="en-US"/>
        </w:rPr>
        <w:t>PhD Dissertation</w:t>
      </w:r>
    </w:p>
    <w:p w:rsidR="002014C1" w:rsidRPr="00953A2F" w:rsidRDefault="002014C1" w:rsidP="002014C1">
      <w:pPr>
        <w:suppressAutoHyphens/>
        <w:spacing w:after="0" w:line="360" w:lineRule="auto"/>
        <w:jc w:val="center"/>
        <w:rPr>
          <w:rFonts w:cstheme="minorHAnsi"/>
          <w:b/>
          <w:sz w:val="64"/>
          <w:szCs w:val="64"/>
        </w:rPr>
      </w:pPr>
      <w:r w:rsidRPr="00953A2F">
        <w:rPr>
          <w:rFonts w:cstheme="minorHAnsi"/>
          <w:b/>
          <w:sz w:val="64"/>
          <w:szCs w:val="64"/>
        </w:rPr>
        <w:t>Smart polymeric drug nanocarriers for biomedical applications</w:t>
      </w:r>
    </w:p>
    <w:p w:rsidR="002014C1" w:rsidRDefault="002014C1" w:rsidP="002014C1">
      <w:pPr>
        <w:tabs>
          <w:tab w:val="left" w:pos="990"/>
        </w:tabs>
        <w:jc w:val="center"/>
        <w:rPr>
          <w:rFonts w:ascii="Arial" w:hAnsi="Arial" w:cs="Arial"/>
          <w:b/>
          <w:sz w:val="48"/>
          <w:szCs w:val="48"/>
          <w:lang w:val="en-US"/>
        </w:rPr>
      </w:pPr>
    </w:p>
    <w:p w:rsidR="002014C1" w:rsidRPr="007B7B61" w:rsidRDefault="002014C1" w:rsidP="002014C1">
      <w:pPr>
        <w:tabs>
          <w:tab w:val="left" w:pos="990"/>
        </w:tabs>
        <w:jc w:val="center"/>
        <w:rPr>
          <w:rFonts w:ascii="Arial" w:hAnsi="Arial" w:cs="Arial"/>
          <w:b/>
          <w:sz w:val="48"/>
          <w:szCs w:val="48"/>
          <w:lang w:val="en-US"/>
        </w:rPr>
      </w:pPr>
    </w:p>
    <w:p w:rsidR="002014C1" w:rsidRDefault="002014C1" w:rsidP="002014C1">
      <w:pPr>
        <w:tabs>
          <w:tab w:val="left" w:pos="990"/>
        </w:tabs>
        <w:rPr>
          <w:rFonts w:ascii="Arial" w:hAnsi="Arial" w:cs="Arial"/>
          <w:b/>
          <w:sz w:val="24"/>
          <w:szCs w:val="24"/>
          <w:lang w:val="it-IT"/>
        </w:rPr>
      </w:pPr>
      <w:r>
        <w:rPr>
          <w:rFonts w:ascii="Arial" w:hAnsi="Arial" w:cs="Arial"/>
          <w:b/>
          <w:sz w:val="24"/>
          <w:szCs w:val="24"/>
          <w:lang w:val="it-IT"/>
        </w:rPr>
        <w:t>SUPERVISOR                                                                                       PhD CANDIDATE</w:t>
      </w:r>
    </w:p>
    <w:p w:rsidR="002014C1" w:rsidRDefault="002014C1" w:rsidP="002014C1">
      <w:pPr>
        <w:tabs>
          <w:tab w:val="left" w:pos="990"/>
        </w:tabs>
        <w:rPr>
          <w:rFonts w:ascii="Arial" w:hAnsi="Arial" w:cs="Arial"/>
          <w:sz w:val="24"/>
          <w:szCs w:val="24"/>
          <w:lang w:val="it-IT"/>
        </w:rPr>
      </w:pPr>
      <w:r>
        <w:rPr>
          <w:rFonts w:ascii="Arial" w:hAnsi="Arial" w:cs="Arial"/>
          <w:sz w:val="24"/>
          <w:szCs w:val="24"/>
          <w:lang w:val="it-IT"/>
        </w:rPr>
        <w:t>Prof. Gianluca Ciardelli                                                                              Clara Mattu</w:t>
      </w:r>
    </w:p>
    <w:p w:rsidR="002014C1" w:rsidRDefault="002014C1" w:rsidP="002014C1">
      <w:pPr>
        <w:tabs>
          <w:tab w:val="left" w:pos="990"/>
        </w:tabs>
        <w:rPr>
          <w:rFonts w:ascii="Arial" w:hAnsi="Arial" w:cs="Arial"/>
          <w:sz w:val="24"/>
          <w:szCs w:val="24"/>
          <w:lang w:val="it-IT"/>
        </w:rPr>
      </w:pPr>
    </w:p>
    <w:p w:rsidR="002014C1" w:rsidRDefault="002014C1" w:rsidP="002014C1">
      <w:pPr>
        <w:tabs>
          <w:tab w:val="left" w:pos="990"/>
        </w:tabs>
        <w:rPr>
          <w:rFonts w:ascii="Arial" w:hAnsi="Arial" w:cs="Arial"/>
          <w:sz w:val="24"/>
          <w:szCs w:val="24"/>
          <w:lang w:val="it-IT"/>
        </w:rPr>
      </w:pPr>
    </w:p>
    <w:p w:rsidR="002014C1" w:rsidRPr="00DA5184" w:rsidRDefault="002014C1" w:rsidP="002014C1">
      <w:pPr>
        <w:tabs>
          <w:tab w:val="left" w:pos="990"/>
        </w:tabs>
        <w:jc w:val="center"/>
        <w:rPr>
          <w:rFonts w:ascii="Arial" w:hAnsi="Arial" w:cs="Arial"/>
          <w:sz w:val="24"/>
          <w:szCs w:val="24"/>
          <w:lang w:val="en-US"/>
        </w:rPr>
      </w:pPr>
      <w:r w:rsidRPr="00DA5184">
        <w:rPr>
          <w:rFonts w:ascii="Arial" w:hAnsi="Arial" w:cs="Arial"/>
          <w:sz w:val="24"/>
          <w:szCs w:val="24"/>
          <w:lang w:val="en-US"/>
        </w:rPr>
        <w:t>January 2012</w:t>
      </w: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2014C1">
      <w:pPr>
        <w:tabs>
          <w:tab w:val="left" w:pos="990"/>
        </w:tabs>
        <w:jc w:val="center"/>
        <w:rPr>
          <w:rFonts w:ascii="Arial" w:hAnsi="Arial" w:cs="Arial"/>
          <w:sz w:val="24"/>
          <w:szCs w:val="24"/>
          <w:lang w:val="en-US"/>
        </w:rPr>
      </w:pPr>
    </w:p>
    <w:p w:rsidR="002014C1" w:rsidRPr="00DA5184" w:rsidRDefault="002014C1" w:rsidP="00387A07">
      <w:pPr>
        <w:tabs>
          <w:tab w:val="left" w:pos="990"/>
        </w:tabs>
        <w:rPr>
          <w:rFonts w:ascii="Arial" w:hAnsi="Arial" w:cs="Arial"/>
          <w:sz w:val="24"/>
          <w:szCs w:val="24"/>
          <w:lang w:val="en-US"/>
        </w:rPr>
      </w:pPr>
    </w:p>
    <w:p w:rsidR="002014C1" w:rsidRPr="00DA5184" w:rsidRDefault="002014C1" w:rsidP="002014C1">
      <w:pPr>
        <w:tabs>
          <w:tab w:val="left" w:pos="990"/>
        </w:tabs>
        <w:jc w:val="right"/>
        <w:rPr>
          <w:rFonts w:ascii="Arial" w:hAnsi="Arial" w:cs="Arial"/>
          <w:sz w:val="24"/>
          <w:szCs w:val="24"/>
          <w:lang w:val="en-US"/>
        </w:rPr>
      </w:pPr>
    </w:p>
    <w:p w:rsidR="002014C1" w:rsidRDefault="002014C1" w:rsidP="002014C1">
      <w:pPr>
        <w:tabs>
          <w:tab w:val="left" w:pos="990"/>
        </w:tabs>
        <w:rPr>
          <w:rFonts w:ascii="Arial" w:hAnsi="Arial" w:cs="Arial"/>
          <w:sz w:val="24"/>
          <w:szCs w:val="24"/>
          <w:lang w:val="en-US"/>
        </w:rPr>
      </w:pPr>
    </w:p>
    <w:p w:rsidR="002014C1" w:rsidRPr="001B5A36" w:rsidRDefault="002014C1" w:rsidP="002014C1">
      <w:pPr>
        <w:tabs>
          <w:tab w:val="left" w:pos="990"/>
        </w:tabs>
        <w:rPr>
          <w:rFonts w:ascii="Arial" w:hAnsi="Arial" w:cs="Arial"/>
          <w:b/>
          <w:i/>
          <w:sz w:val="24"/>
          <w:szCs w:val="24"/>
          <w:lang w:val="en-US"/>
        </w:rPr>
      </w:pPr>
      <w:r w:rsidRPr="001B5A36">
        <w:rPr>
          <w:rFonts w:ascii="Arial" w:hAnsi="Arial" w:cs="Arial"/>
          <w:sz w:val="24"/>
          <w:szCs w:val="24"/>
          <w:lang w:val="en-US"/>
        </w:rPr>
        <w:lastRenderedPageBreak/>
        <w:t xml:space="preserve">“ </w:t>
      </w:r>
      <w:r w:rsidRPr="001B5A36">
        <w:rPr>
          <w:rFonts w:ascii="Arial" w:hAnsi="Arial" w:cs="Arial"/>
          <w:b/>
          <w:i/>
          <w:sz w:val="24"/>
          <w:szCs w:val="24"/>
          <w:lang w:val="en-US"/>
        </w:rPr>
        <w:t>In victory you deserve champagne;</w:t>
      </w:r>
    </w:p>
    <w:p w:rsidR="002014C1" w:rsidRPr="001B5A36" w:rsidRDefault="002014C1" w:rsidP="002014C1">
      <w:pPr>
        <w:tabs>
          <w:tab w:val="left" w:pos="990"/>
        </w:tabs>
        <w:rPr>
          <w:rFonts w:ascii="Arial" w:hAnsi="Arial" w:cs="Arial"/>
          <w:b/>
          <w:i/>
          <w:sz w:val="24"/>
          <w:szCs w:val="24"/>
          <w:lang w:val="en-US"/>
        </w:rPr>
      </w:pPr>
      <w:r>
        <w:rPr>
          <w:rFonts w:ascii="Arial" w:hAnsi="Arial" w:cs="Arial"/>
          <w:b/>
          <w:i/>
          <w:sz w:val="24"/>
          <w:szCs w:val="24"/>
          <w:lang w:val="en-US"/>
        </w:rPr>
        <w:t>In defeat you need it</w:t>
      </w:r>
      <w:r w:rsidRPr="001B5A36">
        <w:rPr>
          <w:rFonts w:ascii="Arial" w:hAnsi="Arial" w:cs="Arial"/>
          <w:b/>
          <w:i/>
          <w:sz w:val="24"/>
          <w:szCs w:val="24"/>
          <w:lang w:val="en-US"/>
        </w:rPr>
        <w:t>”</w:t>
      </w:r>
    </w:p>
    <w:p w:rsidR="002014C1" w:rsidRPr="00A11162" w:rsidRDefault="002014C1" w:rsidP="002014C1">
      <w:pPr>
        <w:tabs>
          <w:tab w:val="left" w:pos="990"/>
        </w:tabs>
        <w:rPr>
          <w:rFonts w:ascii="Arial" w:hAnsi="Arial" w:cs="Arial"/>
          <w:sz w:val="24"/>
          <w:szCs w:val="24"/>
          <w:lang w:val="en-US"/>
        </w:rPr>
      </w:pPr>
      <w:r>
        <w:rPr>
          <w:rFonts w:ascii="Arial" w:hAnsi="Arial" w:cs="Arial"/>
          <w:sz w:val="24"/>
          <w:szCs w:val="24"/>
          <w:lang w:val="en-US"/>
        </w:rPr>
        <w:t>N.</w:t>
      </w:r>
      <w:r w:rsidRPr="00A11162">
        <w:rPr>
          <w:rFonts w:ascii="Arial" w:hAnsi="Arial" w:cs="Arial"/>
          <w:sz w:val="24"/>
          <w:szCs w:val="24"/>
          <w:lang w:val="en-US"/>
        </w:rPr>
        <w:t xml:space="preserve"> B</w:t>
      </w:r>
      <w:r>
        <w:rPr>
          <w:rFonts w:ascii="Arial" w:hAnsi="Arial" w:cs="Arial"/>
          <w:sz w:val="24"/>
          <w:szCs w:val="24"/>
          <w:lang w:val="en-US"/>
        </w:rPr>
        <w:t>onaparte</w:t>
      </w: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2014C1" w:rsidRPr="00A11162" w:rsidRDefault="002014C1" w:rsidP="002014C1">
      <w:pPr>
        <w:tabs>
          <w:tab w:val="left" w:pos="990"/>
        </w:tabs>
        <w:rPr>
          <w:rFonts w:ascii="Arial" w:hAnsi="Arial" w:cs="Arial"/>
          <w:b/>
          <w:sz w:val="24"/>
          <w:szCs w:val="24"/>
          <w:lang w:val="en-US"/>
        </w:rPr>
      </w:pPr>
    </w:p>
    <w:p w:rsidR="00387A07" w:rsidRDefault="00387A07"/>
    <w:p w:rsidR="00387A07" w:rsidRDefault="00387A07"/>
    <w:p w:rsidR="00387A07" w:rsidRDefault="00387A07"/>
    <w:p w:rsidR="00387A07" w:rsidRDefault="00387A07"/>
    <w:p w:rsidR="00387A07" w:rsidRDefault="00387A07"/>
    <w:p w:rsidR="00387A07" w:rsidRPr="007B7B61" w:rsidRDefault="00387A07" w:rsidP="00387A07">
      <w:pPr>
        <w:tabs>
          <w:tab w:val="left" w:pos="990"/>
        </w:tabs>
        <w:jc w:val="center"/>
        <w:rPr>
          <w:rFonts w:ascii="Arial" w:hAnsi="Arial" w:cs="Arial"/>
          <w:b/>
          <w:sz w:val="36"/>
          <w:szCs w:val="36"/>
          <w:u w:val="single"/>
          <w:lang w:val="en-US"/>
        </w:rPr>
      </w:pPr>
      <w:r w:rsidRPr="007B7B61">
        <w:rPr>
          <w:rFonts w:ascii="Arial" w:hAnsi="Arial" w:cs="Arial"/>
          <w:b/>
          <w:sz w:val="36"/>
          <w:szCs w:val="36"/>
          <w:u w:val="single"/>
          <w:lang w:val="en-US"/>
        </w:rPr>
        <w:lastRenderedPageBreak/>
        <w:t>Index</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023"/>
      </w:tblGrid>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D14847">
              <w:rPr>
                <w:rFonts w:ascii="Times New Roman" w:hAnsi="Times New Roman" w:cs="Times New Roman"/>
                <w:b/>
                <w:sz w:val="26"/>
                <w:szCs w:val="26"/>
                <w:lang w:val="en-US"/>
              </w:rPr>
              <w:t>Acknowledgements</w:t>
            </w:r>
            <w:r>
              <w:rPr>
                <w:rFonts w:ascii="Times New Roman" w:hAnsi="Times New Roman" w:cs="Times New Roman"/>
                <w:b/>
                <w:sz w:val="26"/>
                <w:szCs w:val="26"/>
                <w:lang w:val="en-US"/>
              </w:rPr>
              <w:t xml:space="preserve"> ……………………………………………………………….</w:t>
            </w:r>
          </w:p>
        </w:tc>
        <w:tc>
          <w:tcPr>
            <w:tcW w:w="1023" w:type="dxa"/>
          </w:tcPr>
          <w:p w:rsidR="00387A07" w:rsidRDefault="009925A1" w:rsidP="00387A07">
            <w:pPr>
              <w:tabs>
                <w:tab w:val="left" w:pos="990"/>
              </w:tabs>
              <w:spacing w:line="360" w:lineRule="auto"/>
              <w:jc w:val="right"/>
              <w:rPr>
                <w:rFonts w:ascii="Arial" w:hAnsi="Arial" w:cs="Arial"/>
                <w:sz w:val="24"/>
                <w:szCs w:val="24"/>
                <w:lang w:val="en-US"/>
              </w:rPr>
            </w:pPr>
            <w:r>
              <w:rPr>
                <w:rFonts w:ascii="Arial" w:hAnsi="Arial" w:cs="Arial"/>
                <w:sz w:val="24"/>
                <w:szCs w:val="24"/>
                <w:lang w:val="en-US"/>
              </w:rPr>
              <w:t>12</w:t>
            </w:r>
          </w:p>
        </w:tc>
      </w:tr>
      <w:tr w:rsidR="00387A07" w:rsidTr="00387A07">
        <w:tc>
          <w:tcPr>
            <w:tcW w:w="8755" w:type="dxa"/>
          </w:tcPr>
          <w:p w:rsidR="00387A07" w:rsidRPr="00385EF0" w:rsidRDefault="00387A07" w:rsidP="00387A07">
            <w:pPr>
              <w:tabs>
                <w:tab w:val="left" w:pos="990"/>
              </w:tabs>
              <w:spacing w:line="360" w:lineRule="auto"/>
              <w:rPr>
                <w:rFonts w:ascii="Arial" w:hAnsi="Arial" w:cs="Arial"/>
                <w:sz w:val="24"/>
                <w:szCs w:val="24"/>
                <w:lang w:val="en-US"/>
              </w:rPr>
            </w:pPr>
            <w:r w:rsidRPr="00D14847">
              <w:rPr>
                <w:rFonts w:ascii="Times New Roman" w:hAnsi="Times New Roman" w:cs="Times New Roman"/>
                <w:b/>
                <w:sz w:val="26"/>
                <w:szCs w:val="26"/>
                <w:lang w:val="en-US"/>
              </w:rPr>
              <w:t xml:space="preserve">Short </w:t>
            </w:r>
            <w:r w:rsidRPr="00D14847">
              <w:rPr>
                <w:rFonts w:ascii="Times New Roman" w:hAnsi="Times New Roman" w:cs="Times New Roman"/>
                <w:b/>
                <w:i/>
                <w:sz w:val="26"/>
                <w:szCs w:val="26"/>
                <w:lang w:val="en-US"/>
              </w:rPr>
              <w:t>Curriculum Vitae</w:t>
            </w:r>
            <w:r>
              <w:rPr>
                <w:rFonts w:ascii="Times New Roman" w:hAnsi="Times New Roman" w:cs="Times New Roman"/>
                <w:b/>
                <w:i/>
                <w:sz w:val="26"/>
                <w:szCs w:val="26"/>
                <w:lang w:val="en-US"/>
              </w:rPr>
              <w:t xml:space="preserve"> </w:t>
            </w:r>
            <w:r>
              <w:rPr>
                <w:rFonts w:ascii="Times New Roman" w:hAnsi="Times New Roman" w:cs="Times New Roman"/>
                <w:b/>
                <w:sz w:val="26"/>
                <w:szCs w:val="26"/>
                <w:lang w:val="en-US"/>
              </w:rPr>
              <w:t>…………………………………………………………..</w:t>
            </w:r>
          </w:p>
        </w:tc>
        <w:tc>
          <w:tcPr>
            <w:tcW w:w="1023" w:type="dxa"/>
          </w:tcPr>
          <w:p w:rsidR="00387A07" w:rsidRDefault="009925A1" w:rsidP="00387A07">
            <w:pPr>
              <w:tabs>
                <w:tab w:val="left" w:pos="990"/>
              </w:tabs>
              <w:spacing w:line="360" w:lineRule="auto"/>
              <w:jc w:val="right"/>
              <w:rPr>
                <w:rFonts w:ascii="Arial" w:hAnsi="Arial" w:cs="Arial"/>
                <w:sz w:val="24"/>
                <w:szCs w:val="24"/>
                <w:lang w:val="en-US"/>
              </w:rPr>
            </w:pPr>
            <w:r>
              <w:rPr>
                <w:rFonts w:ascii="Arial" w:hAnsi="Arial" w:cs="Arial"/>
                <w:sz w:val="24"/>
                <w:szCs w:val="24"/>
                <w:lang w:val="en-US"/>
              </w:rPr>
              <w:t>14</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D14847">
              <w:rPr>
                <w:rFonts w:ascii="Times New Roman" w:hAnsi="Times New Roman" w:cs="Times New Roman"/>
                <w:b/>
                <w:sz w:val="26"/>
                <w:szCs w:val="26"/>
                <w:lang w:val="en-US"/>
              </w:rPr>
              <w:t>List of Publications</w:t>
            </w:r>
            <w:r>
              <w:rPr>
                <w:rFonts w:ascii="Times New Roman" w:hAnsi="Times New Roman" w:cs="Times New Roman"/>
                <w:b/>
                <w:sz w:val="26"/>
                <w:szCs w:val="26"/>
                <w:lang w:val="en-US"/>
              </w:rPr>
              <w:t xml:space="preserve"> ……………………………………………………………….</w:t>
            </w:r>
          </w:p>
        </w:tc>
        <w:tc>
          <w:tcPr>
            <w:tcW w:w="1023" w:type="dxa"/>
          </w:tcPr>
          <w:p w:rsidR="00387A07" w:rsidRDefault="009925A1" w:rsidP="009925A1">
            <w:pPr>
              <w:tabs>
                <w:tab w:val="left" w:pos="990"/>
              </w:tabs>
              <w:spacing w:line="360" w:lineRule="auto"/>
              <w:jc w:val="center"/>
              <w:rPr>
                <w:rFonts w:ascii="Arial" w:hAnsi="Arial" w:cs="Arial"/>
                <w:sz w:val="24"/>
                <w:szCs w:val="24"/>
                <w:lang w:val="en-US"/>
              </w:rPr>
            </w:pPr>
            <w:r>
              <w:rPr>
                <w:rFonts w:ascii="Arial" w:hAnsi="Arial" w:cs="Arial"/>
                <w:sz w:val="24"/>
                <w:szCs w:val="24"/>
                <w:lang w:val="en-US"/>
              </w:rPr>
              <w:t xml:space="preserve">        16</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D14847">
              <w:rPr>
                <w:rFonts w:ascii="Times New Roman" w:hAnsi="Times New Roman" w:cs="Times New Roman"/>
                <w:b/>
                <w:sz w:val="26"/>
                <w:szCs w:val="26"/>
                <w:lang w:val="en-US"/>
              </w:rPr>
              <w:t>Abstract</w:t>
            </w:r>
            <w:r>
              <w:rPr>
                <w:rFonts w:ascii="Times New Roman" w:hAnsi="Times New Roman" w:cs="Times New Roman"/>
                <w:b/>
                <w:sz w:val="26"/>
                <w:szCs w:val="26"/>
                <w:lang w:val="en-US"/>
              </w:rPr>
              <w:t xml:space="preserve"> …………………………………………………………………………...</w:t>
            </w:r>
          </w:p>
        </w:tc>
        <w:tc>
          <w:tcPr>
            <w:tcW w:w="1023" w:type="dxa"/>
          </w:tcPr>
          <w:p w:rsidR="00387A07" w:rsidRDefault="009925A1" w:rsidP="00387A07">
            <w:pPr>
              <w:tabs>
                <w:tab w:val="left" w:pos="990"/>
              </w:tabs>
              <w:spacing w:line="360" w:lineRule="auto"/>
              <w:jc w:val="right"/>
              <w:rPr>
                <w:rFonts w:ascii="Arial" w:hAnsi="Arial" w:cs="Arial"/>
                <w:sz w:val="24"/>
                <w:szCs w:val="24"/>
                <w:lang w:val="en-US"/>
              </w:rPr>
            </w:pPr>
            <w:r>
              <w:rPr>
                <w:rFonts w:ascii="Arial" w:hAnsi="Arial" w:cs="Arial"/>
                <w:sz w:val="24"/>
                <w:szCs w:val="24"/>
                <w:lang w:val="en-US"/>
              </w:rPr>
              <w:t>19</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D14847">
              <w:rPr>
                <w:rFonts w:ascii="Times New Roman" w:hAnsi="Times New Roman" w:cs="Times New Roman"/>
                <w:b/>
                <w:sz w:val="26"/>
                <w:szCs w:val="26"/>
                <w:lang w:val="en-US"/>
              </w:rPr>
              <w:t>Thesis Outline</w:t>
            </w:r>
            <w:r>
              <w:rPr>
                <w:rFonts w:ascii="Times New Roman" w:hAnsi="Times New Roman" w:cs="Times New Roman"/>
                <w:b/>
                <w:sz w:val="26"/>
                <w:szCs w:val="26"/>
                <w:lang w:val="en-US"/>
              </w:rPr>
              <w:t xml:space="preserve"> …………………………………………………………………….</w:t>
            </w:r>
          </w:p>
        </w:tc>
        <w:tc>
          <w:tcPr>
            <w:tcW w:w="1023" w:type="dxa"/>
          </w:tcPr>
          <w:p w:rsidR="00387A07" w:rsidRDefault="009925A1" w:rsidP="00387A07">
            <w:pPr>
              <w:tabs>
                <w:tab w:val="left" w:pos="990"/>
              </w:tabs>
              <w:spacing w:line="360" w:lineRule="auto"/>
              <w:jc w:val="right"/>
              <w:rPr>
                <w:rFonts w:ascii="Arial" w:hAnsi="Arial" w:cs="Arial"/>
                <w:sz w:val="24"/>
                <w:szCs w:val="24"/>
                <w:lang w:val="en-US"/>
              </w:rPr>
            </w:pPr>
            <w:r>
              <w:rPr>
                <w:rFonts w:ascii="Arial" w:hAnsi="Arial" w:cs="Arial"/>
                <w:sz w:val="24"/>
                <w:szCs w:val="24"/>
                <w:lang w:val="en-US"/>
              </w:rPr>
              <w:t>23</w:t>
            </w:r>
          </w:p>
        </w:tc>
      </w:tr>
      <w:tr w:rsidR="00387A07" w:rsidTr="00387A07">
        <w:tc>
          <w:tcPr>
            <w:tcW w:w="9778" w:type="dxa"/>
            <w:gridSpan w:val="2"/>
          </w:tcPr>
          <w:p w:rsidR="00387A07" w:rsidRPr="0094103C" w:rsidRDefault="00387A07" w:rsidP="00387A07">
            <w:pPr>
              <w:spacing w:before="120" w:line="360" w:lineRule="auto"/>
              <w:jc w:val="center"/>
              <w:rPr>
                <w:rFonts w:ascii="Arial" w:hAnsi="Arial" w:cs="Arial"/>
                <w:b/>
                <w:sz w:val="36"/>
                <w:szCs w:val="36"/>
                <w:lang w:val="en-US"/>
              </w:rPr>
            </w:pPr>
            <w:r w:rsidRPr="00D57D88">
              <w:rPr>
                <w:rFonts w:ascii="Arial" w:hAnsi="Arial" w:cs="Arial"/>
                <w:b/>
                <w:sz w:val="36"/>
                <w:szCs w:val="36"/>
                <w:lang w:val="en-US"/>
              </w:rPr>
              <w:t xml:space="preserve">Section I </w:t>
            </w:r>
          </w:p>
        </w:tc>
      </w:tr>
      <w:tr w:rsidR="00387A07" w:rsidTr="00387A07">
        <w:tc>
          <w:tcPr>
            <w:tcW w:w="9778" w:type="dxa"/>
            <w:gridSpan w:val="2"/>
          </w:tcPr>
          <w:p w:rsidR="00387A07" w:rsidRDefault="00387A07" w:rsidP="00387A07">
            <w:pPr>
              <w:tabs>
                <w:tab w:val="left" w:pos="990"/>
              </w:tabs>
              <w:spacing w:before="120" w:line="360" w:lineRule="auto"/>
              <w:jc w:val="center"/>
              <w:rPr>
                <w:rFonts w:ascii="Arial" w:hAnsi="Arial" w:cs="Arial"/>
                <w:sz w:val="24"/>
                <w:szCs w:val="24"/>
                <w:lang w:val="en-US"/>
              </w:rPr>
            </w:pPr>
            <w:r w:rsidRPr="00D57D88">
              <w:rPr>
                <w:rFonts w:ascii="Arial" w:hAnsi="Arial" w:cs="Arial"/>
                <w:b/>
                <w:sz w:val="28"/>
                <w:szCs w:val="28"/>
                <w:lang w:val="en-US"/>
              </w:rPr>
              <w:t>Chapter 1</w:t>
            </w:r>
          </w:p>
        </w:tc>
      </w:tr>
      <w:tr w:rsidR="00387A07" w:rsidTr="00387A07">
        <w:tc>
          <w:tcPr>
            <w:tcW w:w="9778" w:type="dxa"/>
            <w:gridSpan w:val="2"/>
          </w:tcPr>
          <w:p w:rsidR="00387A07" w:rsidRPr="0094103C" w:rsidRDefault="00387A07" w:rsidP="00387A07">
            <w:pPr>
              <w:spacing w:before="120" w:after="120" w:line="360" w:lineRule="auto"/>
              <w:jc w:val="center"/>
              <w:rPr>
                <w:rFonts w:ascii="Arial" w:hAnsi="Arial" w:cs="Arial"/>
                <w:b/>
                <w:sz w:val="28"/>
                <w:szCs w:val="28"/>
                <w:lang w:val="en-US"/>
              </w:rPr>
            </w:pPr>
            <w:r w:rsidRPr="00D57D88">
              <w:rPr>
                <w:rFonts w:ascii="Arial" w:hAnsi="Arial" w:cs="Arial"/>
                <w:b/>
                <w:sz w:val="28"/>
                <w:szCs w:val="28"/>
                <w:lang w:val="en-US"/>
              </w:rPr>
              <w:t>Nanotechnology-based Drug Delivery Systems: State of the Art and Future Trends</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9536D2">
              <w:rPr>
                <w:rFonts w:ascii="Arial" w:hAnsi="Arial" w:cs="Arial"/>
                <w:sz w:val="24"/>
                <w:szCs w:val="24"/>
                <w:lang w:val="en-US"/>
              </w:rPr>
              <w:t>1.1 Introduction</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28</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9536D2">
              <w:rPr>
                <w:rFonts w:ascii="Arial" w:hAnsi="Arial" w:cs="Arial"/>
                <w:sz w:val="24"/>
                <w:szCs w:val="24"/>
                <w:lang w:val="en-US"/>
              </w:rPr>
              <w:t>1.2 Polymeric nanoparticles as drug delivery systems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28</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 Advantages of polymeric drug carriers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29</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1.2.1.1 Localized and targeted drug delivery</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30</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1.2.1.1.1 Passive targeting</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30</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1.2.1.1.2 Active targeting</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31</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1.2.1.2 Sustained and controlled release</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32</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1.2.1.3 Extended blood circulation time and biodistribution</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32</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1.2.1.4 Delivery of poorly water soluble drugs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32</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1.2.1.5 Protection of the encapsulated active principle</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32</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1.2.1.6 Enhanced cellular uptake and ability to cross biological barriers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33</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1.2.1.7 Enhanced surface area</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33</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sidRPr="009536D2">
              <w:rPr>
                <w:rFonts w:ascii="Arial" w:hAnsi="Arial" w:cs="Arial"/>
                <w:sz w:val="24"/>
                <w:szCs w:val="24"/>
                <w:lang w:val="en-US"/>
              </w:rPr>
              <w:t>1.3 methods for the preparation of nanoparticles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33</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1.3.1 Particles prepared from the polymerization of monomers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33</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1.3.1.1 Emulsion polymerization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34</w:t>
            </w:r>
          </w:p>
        </w:tc>
      </w:tr>
      <w:tr w:rsidR="00387A07" w:rsidTr="00387A07">
        <w:tc>
          <w:tcPr>
            <w:tcW w:w="8755" w:type="dxa"/>
          </w:tcPr>
          <w:p w:rsidR="00387A07" w:rsidRPr="00D14847" w:rsidRDefault="00387A07" w:rsidP="00387A07">
            <w:pPr>
              <w:tabs>
                <w:tab w:val="left" w:pos="990"/>
              </w:tabs>
              <w:spacing w:line="360" w:lineRule="auto"/>
              <w:rPr>
                <w:rFonts w:ascii="Times New Roman" w:hAnsi="Times New Roman" w:cs="Times New Roman"/>
                <w:b/>
                <w:sz w:val="26"/>
                <w:szCs w:val="26"/>
                <w:lang w:val="en-US"/>
              </w:rPr>
            </w:pPr>
            <w:r>
              <w:rPr>
                <w:rFonts w:ascii="Arial" w:hAnsi="Arial" w:cs="Arial"/>
                <w:sz w:val="24"/>
                <w:szCs w:val="24"/>
                <w:lang w:val="en-US"/>
              </w:rPr>
              <w:t xml:space="preserve">        </w:t>
            </w:r>
            <w:r w:rsidRPr="009536D2">
              <w:rPr>
                <w:rFonts w:ascii="Arial" w:hAnsi="Arial" w:cs="Arial"/>
                <w:sz w:val="24"/>
                <w:szCs w:val="24"/>
                <w:lang w:val="en-US"/>
              </w:rPr>
              <w:t>1.3.1.2 Interfacial polymerization</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1.3.2 Particles prepared from preformed polymers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36</w:t>
            </w:r>
          </w:p>
        </w:tc>
      </w:tr>
      <w:tr w:rsidR="00387A07" w:rsidTr="00387A07">
        <w:tc>
          <w:tcPr>
            <w:tcW w:w="8755" w:type="dxa"/>
          </w:tcPr>
          <w:p w:rsidR="00387A07"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1.3.2.1 Emulsifi</w:t>
            </w:r>
            <w:r>
              <w:rPr>
                <w:rFonts w:ascii="Arial" w:hAnsi="Arial" w:cs="Arial"/>
                <w:sz w:val="24"/>
                <w:szCs w:val="24"/>
                <w:lang w:val="en-US"/>
              </w:rPr>
              <w:t xml:space="preserve">cation Solvent evaporation form </w:t>
            </w:r>
            <w:r w:rsidRPr="009536D2">
              <w:rPr>
                <w:rFonts w:ascii="Arial" w:hAnsi="Arial" w:cs="Arial"/>
                <w:sz w:val="24"/>
                <w:szCs w:val="24"/>
                <w:lang w:val="en-US"/>
              </w:rPr>
              <w:t xml:space="preserve">single Oil-in-Water </w:t>
            </w:r>
            <w:r>
              <w:rPr>
                <w:rFonts w:ascii="Arial" w:hAnsi="Arial" w:cs="Arial"/>
                <w:sz w:val="24"/>
                <w:szCs w:val="24"/>
                <w:lang w:val="en-US"/>
              </w:rPr>
              <w:t xml:space="preserve"> </w:t>
            </w:r>
          </w:p>
          <w:p w:rsidR="00387A07"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Emulsion</w:t>
            </w:r>
            <w:r>
              <w:rPr>
                <w:rFonts w:ascii="Arial" w:hAnsi="Arial" w:cs="Arial"/>
                <w:sz w:val="24"/>
                <w:szCs w:val="24"/>
                <w:lang w:val="en-US"/>
              </w:rPr>
              <w:t xml:space="preserve"> …………………………………………………………………………...</w:t>
            </w:r>
          </w:p>
        </w:tc>
        <w:tc>
          <w:tcPr>
            <w:tcW w:w="1023" w:type="dxa"/>
          </w:tcPr>
          <w:p w:rsidR="00387A07" w:rsidRDefault="00387A07" w:rsidP="00387A07">
            <w:pPr>
              <w:tabs>
                <w:tab w:val="left" w:pos="990"/>
              </w:tabs>
              <w:spacing w:line="360" w:lineRule="auto"/>
              <w:jc w:val="center"/>
              <w:rPr>
                <w:rFonts w:ascii="Arial" w:hAnsi="Arial" w:cs="Arial"/>
                <w:sz w:val="24"/>
                <w:szCs w:val="24"/>
                <w:lang w:val="en-US"/>
              </w:rPr>
            </w:pPr>
          </w:p>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37</w:t>
            </w:r>
          </w:p>
        </w:tc>
      </w:tr>
      <w:tr w:rsidR="00387A07" w:rsidTr="00387A07">
        <w:tc>
          <w:tcPr>
            <w:tcW w:w="8755" w:type="dxa"/>
          </w:tcPr>
          <w:p w:rsidR="00387A07"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1.3.2.2 Water in Oil in Water (W/O/W)</w:t>
            </w:r>
            <w:r>
              <w:rPr>
                <w:rFonts w:ascii="Arial" w:hAnsi="Arial" w:cs="Arial"/>
                <w:sz w:val="24"/>
                <w:szCs w:val="24"/>
                <w:lang w:val="en-US"/>
              </w:rPr>
              <w:t xml:space="preserve"> </w:t>
            </w:r>
            <w:r w:rsidRPr="009536D2">
              <w:rPr>
                <w:rFonts w:ascii="Arial" w:hAnsi="Arial" w:cs="Arial"/>
                <w:sz w:val="24"/>
                <w:szCs w:val="24"/>
                <w:lang w:val="en-US"/>
              </w:rPr>
              <w:t>Double emul</w:t>
            </w:r>
            <w:r>
              <w:rPr>
                <w:rFonts w:ascii="Arial" w:hAnsi="Arial" w:cs="Arial"/>
                <w:sz w:val="24"/>
                <w:szCs w:val="24"/>
                <w:lang w:val="en-US"/>
              </w:rPr>
              <w:t xml:space="preserve">sion solvent </w:t>
            </w:r>
          </w:p>
          <w:p w:rsidR="00387A07" w:rsidRDefault="00387A07" w:rsidP="00387A07">
            <w:pPr>
              <w:spacing w:line="360" w:lineRule="auto"/>
              <w:jc w:val="both"/>
              <w:rPr>
                <w:rFonts w:ascii="Arial" w:hAnsi="Arial" w:cs="Arial"/>
                <w:sz w:val="24"/>
                <w:szCs w:val="24"/>
                <w:lang w:val="en-US"/>
              </w:rPr>
            </w:pPr>
            <w:r>
              <w:rPr>
                <w:rFonts w:ascii="Arial" w:hAnsi="Arial" w:cs="Arial"/>
                <w:sz w:val="24"/>
                <w:szCs w:val="24"/>
                <w:lang w:val="en-US"/>
              </w:rPr>
              <w:lastRenderedPageBreak/>
              <w:t xml:space="preserve">        evaporation method ………………………………………………………………</w:t>
            </w:r>
          </w:p>
        </w:tc>
        <w:tc>
          <w:tcPr>
            <w:tcW w:w="1023" w:type="dxa"/>
          </w:tcPr>
          <w:p w:rsidR="00387A07" w:rsidRDefault="00387A07" w:rsidP="00387A07">
            <w:pPr>
              <w:tabs>
                <w:tab w:val="left" w:pos="990"/>
              </w:tabs>
              <w:spacing w:line="360" w:lineRule="auto"/>
              <w:jc w:val="center"/>
              <w:rPr>
                <w:rFonts w:ascii="Arial" w:hAnsi="Arial" w:cs="Arial"/>
                <w:sz w:val="24"/>
                <w:szCs w:val="24"/>
                <w:lang w:val="en-US"/>
              </w:rPr>
            </w:pPr>
          </w:p>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lastRenderedPageBreak/>
              <w:t>38</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lastRenderedPageBreak/>
              <w:t xml:space="preserve">        </w:t>
            </w:r>
            <w:r w:rsidRPr="009536D2">
              <w:rPr>
                <w:rFonts w:ascii="Arial" w:hAnsi="Arial" w:cs="Arial"/>
                <w:sz w:val="24"/>
                <w:szCs w:val="24"/>
                <w:lang w:val="en-US"/>
              </w:rPr>
              <w:t>1.3.2.3 Solvent Displacement</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39</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1.3.2.4 Salting out</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9536D2">
              <w:rPr>
                <w:rFonts w:ascii="Arial" w:hAnsi="Arial" w:cs="Arial"/>
                <w:sz w:val="24"/>
                <w:szCs w:val="24"/>
                <w:lang w:val="en-US"/>
              </w:rPr>
              <w:t>1.4 Polymers used in nanoparticle formulations</w:t>
            </w:r>
            <w:r>
              <w:rPr>
                <w:rFonts w:ascii="Arial" w:hAnsi="Arial" w:cs="Arial"/>
                <w:sz w:val="24"/>
                <w:szCs w:val="24"/>
                <w:lang w:val="en-US"/>
              </w:rPr>
              <w:t xml:space="preserve"> …………………………………….</w:t>
            </w:r>
          </w:p>
        </w:tc>
        <w:tc>
          <w:tcPr>
            <w:tcW w:w="1023" w:type="dxa"/>
          </w:tcPr>
          <w:p w:rsidR="009925A1" w:rsidRDefault="009925A1" w:rsidP="009925A1">
            <w:pPr>
              <w:tabs>
                <w:tab w:val="left" w:pos="990"/>
              </w:tabs>
              <w:spacing w:line="360" w:lineRule="auto"/>
              <w:jc w:val="center"/>
              <w:rPr>
                <w:rFonts w:ascii="Arial" w:hAnsi="Arial" w:cs="Arial"/>
                <w:sz w:val="24"/>
                <w:szCs w:val="24"/>
                <w:lang w:val="en-US"/>
              </w:rPr>
            </w:pPr>
            <w:r>
              <w:rPr>
                <w:rFonts w:ascii="Arial" w:hAnsi="Arial" w:cs="Arial"/>
                <w:sz w:val="24"/>
                <w:szCs w:val="24"/>
                <w:lang w:val="en-US"/>
              </w:rPr>
              <w:t>42</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1.4.1 Poly(lactic acid) (PLA</w:t>
            </w:r>
            <w:r>
              <w:rPr>
                <w:rFonts w:ascii="Arial" w:hAnsi="Arial" w:cs="Arial"/>
                <w:sz w:val="24"/>
                <w:szCs w:val="24"/>
                <w:lang w:val="en-US"/>
              </w:rPr>
              <w:t>)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42</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1.4.2 Poly-D,L-lactide-co-glycolide (PLGA)</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1.4.3 Poly(ε)Caprolactone (PCL)</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9536D2">
              <w:rPr>
                <w:rFonts w:ascii="Arial" w:hAnsi="Arial" w:cs="Arial"/>
                <w:sz w:val="24"/>
                <w:szCs w:val="24"/>
                <w:lang w:val="en-US"/>
              </w:rPr>
              <w:t>1.4.4 Poly (Ethylene glycol) and the concept of “stealth nanoparticles”</w:t>
            </w:r>
            <w:r>
              <w:rPr>
                <w:rFonts w:ascii="Arial" w:hAnsi="Arial" w:cs="Arial"/>
                <w:sz w:val="24"/>
                <w:szCs w:val="24"/>
                <w:lang w:val="en-US"/>
              </w:rPr>
              <w:t xml:space="preserve">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1.5 Thesis goal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49</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References ………………………………………………………………………………</w:t>
            </w:r>
          </w:p>
        </w:tc>
        <w:tc>
          <w:tcPr>
            <w:tcW w:w="1023" w:type="dxa"/>
          </w:tcPr>
          <w:p w:rsidR="00387A07" w:rsidRDefault="009925A1"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52</w:t>
            </w:r>
          </w:p>
        </w:tc>
      </w:tr>
      <w:tr w:rsidR="00387A07" w:rsidTr="00387A07">
        <w:tc>
          <w:tcPr>
            <w:tcW w:w="9778" w:type="dxa"/>
            <w:gridSpan w:val="2"/>
          </w:tcPr>
          <w:p w:rsidR="00387A07" w:rsidRPr="00433963" w:rsidRDefault="00387A07" w:rsidP="00387A07">
            <w:pPr>
              <w:spacing w:before="120" w:after="120" w:line="360" w:lineRule="auto"/>
              <w:jc w:val="center"/>
              <w:rPr>
                <w:rFonts w:ascii="Arial" w:hAnsi="Arial" w:cs="Arial"/>
                <w:b/>
                <w:sz w:val="36"/>
                <w:szCs w:val="36"/>
                <w:lang w:val="en-US"/>
              </w:rPr>
            </w:pPr>
            <w:r w:rsidRPr="00D57D88">
              <w:rPr>
                <w:rFonts w:ascii="Arial" w:hAnsi="Arial" w:cs="Arial"/>
                <w:b/>
                <w:sz w:val="36"/>
                <w:szCs w:val="36"/>
                <w:lang w:val="en-US"/>
              </w:rPr>
              <w:t>Section I</w:t>
            </w:r>
            <w:r>
              <w:rPr>
                <w:rFonts w:ascii="Arial" w:hAnsi="Arial" w:cs="Arial"/>
                <w:b/>
                <w:sz w:val="36"/>
                <w:szCs w:val="36"/>
                <w:lang w:val="en-US"/>
              </w:rPr>
              <w:t>I</w:t>
            </w:r>
            <w:r w:rsidRPr="00D57D88">
              <w:rPr>
                <w:rFonts w:ascii="Arial" w:hAnsi="Arial" w:cs="Arial"/>
                <w:b/>
                <w:sz w:val="36"/>
                <w:szCs w:val="36"/>
                <w:lang w:val="en-US"/>
              </w:rPr>
              <w:t xml:space="preserve"> </w:t>
            </w:r>
          </w:p>
        </w:tc>
      </w:tr>
      <w:tr w:rsidR="00387A07" w:rsidTr="00387A07">
        <w:tc>
          <w:tcPr>
            <w:tcW w:w="9778" w:type="dxa"/>
            <w:gridSpan w:val="2"/>
          </w:tcPr>
          <w:p w:rsidR="00387A07" w:rsidRPr="00433963" w:rsidRDefault="00387A07" w:rsidP="00387A07">
            <w:pPr>
              <w:spacing w:before="120" w:after="120" w:line="360" w:lineRule="auto"/>
              <w:jc w:val="center"/>
              <w:rPr>
                <w:rFonts w:ascii="Arial" w:hAnsi="Arial" w:cs="Arial"/>
                <w:b/>
                <w:sz w:val="28"/>
                <w:szCs w:val="28"/>
                <w:lang w:val="en-US"/>
              </w:rPr>
            </w:pPr>
            <w:r>
              <w:rPr>
                <w:rFonts w:ascii="Arial" w:hAnsi="Arial" w:cs="Arial"/>
                <w:b/>
                <w:sz w:val="28"/>
                <w:szCs w:val="28"/>
                <w:lang w:val="en-US"/>
              </w:rPr>
              <w:t>Chapter 2</w:t>
            </w:r>
          </w:p>
        </w:tc>
      </w:tr>
      <w:tr w:rsidR="00387A07" w:rsidTr="00387A07">
        <w:tc>
          <w:tcPr>
            <w:tcW w:w="9778" w:type="dxa"/>
            <w:gridSpan w:val="2"/>
          </w:tcPr>
          <w:p w:rsidR="00387A07" w:rsidRDefault="00387A07" w:rsidP="00387A07">
            <w:pPr>
              <w:tabs>
                <w:tab w:val="left" w:pos="990"/>
              </w:tabs>
              <w:spacing w:before="120" w:after="120" w:line="360" w:lineRule="auto"/>
              <w:jc w:val="center"/>
              <w:rPr>
                <w:rFonts w:ascii="Arial" w:hAnsi="Arial" w:cs="Arial"/>
                <w:sz w:val="24"/>
                <w:szCs w:val="24"/>
                <w:lang w:val="en-US"/>
              </w:rPr>
            </w:pPr>
            <w:r w:rsidRPr="00B5059B">
              <w:rPr>
                <w:rFonts w:ascii="Arial" w:hAnsi="Arial" w:cs="Arial"/>
                <w:b/>
                <w:sz w:val="28"/>
                <w:szCs w:val="28"/>
                <w:lang w:val="en-US"/>
              </w:rPr>
              <w:t>Innovative biodegradable Nanoparticles</w:t>
            </w:r>
            <w:r>
              <w:rPr>
                <w:rFonts w:ascii="Arial" w:hAnsi="Arial" w:cs="Arial"/>
                <w:b/>
                <w:sz w:val="28"/>
                <w:szCs w:val="28"/>
                <w:lang w:val="en-US"/>
              </w:rPr>
              <w:t xml:space="preserve"> </w:t>
            </w:r>
            <w:r w:rsidRPr="00B5059B">
              <w:rPr>
                <w:rFonts w:ascii="Arial" w:hAnsi="Arial" w:cs="Arial"/>
                <w:b/>
                <w:sz w:val="28"/>
                <w:szCs w:val="28"/>
                <w:lang w:val="en-US"/>
              </w:rPr>
              <w:t>for Passive Targeting of Cancer</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0069D9">
              <w:rPr>
                <w:rFonts w:ascii="Arial" w:hAnsi="Arial" w:cs="Arial"/>
                <w:sz w:val="24"/>
                <w:szCs w:val="24"/>
                <w:lang w:val="en-US"/>
              </w:rPr>
              <w:t>Abstract</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0069D9">
              <w:rPr>
                <w:rFonts w:ascii="Arial" w:hAnsi="Arial" w:cs="Arial"/>
                <w:sz w:val="24"/>
                <w:szCs w:val="24"/>
                <w:lang w:val="en-US"/>
              </w:rPr>
              <w:t xml:space="preserve">2.1 </w:t>
            </w:r>
            <w:r w:rsidRPr="000069D9">
              <w:rPr>
                <w:rFonts w:ascii="Arial" w:hAnsi="Arial" w:cs="Arial"/>
                <w:sz w:val="24"/>
                <w:szCs w:val="24"/>
              </w:rPr>
              <w:t>Introduction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0069D9">
              <w:rPr>
                <w:rFonts w:ascii="Arial" w:hAnsi="Arial" w:cs="Arial"/>
                <w:sz w:val="24"/>
                <w:szCs w:val="24"/>
              </w:rPr>
              <w:t>2.2 Materials &amp; methods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2.2.1 Materials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eastAsia="it-IT"/>
              </w:rPr>
              <w:t xml:space="preserve">    </w:t>
            </w:r>
            <w:r w:rsidRPr="000069D9">
              <w:rPr>
                <w:rFonts w:ascii="Arial" w:hAnsi="Arial" w:cs="Arial"/>
                <w:color w:val="000000"/>
                <w:sz w:val="24"/>
                <w:szCs w:val="24"/>
                <w:lang w:eastAsia="it-IT"/>
              </w:rPr>
              <w:t>2.2.2 Polymer Synthesis</w:t>
            </w:r>
            <w:r>
              <w:rPr>
                <w:rFonts w:ascii="Arial" w:hAnsi="Arial" w:cs="Arial"/>
                <w:color w:val="000000"/>
                <w:sz w:val="24"/>
                <w:szCs w:val="24"/>
                <w:lang w:eastAsia="it-IT"/>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2.2.3 Polymer characterization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68</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0069D9">
              <w:rPr>
                <w:rFonts w:ascii="Arial" w:hAnsi="Arial" w:cs="Arial"/>
                <w:sz w:val="24"/>
                <w:szCs w:val="24"/>
                <w:lang w:val="en-US"/>
              </w:rPr>
              <w:t>2.2.3.1 FTIR Analysis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68</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0069D9">
              <w:rPr>
                <w:rFonts w:ascii="Arial" w:hAnsi="Arial" w:cs="Arial"/>
                <w:sz w:val="24"/>
                <w:szCs w:val="24"/>
                <w:lang w:val="en-US"/>
              </w:rPr>
              <w:t>2.2.3.2 GPC Analysis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68</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0069D9">
              <w:rPr>
                <w:rFonts w:ascii="Arial" w:hAnsi="Arial" w:cs="Arial"/>
                <w:sz w:val="24"/>
                <w:szCs w:val="24"/>
                <w:lang w:val="en-US"/>
              </w:rPr>
              <w:t>2.2.3.3 DSC analysis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69</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2.2.3.4 DMTA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69</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0069D9">
              <w:rPr>
                <w:rFonts w:ascii="Arial" w:hAnsi="Arial" w:cs="Arial"/>
                <w:sz w:val="24"/>
                <w:szCs w:val="24"/>
                <w:lang w:val="en-US"/>
              </w:rPr>
              <w:t>2</w:t>
            </w:r>
            <w:r>
              <w:rPr>
                <w:rFonts w:ascii="Arial" w:hAnsi="Arial" w:cs="Arial"/>
                <w:sz w:val="24"/>
                <w:szCs w:val="24"/>
                <w:lang w:val="en-US"/>
              </w:rPr>
              <w:t>.2.4 Contact Angle measurements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2.2.5 Preparation of nanoparticles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2.2.5.1 Optimization of the protocol</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0069D9">
              <w:rPr>
                <w:rFonts w:ascii="Arial" w:hAnsi="Arial" w:cs="Arial"/>
                <w:color w:val="000000"/>
                <w:sz w:val="24"/>
                <w:szCs w:val="24"/>
                <w:lang w:val="en-US"/>
              </w:rPr>
              <w:t>2.2.5.2 Preparation of Paclitaxel-loaded nanoparticles</w:t>
            </w:r>
            <w:r>
              <w:rPr>
                <w:rFonts w:ascii="Arial" w:hAnsi="Arial" w:cs="Arial"/>
                <w:color w:val="000000"/>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0069D9">
              <w:rPr>
                <w:rFonts w:ascii="Arial" w:hAnsi="Arial" w:cs="Arial"/>
                <w:color w:val="000000"/>
                <w:sz w:val="24"/>
                <w:szCs w:val="24"/>
                <w:lang w:val="en-US"/>
              </w:rPr>
              <w:t>2.2.6 Characterization of nanoparticles</w:t>
            </w:r>
            <w:r>
              <w:rPr>
                <w:rFonts w:ascii="Arial" w:hAnsi="Arial" w:cs="Arial"/>
                <w:color w:val="000000"/>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0069D9">
              <w:rPr>
                <w:rFonts w:ascii="Arial" w:hAnsi="Arial" w:cs="Arial"/>
                <w:color w:val="000000"/>
                <w:sz w:val="24"/>
                <w:szCs w:val="24"/>
                <w:lang w:val="en-US"/>
              </w:rPr>
              <w:t>2.2.6.1 P</w:t>
            </w:r>
            <w:r w:rsidRPr="000069D9">
              <w:rPr>
                <w:rFonts w:ascii="Arial" w:hAnsi="Arial" w:cs="Arial"/>
                <w:color w:val="000000"/>
                <w:sz w:val="24"/>
                <w:szCs w:val="24"/>
              </w:rPr>
              <w:t xml:space="preserve">article size and size </w:t>
            </w:r>
            <w:r>
              <w:rPr>
                <w:rFonts w:ascii="Arial" w:hAnsi="Arial" w:cs="Arial"/>
                <w:color w:val="000000"/>
                <w:sz w:val="24"/>
                <w:szCs w:val="24"/>
                <w:lang w:val="en-US"/>
              </w:rPr>
              <w:t>distribution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lang w:val="en-US"/>
              </w:rPr>
              <w:lastRenderedPageBreak/>
              <w:t xml:space="preserve">        </w:t>
            </w:r>
            <w:r w:rsidRPr="000069D9">
              <w:rPr>
                <w:rFonts w:ascii="Arial" w:eastAsia="AdvTimes" w:hAnsi="Arial" w:cs="Arial"/>
                <w:color w:val="000000"/>
                <w:sz w:val="24"/>
                <w:szCs w:val="24"/>
              </w:rPr>
              <w:t>2.2.6.2 Surface charge</w:t>
            </w:r>
            <w:r>
              <w:rPr>
                <w:rFonts w:ascii="Arial" w:eastAsia="AdvTimes"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rPr>
              <w:t xml:space="preserve">        </w:t>
            </w:r>
            <w:r w:rsidRPr="000069D9">
              <w:rPr>
                <w:rFonts w:ascii="Arial" w:eastAsia="AdvTimes" w:hAnsi="Arial" w:cs="Arial"/>
                <w:color w:val="000000"/>
                <w:sz w:val="24"/>
                <w:szCs w:val="24"/>
              </w:rPr>
              <w:t>2.2.6.3 Particle morphology</w:t>
            </w:r>
            <w:r>
              <w:rPr>
                <w:rFonts w:ascii="Arial" w:eastAsia="AdvTimes"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0069D9">
              <w:rPr>
                <w:rFonts w:ascii="Arial" w:hAnsi="Arial" w:cs="Arial"/>
                <w:color w:val="000000"/>
                <w:sz w:val="24"/>
                <w:szCs w:val="24"/>
                <w:lang w:val="en-US"/>
              </w:rPr>
              <w:t xml:space="preserve">2.2.6.4 Determination of </w:t>
            </w:r>
            <w:r w:rsidRPr="000069D9">
              <w:rPr>
                <w:rFonts w:ascii="Arial" w:hAnsi="Arial" w:cs="Arial"/>
                <w:color w:val="000000"/>
                <w:sz w:val="24"/>
                <w:szCs w:val="24"/>
              </w:rPr>
              <w:t>Paclitaxel loading and release profiles</w:t>
            </w:r>
            <w:r>
              <w:rPr>
                <w:rFonts w:ascii="Arial"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72</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rPr>
              <w:t xml:space="preserve">    </w:t>
            </w:r>
            <w:r w:rsidRPr="000069D9">
              <w:rPr>
                <w:rFonts w:ascii="Arial" w:eastAsia="AdvTimes" w:hAnsi="Arial" w:cs="Arial"/>
                <w:color w:val="000000"/>
                <w:sz w:val="24"/>
                <w:szCs w:val="24"/>
              </w:rPr>
              <w:t xml:space="preserve">2.2.7 </w:t>
            </w:r>
            <w:r>
              <w:rPr>
                <w:rFonts w:ascii="Arial" w:eastAsia="AdvTimes" w:hAnsi="Arial" w:cs="Arial"/>
                <w:color w:val="000000"/>
                <w:sz w:val="24"/>
                <w:szCs w:val="24"/>
              </w:rPr>
              <w:t>Hydrolytic d</w:t>
            </w:r>
            <w:r w:rsidRPr="000069D9">
              <w:rPr>
                <w:rFonts w:ascii="Arial" w:eastAsia="AdvTimes" w:hAnsi="Arial" w:cs="Arial"/>
                <w:color w:val="000000"/>
                <w:sz w:val="24"/>
                <w:szCs w:val="24"/>
              </w:rPr>
              <w:t>egradation studies</w:t>
            </w:r>
            <w:r>
              <w:rPr>
                <w:rFonts w:ascii="Arial" w:eastAsia="AdvTimes"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72</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1202A5">
              <w:rPr>
                <w:rFonts w:ascii="Arial" w:hAnsi="Arial" w:cs="Arial"/>
                <w:sz w:val="24"/>
                <w:szCs w:val="24"/>
                <w:lang w:val="en-US"/>
              </w:rPr>
              <w:t>2.2.8 In vitro cell viability</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73</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2.2.9 In vitro cellular uptake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73</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0069D9">
              <w:rPr>
                <w:rFonts w:ascii="Arial" w:hAnsi="Arial" w:cs="Arial"/>
                <w:sz w:val="24"/>
                <w:szCs w:val="24"/>
              </w:rPr>
              <w:t>2.3 Results &amp; Discussion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2.3.1 Polymer synthesis and characterization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2.3.1.1 ATR-FT-IR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2.3.1.2 GPC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2.3.1.3 DSC and DMTA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0069D9">
              <w:rPr>
                <w:rFonts w:ascii="Arial" w:hAnsi="Arial" w:cs="Arial"/>
                <w:sz w:val="24"/>
                <w:szCs w:val="24"/>
              </w:rPr>
              <w:t>2.3.2 Contac Angle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76</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w:t>
            </w:r>
            <w:r w:rsidRPr="000069D9">
              <w:rPr>
                <w:rFonts w:ascii="Arial" w:hAnsi="Arial" w:cs="Arial"/>
                <w:sz w:val="24"/>
                <w:szCs w:val="24"/>
              </w:rPr>
              <w:t>2.3.3 Preparation &amp; characterization of Nanoparticles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w:t>
            </w:r>
            <w:r w:rsidRPr="000069D9">
              <w:rPr>
                <w:rFonts w:ascii="Arial" w:hAnsi="Arial" w:cs="Arial"/>
                <w:sz w:val="24"/>
                <w:szCs w:val="24"/>
              </w:rPr>
              <w:t>2.3.3.1 Optimization of the protocol</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77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bCs/>
                <w:sz w:val="24"/>
                <w:szCs w:val="24"/>
              </w:rPr>
              <w:t xml:space="preserve">        2.3.3.2 </w:t>
            </w:r>
            <w:r w:rsidRPr="000069D9">
              <w:rPr>
                <w:rFonts w:ascii="Arial" w:hAnsi="Arial" w:cs="Arial"/>
                <w:bCs/>
                <w:sz w:val="24"/>
                <w:szCs w:val="24"/>
              </w:rPr>
              <w:t xml:space="preserve">Preparation &amp; characterization of </w:t>
            </w:r>
            <w:r>
              <w:rPr>
                <w:rFonts w:ascii="Arial" w:hAnsi="Arial" w:cs="Arial"/>
                <w:bCs/>
                <w:sz w:val="24"/>
                <w:szCs w:val="24"/>
              </w:rPr>
              <w:t>Paclitaxel-loaded Nanoparticles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bCs/>
                <w:sz w:val="24"/>
                <w:szCs w:val="24"/>
              </w:rPr>
              <w:t xml:space="preserve">    </w:t>
            </w:r>
            <w:r w:rsidRPr="000069D9">
              <w:rPr>
                <w:rFonts w:ascii="Arial" w:hAnsi="Arial" w:cs="Arial"/>
                <w:bCs/>
                <w:sz w:val="24"/>
                <w:szCs w:val="24"/>
              </w:rPr>
              <w:t>2.3.4 Hydrolitic degradation studies</w:t>
            </w:r>
            <w:r>
              <w:rPr>
                <w:rFonts w:ascii="Arial" w:hAnsi="Arial" w:cs="Arial"/>
                <w:bCs/>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2.3.5 Toxicity studies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w:t>
            </w:r>
            <w:r w:rsidRPr="000069D9">
              <w:rPr>
                <w:rFonts w:ascii="Arial" w:hAnsi="Arial" w:cs="Arial"/>
                <w:sz w:val="24"/>
                <w:szCs w:val="24"/>
              </w:rPr>
              <w:t>2.3.6 Cellular uptake studies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86</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sidRPr="000069D9">
              <w:rPr>
                <w:rFonts w:ascii="Arial" w:hAnsi="Arial" w:cs="Arial"/>
                <w:sz w:val="24"/>
                <w:szCs w:val="24"/>
              </w:rPr>
              <w:t xml:space="preserve">2.4 </w:t>
            </w:r>
            <w:r>
              <w:rPr>
                <w:rFonts w:ascii="Arial" w:hAnsi="Arial" w:cs="Arial"/>
                <w:sz w:val="24"/>
                <w:szCs w:val="24"/>
              </w:rPr>
              <w:t>Conclusions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87</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sidRPr="000069D9">
              <w:rPr>
                <w:rFonts w:ascii="Arial" w:hAnsi="Arial" w:cs="Arial"/>
                <w:sz w:val="24"/>
                <w:szCs w:val="24"/>
              </w:rPr>
              <w:t>References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88</w:t>
            </w:r>
          </w:p>
        </w:tc>
      </w:tr>
      <w:tr w:rsidR="00387A07" w:rsidTr="00387A07">
        <w:tc>
          <w:tcPr>
            <w:tcW w:w="9778" w:type="dxa"/>
            <w:gridSpan w:val="2"/>
          </w:tcPr>
          <w:p w:rsidR="00387A07" w:rsidRDefault="00387A07" w:rsidP="00387A07">
            <w:pPr>
              <w:tabs>
                <w:tab w:val="left" w:pos="990"/>
              </w:tabs>
              <w:spacing w:before="120" w:after="120" w:line="360" w:lineRule="auto"/>
              <w:jc w:val="center"/>
              <w:rPr>
                <w:rFonts w:ascii="Arial" w:hAnsi="Arial" w:cs="Arial"/>
                <w:sz w:val="24"/>
                <w:szCs w:val="24"/>
                <w:lang w:val="en-US"/>
              </w:rPr>
            </w:pPr>
            <w:r>
              <w:rPr>
                <w:rFonts w:ascii="Arial" w:hAnsi="Arial" w:cs="Arial"/>
                <w:b/>
                <w:sz w:val="28"/>
                <w:szCs w:val="28"/>
                <w:lang w:val="en-US"/>
              </w:rPr>
              <w:t>Chapter 3</w:t>
            </w:r>
          </w:p>
        </w:tc>
      </w:tr>
      <w:tr w:rsidR="00387A07" w:rsidTr="00387A07">
        <w:tc>
          <w:tcPr>
            <w:tcW w:w="9778" w:type="dxa"/>
            <w:gridSpan w:val="2"/>
          </w:tcPr>
          <w:p w:rsidR="00387A07" w:rsidRPr="00402E17" w:rsidRDefault="00387A07" w:rsidP="00387A07">
            <w:pPr>
              <w:spacing w:before="120" w:after="120" w:line="360" w:lineRule="auto"/>
              <w:jc w:val="center"/>
              <w:rPr>
                <w:rFonts w:ascii="Arial" w:hAnsi="Arial" w:cs="Arial"/>
                <w:b/>
                <w:sz w:val="28"/>
                <w:szCs w:val="28"/>
                <w:lang w:val="en-US"/>
              </w:rPr>
            </w:pPr>
            <w:r>
              <w:rPr>
                <w:rFonts w:ascii="Arial" w:hAnsi="Arial" w:cs="Arial"/>
                <w:b/>
                <w:sz w:val="28"/>
                <w:szCs w:val="28"/>
                <w:lang w:val="en-US"/>
              </w:rPr>
              <w:t>Surface-decorated nanoparticles for Active targeting of breast cancer cells</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sidRPr="00D14847">
              <w:rPr>
                <w:rFonts w:ascii="Arial" w:hAnsi="Arial" w:cs="Arial"/>
                <w:sz w:val="24"/>
                <w:szCs w:val="24"/>
                <w:lang w:val="en-US"/>
              </w:rPr>
              <w:t>Abstract</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91</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sidRPr="00D14847">
              <w:rPr>
                <w:rFonts w:ascii="Arial" w:hAnsi="Arial" w:cs="Arial"/>
                <w:sz w:val="24"/>
                <w:szCs w:val="24"/>
                <w:lang w:val="en-US"/>
              </w:rPr>
              <w:t>3.1 Introduction</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93</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sidRPr="00D14847">
              <w:rPr>
                <w:rFonts w:ascii="Arial" w:hAnsi="Arial" w:cs="Arial"/>
                <w:sz w:val="24"/>
                <w:szCs w:val="24"/>
                <w:lang w:val="en-US"/>
              </w:rPr>
              <w:t>3.2 Materials &amp; Methods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w:t>
            </w:r>
            <w:r w:rsidRPr="00D14847">
              <w:rPr>
                <w:rFonts w:ascii="Arial" w:hAnsi="Arial" w:cs="Arial"/>
                <w:sz w:val="24"/>
                <w:szCs w:val="24"/>
              </w:rPr>
              <w:t>3.2.1 Materials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lang w:eastAsia="it-IT"/>
              </w:rPr>
              <w:t xml:space="preserve">    3.2.2</w:t>
            </w:r>
            <w:r w:rsidRPr="00D14847">
              <w:rPr>
                <w:rFonts w:ascii="Arial" w:hAnsi="Arial" w:cs="Arial"/>
                <w:color w:val="000000"/>
                <w:sz w:val="24"/>
                <w:szCs w:val="24"/>
                <w:lang w:eastAsia="it-IT"/>
              </w:rPr>
              <w:t xml:space="preserve"> Polymer Synthesis</w:t>
            </w:r>
            <w:r>
              <w:rPr>
                <w:rFonts w:ascii="Arial" w:hAnsi="Arial" w:cs="Arial"/>
                <w:color w:val="000000"/>
                <w:sz w:val="24"/>
                <w:szCs w:val="24"/>
                <w:lang w:eastAsia="it-IT"/>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lang w:val="en-US"/>
              </w:rPr>
              <w:t xml:space="preserve">    </w:t>
            </w:r>
            <w:r w:rsidRPr="00D14847">
              <w:rPr>
                <w:rFonts w:ascii="Arial" w:hAnsi="Arial" w:cs="Arial"/>
                <w:sz w:val="24"/>
                <w:szCs w:val="24"/>
                <w:lang w:val="en-US"/>
              </w:rPr>
              <w:t>3.2.3  Polymer Characterization</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95</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lang w:val="en-US"/>
              </w:rPr>
              <w:t xml:space="preserve">        </w:t>
            </w:r>
            <w:r w:rsidRPr="00D14847">
              <w:rPr>
                <w:rFonts w:ascii="Arial" w:hAnsi="Arial" w:cs="Arial"/>
                <w:sz w:val="24"/>
                <w:szCs w:val="24"/>
                <w:lang w:val="en-US"/>
              </w:rPr>
              <w:t>3.2.3.1 FTIR Analysis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95</w:t>
            </w:r>
          </w:p>
        </w:tc>
      </w:tr>
      <w:tr w:rsidR="00387A07" w:rsidTr="00387A07">
        <w:tc>
          <w:tcPr>
            <w:tcW w:w="8755" w:type="dxa"/>
          </w:tcPr>
          <w:p w:rsidR="00387A07" w:rsidRPr="007603E9"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D14847">
              <w:rPr>
                <w:rFonts w:ascii="Arial" w:hAnsi="Arial" w:cs="Arial"/>
                <w:sz w:val="24"/>
                <w:szCs w:val="24"/>
                <w:lang w:val="en-US"/>
              </w:rPr>
              <w:t>3.2.3.2 GPC Analysis</w:t>
            </w:r>
            <w:r>
              <w:rPr>
                <w:rFonts w:ascii="Arial" w:hAnsi="Arial" w:cs="Arial"/>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96</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w:t>
            </w:r>
            <w:r w:rsidRPr="00D14847">
              <w:rPr>
                <w:rFonts w:ascii="Arial" w:hAnsi="Arial" w:cs="Arial"/>
                <w:sz w:val="24"/>
                <w:szCs w:val="24"/>
              </w:rPr>
              <w:t>3.2.4 Preparation of nanoparticles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96</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rPr>
              <w:lastRenderedPageBreak/>
              <w:t xml:space="preserve">        </w:t>
            </w:r>
            <w:r w:rsidRPr="00D14847">
              <w:rPr>
                <w:rFonts w:ascii="Arial" w:hAnsi="Arial" w:cs="Arial"/>
                <w:sz w:val="24"/>
                <w:szCs w:val="24"/>
              </w:rPr>
              <w:t>3.2.4.1 Optimization of the protocol</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96</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rPr>
              <w:t xml:space="preserve">        </w:t>
            </w:r>
            <w:r w:rsidRPr="00D14847">
              <w:rPr>
                <w:rFonts w:ascii="Arial" w:hAnsi="Arial" w:cs="Arial"/>
                <w:color w:val="000000"/>
                <w:sz w:val="24"/>
                <w:szCs w:val="24"/>
              </w:rPr>
              <w:t>3.2.4.2 Preparation of nanoparticles</w:t>
            </w:r>
            <w:r>
              <w:rPr>
                <w:rFonts w:ascii="Arial"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98</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lang w:val="en-US"/>
              </w:rPr>
              <w:t xml:space="preserve">        </w:t>
            </w:r>
            <w:r w:rsidRPr="00D14847">
              <w:rPr>
                <w:rFonts w:ascii="Arial" w:hAnsi="Arial" w:cs="Arial"/>
                <w:color w:val="000000"/>
                <w:sz w:val="24"/>
                <w:szCs w:val="24"/>
                <w:lang w:val="en-US"/>
              </w:rPr>
              <w:t>3.2.4.3 Preparation of Paclitaxel-loaded nanoparticles</w:t>
            </w:r>
            <w:r>
              <w:rPr>
                <w:rFonts w:ascii="Arial" w:hAnsi="Arial" w:cs="Arial"/>
                <w:color w:val="000000"/>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99</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rPr>
              <w:t xml:space="preserve">    </w:t>
            </w:r>
            <w:r w:rsidRPr="00D14847">
              <w:rPr>
                <w:rFonts w:ascii="Arial" w:hAnsi="Arial" w:cs="Arial"/>
                <w:color w:val="000000"/>
                <w:sz w:val="24"/>
                <w:szCs w:val="24"/>
              </w:rPr>
              <w:t>3.2.5 Surface modification of nanoparticles</w:t>
            </w:r>
            <w:r>
              <w:rPr>
                <w:rFonts w:ascii="Arial"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99</w:t>
            </w:r>
          </w:p>
        </w:tc>
      </w:tr>
      <w:tr w:rsidR="00387A07" w:rsidTr="00387A07">
        <w:tc>
          <w:tcPr>
            <w:tcW w:w="8755" w:type="dxa"/>
          </w:tcPr>
          <w:p w:rsidR="00387A07" w:rsidRDefault="005F30E0" w:rsidP="00387A07">
            <w:pPr>
              <w:tabs>
                <w:tab w:val="left" w:pos="990"/>
              </w:tabs>
              <w:spacing w:line="360" w:lineRule="auto"/>
              <w:rPr>
                <w:rFonts w:ascii="Arial" w:hAnsi="Arial" w:cs="Arial"/>
                <w:sz w:val="24"/>
                <w:szCs w:val="24"/>
              </w:rPr>
            </w:pPr>
            <w:r>
              <w:rPr>
                <w:rFonts w:ascii="Arial" w:hAnsi="Arial" w:cs="Arial"/>
                <w:color w:val="000000"/>
                <w:sz w:val="24"/>
                <w:szCs w:val="24"/>
                <w:lang w:val="en-US"/>
              </w:rPr>
              <w:t xml:space="preserve">    </w:t>
            </w:r>
            <w:r w:rsidR="00387A07" w:rsidRPr="00D14847">
              <w:rPr>
                <w:rFonts w:ascii="Arial" w:hAnsi="Arial" w:cs="Arial"/>
                <w:color w:val="000000"/>
                <w:sz w:val="24"/>
                <w:szCs w:val="24"/>
                <w:lang w:val="en-US"/>
              </w:rPr>
              <w:t>3.2.6 Characterization of nanoparticles</w:t>
            </w:r>
            <w:r w:rsidR="00387A07">
              <w:rPr>
                <w:rFonts w:ascii="Arial" w:hAnsi="Arial" w:cs="Arial"/>
                <w:color w:val="000000"/>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lang w:val="en-US"/>
              </w:rPr>
              <w:t xml:space="preserve">        </w:t>
            </w:r>
            <w:r w:rsidRPr="00D14847">
              <w:rPr>
                <w:rFonts w:ascii="Arial" w:hAnsi="Arial" w:cs="Arial"/>
                <w:color w:val="000000"/>
                <w:sz w:val="24"/>
                <w:szCs w:val="24"/>
                <w:lang w:val="en-US"/>
              </w:rPr>
              <w:t>3.2.6.1 P</w:t>
            </w:r>
            <w:r w:rsidRPr="00D14847">
              <w:rPr>
                <w:rFonts w:ascii="Arial" w:hAnsi="Arial" w:cs="Arial"/>
                <w:color w:val="000000"/>
                <w:sz w:val="24"/>
                <w:szCs w:val="24"/>
              </w:rPr>
              <w:t xml:space="preserve">article size and size </w:t>
            </w:r>
            <w:r w:rsidRPr="00D14847">
              <w:rPr>
                <w:rFonts w:ascii="Arial" w:hAnsi="Arial" w:cs="Arial"/>
                <w:color w:val="000000"/>
                <w:sz w:val="24"/>
                <w:szCs w:val="24"/>
                <w:lang w:val="en-US"/>
              </w:rPr>
              <w:t>distribution</w:t>
            </w:r>
            <w:r>
              <w:rPr>
                <w:rFonts w:ascii="Arial" w:hAnsi="Arial" w:cs="Arial"/>
                <w:color w:val="000000"/>
                <w:sz w:val="24"/>
                <w:szCs w:val="24"/>
                <w:lang w:val="en-US"/>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eastAsia="AdvTimes" w:hAnsi="Arial" w:cs="Arial"/>
                <w:color w:val="000000"/>
                <w:sz w:val="24"/>
                <w:szCs w:val="24"/>
              </w:rPr>
              <w:t xml:space="preserve">        </w:t>
            </w:r>
            <w:r w:rsidRPr="00D14847">
              <w:rPr>
                <w:rFonts w:ascii="Arial" w:eastAsia="AdvTimes" w:hAnsi="Arial" w:cs="Arial"/>
                <w:color w:val="000000"/>
                <w:sz w:val="24"/>
                <w:szCs w:val="24"/>
              </w:rPr>
              <w:t>3.2.6.2 Surface charge</w:t>
            </w:r>
            <w:r>
              <w:rPr>
                <w:rFonts w:ascii="Arial" w:eastAsia="AdvTimes"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eastAsia="AdvTimes" w:hAnsi="Arial" w:cs="Arial"/>
                <w:color w:val="000000"/>
                <w:sz w:val="24"/>
                <w:szCs w:val="24"/>
              </w:rPr>
              <w:t xml:space="preserve">        </w:t>
            </w:r>
            <w:r w:rsidRPr="00D14847">
              <w:rPr>
                <w:rFonts w:ascii="Arial" w:eastAsia="AdvTimes" w:hAnsi="Arial" w:cs="Arial"/>
                <w:color w:val="000000"/>
                <w:sz w:val="24"/>
                <w:szCs w:val="24"/>
              </w:rPr>
              <w:t>3.2.6.3 Particle morphology</w:t>
            </w:r>
            <w:r>
              <w:rPr>
                <w:rFonts w:ascii="Arial" w:eastAsia="AdvTimes" w:hAnsi="Arial" w:cs="Arial"/>
                <w:color w:val="000000"/>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100</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color w:val="000000"/>
                <w:sz w:val="24"/>
                <w:szCs w:val="24"/>
                <w:lang w:val="en-US"/>
              </w:rPr>
              <w:t xml:space="preserve">    </w:t>
            </w:r>
            <w:r w:rsidRPr="00D14847">
              <w:rPr>
                <w:rFonts w:ascii="Arial" w:hAnsi="Arial" w:cs="Arial"/>
                <w:color w:val="000000"/>
                <w:sz w:val="24"/>
                <w:szCs w:val="24"/>
                <w:lang w:val="en-US"/>
              </w:rPr>
              <w:t xml:space="preserve">3.2.7 Determination of </w:t>
            </w:r>
            <w:r w:rsidRPr="00D14847">
              <w:rPr>
                <w:rFonts w:ascii="Arial" w:hAnsi="Arial" w:cs="Arial"/>
                <w:color w:val="000000"/>
                <w:sz w:val="24"/>
                <w:szCs w:val="24"/>
              </w:rPr>
              <w:t>Paclitaxel loading and in vitro release profil</w:t>
            </w:r>
            <w:r>
              <w:rPr>
                <w:rFonts w:ascii="Arial" w:hAnsi="Arial" w:cs="Arial"/>
                <w:color w:val="000000"/>
                <w:sz w:val="24"/>
                <w:szCs w:val="24"/>
              </w:rPr>
              <w:t>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100</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3.2.8 Cell culture</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101</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color w:val="000000"/>
                <w:sz w:val="24"/>
                <w:szCs w:val="24"/>
                <w:lang w:val="en-US"/>
              </w:rPr>
              <w:t xml:space="preserve">    </w:t>
            </w:r>
            <w:r w:rsidRPr="00D14847">
              <w:rPr>
                <w:rFonts w:ascii="Arial" w:hAnsi="Arial" w:cs="Arial"/>
                <w:color w:val="000000"/>
                <w:sz w:val="24"/>
                <w:szCs w:val="24"/>
                <w:lang w:val="en-US"/>
              </w:rPr>
              <w:t xml:space="preserve">3.2.9 In vitro cellular uptake of </w:t>
            </w:r>
            <w:r>
              <w:rPr>
                <w:rFonts w:ascii="Arial" w:hAnsi="Arial" w:cs="Arial"/>
                <w:color w:val="000000"/>
                <w:sz w:val="24"/>
                <w:szCs w:val="24"/>
                <w:lang w:val="en-US"/>
              </w:rPr>
              <w:t>Coumarin-6 loaded nanoparticles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101</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3.2.10 In vitro cytotoxicity</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102</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sidRPr="00D14847">
              <w:rPr>
                <w:rFonts w:ascii="Arial" w:hAnsi="Arial" w:cs="Arial"/>
                <w:sz w:val="24"/>
                <w:szCs w:val="24"/>
              </w:rPr>
              <w:t>3.3 Results &amp; Discussion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102</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3.3.1 Polymer characterization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102</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3.3.1.1 ATR-FT-IR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102</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3.3.1.2 GPC analysis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103</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3.3.2 Preparation of nanoparticles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104</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3.3.2.1 Optimization of the protocol</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104</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3.3.2.1.1 Effect of PVA concent</w:t>
            </w:r>
            <w:r>
              <w:rPr>
                <w:rFonts w:ascii="Arial" w:hAnsi="Arial" w:cs="Arial"/>
                <w:sz w:val="24"/>
                <w:szCs w:val="24"/>
              </w:rPr>
              <w:t>ration and homogenization speed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104</w:t>
            </w:r>
          </w:p>
        </w:tc>
      </w:tr>
      <w:tr w:rsidR="00387A07" w:rsidTr="00387A07">
        <w:tc>
          <w:tcPr>
            <w:tcW w:w="8755" w:type="dxa"/>
          </w:tcPr>
          <w:p w:rsidR="00387A07" w:rsidRDefault="00387A07" w:rsidP="00387A07">
            <w:pPr>
              <w:tabs>
                <w:tab w:val="left" w:pos="990"/>
              </w:tabs>
              <w:spacing w:line="360" w:lineRule="auto"/>
              <w:rPr>
                <w:rFonts w:ascii="Arial" w:hAnsi="Arial" w:cs="Arial"/>
                <w:sz w:val="24"/>
                <w:szCs w:val="24"/>
              </w:rPr>
            </w:pPr>
            <w:r>
              <w:rPr>
                <w:rFonts w:ascii="Arial" w:hAnsi="Arial" w:cs="Arial"/>
                <w:sz w:val="24"/>
                <w:szCs w:val="24"/>
                <w:lang w:val="en-US"/>
              </w:rPr>
              <w:t xml:space="preserve">            </w:t>
            </w:r>
            <w:r w:rsidRPr="00D14847">
              <w:rPr>
                <w:rFonts w:ascii="Arial" w:hAnsi="Arial" w:cs="Arial"/>
                <w:sz w:val="24"/>
                <w:szCs w:val="24"/>
              </w:rPr>
              <w:t>3.3.2.1.2 Effect of the washing medium and</w:t>
            </w:r>
            <w:r>
              <w:rPr>
                <w:rFonts w:ascii="Arial" w:hAnsi="Arial" w:cs="Arial"/>
                <w:sz w:val="24"/>
                <w:szCs w:val="24"/>
              </w:rPr>
              <w:t xml:space="preserve"> of the addition of NaCl </w:t>
            </w:r>
          </w:p>
          <w:p w:rsidR="00387A07" w:rsidRPr="00402E17" w:rsidRDefault="00387A07" w:rsidP="00387A07">
            <w:pPr>
              <w:tabs>
                <w:tab w:val="left" w:pos="990"/>
              </w:tabs>
              <w:spacing w:line="360" w:lineRule="auto"/>
              <w:rPr>
                <w:rFonts w:ascii="Arial" w:hAnsi="Arial" w:cs="Arial"/>
                <w:sz w:val="24"/>
                <w:szCs w:val="24"/>
              </w:rPr>
            </w:pPr>
            <w:r>
              <w:rPr>
                <w:rFonts w:ascii="Arial" w:hAnsi="Arial" w:cs="Arial"/>
                <w:sz w:val="24"/>
                <w:szCs w:val="24"/>
              </w:rPr>
              <w:t xml:space="preserve">            during </w:t>
            </w:r>
            <w:r w:rsidRPr="00D14847">
              <w:rPr>
                <w:rFonts w:ascii="Arial" w:hAnsi="Arial" w:cs="Arial"/>
                <w:sz w:val="24"/>
                <w:szCs w:val="24"/>
              </w:rPr>
              <w:t>solvent evaporation</w:t>
            </w:r>
            <w:r>
              <w:rPr>
                <w:rFonts w:ascii="Arial" w:hAnsi="Arial" w:cs="Arial"/>
                <w:sz w:val="24"/>
                <w:szCs w:val="24"/>
              </w:rPr>
              <w:t xml:space="preserve"> ........................................................................</w:t>
            </w:r>
          </w:p>
        </w:tc>
        <w:tc>
          <w:tcPr>
            <w:tcW w:w="1023" w:type="dxa"/>
          </w:tcPr>
          <w:p w:rsidR="00426A28" w:rsidRDefault="00426A28" w:rsidP="00387A07">
            <w:pPr>
              <w:tabs>
                <w:tab w:val="left" w:pos="990"/>
              </w:tabs>
              <w:spacing w:line="360" w:lineRule="auto"/>
              <w:jc w:val="center"/>
              <w:rPr>
                <w:rFonts w:ascii="Arial" w:hAnsi="Arial" w:cs="Arial"/>
                <w:sz w:val="24"/>
                <w:szCs w:val="24"/>
                <w:lang w:val="en-US"/>
              </w:rPr>
            </w:pPr>
          </w:p>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105</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bCs/>
                <w:sz w:val="24"/>
                <w:szCs w:val="24"/>
              </w:rPr>
              <w:t xml:space="preserve">        </w:t>
            </w:r>
            <w:r w:rsidRPr="00D14847">
              <w:rPr>
                <w:rFonts w:ascii="Arial" w:hAnsi="Arial" w:cs="Arial"/>
                <w:bCs/>
                <w:sz w:val="24"/>
                <w:szCs w:val="24"/>
              </w:rPr>
              <w:t xml:space="preserve">3.3.2.2 Preparation of </w:t>
            </w:r>
            <w:r>
              <w:rPr>
                <w:rFonts w:ascii="Arial" w:hAnsi="Arial" w:cs="Arial"/>
                <w:bCs/>
                <w:sz w:val="24"/>
                <w:szCs w:val="24"/>
              </w:rPr>
              <w:t>Paclitaxel-loaded Nanoparticles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107</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 xml:space="preserve">3.3.3 </w:t>
            </w:r>
            <w:r>
              <w:rPr>
                <w:rFonts w:ascii="Arial" w:hAnsi="Arial" w:cs="Arial"/>
                <w:sz w:val="24"/>
                <w:szCs w:val="24"/>
              </w:rPr>
              <w:t>Encapsulation efficiency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108</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 xml:space="preserve">3.3.4 </w:t>
            </w:r>
            <w:r>
              <w:rPr>
                <w:rFonts w:ascii="Arial" w:hAnsi="Arial" w:cs="Arial"/>
                <w:sz w:val="24"/>
                <w:szCs w:val="24"/>
              </w:rPr>
              <w:t>Particles morphology (SEM)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109</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3.3.5 Surface decoration</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110</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 xml:space="preserve">        </w:t>
            </w:r>
            <w:r w:rsidRPr="00D14847">
              <w:rPr>
                <w:rFonts w:ascii="Arial" w:hAnsi="Arial" w:cs="Arial"/>
                <w:sz w:val="24"/>
                <w:szCs w:val="24"/>
              </w:rPr>
              <w:t>3.3.5.1 Effect of the incubation time</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110</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lang w:val="en-US"/>
              </w:rPr>
              <w:t xml:space="preserve">        </w:t>
            </w:r>
            <w:r>
              <w:rPr>
                <w:rFonts w:ascii="Arial" w:hAnsi="Arial" w:cs="Arial"/>
                <w:sz w:val="24"/>
                <w:szCs w:val="24"/>
              </w:rPr>
              <w:t>3.3.5.2 Preparation of Herceptin-</w:t>
            </w:r>
            <w:r w:rsidRPr="00D14847">
              <w:rPr>
                <w:rFonts w:ascii="Arial" w:hAnsi="Arial" w:cs="Arial"/>
                <w:sz w:val="24"/>
                <w:szCs w:val="24"/>
              </w:rPr>
              <w:t>coated nanoparticles</w:t>
            </w:r>
            <w:r>
              <w:rPr>
                <w:rFonts w:ascii="Arial" w:hAnsi="Arial" w:cs="Arial"/>
                <w:sz w:val="24"/>
                <w:szCs w:val="24"/>
              </w:rPr>
              <w:t xml:space="preserve">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111</w:t>
            </w:r>
          </w:p>
        </w:tc>
      </w:tr>
      <w:tr w:rsidR="00387A07" w:rsidTr="00387A07">
        <w:tc>
          <w:tcPr>
            <w:tcW w:w="8755" w:type="dxa"/>
          </w:tcPr>
          <w:p w:rsidR="00387A07" w:rsidRPr="00D1484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lang w:val="en-US"/>
              </w:rPr>
              <w:t xml:space="preserve">    </w:t>
            </w:r>
            <w:r>
              <w:rPr>
                <w:rFonts w:ascii="Arial" w:hAnsi="Arial" w:cs="Arial"/>
                <w:sz w:val="24"/>
                <w:szCs w:val="24"/>
              </w:rPr>
              <w:t>3.3.6 Drug release profiles ................................................................................</w:t>
            </w:r>
          </w:p>
        </w:tc>
        <w:tc>
          <w:tcPr>
            <w:tcW w:w="1023" w:type="dxa"/>
          </w:tcPr>
          <w:p w:rsidR="00387A0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112</w:t>
            </w:r>
          </w:p>
        </w:tc>
      </w:tr>
      <w:tr w:rsidR="00387A07" w:rsidRPr="009925A1" w:rsidTr="00387A07">
        <w:tc>
          <w:tcPr>
            <w:tcW w:w="8755" w:type="dxa"/>
          </w:tcPr>
          <w:p w:rsidR="00387A07" w:rsidRPr="00402E17" w:rsidRDefault="00387A07" w:rsidP="00387A07">
            <w:pPr>
              <w:tabs>
                <w:tab w:val="left" w:pos="990"/>
              </w:tabs>
              <w:spacing w:line="360" w:lineRule="auto"/>
              <w:rPr>
                <w:rFonts w:ascii="Arial" w:hAnsi="Arial" w:cs="Arial"/>
                <w:sz w:val="24"/>
                <w:szCs w:val="24"/>
                <w:lang w:val="it-IT"/>
              </w:rPr>
            </w:pPr>
            <w:r>
              <w:rPr>
                <w:rFonts w:ascii="Arial" w:hAnsi="Arial" w:cs="Arial"/>
                <w:sz w:val="24"/>
                <w:szCs w:val="24"/>
                <w:lang w:val="it-IT"/>
              </w:rPr>
              <w:t xml:space="preserve">    </w:t>
            </w:r>
            <w:r w:rsidRPr="00402E17">
              <w:rPr>
                <w:rFonts w:ascii="Arial" w:hAnsi="Arial" w:cs="Arial"/>
                <w:sz w:val="24"/>
                <w:szCs w:val="24"/>
                <w:lang w:val="it-IT"/>
              </w:rPr>
              <w:t>3.3.7 Quantitative in vitro cellular uptake</w:t>
            </w:r>
            <w:r>
              <w:rPr>
                <w:rFonts w:ascii="Arial" w:hAnsi="Arial" w:cs="Arial"/>
                <w:sz w:val="24"/>
                <w:szCs w:val="24"/>
                <w:lang w:val="it-IT"/>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it-IT"/>
              </w:rPr>
            </w:pPr>
            <w:r>
              <w:rPr>
                <w:rFonts w:ascii="Arial" w:hAnsi="Arial" w:cs="Arial"/>
                <w:sz w:val="24"/>
                <w:szCs w:val="24"/>
                <w:lang w:val="it-IT"/>
              </w:rPr>
              <w:t>114</w:t>
            </w:r>
          </w:p>
        </w:tc>
      </w:tr>
      <w:tr w:rsidR="00387A07" w:rsidRPr="009925A1" w:rsidTr="00387A07">
        <w:tc>
          <w:tcPr>
            <w:tcW w:w="8755" w:type="dxa"/>
          </w:tcPr>
          <w:p w:rsidR="00387A07" w:rsidRPr="00402E17" w:rsidRDefault="00387A07" w:rsidP="00387A07">
            <w:pPr>
              <w:tabs>
                <w:tab w:val="left" w:pos="990"/>
              </w:tabs>
              <w:spacing w:line="360" w:lineRule="auto"/>
              <w:rPr>
                <w:rFonts w:ascii="Arial" w:hAnsi="Arial" w:cs="Arial"/>
                <w:sz w:val="24"/>
                <w:szCs w:val="24"/>
                <w:lang w:val="it-IT"/>
              </w:rPr>
            </w:pPr>
            <w:r>
              <w:rPr>
                <w:rFonts w:ascii="Arial" w:hAnsi="Arial" w:cs="Arial"/>
                <w:sz w:val="24"/>
                <w:szCs w:val="24"/>
                <w:lang w:val="it-IT"/>
              </w:rPr>
              <w:t xml:space="preserve">    </w:t>
            </w:r>
            <w:r w:rsidRPr="00402E17">
              <w:rPr>
                <w:rFonts w:ascii="Arial" w:hAnsi="Arial" w:cs="Arial"/>
                <w:sz w:val="24"/>
                <w:szCs w:val="24"/>
                <w:lang w:val="it-IT"/>
              </w:rPr>
              <w:t>3.3.8 In vitro cellular uptake: confocal microscopi study</w:t>
            </w:r>
            <w:r>
              <w:rPr>
                <w:rFonts w:ascii="Arial" w:hAnsi="Arial" w:cs="Arial"/>
                <w:sz w:val="24"/>
                <w:szCs w:val="24"/>
                <w:lang w:val="it-IT"/>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it-IT"/>
              </w:rPr>
            </w:pPr>
            <w:r>
              <w:rPr>
                <w:rFonts w:ascii="Arial" w:hAnsi="Arial" w:cs="Arial"/>
                <w:sz w:val="24"/>
                <w:szCs w:val="24"/>
                <w:lang w:val="it-IT"/>
              </w:rPr>
              <w:t>115</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it-IT"/>
              </w:rPr>
            </w:pPr>
            <w:r w:rsidRPr="007603E9">
              <w:rPr>
                <w:rFonts w:ascii="Arial" w:hAnsi="Arial" w:cs="Arial"/>
                <w:sz w:val="24"/>
                <w:szCs w:val="24"/>
                <w:lang w:val="it-IT"/>
              </w:rPr>
              <w:t xml:space="preserve">    </w:t>
            </w:r>
            <w:r>
              <w:rPr>
                <w:rFonts w:ascii="Arial" w:hAnsi="Arial" w:cs="Arial"/>
                <w:sz w:val="24"/>
                <w:szCs w:val="24"/>
                <w:lang w:val="en-US"/>
              </w:rPr>
              <w:t>3.3.9</w:t>
            </w:r>
            <w:r w:rsidRPr="00D14847">
              <w:rPr>
                <w:rFonts w:ascii="Arial" w:hAnsi="Arial" w:cs="Arial"/>
                <w:sz w:val="24"/>
                <w:szCs w:val="24"/>
                <w:lang w:val="en-US"/>
              </w:rPr>
              <w:t xml:space="preserve"> In vitro cytotoxicity</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it-IT"/>
              </w:rPr>
            </w:pPr>
            <w:r>
              <w:rPr>
                <w:rFonts w:ascii="Arial" w:hAnsi="Arial" w:cs="Arial"/>
                <w:sz w:val="24"/>
                <w:szCs w:val="24"/>
                <w:lang w:val="it-IT"/>
              </w:rPr>
              <w:t>116</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it-IT"/>
              </w:rPr>
            </w:pPr>
            <w:r>
              <w:rPr>
                <w:rFonts w:ascii="Arial" w:hAnsi="Arial" w:cs="Arial"/>
                <w:sz w:val="24"/>
                <w:szCs w:val="24"/>
                <w:lang w:val="en-US"/>
              </w:rPr>
              <w:t>3.4 Conclusions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it-IT"/>
              </w:rPr>
            </w:pPr>
            <w:r>
              <w:rPr>
                <w:rFonts w:ascii="Arial" w:hAnsi="Arial" w:cs="Arial"/>
                <w:sz w:val="24"/>
                <w:szCs w:val="24"/>
                <w:lang w:val="it-IT"/>
              </w:rPr>
              <w:t>118</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it-IT"/>
              </w:rPr>
            </w:pPr>
            <w:r>
              <w:rPr>
                <w:rFonts w:ascii="Arial" w:hAnsi="Arial" w:cs="Arial"/>
                <w:sz w:val="24"/>
                <w:szCs w:val="24"/>
                <w:lang w:val="en-US"/>
              </w:rPr>
              <w:t>References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it-IT"/>
              </w:rPr>
            </w:pPr>
            <w:r>
              <w:rPr>
                <w:rFonts w:ascii="Arial" w:hAnsi="Arial" w:cs="Arial"/>
                <w:sz w:val="24"/>
                <w:szCs w:val="24"/>
                <w:lang w:val="it-IT"/>
              </w:rPr>
              <w:t>119</w:t>
            </w:r>
          </w:p>
        </w:tc>
      </w:tr>
      <w:tr w:rsidR="00387A07" w:rsidRPr="00402E17" w:rsidTr="00387A07">
        <w:tc>
          <w:tcPr>
            <w:tcW w:w="8755" w:type="dxa"/>
          </w:tcPr>
          <w:p w:rsidR="00387A07" w:rsidRDefault="00387A07" w:rsidP="00387A07">
            <w:pPr>
              <w:tabs>
                <w:tab w:val="left" w:pos="990"/>
              </w:tabs>
              <w:spacing w:line="360" w:lineRule="auto"/>
              <w:rPr>
                <w:rFonts w:ascii="Arial" w:hAnsi="Arial" w:cs="Arial"/>
                <w:sz w:val="24"/>
                <w:szCs w:val="24"/>
                <w:lang w:val="en-US"/>
              </w:rPr>
            </w:pPr>
          </w:p>
        </w:tc>
        <w:tc>
          <w:tcPr>
            <w:tcW w:w="1023" w:type="dxa"/>
          </w:tcPr>
          <w:p w:rsidR="00387A07" w:rsidRPr="00402E17" w:rsidRDefault="00387A07" w:rsidP="00387A07">
            <w:pPr>
              <w:tabs>
                <w:tab w:val="left" w:pos="990"/>
              </w:tabs>
              <w:spacing w:line="360" w:lineRule="auto"/>
              <w:jc w:val="center"/>
              <w:rPr>
                <w:rFonts w:ascii="Arial" w:hAnsi="Arial" w:cs="Arial"/>
                <w:sz w:val="24"/>
                <w:szCs w:val="24"/>
                <w:lang w:val="it-IT"/>
              </w:rPr>
            </w:pPr>
          </w:p>
        </w:tc>
      </w:tr>
      <w:tr w:rsidR="00387A07" w:rsidRPr="00402E17" w:rsidTr="00387A07">
        <w:tc>
          <w:tcPr>
            <w:tcW w:w="8755" w:type="dxa"/>
          </w:tcPr>
          <w:p w:rsidR="00387A07" w:rsidRDefault="00387A07" w:rsidP="00387A07">
            <w:pPr>
              <w:tabs>
                <w:tab w:val="left" w:pos="990"/>
              </w:tabs>
              <w:spacing w:line="360" w:lineRule="auto"/>
              <w:rPr>
                <w:rFonts w:ascii="Arial" w:hAnsi="Arial" w:cs="Arial"/>
                <w:sz w:val="24"/>
                <w:szCs w:val="24"/>
                <w:lang w:val="en-US"/>
              </w:rPr>
            </w:pPr>
          </w:p>
        </w:tc>
        <w:tc>
          <w:tcPr>
            <w:tcW w:w="1023" w:type="dxa"/>
          </w:tcPr>
          <w:p w:rsidR="00387A07" w:rsidRPr="00402E17" w:rsidRDefault="00387A07" w:rsidP="00387A07">
            <w:pPr>
              <w:tabs>
                <w:tab w:val="left" w:pos="990"/>
              </w:tabs>
              <w:spacing w:line="360" w:lineRule="auto"/>
              <w:jc w:val="center"/>
              <w:rPr>
                <w:rFonts w:ascii="Arial" w:hAnsi="Arial" w:cs="Arial"/>
                <w:sz w:val="24"/>
                <w:szCs w:val="24"/>
                <w:lang w:val="it-IT"/>
              </w:rPr>
            </w:pPr>
          </w:p>
        </w:tc>
      </w:tr>
      <w:tr w:rsidR="00387A07" w:rsidRPr="00402E17" w:rsidTr="00387A07">
        <w:tc>
          <w:tcPr>
            <w:tcW w:w="9778" w:type="dxa"/>
            <w:gridSpan w:val="2"/>
          </w:tcPr>
          <w:p w:rsidR="00387A07" w:rsidRPr="00402E17" w:rsidRDefault="00387A07" w:rsidP="00387A07">
            <w:pPr>
              <w:tabs>
                <w:tab w:val="left" w:pos="990"/>
              </w:tabs>
              <w:spacing w:before="120" w:after="120" w:line="360" w:lineRule="auto"/>
              <w:jc w:val="center"/>
              <w:rPr>
                <w:rFonts w:ascii="Arial" w:hAnsi="Arial" w:cs="Arial"/>
                <w:sz w:val="24"/>
                <w:szCs w:val="24"/>
                <w:lang w:val="it-IT"/>
              </w:rPr>
            </w:pPr>
            <w:r w:rsidRPr="00D57D88">
              <w:rPr>
                <w:rFonts w:ascii="Arial" w:hAnsi="Arial" w:cs="Arial"/>
                <w:b/>
                <w:sz w:val="36"/>
                <w:szCs w:val="36"/>
                <w:lang w:val="en-US"/>
              </w:rPr>
              <w:t>Section I</w:t>
            </w:r>
            <w:r>
              <w:rPr>
                <w:rFonts w:ascii="Arial" w:hAnsi="Arial" w:cs="Arial"/>
                <w:b/>
                <w:sz w:val="36"/>
                <w:szCs w:val="36"/>
                <w:lang w:val="en-US"/>
              </w:rPr>
              <w:t>II</w:t>
            </w:r>
          </w:p>
        </w:tc>
      </w:tr>
      <w:tr w:rsidR="00387A07" w:rsidRPr="00402E17" w:rsidTr="00387A07">
        <w:tc>
          <w:tcPr>
            <w:tcW w:w="9778" w:type="dxa"/>
            <w:gridSpan w:val="2"/>
          </w:tcPr>
          <w:p w:rsidR="00387A07" w:rsidRPr="00402E17" w:rsidRDefault="00387A07" w:rsidP="00387A07">
            <w:pPr>
              <w:tabs>
                <w:tab w:val="left" w:pos="990"/>
              </w:tabs>
              <w:spacing w:before="120" w:after="120" w:line="360" w:lineRule="auto"/>
              <w:jc w:val="center"/>
              <w:rPr>
                <w:rFonts w:ascii="Arial" w:hAnsi="Arial" w:cs="Arial"/>
                <w:sz w:val="24"/>
                <w:szCs w:val="24"/>
                <w:lang w:val="it-IT"/>
              </w:rPr>
            </w:pPr>
            <w:r>
              <w:rPr>
                <w:rFonts w:ascii="Arial" w:hAnsi="Arial" w:cs="Arial"/>
                <w:b/>
                <w:sz w:val="28"/>
                <w:szCs w:val="28"/>
                <w:lang w:val="en-US"/>
              </w:rPr>
              <w:t>Chapter 4</w:t>
            </w:r>
          </w:p>
        </w:tc>
      </w:tr>
      <w:tr w:rsidR="00387A07" w:rsidRPr="00402E17" w:rsidTr="00387A07">
        <w:tc>
          <w:tcPr>
            <w:tcW w:w="9778" w:type="dxa"/>
            <w:gridSpan w:val="2"/>
          </w:tcPr>
          <w:p w:rsidR="00387A07" w:rsidRPr="00402E17" w:rsidRDefault="00387A07" w:rsidP="00387A07">
            <w:pPr>
              <w:tabs>
                <w:tab w:val="left" w:pos="990"/>
              </w:tabs>
              <w:spacing w:before="120" w:after="120" w:line="360" w:lineRule="auto"/>
              <w:jc w:val="center"/>
              <w:rPr>
                <w:rFonts w:ascii="Arial" w:hAnsi="Arial" w:cs="Arial"/>
                <w:sz w:val="24"/>
                <w:szCs w:val="24"/>
                <w:lang w:val="en-US"/>
              </w:rPr>
            </w:pPr>
            <w:r w:rsidRPr="00474B9A">
              <w:rPr>
                <w:rFonts w:ascii="Arial" w:hAnsi="Arial" w:cs="Arial"/>
                <w:b/>
                <w:sz w:val="28"/>
                <w:szCs w:val="28"/>
                <w:lang w:val="en-US"/>
              </w:rPr>
              <w:t xml:space="preserve">Innovative bioactive and biodegradable polymeric bone cements for the repair of </w:t>
            </w:r>
            <w:r>
              <w:rPr>
                <w:rFonts w:ascii="Arial" w:hAnsi="Arial" w:cs="Arial"/>
                <w:b/>
                <w:sz w:val="28"/>
                <w:szCs w:val="28"/>
                <w:lang w:val="en-US"/>
              </w:rPr>
              <w:t>vertebral injuries</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sidRPr="000069D9">
              <w:rPr>
                <w:rFonts w:ascii="Arial" w:hAnsi="Arial" w:cs="Arial"/>
                <w:sz w:val="24"/>
                <w:szCs w:val="24"/>
                <w:lang w:val="en-US"/>
              </w:rPr>
              <w:t>Abstract</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124</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4</w:t>
            </w:r>
            <w:r w:rsidRPr="000069D9">
              <w:rPr>
                <w:rFonts w:ascii="Arial" w:hAnsi="Arial" w:cs="Arial"/>
                <w:sz w:val="24"/>
                <w:szCs w:val="24"/>
                <w:lang w:val="en-US"/>
              </w:rPr>
              <w:t xml:space="preserve">.1 </w:t>
            </w:r>
            <w:r w:rsidRPr="000069D9">
              <w:rPr>
                <w:rFonts w:ascii="Arial" w:hAnsi="Arial" w:cs="Arial"/>
                <w:sz w:val="24"/>
                <w:szCs w:val="24"/>
              </w:rPr>
              <w:t>Introduction</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125</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4</w:t>
            </w:r>
            <w:r w:rsidRPr="000069D9">
              <w:rPr>
                <w:rFonts w:ascii="Arial" w:hAnsi="Arial" w:cs="Arial"/>
                <w:sz w:val="24"/>
                <w:szCs w:val="24"/>
              </w:rPr>
              <w:t>.2 Materials &amp; methods</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127</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4</w:t>
            </w:r>
            <w:r w:rsidRPr="000069D9">
              <w:rPr>
                <w:rFonts w:ascii="Arial" w:hAnsi="Arial" w:cs="Arial"/>
                <w:sz w:val="24"/>
                <w:szCs w:val="24"/>
              </w:rPr>
              <w:t>.2.1 Materials</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127</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eastAsia="it-IT"/>
              </w:rPr>
            </w:pPr>
            <w:r>
              <w:rPr>
                <w:rFonts w:ascii="Arial" w:hAnsi="Arial" w:cs="Arial"/>
                <w:color w:val="000000"/>
                <w:sz w:val="24"/>
                <w:szCs w:val="24"/>
                <w:lang w:eastAsia="it-IT"/>
              </w:rPr>
              <w:t xml:space="preserve">    </w:t>
            </w:r>
            <w:r w:rsidRPr="00474B9A">
              <w:rPr>
                <w:rFonts w:ascii="Arial" w:hAnsi="Arial" w:cs="Arial"/>
                <w:color w:val="000000"/>
                <w:sz w:val="24"/>
                <w:szCs w:val="24"/>
                <w:lang w:eastAsia="it-IT"/>
              </w:rPr>
              <w:t xml:space="preserve">4.2.2 </w:t>
            </w:r>
            <w:r w:rsidRPr="002113FC">
              <w:rPr>
                <w:rFonts w:ascii="Arial" w:hAnsi="Arial" w:cs="Arial"/>
                <w:color w:val="000000"/>
                <w:sz w:val="24"/>
                <w:szCs w:val="24"/>
                <w:lang w:eastAsia="it-IT"/>
              </w:rPr>
              <w:t>Preparation of Chitosan/βTCP bone cement: optimi</w:t>
            </w:r>
            <w:r>
              <w:rPr>
                <w:rFonts w:ascii="Arial" w:hAnsi="Arial" w:cs="Arial"/>
                <w:color w:val="000000"/>
                <w:sz w:val="24"/>
                <w:szCs w:val="24"/>
                <w:lang w:eastAsia="it-IT"/>
              </w:rPr>
              <w:t xml:space="preserve">zation of processing </w:t>
            </w:r>
          </w:p>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eastAsia="it-IT"/>
              </w:rPr>
              <w:t xml:space="preserve">    Parameters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127</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Pr>
                <w:rFonts w:ascii="Arial" w:hAnsi="Arial" w:cs="Arial"/>
                <w:sz w:val="24"/>
                <w:szCs w:val="24"/>
              </w:rPr>
              <w:t>4</w:t>
            </w:r>
            <w:r w:rsidRPr="000069D9">
              <w:rPr>
                <w:rFonts w:ascii="Arial" w:hAnsi="Arial" w:cs="Arial"/>
                <w:sz w:val="24"/>
                <w:szCs w:val="24"/>
              </w:rPr>
              <w:t xml:space="preserve">.2.3 </w:t>
            </w:r>
            <w:r w:rsidRPr="00264430">
              <w:rPr>
                <w:rFonts w:ascii="Arial" w:hAnsi="Arial" w:cs="Arial"/>
                <w:sz w:val="24"/>
                <w:szCs w:val="24"/>
              </w:rPr>
              <w:t>Dissolution tests</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128</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264430">
              <w:rPr>
                <w:rFonts w:ascii="Arial" w:hAnsi="Arial" w:cs="Arial"/>
                <w:sz w:val="24"/>
                <w:szCs w:val="24"/>
                <w:lang w:val="en-US"/>
              </w:rPr>
              <w:t>4.2.4 Bioactivity assessment</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128</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264430">
              <w:rPr>
                <w:rFonts w:ascii="Arial" w:hAnsi="Arial" w:cs="Arial"/>
                <w:sz w:val="24"/>
                <w:szCs w:val="24"/>
              </w:rPr>
              <w:t xml:space="preserve">4.2.5 </w:t>
            </w:r>
            <w:r w:rsidRPr="00264430">
              <w:rPr>
                <w:rFonts w:ascii="Arial" w:hAnsi="Arial" w:cs="Arial"/>
                <w:sz w:val="24"/>
                <w:szCs w:val="24"/>
                <w:lang w:val="en-US"/>
              </w:rPr>
              <w:t>Compressive strength</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129</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sz w:val="24"/>
                <w:szCs w:val="24"/>
              </w:rPr>
              <w:t xml:space="preserve">    </w:t>
            </w:r>
            <w:r w:rsidRPr="00264430">
              <w:rPr>
                <w:rFonts w:ascii="Arial" w:hAnsi="Arial" w:cs="Arial"/>
                <w:sz w:val="24"/>
                <w:szCs w:val="24"/>
              </w:rPr>
              <w:t>4.2.6 Preparation of Indometacin-loaded PCL nanoparticles</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129</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264430">
              <w:rPr>
                <w:rFonts w:ascii="Arial" w:hAnsi="Arial" w:cs="Arial"/>
                <w:color w:val="000000"/>
                <w:sz w:val="24"/>
                <w:szCs w:val="24"/>
                <w:lang w:val="en-US"/>
              </w:rPr>
              <w:t>4.2.7 Characterization of nanoparticles</w:t>
            </w:r>
            <w:r>
              <w:rPr>
                <w:rFonts w:ascii="Arial" w:hAnsi="Arial" w:cs="Arial"/>
                <w:color w:val="000000"/>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130</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hAnsi="Arial" w:cs="Arial"/>
                <w:color w:val="000000"/>
                <w:sz w:val="24"/>
                <w:szCs w:val="24"/>
                <w:lang w:val="en-US"/>
              </w:rPr>
              <w:t xml:space="preserve">        </w:t>
            </w:r>
            <w:r w:rsidRPr="00264430">
              <w:rPr>
                <w:rFonts w:ascii="Arial" w:hAnsi="Arial" w:cs="Arial"/>
                <w:color w:val="000000"/>
                <w:sz w:val="24"/>
                <w:szCs w:val="24"/>
                <w:lang w:val="en-US"/>
              </w:rPr>
              <w:t>4.2.7.1 Process Yield</w:t>
            </w:r>
            <w:r>
              <w:rPr>
                <w:rFonts w:ascii="Arial" w:hAnsi="Arial" w:cs="Arial"/>
                <w:color w:val="000000"/>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130</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rPr>
              <w:t xml:space="preserve">        </w:t>
            </w:r>
            <w:r w:rsidRPr="00264430">
              <w:rPr>
                <w:rFonts w:ascii="Arial" w:eastAsia="AdvTimes" w:hAnsi="Arial" w:cs="Arial"/>
                <w:color w:val="000000"/>
                <w:sz w:val="24"/>
                <w:szCs w:val="24"/>
              </w:rPr>
              <w:t>4.2.7.2 Particle</w:t>
            </w:r>
            <w:r>
              <w:rPr>
                <w:rFonts w:ascii="Arial" w:eastAsia="AdvTimes" w:hAnsi="Arial" w:cs="Arial"/>
                <w:color w:val="000000"/>
                <w:sz w:val="24"/>
                <w:szCs w:val="24"/>
              </w:rPr>
              <w:t>s</w:t>
            </w:r>
            <w:r w:rsidRPr="00264430">
              <w:rPr>
                <w:rFonts w:ascii="Arial" w:eastAsia="AdvTimes" w:hAnsi="Arial" w:cs="Arial"/>
                <w:color w:val="000000"/>
                <w:sz w:val="24"/>
                <w:szCs w:val="24"/>
              </w:rPr>
              <w:t xml:space="preserve"> morphology</w:t>
            </w:r>
            <w:r>
              <w:rPr>
                <w:rFonts w:ascii="Arial" w:eastAsia="AdvTimes" w:hAnsi="Arial" w:cs="Arial"/>
                <w:color w:val="000000"/>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130</w:t>
            </w:r>
          </w:p>
        </w:tc>
      </w:tr>
      <w:tr w:rsidR="00387A07" w:rsidRPr="00402E17" w:rsidTr="00387A07">
        <w:tc>
          <w:tcPr>
            <w:tcW w:w="8755" w:type="dxa"/>
          </w:tcPr>
          <w:p w:rsidR="00387A07" w:rsidRPr="00402E1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rPr>
              <w:t xml:space="preserve">        </w:t>
            </w:r>
            <w:r w:rsidRPr="00264430">
              <w:rPr>
                <w:rFonts w:ascii="Arial" w:eastAsia="AdvTimes" w:hAnsi="Arial" w:cs="Arial"/>
                <w:color w:val="000000"/>
                <w:sz w:val="24"/>
                <w:szCs w:val="24"/>
              </w:rPr>
              <w:t xml:space="preserve">4.2.7.3 </w:t>
            </w:r>
            <w:r w:rsidRPr="00264430">
              <w:rPr>
                <w:rFonts w:ascii="Arial" w:hAnsi="Arial" w:cs="Arial"/>
                <w:color w:val="000000"/>
                <w:sz w:val="24"/>
                <w:szCs w:val="24"/>
                <w:lang w:val="en-US"/>
              </w:rPr>
              <w:t xml:space="preserve">Determination of </w:t>
            </w:r>
            <w:r w:rsidRPr="00264430">
              <w:rPr>
                <w:rFonts w:ascii="Arial" w:hAnsi="Arial" w:cs="Arial"/>
                <w:color w:val="000000"/>
                <w:sz w:val="24"/>
                <w:szCs w:val="24"/>
              </w:rPr>
              <w:t>Indometacin loading and release profiles</w:t>
            </w:r>
            <w:r>
              <w:rPr>
                <w:rFonts w:ascii="Arial" w:hAnsi="Arial" w:cs="Arial"/>
                <w:color w:val="000000"/>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130</w:t>
            </w:r>
          </w:p>
        </w:tc>
      </w:tr>
      <w:tr w:rsidR="00387A07" w:rsidRPr="00402E17" w:rsidTr="00387A07">
        <w:tc>
          <w:tcPr>
            <w:tcW w:w="8755" w:type="dxa"/>
          </w:tcPr>
          <w:p w:rsidR="00387A07" w:rsidRPr="00264430" w:rsidRDefault="00387A07" w:rsidP="00387A07">
            <w:pPr>
              <w:tabs>
                <w:tab w:val="left" w:pos="990"/>
              </w:tabs>
              <w:spacing w:line="360" w:lineRule="auto"/>
              <w:rPr>
                <w:rFonts w:ascii="Arial" w:eastAsia="AdvTimes" w:hAnsi="Arial" w:cs="Arial"/>
                <w:color w:val="000000"/>
                <w:sz w:val="24"/>
                <w:szCs w:val="24"/>
              </w:rPr>
            </w:pPr>
            <w:r>
              <w:rPr>
                <w:rFonts w:ascii="Arial" w:hAnsi="Arial" w:cs="Arial"/>
                <w:color w:val="000000"/>
                <w:sz w:val="24"/>
                <w:szCs w:val="24"/>
                <w:lang w:val="en-US"/>
              </w:rPr>
              <w:t xml:space="preserve">        </w:t>
            </w:r>
            <w:r w:rsidRPr="00264430">
              <w:rPr>
                <w:rFonts w:ascii="Arial" w:hAnsi="Arial" w:cs="Arial"/>
                <w:color w:val="000000"/>
                <w:sz w:val="24"/>
                <w:szCs w:val="24"/>
                <w:lang w:val="en-US"/>
              </w:rPr>
              <w:t xml:space="preserve">4.2.7.4 </w:t>
            </w:r>
            <w:r w:rsidRPr="00264430">
              <w:rPr>
                <w:rFonts w:ascii="Arial" w:hAnsi="Arial" w:cs="Arial"/>
                <w:sz w:val="24"/>
                <w:szCs w:val="24"/>
                <w:lang w:val="en-US"/>
              </w:rPr>
              <w:t>DSC analysis</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eastAsia="AdvTimes" w:hAnsi="Arial" w:cs="Arial"/>
                <w:color w:val="000000"/>
                <w:sz w:val="24"/>
                <w:szCs w:val="24"/>
              </w:rPr>
              <w:t xml:space="preserve">    4.2.8</w:t>
            </w:r>
            <w:r w:rsidRPr="000069D9">
              <w:rPr>
                <w:rFonts w:ascii="Arial" w:eastAsia="AdvTimes" w:hAnsi="Arial" w:cs="Arial"/>
                <w:color w:val="000000"/>
                <w:sz w:val="24"/>
                <w:szCs w:val="24"/>
              </w:rPr>
              <w:t xml:space="preserve"> </w:t>
            </w:r>
            <w:r w:rsidRPr="00264430">
              <w:rPr>
                <w:rFonts w:ascii="Arial" w:hAnsi="Arial" w:cs="Arial"/>
                <w:sz w:val="24"/>
                <w:szCs w:val="24"/>
                <w:lang w:val="en-US"/>
              </w:rPr>
              <w:t>Characterization of collagen and nanop</w:t>
            </w:r>
            <w:r>
              <w:rPr>
                <w:rFonts w:ascii="Arial" w:hAnsi="Arial" w:cs="Arial"/>
                <w:sz w:val="24"/>
                <w:szCs w:val="24"/>
                <w:lang w:val="en-US"/>
              </w:rPr>
              <w:t xml:space="preserve">articles-containing </w:t>
            </w:r>
          </w:p>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lang w:val="en-US"/>
              </w:rPr>
              <w:t xml:space="preserve">    bone cement ………………………………………………………………………….</w:t>
            </w:r>
          </w:p>
        </w:tc>
        <w:tc>
          <w:tcPr>
            <w:tcW w:w="1023" w:type="dxa"/>
          </w:tcPr>
          <w:p w:rsidR="00387A07" w:rsidRDefault="00387A07" w:rsidP="00387A07">
            <w:pPr>
              <w:tabs>
                <w:tab w:val="left" w:pos="990"/>
              </w:tabs>
              <w:spacing w:line="360" w:lineRule="auto"/>
              <w:jc w:val="center"/>
              <w:rPr>
                <w:rFonts w:ascii="Arial" w:hAnsi="Arial" w:cs="Arial"/>
                <w:sz w:val="24"/>
                <w:szCs w:val="24"/>
                <w:lang w:val="en-US"/>
              </w:rPr>
            </w:pPr>
          </w:p>
          <w:p w:rsidR="00426A28"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rPr>
              <w:t>4</w:t>
            </w:r>
            <w:r w:rsidRPr="000069D9">
              <w:rPr>
                <w:rFonts w:ascii="Arial" w:hAnsi="Arial" w:cs="Arial"/>
                <w:sz w:val="24"/>
                <w:szCs w:val="24"/>
              </w:rPr>
              <w:t>.3 Results &amp; Discussion</w:t>
            </w:r>
            <w:r>
              <w:rPr>
                <w:rFonts w:ascii="Arial" w:hAnsi="Arial" w:cs="Arial"/>
                <w:sz w:val="24"/>
                <w:szCs w:val="24"/>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132</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color w:val="000000"/>
                <w:sz w:val="24"/>
                <w:szCs w:val="24"/>
                <w:lang w:eastAsia="it-IT"/>
              </w:rPr>
              <w:t xml:space="preserve">    </w:t>
            </w:r>
            <w:r w:rsidRPr="002113FC">
              <w:rPr>
                <w:rFonts w:ascii="Arial" w:hAnsi="Arial" w:cs="Arial"/>
                <w:color w:val="000000"/>
                <w:sz w:val="24"/>
                <w:szCs w:val="24"/>
                <w:lang w:eastAsia="it-IT"/>
              </w:rPr>
              <w:t>4.3.1 Optimization of the processing parameters</w:t>
            </w:r>
            <w:r>
              <w:rPr>
                <w:rFonts w:ascii="Arial" w:hAnsi="Arial" w:cs="Arial"/>
                <w:color w:val="000000"/>
                <w:sz w:val="24"/>
                <w:szCs w:val="24"/>
                <w:lang w:eastAsia="it-IT"/>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132</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color w:val="000000"/>
                <w:sz w:val="24"/>
                <w:szCs w:val="24"/>
                <w:lang w:eastAsia="it-IT"/>
              </w:rPr>
              <w:t xml:space="preserve">        </w:t>
            </w:r>
            <w:r w:rsidRPr="002113FC">
              <w:rPr>
                <w:rFonts w:ascii="Arial" w:hAnsi="Arial" w:cs="Arial"/>
                <w:color w:val="000000"/>
                <w:sz w:val="24"/>
                <w:szCs w:val="24"/>
                <w:lang w:eastAsia="it-IT"/>
              </w:rPr>
              <w:t>4.3.1.1 Determination of the setting time</w:t>
            </w:r>
            <w:r>
              <w:rPr>
                <w:rFonts w:ascii="Arial" w:hAnsi="Arial" w:cs="Arial"/>
                <w:color w:val="000000"/>
                <w:sz w:val="24"/>
                <w:szCs w:val="24"/>
                <w:lang w:eastAsia="it-IT"/>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132</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color w:val="000000"/>
                <w:sz w:val="24"/>
                <w:szCs w:val="24"/>
                <w:lang w:eastAsia="it-IT"/>
              </w:rPr>
              <w:t xml:space="preserve">        </w:t>
            </w:r>
            <w:r w:rsidRPr="002113FC">
              <w:rPr>
                <w:rFonts w:ascii="Arial" w:hAnsi="Arial" w:cs="Arial"/>
                <w:color w:val="000000"/>
                <w:sz w:val="24"/>
                <w:szCs w:val="24"/>
                <w:lang w:eastAsia="it-IT"/>
              </w:rPr>
              <w:t xml:space="preserve">4.3.1.2 </w:t>
            </w:r>
            <w:r w:rsidRPr="002113FC">
              <w:rPr>
                <w:rFonts w:ascii="Arial" w:hAnsi="Arial" w:cs="Arial"/>
                <w:bCs/>
                <w:iCs/>
                <w:sz w:val="24"/>
                <w:szCs w:val="24"/>
                <w:lang w:val="en-US"/>
              </w:rPr>
              <w:t>In vitro dissolution tests</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133</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4.3.1.3 Determination of the compressive strength</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136</w:t>
            </w:r>
          </w:p>
        </w:tc>
      </w:tr>
      <w:tr w:rsidR="00387A07" w:rsidRPr="00402E17" w:rsidTr="00387A07">
        <w:tc>
          <w:tcPr>
            <w:tcW w:w="8755" w:type="dxa"/>
          </w:tcPr>
          <w:p w:rsidR="00387A07" w:rsidRDefault="00387A07" w:rsidP="00387A07">
            <w:pPr>
              <w:tabs>
                <w:tab w:val="left" w:pos="990"/>
              </w:tabs>
              <w:spacing w:line="360" w:lineRule="auto"/>
              <w:rPr>
                <w:rFonts w:ascii="Arial" w:hAnsi="Arial" w:cs="Arial"/>
                <w:color w:val="000000"/>
                <w:sz w:val="24"/>
                <w:szCs w:val="24"/>
                <w:lang w:val="en-US"/>
              </w:rPr>
            </w:pPr>
            <w:r>
              <w:rPr>
                <w:rFonts w:ascii="Arial" w:hAnsi="Arial" w:cs="Arial"/>
                <w:sz w:val="24"/>
                <w:szCs w:val="24"/>
                <w:lang w:val="en-US"/>
              </w:rPr>
              <w:t xml:space="preserve">        </w:t>
            </w:r>
            <w:r w:rsidRPr="002113FC">
              <w:rPr>
                <w:rFonts w:ascii="Arial" w:hAnsi="Arial" w:cs="Arial"/>
                <w:sz w:val="24"/>
                <w:szCs w:val="24"/>
                <w:lang w:val="en-US"/>
              </w:rPr>
              <w:t>4.3.1.4 In Vitro bioactivity tests</w:t>
            </w:r>
            <w:r>
              <w:rPr>
                <w:rFonts w:ascii="Arial" w:hAnsi="Arial" w:cs="Arial"/>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137</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4.3.2 Preparation &amp; Characterization of nanoparticles</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145</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sidRPr="008B60D6">
              <w:rPr>
                <w:rFonts w:ascii="Arial" w:hAnsi="Arial" w:cs="Arial"/>
                <w:bCs/>
                <w:iCs/>
                <w:sz w:val="24"/>
                <w:szCs w:val="24"/>
                <w:lang w:val="en-US"/>
              </w:rPr>
              <w:lastRenderedPageBreak/>
              <w:t xml:space="preserve">        4.3.2.1 Morphology</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145</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4.3.2.2 DSC analysis</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146</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4.3.2.3 Process yield and encapsulation efficiency</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147</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4.3.2.4 Drug release profile</w:t>
            </w:r>
            <w:r>
              <w:rPr>
                <w:rFonts w:ascii="Arial" w:hAnsi="Arial" w:cs="Arial"/>
                <w:bCs/>
                <w:iCs/>
                <w:sz w:val="24"/>
                <w:szCs w:val="24"/>
                <w:lang w:val="en-US"/>
              </w:rPr>
              <w:t xml:space="preserve"> ………………………………………………………</w:t>
            </w:r>
          </w:p>
        </w:tc>
        <w:tc>
          <w:tcPr>
            <w:tcW w:w="1023" w:type="dxa"/>
          </w:tcPr>
          <w:p w:rsidR="00387A07" w:rsidRPr="00402E17"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148</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4.3.3 Analysis of the final cement composition</w:t>
            </w:r>
            <w:r>
              <w:rPr>
                <w:rFonts w:ascii="Arial" w:hAnsi="Arial" w:cs="Arial"/>
                <w:bCs/>
                <w:iCs/>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148</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color w:val="000000"/>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4.3.3.1 Hardening time and injectability of the final composition</w:t>
            </w:r>
            <w:r>
              <w:rPr>
                <w:rFonts w:ascii="Arial" w:hAnsi="Arial" w:cs="Arial"/>
                <w:bCs/>
                <w:iCs/>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149</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bCs/>
                <w:iCs/>
                <w:sz w:val="24"/>
                <w:szCs w:val="24"/>
                <w:lang w:val="en-US"/>
              </w:rPr>
            </w:pPr>
            <w:r>
              <w:rPr>
                <w:rFonts w:ascii="Arial" w:hAnsi="Arial" w:cs="Arial"/>
                <w:bCs/>
                <w:iCs/>
                <w:sz w:val="24"/>
                <w:szCs w:val="24"/>
                <w:lang w:val="en-US"/>
              </w:rPr>
              <w:t xml:space="preserve">        </w:t>
            </w:r>
            <w:r w:rsidRPr="008B60D6">
              <w:rPr>
                <w:rFonts w:ascii="Arial" w:hAnsi="Arial" w:cs="Arial"/>
                <w:bCs/>
                <w:iCs/>
                <w:sz w:val="24"/>
                <w:szCs w:val="24"/>
                <w:lang w:val="en-US"/>
              </w:rPr>
              <w:t>4.3.3.2 Morphology (SEM)</w:t>
            </w:r>
            <w:r>
              <w:rPr>
                <w:rFonts w:ascii="Arial" w:hAnsi="Arial" w:cs="Arial"/>
                <w:bCs/>
                <w:iCs/>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149</w:t>
            </w:r>
          </w:p>
        </w:tc>
      </w:tr>
      <w:tr w:rsidR="00387A07" w:rsidRPr="00402E17" w:rsidTr="00387A07">
        <w:tc>
          <w:tcPr>
            <w:tcW w:w="8755" w:type="dxa"/>
          </w:tcPr>
          <w:p w:rsidR="00387A07" w:rsidRDefault="00387A07" w:rsidP="00387A07">
            <w:pPr>
              <w:pStyle w:val="Default"/>
              <w:spacing w:line="360" w:lineRule="auto"/>
              <w:rPr>
                <w:rFonts w:ascii="Arial" w:hAnsi="Arial" w:cs="Arial"/>
                <w:bCs/>
                <w:iCs/>
                <w:lang w:val="en-US"/>
              </w:rPr>
            </w:pPr>
            <w:r>
              <w:rPr>
                <w:rFonts w:ascii="Arial" w:hAnsi="Arial" w:cs="Arial"/>
                <w:bCs/>
                <w:iCs/>
                <w:lang w:val="en-US"/>
              </w:rPr>
              <w:t xml:space="preserve">        </w:t>
            </w:r>
            <w:r w:rsidRPr="008B60D6">
              <w:rPr>
                <w:rFonts w:ascii="Arial" w:hAnsi="Arial" w:cs="Arial"/>
                <w:bCs/>
                <w:iCs/>
                <w:lang w:val="en-US"/>
              </w:rPr>
              <w:t xml:space="preserve">4.3.3.3 Determination of the compressive strength of the </w:t>
            </w:r>
          </w:p>
          <w:p w:rsidR="00387A07" w:rsidRPr="008B60D6" w:rsidRDefault="00387A07" w:rsidP="00387A07">
            <w:pPr>
              <w:pStyle w:val="Default"/>
              <w:spacing w:line="360" w:lineRule="auto"/>
              <w:rPr>
                <w:rFonts w:ascii="Arial" w:hAnsi="Arial" w:cs="Arial"/>
                <w:bCs/>
                <w:iCs/>
                <w:lang w:val="en-US"/>
              </w:rPr>
            </w:pPr>
            <w:r>
              <w:rPr>
                <w:rFonts w:ascii="Arial" w:hAnsi="Arial" w:cs="Arial"/>
                <w:bCs/>
                <w:iCs/>
                <w:lang w:val="en-US"/>
              </w:rPr>
              <w:t xml:space="preserve">        </w:t>
            </w:r>
            <w:r w:rsidRPr="008B60D6">
              <w:rPr>
                <w:rFonts w:ascii="Arial" w:hAnsi="Arial" w:cs="Arial"/>
                <w:bCs/>
                <w:iCs/>
                <w:lang w:val="en-US"/>
              </w:rPr>
              <w:t>final bone cement</w:t>
            </w:r>
            <w:r>
              <w:rPr>
                <w:rFonts w:ascii="Arial" w:hAnsi="Arial" w:cs="Arial"/>
                <w:bCs/>
                <w:iCs/>
                <w:lang w:val="en-US"/>
              </w:rPr>
              <w:t xml:space="preserve"> ………………………………………………………………… </w:t>
            </w:r>
          </w:p>
        </w:tc>
        <w:tc>
          <w:tcPr>
            <w:tcW w:w="1023" w:type="dxa"/>
          </w:tcPr>
          <w:p w:rsidR="00426A28" w:rsidRDefault="00426A28" w:rsidP="00387A07">
            <w:pPr>
              <w:tabs>
                <w:tab w:val="left" w:pos="990"/>
              </w:tabs>
              <w:spacing w:line="360" w:lineRule="auto"/>
              <w:jc w:val="center"/>
              <w:rPr>
                <w:rFonts w:ascii="Arial" w:hAnsi="Arial" w:cs="Arial"/>
                <w:sz w:val="24"/>
                <w:szCs w:val="24"/>
                <w:lang w:val="en-US"/>
              </w:rPr>
            </w:pPr>
          </w:p>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150</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bCs/>
                <w:iCs/>
                <w:sz w:val="24"/>
                <w:szCs w:val="24"/>
                <w:lang w:val="en-US"/>
              </w:rPr>
            </w:pPr>
            <w:r w:rsidRPr="008B60D6">
              <w:rPr>
                <w:rFonts w:ascii="Arial" w:hAnsi="Arial" w:cs="Arial"/>
                <w:sz w:val="24"/>
                <w:szCs w:val="24"/>
              </w:rPr>
              <w:t>4.4 Conclusions</w:t>
            </w:r>
            <w:r>
              <w:rPr>
                <w:rFonts w:ascii="Arial" w:hAnsi="Arial" w:cs="Arial"/>
                <w:sz w:val="24"/>
                <w:szCs w:val="24"/>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150</w:t>
            </w:r>
          </w:p>
        </w:tc>
      </w:tr>
      <w:tr w:rsidR="00387A07" w:rsidRPr="00402E17" w:rsidTr="00387A07">
        <w:tc>
          <w:tcPr>
            <w:tcW w:w="8755" w:type="dxa"/>
          </w:tcPr>
          <w:p w:rsidR="00387A07" w:rsidRPr="008B60D6" w:rsidRDefault="00387A07" w:rsidP="00387A07">
            <w:pPr>
              <w:tabs>
                <w:tab w:val="left" w:pos="990"/>
              </w:tabs>
              <w:spacing w:line="360" w:lineRule="auto"/>
              <w:rPr>
                <w:rFonts w:ascii="Arial" w:hAnsi="Arial" w:cs="Arial"/>
                <w:bCs/>
                <w:iCs/>
                <w:sz w:val="24"/>
                <w:szCs w:val="24"/>
                <w:lang w:val="en-US"/>
              </w:rPr>
            </w:pPr>
            <w:r w:rsidRPr="008B60D6">
              <w:rPr>
                <w:rFonts w:ascii="Arial" w:hAnsi="Arial" w:cs="Arial"/>
                <w:sz w:val="24"/>
                <w:szCs w:val="24"/>
              </w:rPr>
              <w:t>References</w:t>
            </w:r>
            <w:r>
              <w:rPr>
                <w:rFonts w:ascii="Arial" w:hAnsi="Arial" w:cs="Arial"/>
                <w:sz w:val="24"/>
                <w:szCs w:val="24"/>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151</w:t>
            </w:r>
          </w:p>
        </w:tc>
      </w:tr>
      <w:tr w:rsidR="00387A07" w:rsidRPr="00402E17" w:rsidTr="00387A07">
        <w:tc>
          <w:tcPr>
            <w:tcW w:w="9778" w:type="dxa"/>
            <w:gridSpan w:val="2"/>
          </w:tcPr>
          <w:p w:rsidR="00387A07" w:rsidRPr="00D57D88" w:rsidRDefault="00387A07" w:rsidP="00387A07">
            <w:pPr>
              <w:spacing w:before="120" w:after="120" w:line="360" w:lineRule="auto"/>
              <w:jc w:val="center"/>
              <w:rPr>
                <w:rFonts w:ascii="Arial" w:hAnsi="Arial" w:cs="Arial"/>
                <w:b/>
                <w:sz w:val="36"/>
                <w:szCs w:val="36"/>
                <w:lang w:val="en-US"/>
              </w:rPr>
            </w:pPr>
            <w:r>
              <w:rPr>
                <w:rFonts w:ascii="Arial" w:hAnsi="Arial" w:cs="Arial"/>
                <w:b/>
                <w:sz w:val="36"/>
                <w:szCs w:val="36"/>
                <w:lang w:val="en-US"/>
              </w:rPr>
              <w:t>Section IV</w:t>
            </w:r>
          </w:p>
          <w:p w:rsidR="00387A07" w:rsidRPr="008B60D6" w:rsidRDefault="00387A07" w:rsidP="00387A07">
            <w:pPr>
              <w:tabs>
                <w:tab w:val="left" w:pos="990"/>
              </w:tabs>
              <w:spacing w:before="120" w:after="120" w:line="360" w:lineRule="auto"/>
              <w:jc w:val="center"/>
              <w:rPr>
                <w:rFonts w:ascii="Arial" w:hAnsi="Arial" w:cs="Arial"/>
                <w:sz w:val="24"/>
                <w:szCs w:val="24"/>
                <w:lang w:val="en-US"/>
              </w:rPr>
            </w:pPr>
            <w:r>
              <w:rPr>
                <w:rFonts w:ascii="Arial" w:hAnsi="Arial" w:cs="Arial"/>
                <w:b/>
                <w:sz w:val="28"/>
                <w:szCs w:val="28"/>
                <w:lang w:val="en-US"/>
              </w:rPr>
              <w:t>Chapter 5</w:t>
            </w:r>
          </w:p>
        </w:tc>
      </w:tr>
      <w:tr w:rsidR="00387A07" w:rsidRPr="00402E17" w:rsidTr="00387A07">
        <w:tc>
          <w:tcPr>
            <w:tcW w:w="9778" w:type="dxa"/>
            <w:gridSpan w:val="2"/>
          </w:tcPr>
          <w:p w:rsidR="00387A07" w:rsidRPr="008B60D6" w:rsidRDefault="00387A07" w:rsidP="00387A07">
            <w:pPr>
              <w:tabs>
                <w:tab w:val="left" w:pos="990"/>
              </w:tabs>
              <w:spacing w:before="120" w:after="120" w:line="360" w:lineRule="auto"/>
              <w:jc w:val="center"/>
              <w:rPr>
                <w:rFonts w:ascii="Arial" w:hAnsi="Arial" w:cs="Arial"/>
                <w:sz w:val="24"/>
                <w:szCs w:val="24"/>
                <w:lang w:val="en-US"/>
              </w:rPr>
            </w:pPr>
            <w:r>
              <w:rPr>
                <w:rFonts w:ascii="Arial" w:hAnsi="Arial" w:cs="Arial"/>
                <w:b/>
                <w:sz w:val="28"/>
                <w:szCs w:val="28"/>
                <w:lang w:val="en-US"/>
              </w:rPr>
              <w:t>Final discussion and conclusions</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D14847">
              <w:rPr>
                <w:rFonts w:ascii="Arial" w:hAnsi="Arial" w:cs="Arial"/>
                <w:sz w:val="24"/>
                <w:szCs w:val="24"/>
                <w:lang w:val="en-US"/>
              </w:rPr>
              <w:t>5.1 General discussion</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158</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5641D3">
              <w:rPr>
                <w:rFonts w:ascii="Arial" w:hAnsi="Arial" w:cs="Arial"/>
                <w:sz w:val="24"/>
                <w:szCs w:val="24"/>
                <w:lang w:val="en-US"/>
              </w:rPr>
              <w:t xml:space="preserve">5.2 </w:t>
            </w:r>
            <w:r>
              <w:rPr>
                <w:rFonts w:ascii="Arial" w:hAnsi="Arial" w:cs="Arial"/>
                <w:sz w:val="24"/>
                <w:szCs w:val="24"/>
                <w:lang w:val="en-US"/>
              </w:rPr>
              <w:t>Conclusions &amp; f</w:t>
            </w:r>
            <w:r w:rsidRPr="005641D3">
              <w:rPr>
                <w:rFonts w:ascii="Arial" w:hAnsi="Arial" w:cs="Arial"/>
                <w:sz w:val="24"/>
                <w:szCs w:val="24"/>
                <w:lang w:val="en-US"/>
              </w:rPr>
              <w:t>uture development</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5641D3">
              <w:rPr>
                <w:rFonts w:ascii="Arial" w:hAnsi="Arial" w:cs="Arial"/>
                <w:sz w:val="24"/>
                <w:szCs w:val="24"/>
                <w:lang w:val="en-US"/>
              </w:rPr>
              <w:t>References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161</w:t>
            </w:r>
          </w:p>
        </w:tc>
      </w:tr>
      <w:tr w:rsidR="00387A07" w:rsidRPr="00402E17" w:rsidTr="00387A07">
        <w:tc>
          <w:tcPr>
            <w:tcW w:w="9778" w:type="dxa"/>
            <w:gridSpan w:val="2"/>
          </w:tcPr>
          <w:p w:rsidR="00387A07" w:rsidRPr="008B60D6" w:rsidRDefault="00387A07" w:rsidP="00387A07">
            <w:pPr>
              <w:tabs>
                <w:tab w:val="left" w:pos="990"/>
              </w:tabs>
              <w:spacing w:before="120" w:after="120" w:line="360" w:lineRule="auto"/>
              <w:jc w:val="center"/>
              <w:rPr>
                <w:rFonts w:ascii="Arial" w:hAnsi="Arial" w:cs="Arial"/>
                <w:sz w:val="24"/>
                <w:szCs w:val="24"/>
                <w:lang w:val="en-US"/>
              </w:rPr>
            </w:pPr>
            <w:r>
              <w:rPr>
                <w:rFonts w:ascii="Arial" w:hAnsi="Arial" w:cs="Arial"/>
                <w:b/>
                <w:sz w:val="36"/>
                <w:szCs w:val="36"/>
                <w:lang w:val="en-US"/>
              </w:rPr>
              <w:t>Appendix A</w:t>
            </w:r>
          </w:p>
        </w:tc>
      </w:tr>
      <w:tr w:rsidR="00387A07" w:rsidRPr="00402E17" w:rsidTr="00387A07">
        <w:tc>
          <w:tcPr>
            <w:tcW w:w="9778" w:type="dxa"/>
            <w:gridSpan w:val="2"/>
          </w:tcPr>
          <w:p w:rsidR="00387A07" w:rsidRPr="008B60D6" w:rsidRDefault="00387A07" w:rsidP="00387A07">
            <w:pPr>
              <w:tabs>
                <w:tab w:val="left" w:pos="990"/>
              </w:tabs>
              <w:spacing w:before="120" w:after="120" w:line="360" w:lineRule="auto"/>
              <w:jc w:val="center"/>
              <w:rPr>
                <w:rFonts w:ascii="Arial" w:hAnsi="Arial" w:cs="Arial"/>
                <w:sz w:val="24"/>
                <w:szCs w:val="24"/>
                <w:lang w:val="en-US"/>
              </w:rPr>
            </w:pPr>
            <w:r>
              <w:rPr>
                <w:rFonts w:ascii="Arial" w:hAnsi="Arial" w:cs="Arial"/>
                <w:b/>
                <w:sz w:val="28"/>
                <w:szCs w:val="28"/>
                <w:lang w:val="en-US"/>
              </w:rPr>
              <w:t>Polyurethanes</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A33A88">
              <w:rPr>
                <w:rFonts w:ascii="Arial" w:hAnsi="Arial" w:cs="Arial"/>
                <w:sz w:val="24"/>
                <w:szCs w:val="24"/>
                <w:lang w:val="en-US"/>
              </w:rPr>
              <w:t>A.1 Introduction</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165</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A33A88">
              <w:rPr>
                <w:rFonts w:ascii="Arial" w:hAnsi="Arial" w:cs="Arial"/>
                <w:sz w:val="24"/>
                <w:szCs w:val="24"/>
                <w:lang w:val="en-US"/>
              </w:rPr>
              <w:t>A.2 Chemistry of Polyurethanes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165</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A.2.1 Synthesis reaction</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165</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A33A88">
              <w:rPr>
                <w:rFonts w:ascii="Arial" w:hAnsi="Arial" w:cs="Arial"/>
                <w:sz w:val="24"/>
                <w:szCs w:val="24"/>
                <w:lang w:val="en-US"/>
              </w:rPr>
              <w:t>A.3 Raw materials in polyurethanes synthesis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167</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A.3.1 Isocyanate</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167</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A.3.2 Polyols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169</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A.3.3 Chain extenders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170</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sidRPr="00A33A88">
              <w:rPr>
                <w:rFonts w:ascii="Arial" w:hAnsi="Arial" w:cs="Arial"/>
                <w:sz w:val="24"/>
                <w:szCs w:val="24"/>
                <w:lang w:val="en-US"/>
              </w:rPr>
              <w:t>A.4 Tuning PU properties</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bCs/>
                <w:iCs/>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A.4.1 Bulk modification</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Pr>
                <w:rFonts w:ascii="Arial" w:hAnsi="Arial" w:cs="Arial"/>
                <w:sz w:val="24"/>
                <w:szCs w:val="24"/>
                <w:lang w:val="en-US"/>
              </w:rPr>
              <w:t xml:space="preserve">    </w:t>
            </w:r>
            <w:r w:rsidRPr="00A33A88">
              <w:rPr>
                <w:rFonts w:ascii="Arial" w:hAnsi="Arial" w:cs="Arial"/>
                <w:sz w:val="24"/>
                <w:szCs w:val="24"/>
                <w:lang w:val="en-US"/>
              </w:rPr>
              <w:t>A.4.2 Surface modification</w:t>
            </w:r>
            <w:r>
              <w:rPr>
                <w:rFonts w:ascii="Arial" w:hAnsi="Arial" w:cs="Arial"/>
                <w:sz w:val="24"/>
                <w:szCs w:val="24"/>
                <w:lang w:val="en-US"/>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171</w:t>
            </w:r>
          </w:p>
        </w:tc>
      </w:tr>
      <w:tr w:rsidR="00387A07" w:rsidRPr="00402E17" w:rsidTr="00387A07">
        <w:tc>
          <w:tcPr>
            <w:tcW w:w="8755" w:type="dxa"/>
          </w:tcPr>
          <w:p w:rsidR="00387A07" w:rsidRDefault="00387A07" w:rsidP="00387A07">
            <w:pPr>
              <w:tabs>
                <w:tab w:val="left" w:pos="990"/>
              </w:tabs>
              <w:spacing w:line="360" w:lineRule="auto"/>
              <w:rPr>
                <w:rFonts w:ascii="Arial" w:hAnsi="Arial" w:cs="Arial"/>
                <w:sz w:val="24"/>
                <w:szCs w:val="24"/>
                <w:lang w:val="en-US"/>
              </w:rPr>
            </w:pPr>
            <w:r w:rsidRPr="00A33A88">
              <w:rPr>
                <w:rFonts w:ascii="Arial" w:hAnsi="Arial" w:cs="Arial"/>
                <w:sz w:val="24"/>
                <w:szCs w:val="24"/>
                <w:lang w:val="en-US"/>
              </w:rPr>
              <w:lastRenderedPageBreak/>
              <w:t xml:space="preserve">A.5 Biodegradation </w:t>
            </w:r>
            <w:r>
              <w:rPr>
                <w:rFonts w:ascii="Arial" w:hAnsi="Arial" w:cs="Arial"/>
                <w:sz w:val="24"/>
                <w:szCs w:val="24"/>
                <w:lang w:val="en-US"/>
              </w:rPr>
              <w:t>of Polyurethanes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171</w:t>
            </w:r>
          </w:p>
        </w:tc>
      </w:tr>
      <w:tr w:rsidR="00387A07" w:rsidRPr="00402E17" w:rsidTr="00387A07">
        <w:tc>
          <w:tcPr>
            <w:tcW w:w="8755" w:type="dxa"/>
          </w:tcPr>
          <w:p w:rsidR="00387A07" w:rsidRPr="00A33A88" w:rsidRDefault="00387A07" w:rsidP="00387A07">
            <w:pPr>
              <w:tabs>
                <w:tab w:val="left" w:pos="990"/>
              </w:tabs>
              <w:spacing w:line="360" w:lineRule="auto"/>
              <w:rPr>
                <w:rFonts w:ascii="Arial" w:hAnsi="Arial" w:cs="Arial"/>
                <w:sz w:val="24"/>
                <w:szCs w:val="24"/>
                <w:lang w:val="en-US"/>
              </w:rPr>
            </w:pPr>
            <w:r w:rsidRPr="005641D3">
              <w:rPr>
                <w:rFonts w:ascii="Arial" w:hAnsi="Arial" w:cs="Arial"/>
                <w:sz w:val="24"/>
                <w:szCs w:val="24"/>
                <w:lang w:val="it-IT"/>
              </w:rPr>
              <w:t>References</w:t>
            </w:r>
            <w:r>
              <w:rPr>
                <w:rFonts w:ascii="Arial" w:hAnsi="Arial" w:cs="Arial"/>
                <w:sz w:val="24"/>
                <w:szCs w:val="24"/>
                <w:lang w:val="it-IT"/>
              </w:rPr>
              <w:t xml:space="preserve"> ………………………………………………………………………………</w:t>
            </w:r>
          </w:p>
        </w:tc>
        <w:tc>
          <w:tcPr>
            <w:tcW w:w="1023" w:type="dxa"/>
          </w:tcPr>
          <w:p w:rsidR="00387A07" w:rsidRPr="008B60D6" w:rsidRDefault="00426A28" w:rsidP="00387A07">
            <w:pPr>
              <w:tabs>
                <w:tab w:val="left" w:pos="990"/>
              </w:tabs>
              <w:spacing w:line="360" w:lineRule="auto"/>
              <w:jc w:val="center"/>
              <w:rPr>
                <w:rFonts w:ascii="Arial" w:hAnsi="Arial" w:cs="Arial"/>
                <w:sz w:val="24"/>
                <w:szCs w:val="24"/>
                <w:lang w:val="en-US"/>
              </w:rPr>
            </w:pPr>
            <w:r>
              <w:rPr>
                <w:rFonts w:ascii="Arial" w:hAnsi="Arial" w:cs="Arial"/>
                <w:sz w:val="24"/>
                <w:szCs w:val="24"/>
                <w:lang w:val="en-US"/>
              </w:rPr>
              <w:t>172</w:t>
            </w:r>
          </w:p>
        </w:tc>
      </w:tr>
    </w:tbl>
    <w:p w:rsidR="00387A07" w:rsidRDefault="00387A07" w:rsidP="00387A07">
      <w:pPr>
        <w:spacing w:after="0" w:line="360" w:lineRule="auto"/>
        <w:jc w:val="both"/>
        <w:rPr>
          <w:rFonts w:ascii="Arial" w:hAnsi="Arial" w:cs="Arial"/>
          <w:sz w:val="24"/>
          <w:szCs w:val="24"/>
          <w:lang w:val="en-US"/>
        </w:rPr>
      </w:pPr>
      <w:r w:rsidRPr="00402E17">
        <w:rPr>
          <w:rFonts w:ascii="Arial" w:hAnsi="Arial" w:cs="Arial"/>
          <w:sz w:val="24"/>
          <w:szCs w:val="24"/>
          <w:lang w:val="en-US"/>
        </w:rPr>
        <w:t xml:space="preserve"> </w:t>
      </w: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Pr="00CD3216" w:rsidRDefault="00387A07" w:rsidP="00387A07">
      <w:pPr>
        <w:spacing w:after="240" w:line="360" w:lineRule="auto"/>
        <w:jc w:val="center"/>
        <w:rPr>
          <w:rFonts w:ascii="Arial" w:hAnsi="Arial" w:cs="Arial"/>
          <w:b/>
          <w:color w:val="1F497D" w:themeColor="text2"/>
          <w:sz w:val="28"/>
          <w:szCs w:val="28"/>
          <w:u w:val="single"/>
          <w:lang w:val="it-IT"/>
        </w:rPr>
      </w:pPr>
      <w:r w:rsidRPr="00CD3216">
        <w:rPr>
          <w:rFonts w:ascii="Arial" w:hAnsi="Arial" w:cs="Arial"/>
          <w:b/>
          <w:color w:val="1F497D" w:themeColor="text2"/>
          <w:sz w:val="28"/>
          <w:szCs w:val="28"/>
          <w:u w:val="single"/>
          <w:lang w:val="it-IT"/>
        </w:rPr>
        <w:lastRenderedPageBreak/>
        <w:t>ACKNOWLEDGEMENTS</w:t>
      </w:r>
    </w:p>
    <w:p w:rsidR="00387A07" w:rsidRDefault="00387A07" w:rsidP="00387A07">
      <w:pPr>
        <w:spacing w:line="360" w:lineRule="auto"/>
        <w:jc w:val="both"/>
        <w:rPr>
          <w:rFonts w:ascii="Arial" w:hAnsi="Arial" w:cs="Arial"/>
          <w:sz w:val="24"/>
          <w:szCs w:val="24"/>
          <w:lang w:val="it-IT"/>
        </w:rPr>
      </w:pPr>
      <w:r w:rsidRPr="007B7B61">
        <w:rPr>
          <w:rFonts w:ascii="Arial" w:hAnsi="Arial" w:cs="Arial"/>
          <w:sz w:val="24"/>
          <w:szCs w:val="24"/>
          <w:lang w:val="it-IT"/>
        </w:rPr>
        <w:t>Non basterebbero cento pagine p</w:t>
      </w:r>
      <w:r>
        <w:rPr>
          <w:rFonts w:ascii="Arial" w:hAnsi="Arial" w:cs="Arial"/>
          <w:sz w:val="24"/>
          <w:szCs w:val="24"/>
          <w:lang w:val="it-IT"/>
        </w:rPr>
        <w:t>er ringraziare nel modo giusto tutti quelli che in questi anni di dottorato (e non solo) mi hanno aiutata, sostenuta e incoraggiata.</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Innanzitutto voglio ringraziare mio padre, mia mamma e tutta la mia famiglia per essermi sempre stati vicini e non avermi mai fatto mancare niente e, soprattutto, per avere sopportato pazientemente tutti i miei sfoghi in questi anni.</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A proposito di pazienza, devo ringraziare Rosario per tutte le volte che ha subìto i miei attacchi isterici.. e non solo!</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La mia personal shopper Silvia, per tutti i consigli e per le lunghissime telefonate che mi hanno tenuto compagnia (e aggiornata puntualmente) in questi anni che ho trascorso lontano da casa.</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Grazie infinite al mio tutor, prof. Gianluca Ciardelli per il supporto umano e scientifico che in questi tre anni non mi ha mai fatto mancare.</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Come potrei non ringraziare tutti i colleghi, ma dovrei dire gli amici, del laboratorio che hanno reso questi anni così belli, tanto che mi sembra di avere iniziato solo ieri?</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Perciò grazie alle mie insuperabili compagne di viaggio Antonels, Zia Fa e Jennifer con cui ho condiviso avvincenti avventure alla ricerca della città perduta (Alessandria) e superato innumerevoli ostacoli sulla strada per viale T Michel. Ma tra una risata isterica e qualche pianto, questi viaggi mi rimarranno sempre nella memoria!</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 xml:space="preserve">Grazie a Santa Monica per tutte le volte che col suo elicottero personale ci ha salvate e ci ha risparmiato il viaggio in notturna e a Susy per il tutto il supporto, l’incoraggiamento e i preziosi consigli. </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 xml:space="preserve">Ancora grazie a Marins, per aver cercato di convertirmi a uno stile di vita sano e alla filosofia Yoga..ahimè con scarso successo!! </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t>Grazie a tutte le ragazze e ai boys, stabili e di passaggio, del mitico Biolab di Alessandria e non: Cristina, Susy, Marins, Santa, Antonels, PG, Chiara, Valery, Zia, Ruo, il mago Simon, Irene, Michele, Gambetta, Anna, Tony, Rodolfo, Anna (Di Rienzo), Patrizia, Daniela e tutti gli altri per tutti i bellissimi e divertentissimi momenti passati insieme!!</w:t>
      </w:r>
    </w:p>
    <w:p w:rsidR="00387A07" w:rsidRDefault="00387A07" w:rsidP="00387A07">
      <w:pPr>
        <w:spacing w:line="360" w:lineRule="auto"/>
        <w:jc w:val="both"/>
        <w:rPr>
          <w:rFonts w:ascii="Arial" w:hAnsi="Arial" w:cs="Arial"/>
          <w:sz w:val="24"/>
          <w:szCs w:val="24"/>
          <w:lang w:val="it-IT"/>
        </w:rPr>
      </w:pPr>
      <w:r>
        <w:rPr>
          <w:rFonts w:ascii="Arial" w:hAnsi="Arial" w:cs="Arial"/>
          <w:sz w:val="24"/>
          <w:szCs w:val="24"/>
          <w:lang w:val="it-IT"/>
        </w:rPr>
        <w:lastRenderedPageBreak/>
        <w:t>Un grazie particolare a Irene, che ha diviso con me il king size bed a Boston.. dove è stata iniziata al Moment act !</w:t>
      </w:r>
    </w:p>
    <w:p w:rsidR="00387A07" w:rsidRPr="0031774F" w:rsidRDefault="00387A07" w:rsidP="00387A07">
      <w:pPr>
        <w:spacing w:line="360" w:lineRule="auto"/>
        <w:jc w:val="both"/>
        <w:rPr>
          <w:rFonts w:ascii="Arial" w:hAnsi="Arial" w:cs="Arial"/>
          <w:sz w:val="24"/>
          <w:szCs w:val="24"/>
          <w:lang w:val="en-US"/>
        </w:rPr>
      </w:pPr>
      <w:r>
        <w:rPr>
          <w:rFonts w:ascii="Arial" w:hAnsi="Arial" w:cs="Arial"/>
          <w:sz w:val="24"/>
          <w:szCs w:val="24"/>
          <w:lang w:val="it-IT"/>
        </w:rPr>
        <w:t xml:space="preserve">E ancora grazie ai mitici Amici di Franco Maria (che ora hanno un nuovo nome che non ricordo): Penny, Dario, Diana, Diego, Aria, Gianluca, Giulia, Irene, Fabio, Gambetta, Giorgia, Marta, Elena Mancuso &amp; Adelina (fornitrice di torte) e al fantastico PG - mr. </w:t>
      </w:r>
      <w:r w:rsidRPr="009F1346">
        <w:rPr>
          <w:rFonts w:ascii="Arial" w:hAnsi="Arial" w:cs="Arial"/>
          <w:sz w:val="24"/>
          <w:szCs w:val="24"/>
          <w:lang w:val="it-IT"/>
        </w:rPr>
        <w:t xml:space="preserve">Daimond: mi sono divertita tantissimo a giocare con voi, siete persone fantastiche! </w:t>
      </w:r>
      <w:r w:rsidRPr="0031774F">
        <w:rPr>
          <w:rFonts w:ascii="Arial" w:hAnsi="Arial" w:cs="Arial"/>
          <w:sz w:val="24"/>
          <w:szCs w:val="24"/>
          <w:lang w:val="en-US"/>
        </w:rPr>
        <w:t>(Abbasso gli Ambaradan!!!).</w:t>
      </w:r>
    </w:p>
    <w:p w:rsidR="00387A07" w:rsidRDefault="00387A07" w:rsidP="00387A07">
      <w:pPr>
        <w:spacing w:line="360" w:lineRule="auto"/>
        <w:jc w:val="both"/>
        <w:rPr>
          <w:rFonts w:ascii="Arial" w:hAnsi="Arial" w:cs="Arial"/>
          <w:sz w:val="24"/>
          <w:szCs w:val="24"/>
          <w:lang w:val="en-US"/>
        </w:rPr>
      </w:pPr>
      <w:r w:rsidRPr="0031774F">
        <w:rPr>
          <w:rFonts w:ascii="Arial" w:hAnsi="Arial" w:cs="Arial"/>
          <w:sz w:val="24"/>
          <w:szCs w:val="24"/>
          <w:lang w:val="en-US"/>
        </w:rPr>
        <w:t>A special thanks to Dr Zeibun Ramtoola, for kindly hosting me in her lab and for her support and constant help.</w:t>
      </w:r>
    </w:p>
    <w:p w:rsidR="00387A07"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Thanks to Ritesh, who helped so much in doing </w:t>
      </w:r>
      <w:r w:rsidRPr="0031774F">
        <w:rPr>
          <w:rFonts w:ascii="Arial" w:hAnsi="Arial" w:cs="Arial"/>
          <w:sz w:val="24"/>
          <w:szCs w:val="24"/>
          <w:lang w:val="en-US"/>
        </w:rPr>
        <w:t xml:space="preserve"> </w:t>
      </w:r>
      <w:r>
        <w:rPr>
          <w:rFonts w:ascii="Arial" w:hAnsi="Arial" w:cs="Arial"/>
          <w:sz w:val="24"/>
          <w:szCs w:val="24"/>
          <w:lang w:val="en-US"/>
        </w:rPr>
        <w:t>lots of work in very little time.. and for his kindness and patience. Thanks to Danielle, Ben and Awadh for being such nice friends as well as Gymn/breakfast/tea/coffee buddies.</w:t>
      </w: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jc w:val="both"/>
        <w:rPr>
          <w:rFonts w:ascii="Arial" w:hAnsi="Arial" w:cs="Arial"/>
          <w:sz w:val="24"/>
          <w:szCs w:val="24"/>
          <w:lang w:val="en-US"/>
        </w:rPr>
      </w:pPr>
    </w:p>
    <w:p w:rsidR="00387A07" w:rsidRDefault="00387A07" w:rsidP="00387A07">
      <w:pPr>
        <w:spacing w:line="360" w:lineRule="auto"/>
        <w:rPr>
          <w:rFonts w:ascii="Arial" w:hAnsi="Arial" w:cs="Arial"/>
          <w:sz w:val="24"/>
          <w:szCs w:val="24"/>
          <w:lang w:val="en-US"/>
        </w:rPr>
      </w:pPr>
    </w:p>
    <w:p w:rsidR="00550A30" w:rsidRDefault="00550A30" w:rsidP="00387A07">
      <w:pPr>
        <w:spacing w:line="360" w:lineRule="auto"/>
        <w:rPr>
          <w:rFonts w:ascii="Arial" w:hAnsi="Arial" w:cs="Arial"/>
          <w:sz w:val="24"/>
          <w:szCs w:val="24"/>
          <w:lang w:val="en-US"/>
        </w:rPr>
      </w:pPr>
    </w:p>
    <w:p w:rsidR="00550A30" w:rsidRDefault="00550A30" w:rsidP="00387A07">
      <w:pPr>
        <w:spacing w:line="360" w:lineRule="auto"/>
        <w:rPr>
          <w:rFonts w:ascii="Arial" w:hAnsi="Arial" w:cs="Arial"/>
          <w:sz w:val="24"/>
          <w:szCs w:val="24"/>
          <w:lang w:val="en-US"/>
        </w:rPr>
      </w:pPr>
    </w:p>
    <w:p w:rsidR="00550A30" w:rsidRDefault="00550A30" w:rsidP="00387A07">
      <w:pPr>
        <w:spacing w:line="360" w:lineRule="auto"/>
        <w:rPr>
          <w:rFonts w:ascii="Arial" w:hAnsi="Arial" w:cs="Arial"/>
          <w:sz w:val="24"/>
          <w:szCs w:val="24"/>
          <w:lang w:val="en-US"/>
        </w:rPr>
      </w:pPr>
    </w:p>
    <w:p w:rsidR="00387A07" w:rsidRPr="00CD3216" w:rsidRDefault="00387A07" w:rsidP="00387A07">
      <w:pPr>
        <w:spacing w:after="240" w:line="360" w:lineRule="auto"/>
        <w:jc w:val="center"/>
        <w:rPr>
          <w:rFonts w:ascii="Arial" w:hAnsi="Arial" w:cs="Arial"/>
          <w:b/>
          <w:i/>
          <w:color w:val="1F497D" w:themeColor="text2"/>
          <w:sz w:val="28"/>
          <w:szCs w:val="28"/>
          <w:u w:val="single"/>
          <w:lang w:val="en-US"/>
        </w:rPr>
      </w:pPr>
      <w:r w:rsidRPr="00CD3216">
        <w:rPr>
          <w:rFonts w:ascii="Arial" w:hAnsi="Arial" w:cs="Arial"/>
          <w:b/>
          <w:color w:val="1F497D" w:themeColor="text2"/>
          <w:sz w:val="28"/>
          <w:szCs w:val="28"/>
          <w:u w:val="single"/>
          <w:lang w:val="en-US"/>
        </w:rPr>
        <w:lastRenderedPageBreak/>
        <w:t xml:space="preserve">SHORT </w:t>
      </w:r>
      <w:r w:rsidRPr="00CD3216">
        <w:rPr>
          <w:rFonts w:ascii="Arial" w:hAnsi="Arial" w:cs="Arial"/>
          <w:b/>
          <w:i/>
          <w:color w:val="1F497D" w:themeColor="text2"/>
          <w:sz w:val="28"/>
          <w:szCs w:val="28"/>
          <w:u w:val="single"/>
          <w:lang w:val="en-US"/>
        </w:rPr>
        <w:t>CURRICULUM VITAE</w:t>
      </w:r>
    </w:p>
    <w:p w:rsidR="00387A07" w:rsidRPr="00A46EBA"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Clara Mattu was born </w:t>
      </w:r>
      <w:r w:rsidRPr="00A46EBA">
        <w:rPr>
          <w:rFonts w:ascii="Arial" w:hAnsi="Arial" w:cs="Arial"/>
          <w:sz w:val="24"/>
          <w:szCs w:val="24"/>
          <w:lang w:val="en-US"/>
        </w:rPr>
        <w:t xml:space="preserve">in Nuoro (NU) </w:t>
      </w:r>
      <w:smartTag w:uri="urn:schemas-microsoft-com:office:smarttags" w:element="country-region">
        <w:smartTag w:uri="urn:schemas:contacts" w:element="Sn">
          <w:smartTag w:uri="urn:schemas-microsoft-com:office:smarttags" w:element="place">
            <w:r w:rsidRPr="00A46EBA">
              <w:rPr>
                <w:rFonts w:ascii="Arial" w:hAnsi="Arial" w:cs="Arial"/>
                <w:sz w:val="24"/>
                <w:szCs w:val="24"/>
                <w:lang w:val="en-US"/>
              </w:rPr>
              <w:t>Italy</w:t>
            </w:r>
          </w:smartTag>
        </w:smartTag>
      </w:smartTag>
      <w:r w:rsidRPr="00A46EBA">
        <w:rPr>
          <w:rFonts w:ascii="Arial" w:hAnsi="Arial" w:cs="Arial"/>
          <w:sz w:val="24"/>
          <w:szCs w:val="24"/>
          <w:lang w:val="en-US"/>
        </w:rPr>
        <w:t xml:space="preserve"> on July 20</w:t>
      </w:r>
      <w:r w:rsidRPr="00A46EBA">
        <w:rPr>
          <w:rFonts w:ascii="Arial" w:hAnsi="Arial" w:cs="Arial"/>
          <w:sz w:val="24"/>
          <w:szCs w:val="24"/>
          <w:vertAlign w:val="superscript"/>
          <w:lang w:val="en-US"/>
        </w:rPr>
        <w:t xml:space="preserve">th </w:t>
      </w:r>
      <w:r w:rsidRPr="00A46EBA">
        <w:rPr>
          <w:rFonts w:ascii="Arial" w:hAnsi="Arial" w:cs="Arial"/>
          <w:sz w:val="24"/>
          <w:szCs w:val="24"/>
          <w:lang w:val="en-US"/>
        </w:rPr>
        <w:t xml:space="preserve">1982. She currently lives in </w:t>
      </w:r>
      <w:smartTag w:uri="urn:schemas-microsoft-com:office:smarttags" w:element="City">
        <w:smartTag w:uri="urn:schemas:contacts" w:element="Sn">
          <w:smartTag w:uri="urn:schemas-microsoft-com:office:smarttags" w:element="place">
            <w:r w:rsidRPr="00A46EBA">
              <w:rPr>
                <w:rFonts w:ascii="Arial" w:hAnsi="Arial" w:cs="Arial"/>
                <w:sz w:val="24"/>
                <w:szCs w:val="24"/>
                <w:lang w:val="en-US"/>
              </w:rPr>
              <w:t>Turin</w:t>
            </w:r>
          </w:smartTag>
        </w:smartTag>
      </w:smartTag>
      <w:r w:rsidRPr="00A46EBA">
        <w:rPr>
          <w:rFonts w:ascii="Arial" w:hAnsi="Arial" w:cs="Arial"/>
          <w:sz w:val="24"/>
          <w:szCs w:val="24"/>
          <w:lang w:val="en-US"/>
        </w:rPr>
        <w:t xml:space="preserve"> where she works as a PhD student in the Bioengineering Group at Politecnico di Torino. </w:t>
      </w:r>
    </w:p>
    <w:p w:rsidR="00387A07" w:rsidRPr="00A46EBA" w:rsidRDefault="00387A07" w:rsidP="00387A07">
      <w:pPr>
        <w:spacing w:after="120" w:line="360" w:lineRule="auto"/>
        <w:jc w:val="both"/>
        <w:rPr>
          <w:rFonts w:ascii="Arial" w:hAnsi="Arial" w:cs="Arial"/>
          <w:sz w:val="24"/>
          <w:szCs w:val="24"/>
          <w:lang w:val="en-US"/>
        </w:rPr>
      </w:pPr>
      <w:r w:rsidRPr="00A46EBA">
        <w:rPr>
          <w:rFonts w:ascii="Arial" w:hAnsi="Arial" w:cs="Arial"/>
          <w:sz w:val="24"/>
          <w:szCs w:val="24"/>
          <w:lang w:val="en-US"/>
        </w:rPr>
        <w:t xml:space="preserve">She received her Bachelor and Master Degree in Biomedical Engineering at Politecnico di Torino in 2005 and 2008 respectively. During the last year of </w:t>
      </w:r>
      <w:r>
        <w:rPr>
          <w:rFonts w:ascii="Arial" w:hAnsi="Arial" w:cs="Arial"/>
          <w:sz w:val="24"/>
          <w:szCs w:val="24"/>
          <w:lang w:val="en-US"/>
        </w:rPr>
        <w:t>her Marster Degree</w:t>
      </w:r>
      <w:r w:rsidRPr="00A46EBA">
        <w:rPr>
          <w:rFonts w:ascii="Arial" w:hAnsi="Arial" w:cs="Arial"/>
          <w:sz w:val="24"/>
          <w:szCs w:val="24"/>
          <w:lang w:val="en-US"/>
        </w:rPr>
        <w:t xml:space="preserve"> she worked in the field of Bone tissue engineering. In particular her work dealt with the preparation of antibiotic-loaded bioactive glasses or glass ceramics to be used as bone substitutes.</w:t>
      </w:r>
    </w:p>
    <w:p w:rsidR="00387A07" w:rsidRPr="00A46EBA" w:rsidRDefault="00387A07" w:rsidP="00387A07">
      <w:pPr>
        <w:spacing w:after="120" w:line="360" w:lineRule="auto"/>
        <w:jc w:val="both"/>
        <w:rPr>
          <w:rFonts w:ascii="Arial" w:hAnsi="Arial" w:cs="Arial"/>
          <w:sz w:val="24"/>
          <w:szCs w:val="24"/>
          <w:lang w:val="en-US"/>
        </w:rPr>
      </w:pPr>
      <w:r w:rsidRPr="00A46EBA">
        <w:rPr>
          <w:rFonts w:ascii="Arial" w:hAnsi="Arial" w:cs="Arial"/>
          <w:sz w:val="24"/>
          <w:szCs w:val="24"/>
          <w:lang w:val="en-US"/>
        </w:rPr>
        <w:t xml:space="preserve">From 2009 she is a PhD student in the </w:t>
      </w:r>
      <w:r>
        <w:rPr>
          <w:rFonts w:ascii="Arial" w:hAnsi="Arial" w:cs="Arial"/>
          <w:sz w:val="24"/>
          <w:szCs w:val="24"/>
          <w:lang w:val="en-US"/>
        </w:rPr>
        <w:t xml:space="preserve">Industrial </w:t>
      </w:r>
      <w:r w:rsidRPr="00A46EBA">
        <w:rPr>
          <w:rFonts w:ascii="Arial" w:hAnsi="Arial" w:cs="Arial"/>
          <w:sz w:val="24"/>
          <w:szCs w:val="24"/>
          <w:lang w:val="en-US"/>
        </w:rPr>
        <w:t xml:space="preserve">Bioengineering </w:t>
      </w:r>
      <w:r>
        <w:rPr>
          <w:rFonts w:ascii="Arial" w:hAnsi="Arial" w:cs="Arial"/>
          <w:sz w:val="24"/>
          <w:szCs w:val="24"/>
          <w:lang w:val="en-US"/>
        </w:rPr>
        <w:t xml:space="preserve">research </w:t>
      </w:r>
      <w:r w:rsidRPr="00A46EBA">
        <w:rPr>
          <w:rFonts w:ascii="Arial" w:hAnsi="Arial" w:cs="Arial"/>
          <w:sz w:val="24"/>
          <w:szCs w:val="24"/>
          <w:lang w:val="en-US"/>
        </w:rPr>
        <w:t>group. Her work is focused on the preparation and characterization of biodegradable nanoparticles (prepared with commercial or proprietary materials) for the controlled drug release, especially for what concerns the field of Cancer treatment.</w:t>
      </w:r>
    </w:p>
    <w:p w:rsidR="00387A07" w:rsidRPr="00A46EBA" w:rsidRDefault="00387A07" w:rsidP="00387A07">
      <w:pPr>
        <w:autoSpaceDE w:val="0"/>
        <w:autoSpaceDN w:val="0"/>
        <w:adjustRightInd w:val="0"/>
        <w:spacing w:after="0" w:line="360" w:lineRule="auto"/>
        <w:jc w:val="both"/>
        <w:rPr>
          <w:rFonts w:ascii="Arial" w:hAnsi="Arial" w:cs="Arial"/>
          <w:bCs/>
          <w:sz w:val="24"/>
          <w:szCs w:val="24"/>
          <w:lang w:val="en-US"/>
        </w:rPr>
      </w:pPr>
      <w:r w:rsidRPr="00A46EBA">
        <w:rPr>
          <w:rFonts w:ascii="Arial" w:hAnsi="Arial" w:cs="Arial"/>
          <w:bCs/>
          <w:sz w:val="24"/>
          <w:szCs w:val="24"/>
          <w:lang w:val="en-US"/>
        </w:rPr>
        <w:t>As a PhD Student she collaborated for scientific research within project MANUNET NANOWELL (“</w:t>
      </w:r>
      <w:r w:rsidRPr="00A46EBA">
        <w:rPr>
          <w:rFonts w:ascii="Arial" w:hAnsi="Arial" w:cs="Arial"/>
          <w:iCs/>
          <w:sz w:val="24"/>
          <w:szCs w:val="24"/>
          <w:lang w:val="en-US" w:eastAsia="it-IT"/>
        </w:rPr>
        <w:t>Nanostructured functional and active textiles for well-being</w:t>
      </w:r>
      <w:r w:rsidRPr="00A46EBA">
        <w:rPr>
          <w:rFonts w:ascii="Arial" w:hAnsi="Arial" w:cs="Arial"/>
          <w:bCs/>
          <w:sz w:val="24"/>
          <w:szCs w:val="24"/>
          <w:lang w:val="en-US"/>
        </w:rPr>
        <w:t xml:space="preserve">”). </w:t>
      </w:r>
    </w:p>
    <w:p w:rsidR="00387A07" w:rsidRPr="00A46EBA" w:rsidRDefault="00387A07" w:rsidP="00387A07">
      <w:pPr>
        <w:autoSpaceDE w:val="0"/>
        <w:autoSpaceDN w:val="0"/>
        <w:adjustRightInd w:val="0"/>
        <w:spacing w:after="120" w:line="360" w:lineRule="auto"/>
        <w:jc w:val="both"/>
        <w:rPr>
          <w:rFonts w:ascii="Arial" w:hAnsi="Arial" w:cs="Arial"/>
          <w:bCs/>
          <w:sz w:val="24"/>
          <w:szCs w:val="24"/>
          <w:lang w:val="en-US"/>
        </w:rPr>
      </w:pPr>
      <w:r w:rsidRPr="00A46EBA">
        <w:rPr>
          <w:rFonts w:ascii="Arial" w:hAnsi="Arial" w:cs="Arial"/>
          <w:bCs/>
          <w:sz w:val="24"/>
          <w:szCs w:val="24"/>
          <w:lang w:val="en-US"/>
        </w:rPr>
        <w:t xml:space="preserve">The work dealt with the functionalization of surgical nets for abdominal wall repair with biodegradable nanoparticles </w:t>
      </w:r>
      <w:r>
        <w:rPr>
          <w:rFonts w:ascii="Arial" w:hAnsi="Arial" w:cs="Arial"/>
          <w:bCs/>
          <w:sz w:val="24"/>
          <w:szCs w:val="24"/>
          <w:lang w:val="en-US"/>
        </w:rPr>
        <w:t>able to release</w:t>
      </w:r>
      <w:r w:rsidRPr="00A46EBA">
        <w:rPr>
          <w:rFonts w:ascii="Arial" w:hAnsi="Arial" w:cs="Arial"/>
          <w:bCs/>
          <w:sz w:val="24"/>
          <w:szCs w:val="24"/>
          <w:lang w:val="en-US"/>
        </w:rPr>
        <w:t xml:space="preserve"> a proper anti-inflammatory agent. </w:t>
      </w:r>
    </w:p>
    <w:p w:rsidR="00387A07" w:rsidRDefault="00387A07" w:rsidP="00387A07">
      <w:pPr>
        <w:spacing w:after="0" w:line="360" w:lineRule="auto"/>
        <w:jc w:val="both"/>
        <w:rPr>
          <w:rFonts w:ascii="Arial" w:hAnsi="Arial" w:cs="Arial"/>
          <w:bCs/>
          <w:sz w:val="24"/>
          <w:szCs w:val="24"/>
          <w:lang w:val="en-US"/>
        </w:rPr>
      </w:pPr>
      <w:r w:rsidRPr="00A46EBA">
        <w:rPr>
          <w:rFonts w:ascii="Arial" w:hAnsi="Arial" w:cs="Arial"/>
          <w:sz w:val="24"/>
          <w:szCs w:val="24"/>
          <w:lang w:val="en-US"/>
        </w:rPr>
        <w:t xml:space="preserve">In 2011 she worked for 3 months </w:t>
      </w:r>
      <w:r>
        <w:rPr>
          <w:rFonts w:ascii="Arial" w:hAnsi="Arial" w:cs="Arial"/>
          <w:sz w:val="24"/>
          <w:szCs w:val="24"/>
          <w:lang w:val="en-US"/>
        </w:rPr>
        <w:t xml:space="preserve">at </w:t>
      </w:r>
      <w:r w:rsidRPr="00A46EBA">
        <w:rPr>
          <w:rFonts w:ascii="Arial" w:hAnsi="Arial" w:cs="Arial"/>
          <w:bCs/>
          <w:sz w:val="24"/>
          <w:szCs w:val="24"/>
          <w:lang w:val="en-US"/>
        </w:rPr>
        <w:t xml:space="preserve">The Royal College of Surgeons in </w:t>
      </w:r>
      <w:smartTag w:uri="urn:schemas-microsoft-com:office:smarttags" w:element="country-region">
        <w:smartTag w:uri="urn:schemas:contacts" w:element="Sn">
          <w:r w:rsidRPr="00A46EBA">
            <w:rPr>
              <w:rFonts w:ascii="Arial" w:hAnsi="Arial" w:cs="Arial"/>
              <w:bCs/>
              <w:sz w:val="24"/>
              <w:szCs w:val="24"/>
              <w:lang w:val="en-US"/>
            </w:rPr>
            <w:t>Irelan</w:t>
          </w:r>
          <w:r>
            <w:rPr>
              <w:rFonts w:ascii="Arial" w:hAnsi="Arial" w:cs="Arial"/>
              <w:bCs/>
              <w:sz w:val="24"/>
              <w:szCs w:val="24"/>
              <w:lang w:val="en-US"/>
            </w:rPr>
            <w:t>d</w:t>
          </w:r>
        </w:smartTag>
      </w:smartTag>
      <w:r>
        <w:rPr>
          <w:rFonts w:ascii="Arial" w:hAnsi="Arial" w:cs="Arial"/>
          <w:bCs/>
          <w:sz w:val="24"/>
          <w:szCs w:val="24"/>
          <w:lang w:val="en-US"/>
        </w:rPr>
        <w:t xml:space="preserve"> (</w:t>
      </w:r>
      <w:smartTag w:uri="urn:schemas-microsoft-com:office:smarttags" w:element="City">
        <w:smartTag w:uri="urn:schemas:contacts" w:element="Sn">
          <w:smartTag w:uri="urn:schemas-microsoft-com:office:smarttags" w:element="place">
            <w:r>
              <w:rPr>
                <w:rFonts w:ascii="Arial" w:hAnsi="Arial" w:cs="Arial"/>
                <w:bCs/>
                <w:sz w:val="24"/>
                <w:szCs w:val="24"/>
                <w:lang w:val="en-US"/>
              </w:rPr>
              <w:t>Dublin</w:t>
            </w:r>
          </w:smartTag>
        </w:smartTag>
      </w:smartTag>
      <w:r>
        <w:rPr>
          <w:rFonts w:ascii="Arial" w:hAnsi="Arial" w:cs="Arial"/>
          <w:bCs/>
          <w:sz w:val="24"/>
          <w:szCs w:val="24"/>
          <w:lang w:val="en-US"/>
        </w:rPr>
        <w:t xml:space="preserve">)  In the </w:t>
      </w:r>
      <w:r>
        <w:rPr>
          <w:rFonts w:ascii="Arial" w:hAnsi="Arial" w:cs="Arial"/>
          <w:sz w:val="24"/>
          <w:szCs w:val="24"/>
          <w:lang w:val="en-US"/>
        </w:rPr>
        <w:t>Pharmacy G</w:t>
      </w:r>
      <w:r w:rsidRPr="00A46EBA">
        <w:rPr>
          <w:rFonts w:ascii="Arial" w:hAnsi="Arial" w:cs="Arial"/>
          <w:sz w:val="24"/>
          <w:szCs w:val="24"/>
          <w:lang w:val="en-US"/>
        </w:rPr>
        <w:t xml:space="preserve">roup </w:t>
      </w:r>
      <w:r w:rsidRPr="00A46EBA">
        <w:rPr>
          <w:rFonts w:ascii="Arial" w:hAnsi="Arial" w:cs="Arial"/>
          <w:bCs/>
          <w:sz w:val="24"/>
          <w:szCs w:val="24"/>
          <w:lang w:val="en-US"/>
        </w:rPr>
        <w:t>on the preparation and characterization of biodegradable nanoparticles for the active targeting of breast cancer. The work dealt with the preparation of polymeric (poly</w:t>
      </w:r>
      <w:r>
        <w:rPr>
          <w:rFonts w:ascii="Arial" w:hAnsi="Arial" w:cs="Arial"/>
          <w:bCs/>
          <w:sz w:val="24"/>
          <w:szCs w:val="24"/>
          <w:lang w:val="en-US"/>
        </w:rPr>
        <w:t>urethane) nanoparticles surface-</w:t>
      </w:r>
      <w:r w:rsidRPr="00A46EBA">
        <w:rPr>
          <w:rFonts w:ascii="Arial" w:hAnsi="Arial" w:cs="Arial"/>
          <w:bCs/>
          <w:sz w:val="24"/>
          <w:szCs w:val="24"/>
          <w:lang w:val="en-US"/>
        </w:rPr>
        <w:t>coat</w:t>
      </w:r>
      <w:r>
        <w:rPr>
          <w:rFonts w:ascii="Arial" w:hAnsi="Arial" w:cs="Arial"/>
          <w:bCs/>
          <w:sz w:val="24"/>
          <w:szCs w:val="24"/>
          <w:lang w:val="en-US"/>
        </w:rPr>
        <w:t>ed with a monoclonal antibody (H</w:t>
      </w:r>
      <w:r w:rsidRPr="00A46EBA">
        <w:rPr>
          <w:rFonts w:ascii="Arial" w:hAnsi="Arial" w:cs="Arial"/>
          <w:bCs/>
          <w:sz w:val="24"/>
          <w:szCs w:val="24"/>
          <w:lang w:val="en-US"/>
        </w:rPr>
        <w:t>erceptin) through the Single Emulsion Solvent Evaporation Technique.</w:t>
      </w:r>
    </w:p>
    <w:p w:rsidR="00387A07" w:rsidRPr="00A46EBA" w:rsidRDefault="00387A07" w:rsidP="00387A07">
      <w:pPr>
        <w:spacing w:after="0" w:line="360" w:lineRule="auto"/>
        <w:jc w:val="both"/>
        <w:rPr>
          <w:rFonts w:ascii="Arial" w:hAnsi="Arial" w:cs="Arial"/>
          <w:bCs/>
          <w:sz w:val="24"/>
          <w:szCs w:val="24"/>
          <w:lang w:val="en-US"/>
        </w:rPr>
      </w:pPr>
      <w:r>
        <w:rPr>
          <w:rFonts w:ascii="Arial" w:hAnsi="Arial" w:cs="Arial"/>
          <w:bCs/>
          <w:sz w:val="24"/>
          <w:szCs w:val="24"/>
          <w:lang w:val="en-US"/>
        </w:rPr>
        <w:t xml:space="preserve">In 2011 she won the research contest Working Capital PNI, founded by Telecom Italia with a research project based on the preparation of injectable thermo-sensitive polymers (polyurethanes) for tissue engineering and regeneration.  </w:t>
      </w:r>
    </w:p>
    <w:p w:rsidR="00387A07" w:rsidRPr="00A95231" w:rsidRDefault="00387A07" w:rsidP="00387A07">
      <w:pPr>
        <w:spacing w:before="120" w:after="0" w:line="360" w:lineRule="auto"/>
        <w:jc w:val="both"/>
        <w:rPr>
          <w:rFonts w:ascii="Arial" w:hAnsi="Arial" w:cs="Arial"/>
          <w:bCs/>
          <w:sz w:val="24"/>
          <w:szCs w:val="24"/>
          <w:lang w:val="en-US"/>
        </w:rPr>
      </w:pPr>
      <w:r w:rsidRPr="00A46EBA">
        <w:rPr>
          <w:rFonts w:ascii="Arial" w:hAnsi="Arial" w:cs="Arial"/>
          <w:bCs/>
          <w:sz w:val="24"/>
          <w:szCs w:val="24"/>
          <w:lang w:val="en-US"/>
        </w:rPr>
        <w:t xml:space="preserve">During her PhD she attended some of the most important national and international conferences in the field of nanotechnology in drug delivery and is author of 2 Papers, 13 abstracts in national and international congresses proceedings and 1 patent. </w:t>
      </w:r>
    </w:p>
    <w:p w:rsidR="00387A07" w:rsidRPr="00A46EBA" w:rsidRDefault="00387A07" w:rsidP="00387A07">
      <w:pPr>
        <w:autoSpaceDE w:val="0"/>
        <w:autoSpaceDN w:val="0"/>
        <w:adjustRightInd w:val="0"/>
        <w:spacing w:after="0" w:line="240" w:lineRule="auto"/>
        <w:jc w:val="both"/>
        <w:outlineLvl w:val="0"/>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Pr="00CD3216" w:rsidRDefault="00387A07" w:rsidP="00387A07">
      <w:pPr>
        <w:autoSpaceDE w:val="0"/>
        <w:autoSpaceDN w:val="0"/>
        <w:adjustRightInd w:val="0"/>
        <w:spacing w:after="240" w:line="240" w:lineRule="auto"/>
        <w:jc w:val="center"/>
        <w:outlineLvl w:val="0"/>
        <w:rPr>
          <w:rFonts w:ascii="Arial" w:hAnsi="Arial" w:cs="Arial"/>
          <w:b/>
          <w:bCs/>
          <w:color w:val="1F497D" w:themeColor="text2"/>
          <w:sz w:val="28"/>
          <w:szCs w:val="28"/>
          <w:u w:val="single"/>
          <w:lang w:val="en-US"/>
        </w:rPr>
      </w:pPr>
      <w:r w:rsidRPr="00CD3216">
        <w:rPr>
          <w:rFonts w:ascii="Arial" w:hAnsi="Arial" w:cs="Arial"/>
          <w:b/>
          <w:bCs/>
          <w:color w:val="1F497D" w:themeColor="text2"/>
          <w:sz w:val="28"/>
          <w:szCs w:val="28"/>
          <w:u w:val="single"/>
          <w:lang w:val="en-US"/>
        </w:rPr>
        <w:lastRenderedPageBreak/>
        <w:t>LIST OF PUBLICATIONS</w:t>
      </w:r>
    </w:p>
    <w:p w:rsidR="00387A07" w:rsidRPr="00A46EBA" w:rsidRDefault="00387A07" w:rsidP="00387A07">
      <w:pPr>
        <w:pStyle w:val="Paragrafoelenco"/>
        <w:numPr>
          <w:ilvl w:val="0"/>
          <w:numId w:val="1"/>
        </w:numPr>
        <w:autoSpaceDE w:val="0"/>
        <w:autoSpaceDN w:val="0"/>
        <w:adjustRightInd w:val="0"/>
        <w:spacing w:line="240" w:lineRule="auto"/>
        <w:jc w:val="both"/>
        <w:outlineLvl w:val="0"/>
        <w:rPr>
          <w:rFonts w:ascii="Arial" w:hAnsi="Arial" w:cs="Arial"/>
          <w:b/>
          <w:bCs/>
          <w:sz w:val="24"/>
          <w:szCs w:val="24"/>
          <w:lang w:val="en-US"/>
        </w:rPr>
      </w:pPr>
      <w:r w:rsidRPr="00A46EBA">
        <w:rPr>
          <w:rFonts w:ascii="Arial" w:hAnsi="Arial" w:cs="Arial"/>
          <w:b/>
          <w:bCs/>
          <w:sz w:val="24"/>
          <w:szCs w:val="24"/>
          <w:lang w:val="en-US"/>
        </w:rPr>
        <w:t>International journal articles</w:t>
      </w:r>
    </w:p>
    <w:p w:rsidR="00387A07" w:rsidRPr="00A46EBA" w:rsidRDefault="00387A07" w:rsidP="00387A07">
      <w:pPr>
        <w:autoSpaceDE w:val="0"/>
        <w:autoSpaceDN w:val="0"/>
        <w:adjustRightInd w:val="0"/>
        <w:spacing w:before="240" w:after="0" w:line="240" w:lineRule="auto"/>
        <w:jc w:val="both"/>
        <w:rPr>
          <w:rFonts w:ascii="Arial" w:hAnsi="Arial" w:cs="Arial"/>
          <w:bCs/>
          <w:sz w:val="24"/>
          <w:szCs w:val="24"/>
          <w:lang w:val="en-US"/>
        </w:rPr>
      </w:pPr>
      <w:r w:rsidRPr="00A46EBA">
        <w:rPr>
          <w:rFonts w:ascii="Arial" w:hAnsi="Arial" w:cs="Arial"/>
          <w:b/>
          <w:bCs/>
          <w:sz w:val="24"/>
          <w:szCs w:val="24"/>
          <w:lang w:val="en-US"/>
        </w:rPr>
        <w:t>“Cross-linked collagen sponges loaded with plant polyphenols with inhibitory activity towards chronic wound enzymes”</w:t>
      </w:r>
    </w:p>
    <w:p w:rsidR="00387A07" w:rsidRPr="00A46EBA" w:rsidRDefault="00387A07" w:rsidP="00387A07">
      <w:pPr>
        <w:autoSpaceDE w:val="0"/>
        <w:autoSpaceDN w:val="0"/>
        <w:adjustRightInd w:val="0"/>
        <w:spacing w:after="0" w:line="240" w:lineRule="auto"/>
        <w:jc w:val="both"/>
        <w:rPr>
          <w:rFonts w:ascii="Arial" w:hAnsi="Arial" w:cs="Arial"/>
          <w:bCs/>
          <w:sz w:val="24"/>
          <w:szCs w:val="24"/>
          <w:lang w:val="en-US"/>
        </w:rPr>
      </w:pPr>
      <w:r w:rsidRPr="00A46EBA">
        <w:rPr>
          <w:rFonts w:ascii="Arial" w:hAnsi="Arial" w:cs="Arial"/>
          <w:bCs/>
          <w:sz w:val="24"/>
          <w:szCs w:val="24"/>
          <w:lang w:val="en-US"/>
        </w:rPr>
        <w:t xml:space="preserve">A. Francesko, S. Tourino, </w:t>
      </w:r>
      <w:r w:rsidRPr="00A46EBA">
        <w:rPr>
          <w:rFonts w:ascii="Arial" w:hAnsi="Arial" w:cs="Arial"/>
          <w:b/>
          <w:bCs/>
          <w:sz w:val="24"/>
          <w:szCs w:val="24"/>
          <w:lang w:val="en-US"/>
        </w:rPr>
        <w:t>C. Mattu</w:t>
      </w:r>
      <w:r w:rsidRPr="00A46EBA">
        <w:rPr>
          <w:rFonts w:ascii="Arial" w:hAnsi="Arial" w:cs="Arial"/>
          <w:bCs/>
          <w:sz w:val="24"/>
          <w:szCs w:val="24"/>
          <w:lang w:val="en-US"/>
        </w:rPr>
        <w:t>, P. Gentile, V. Chiono, G. Ciardelli and T. Tzanov Biotechnol J. (2011) - Accepted</w:t>
      </w:r>
    </w:p>
    <w:p w:rsidR="00387A07" w:rsidRPr="00A46EBA" w:rsidRDefault="00387A07" w:rsidP="00387A07">
      <w:pPr>
        <w:autoSpaceDE w:val="0"/>
        <w:autoSpaceDN w:val="0"/>
        <w:adjustRightInd w:val="0"/>
        <w:spacing w:before="240" w:after="0" w:line="240" w:lineRule="auto"/>
        <w:jc w:val="both"/>
        <w:rPr>
          <w:rFonts w:ascii="Arial" w:hAnsi="Arial" w:cs="Arial"/>
          <w:bCs/>
          <w:sz w:val="24"/>
          <w:szCs w:val="24"/>
          <w:lang w:val="en-US"/>
        </w:rPr>
      </w:pPr>
      <w:r w:rsidRPr="00A46EBA">
        <w:rPr>
          <w:rFonts w:ascii="Arial" w:hAnsi="Arial" w:cs="Arial"/>
          <w:b/>
          <w:bCs/>
          <w:sz w:val="24"/>
          <w:szCs w:val="24"/>
          <w:lang w:val="en-US"/>
        </w:rPr>
        <w:t xml:space="preserve">“Crosslinked gelatin nanofibrous matrices for nerve tissue engineering” </w:t>
      </w:r>
    </w:p>
    <w:p w:rsidR="00387A07" w:rsidRPr="00A46EBA" w:rsidRDefault="00387A07" w:rsidP="00387A07">
      <w:pPr>
        <w:autoSpaceDE w:val="0"/>
        <w:autoSpaceDN w:val="0"/>
        <w:adjustRightInd w:val="0"/>
        <w:spacing w:after="0" w:line="240" w:lineRule="auto"/>
        <w:jc w:val="both"/>
        <w:rPr>
          <w:rFonts w:ascii="Arial" w:hAnsi="Arial" w:cs="Arial"/>
          <w:bCs/>
          <w:sz w:val="24"/>
          <w:szCs w:val="24"/>
          <w:lang w:val="it-IT"/>
        </w:rPr>
      </w:pPr>
      <w:r w:rsidRPr="00A46EBA">
        <w:rPr>
          <w:rFonts w:ascii="Arial" w:hAnsi="Arial" w:cs="Arial"/>
          <w:bCs/>
          <w:sz w:val="24"/>
          <w:szCs w:val="24"/>
          <w:lang w:val="it-IT"/>
        </w:rPr>
        <w:t xml:space="preserve">C. Tonda-Turo, E. Cipriani, S. Gnavi, V. Chiono, </w:t>
      </w:r>
      <w:r w:rsidRPr="00A46EBA">
        <w:rPr>
          <w:rFonts w:ascii="Arial" w:hAnsi="Arial" w:cs="Arial"/>
          <w:b/>
          <w:bCs/>
          <w:sz w:val="24"/>
          <w:szCs w:val="24"/>
          <w:lang w:val="it-IT"/>
        </w:rPr>
        <w:t>C. Mattu</w:t>
      </w:r>
      <w:r w:rsidRPr="00A46EBA">
        <w:rPr>
          <w:rFonts w:ascii="Arial" w:hAnsi="Arial" w:cs="Arial"/>
          <w:bCs/>
          <w:sz w:val="24"/>
          <w:szCs w:val="24"/>
          <w:lang w:val="it-IT"/>
        </w:rPr>
        <w:t xml:space="preserve">, P. Gentile, I. Perroteau, M. Zanetti and G. Ciardelli. </w:t>
      </w:r>
    </w:p>
    <w:p w:rsidR="00387A07" w:rsidRPr="00A46EBA" w:rsidRDefault="00387A07" w:rsidP="00387A07">
      <w:pPr>
        <w:autoSpaceDE w:val="0"/>
        <w:autoSpaceDN w:val="0"/>
        <w:adjustRightInd w:val="0"/>
        <w:spacing w:after="0" w:line="240" w:lineRule="auto"/>
        <w:jc w:val="both"/>
        <w:rPr>
          <w:rFonts w:ascii="Arial" w:hAnsi="Arial" w:cs="Arial"/>
          <w:bCs/>
          <w:sz w:val="24"/>
          <w:szCs w:val="24"/>
          <w:lang w:val="en-US"/>
        </w:rPr>
      </w:pPr>
      <w:r w:rsidRPr="00A46EBA">
        <w:rPr>
          <w:rFonts w:ascii="Arial" w:hAnsi="Arial" w:cs="Arial"/>
          <w:bCs/>
          <w:sz w:val="24"/>
          <w:szCs w:val="24"/>
          <w:lang w:val="en-US"/>
        </w:rPr>
        <w:t>Journal of Neural Engineering - Submitted</w:t>
      </w:r>
    </w:p>
    <w:p w:rsidR="00387A07" w:rsidRPr="00A46EBA" w:rsidRDefault="00387A07" w:rsidP="00387A07">
      <w:pPr>
        <w:autoSpaceDE w:val="0"/>
        <w:autoSpaceDN w:val="0"/>
        <w:adjustRightInd w:val="0"/>
        <w:spacing w:before="240" w:after="0" w:line="240" w:lineRule="auto"/>
        <w:jc w:val="both"/>
        <w:rPr>
          <w:rFonts w:ascii="Arial" w:eastAsia="Calibri" w:hAnsi="Arial" w:cs="Arial"/>
          <w:b/>
          <w:sz w:val="24"/>
          <w:szCs w:val="24"/>
          <w:lang w:val="en-US"/>
        </w:rPr>
      </w:pPr>
      <w:r w:rsidRPr="00A46EBA">
        <w:rPr>
          <w:rStyle w:val="MacchinadascrivereHTML"/>
          <w:rFonts w:ascii="Arial" w:eastAsia="Calibri" w:hAnsi="Arial" w:cs="Arial"/>
          <w:b/>
          <w:sz w:val="24"/>
          <w:szCs w:val="24"/>
          <w:lang w:val="en-US"/>
        </w:rPr>
        <w:t>“Antibiotic loading on bioactive glasses and</w:t>
      </w:r>
      <w:r w:rsidRPr="00A46EBA">
        <w:rPr>
          <w:rFonts w:ascii="Arial" w:hAnsi="Arial" w:cs="Arial"/>
          <w:b/>
          <w:sz w:val="24"/>
          <w:szCs w:val="24"/>
          <w:lang w:val="en-US"/>
        </w:rPr>
        <w:t xml:space="preserve"> </w:t>
      </w:r>
      <w:r w:rsidRPr="00A46EBA">
        <w:rPr>
          <w:rStyle w:val="MacchinadascrivereHTML"/>
          <w:rFonts w:ascii="Arial" w:eastAsia="Calibri" w:hAnsi="Arial" w:cs="Arial"/>
          <w:b/>
          <w:sz w:val="24"/>
          <w:szCs w:val="24"/>
          <w:lang w:val="en-US"/>
        </w:rPr>
        <w:t>glass-ceramics: an approach to surface modification”</w:t>
      </w:r>
    </w:p>
    <w:p w:rsidR="00387A07" w:rsidRPr="00A46EBA" w:rsidRDefault="00387A07" w:rsidP="00387A07">
      <w:pPr>
        <w:autoSpaceDE w:val="0"/>
        <w:autoSpaceDN w:val="0"/>
        <w:adjustRightInd w:val="0"/>
        <w:spacing w:after="0" w:line="240" w:lineRule="auto"/>
        <w:jc w:val="both"/>
        <w:rPr>
          <w:rStyle w:val="MacchinadascrivereHTML"/>
          <w:rFonts w:ascii="Arial" w:eastAsia="Calibri" w:hAnsi="Arial" w:cs="Arial"/>
          <w:sz w:val="24"/>
          <w:szCs w:val="24"/>
          <w:lang w:val="it-IT"/>
        </w:rPr>
      </w:pPr>
      <w:r w:rsidRPr="00A46EBA">
        <w:rPr>
          <w:rFonts w:ascii="Arial" w:hAnsi="Arial" w:cs="Arial"/>
          <w:sz w:val="24"/>
          <w:szCs w:val="24"/>
          <w:lang w:val="it-IT"/>
        </w:rPr>
        <w:t>M. Miola</w:t>
      </w:r>
      <w:r w:rsidRPr="00A46EBA">
        <w:rPr>
          <w:rFonts w:ascii="Arial" w:hAnsi="Arial" w:cs="Arial"/>
          <w:sz w:val="24"/>
          <w:szCs w:val="24"/>
          <w:vertAlign w:val="superscript"/>
          <w:lang w:val="it-IT"/>
        </w:rPr>
        <w:t>,</w:t>
      </w:r>
      <w:r w:rsidRPr="00A46EBA">
        <w:rPr>
          <w:rFonts w:ascii="Arial" w:hAnsi="Arial" w:cs="Arial"/>
          <w:sz w:val="24"/>
          <w:szCs w:val="24"/>
          <w:lang w:val="it-IT"/>
        </w:rPr>
        <w:t xml:space="preserve"> C. Vitale Brovarone, </w:t>
      </w:r>
      <w:r w:rsidRPr="00A46EBA">
        <w:rPr>
          <w:rFonts w:ascii="Arial" w:hAnsi="Arial" w:cs="Arial"/>
          <w:b/>
          <w:sz w:val="24"/>
          <w:szCs w:val="24"/>
          <w:lang w:val="it-IT"/>
        </w:rPr>
        <w:t>C. Mattu</w:t>
      </w:r>
      <w:r w:rsidRPr="00A46EBA">
        <w:rPr>
          <w:rFonts w:ascii="Arial" w:hAnsi="Arial" w:cs="Arial"/>
          <w:sz w:val="24"/>
          <w:szCs w:val="24"/>
          <w:lang w:val="it-IT"/>
        </w:rPr>
        <w:t>, E. Vernè</w:t>
      </w:r>
      <w:r w:rsidRPr="00A46EBA">
        <w:rPr>
          <w:rStyle w:val="MacchinadascrivereHTML"/>
          <w:rFonts w:ascii="Arial" w:eastAsia="Calibri" w:hAnsi="Arial" w:cs="Arial"/>
          <w:sz w:val="24"/>
          <w:szCs w:val="24"/>
          <w:lang w:val="it-IT"/>
        </w:rPr>
        <w:t xml:space="preserve">. </w:t>
      </w:r>
    </w:p>
    <w:p w:rsidR="00387A07" w:rsidRPr="006569C8" w:rsidRDefault="00387A07" w:rsidP="00387A07">
      <w:pPr>
        <w:autoSpaceDE w:val="0"/>
        <w:autoSpaceDN w:val="0"/>
        <w:adjustRightInd w:val="0"/>
        <w:spacing w:after="0" w:line="240" w:lineRule="auto"/>
        <w:jc w:val="both"/>
        <w:rPr>
          <w:rFonts w:ascii="Arial" w:eastAsia="Calibri" w:hAnsi="Arial" w:cs="Arial"/>
          <w:sz w:val="24"/>
          <w:szCs w:val="24"/>
          <w:lang w:val="en-US"/>
        </w:rPr>
      </w:pPr>
      <w:r w:rsidRPr="006569C8">
        <w:rPr>
          <w:rStyle w:val="MacchinadascrivereHTML"/>
          <w:rFonts w:ascii="Arial" w:eastAsiaTheme="majorEastAsia" w:hAnsi="Arial" w:cs="Arial"/>
          <w:sz w:val="24"/>
          <w:szCs w:val="24"/>
        </w:rPr>
        <w:t>Journal of Biomaterial Applications</w:t>
      </w:r>
      <w:r>
        <w:rPr>
          <w:rStyle w:val="MacchinadascrivereHTML"/>
          <w:rFonts w:ascii="Arial" w:eastAsiaTheme="majorEastAsia" w:hAnsi="Arial" w:cs="Arial"/>
          <w:sz w:val="24"/>
          <w:szCs w:val="24"/>
        </w:rPr>
        <w:t xml:space="preserve"> </w:t>
      </w:r>
      <w:r w:rsidRPr="006569C8">
        <w:rPr>
          <w:rStyle w:val="MacchinadascrivereHTML"/>
          <w:rFonts w:ascii="Arial" w:eastAsia="Calibri" w:hAnsi="Arial" w:cs="Arial"/>
          <w:sz w:val="24"/>
          <w:szCs w:val="24"/>
          <w:lang w:val="en-US"/>
        </w:rPr>
        <w:t>- Submitted</w:t>
      </w:r>
    </w:p>
    <w:p w:rsidR="00387A07" w:rsidRPr="006569C8" w:rsidRDefault="00387A07" w:rsidP="00387A07">
      <w:pPr>
        <w:autoSpaceDE w:val="0"/>
        <w:autoSpaceDN w:val="0"/>
        <w:adjustRightInd w:val="0"/>
        <w:spacing w:after="0"/>
        <w:jc w:val="both"/>
        <w:outlineLvl w:val="0"/>
        <w:rPr>
          <w:rFonts w:ascii="Arial" w:hAnsi="Arial" w:cs="Arial"/>
          <w:b/>
          <w:bCs/>
          <w:sz w:val="24"/>
          <w:szCs w:val="24"/>
          <w:lang w:val="en-US"/>
        </w:rPr>
      </w:pPr>
    </w:p>
    <w:p w:rsidR="00387A07" w:rsidRPr="00A46EBA" w:rsidRDefault="00387A07" w:rsidP="00387A07">
      <w:pPr>
        <w:pStyle w:val="Paragrafoelenco"/>
        <w:numPr>
          <w:ilvl w:val="0"/>
          <w:numId w:val="1"/>
        </w:numPr>
        <w:autoSpaceDE w:val="0"/>
        <w:autoSpaceDN w:val="0"/>
        <w:adjustRightInd w:val="0"/>
        <w:spacing w:after="0"/>
        <w:jc w:val="both"/>
        <w:outlineLvl w:val="0"/>
        <w:rPr>
          <w:rFonts w:ascii="Arial" w:hAnsi="Arial" w:cs="Arial"/>
          <w:b/>
          <w:bCs/>
          <w:sz w:val="24"/>
          <w:szCs w:val="24"/>
          <w:lang w:val="en-US"/>
        </w:rPr>
      </w:pPr>
      <w:r w:rsidRPr="00A46EBA">
        <w:rPr>
          <w:rFonts w:ascii="Arial" w:hAnsi="Arial" w:cs="Arial"/>
          <w:b/>
          <w:bCs/>
          <w:sz w:val="24"/>
          <w:szCs w:val="24"/>
          <w:lang w:val="en-US"/>
        </w:rPr>
        <w:t xml:space="preserve">Comunications in National/International conferences.  </w:t>
      </w:r>
    </w:p>
    <w:p w:rsidR="00387A07" w:rsidRPr="00A46EBA" w:rsidRDefault="00387A07" w:rsidP="00387A07">
      <w:pPr>
        <w:pStyle w:val="Paragrafoelenco"/>
        <w:autoSpaceDE w:val="0"/>
        <w:autoSpaceDN w:val="0"/>
        <w:adjustRightInd w:val="0"/>
        <w:spacing w:after="0"/>
        <w:jc w:val="both"/>
        <w:outlineLvl w:val="0"/>
        <w:rPr>
          <w:rFonts w:ascii="Arial" w:hAnsi="Arial" w:cs="Arial"/>
          <w:b/>
          <w:bCs/>
          <w:sz w:val="24"/>
          <w:szCs w:val="24"/>
          <w:lang w:val="en-US"/>
        </w:rPr>
      </w:pPr>
    </w:p>
    <w:p w:rsidR="00387A07" w:rsidRPr="00A46EBA" w:rsidRDefault="00387A07" w:rsidP="00387A07">
      <w:pPr>
        <w:pStyle w:val="NanotechAuthors"/>
        <w:jc w:val="left"/>
        <w:outlineLvl w:val="0"/>
        <w:rPr>
          <w:rFonts w:ascii="Arial" w:hAnsi="Arial" w:cs="Arial"/>
          <w:b/>
          <w:szCs w:val="24"/>
        </w:rPr>
      </w:pPr>
      <w:r w:rsidRPr="00A46EBA">
        <w:rPr>
          <w:rFonts w:ascii="Arial" w:hAnsi="Arial" w:cs="Arial"/>
          <w:b/>
          <w:szCs w:val="24"/>
        </w:rPr>
        <w:t>“Biodegradable M</w:t>
      </w:r>
      <w:r w:rsidRPr="00A46EBA">
        <w:rPr>
          <w:rFonts w:ascii="Arial" w:hAnsi="Arial" w:cs="Arial"/>
          <w:b/>
          <w:szCs w:val="24"/>
          <w:lang w:val="en-GB"/>
        </w:rPr>
        <w:t>icro and Nanoparticles for Controlled Drug Release”</w:t>
      </w:r>
    </w:p>
    <w:p w:rsidR="00387A07" w:rsidRPr="00A46EBA" w:rsidRDefault="00387A07" w:rsidP="00387A07">
      <w:pPr>
        <w:pStyle w:val="NanotechAuthors"/>
        <w:jc w:val="left"/>
        <w:outlineLvl w:val="0"/>
        <w:rPr>
          <w:rFonts w:ascii="Arial" w:hAnsi="Arial" w:cs="Arial"/>
          <w:szCs w:val="24"/>
          <w:lang w:val="it-IT"/>
        </w:rPr>
      </w:pPr>
      <w:r w:rsidRPr="00A46EBA">
        <w:rPr>
          <w:rFonts w:ascii="Arial" w:hAnsi="Arial" w:cs="Arial"/>
          <w:b/>
          <w:szCs w:val="24"/>
          <w:lang w:val="it-IT"/>
        </w:rPr>
        <w:t>C. Mattu</w:t>
      </w:r>
      <w:r w:rsidRPr="00A46EBA">
        <w:rPr>
          <w:rFonts w:ascii="Arial" w:hAnsi="Arial" w:cs="Arial"/>
          <w:szCs w:val="24"/>
          <w:lang w:val="it-IT"/>
        </w:rPr>
        <w:t>, S. Sartori, E. Ranzato, M. Boffito,</w:t>
      </w:r>
      <w:r w:rsidRPr="00A46EBA">
        <w:rPr>
          <w:rFonts w:ascii="Arial" w:hAnsi="Arial" w:cs="Arial"/>
          <w:szCs w:val="24"/>
          <w:vertAlign w:val="superscript"/>
          <w:lang w:val="it-IT"/>
        </w:rPr>
        <w:t xml:space="preserve">  </w:t>
      </w:r>
      <w:r w:rsidRPr="00A46EBA">
        <w:rPr>
          <w:rFonts w:ascii="Arial" w:hAnsi="Arial" w:cs="Arial"/>
          <w:szCs w:val="24"/>
          <w:lang w:val="it-IT"/>
        </w:rPr>
        <w:t xml:space="preserve">R. Li and G. Ciardelli. </w:t>
      </w:r>
    </w:p>
    <w:p w:rsidR="00387A07" w:rsidRPr="00A46EBA" w:rsidRDefault="00387A07" w:rsidP="00387A07">
      <w:pPr>
        <w:pStyle w:val="NanotechAuthors"/>
        <w:jc w:val="left"/>
        <w:outlineLvl w:val="0"/>
        <w:rPr>
          <w:rFonts w:ascii="Arial" w:hAnsi="Arial" w:cs="Arial"/>
          <w:szCs w:val="24"/>
        </w:rPr>
      </w:pPr>
      <w:r w:rsidRPr="00A46EBA">
        <w:rPr>
          <w:rFonts w:ascii="Arial" w:hAnsi="Arial" w:cs="Arial"/>
          <w:szCs w:val="24"/>
        </w:rPr>
        <w:t xml:space="preserve">Nanotech Conference &amp; Expo, June 13-16 2011 pp Boston MA </w:t>
      </w:r>
    </w:p>
    <w:p w:rsidR="00387A07" w:rsidRPr="00A46EBA" w:rsidRDefault="00387A07" w:rsidP="00387A07">
      <w:pPr>
        <w:autoSpaceDE w:val="0"/>
        <w:autoSpaceDN w:val="0"/>
        <w:adjustRightInd w:val="0"/>
        <w:spacing w:after="0"/>
        <w:jc w:val="both"/>
        <w:outlineLvl w:val="0"/>
        <w:rPr>
          <w:rFonts w:ascii="Arial" w:hAnsi="Arial" w:cs="Arial"/>
          <w:b/>
          <w:bCs/>
          <w:sz w:val="24"/>
          <w:szCs w:val="24"/>
          <w:lang w:val="en-US"/>
        </w:rPr>
      </w:pPr>
    </w:p>
    <w:p w:rsidR="00387A07" w:rsidRPr="00A46EBA" w:rsidRDefault="00387A07" w:rsidP="00387A07">
      <w:pPr>
        <w:suppressAutoHyphens/>
        <w:autoSpaceDE w:val="0"/>
        <w:spacing w:after="0" w:line="240" w:lineRule="auto"/>
        <w:jc w:val="both"/>
        <w:rPr>
          <w:rFonts w:ascii="Arial" w:hAnsi="Arial" w:cs="Arial"/>
          <w:sz w:val="24"/>
          <w:szCs w:val="24"/>
          <w:lang w:val="en-US"/>
        </w:rPr>
      </w:pPr>
      <w:r w:rsidRPr="00A46EBA">
        <w:rPr>
          <w:rFonts w:ascii="Arial" w:hAnsi="Arial" w:cs="Arial"/>
          <w:b/>
          <w:sz w:val="24"/>
          <w:szCs w:val="24"/>
          <w:lang w:val="it-IT"/>
        </w:rPr>
        <w:t>C. Mattu</w:t>
      </w:r>
      <w:r w:rsidRPr="00A46EBA">
        <w:rPr>
          <w:rFonts w:ascii="Arial" w:hAnsi="Arial" w:cs="Arial"/>
          <w:sz w:val="24"/>
          <w:szCs w:val="24"/>
          <w:lang w:val="it-IT"/>
        </w:rPr>
        <w:t xml:space="preserve">, R. Li, G. Ciardelli. </w:t>
      </w:r>
      <w:r w:rsidRPr="00A46EBA">
        <w:rPr>
          <w:rFonts w:ascii="Arial" w:hAnsi="Arial" w:cs="Arial"/>
          <w:sz w:val="24"/>
          <w:szCs w:val="24"/>
          <w:lang w:val="en-US"/>
        </w:rPr>
        <w:t xml:space="preserve">“Nanoparticles for targeted Drug Delivery in Cancer treatment”; </w:t>
      </w:r>
    </w:p>
    <w:p w:rsidR="00387A07" w:rsidRPr="00A46EBA" w:rsidRDefault="00387A07" w:rsidP="00387A07">
      <w:pPr>
        <w:suppressAutoHyphens/>
        <w:autoSpaceDE w:val="0"/>
        <w:spacing w:after="0" w:line="240" w:lineRule="auto"/>
        <w:jc w:val="both"/>
        <w:rPr>
          <w:rFonts w:ascii="Arial" w:hAnsi="Arial" w:cs="Arial"/>
          <w:sz w:val="24"/>
          <w:szCs w:val="24"/>
          <w:lang w:val="en-US"/>
        </w:rPr>
      </w:pPr>
    </w:p>
    <w:p w:rsidR="00387A07" w:rsidRPr="00A46EBA" w:rsidRDefault="00387A07" w:rsidP="00387A07">
      <w:pPr>
        <w:suppressAutoHyphens/>
        <w:autoSpaceDE w:val="0"/>
        <w:spacing w:after="0" w:line="240" w:lineRule="auto"/>
        <w:jc w:val="both"/>
        <w:rPr>
          <w:rFonts w:ascii="Arial" w:hAnsi="Arial" w:cs="Arial"/>
          <w:bCs/>
          <w:sz w:val="24"/>
          <w:szCs w:val="24"/>
          <w:lang w:val="en-US"/>
        </w:rPr>
      </w:pPr>
      <w:r w:rsidRPr="00A46EBA">
        <w:rPr>
          <w:rFonts w:ascii="Arial" w:hAnsi="Arial" w:cs="Arial"/>
          <w:sz w:val="24"/>
          <w:szCs w:val="24"/>
          <w:lang w:val="it-IT"/>
        </w:rPr>
        <w:t xml:space="preserve">R.Li, </w:t>
      </w:r>
      <w:r w:rsidRPr="00A46EBA">
        <w:rPr>
          <w:rFonts w:ascii="Arial" w:hAnsi="Arial" w:cs="Arial"/>
          <w:b/>
          <w:sz w:val="24"/>
          <w:szCs w:val="24"/>
          <w:lang w:val="it-IT"/>
        </w:rPr>
        <w:t>C. Mattu</w:t>
      </w:r>
      <w:r w:rsidRPr="00A46EBA">
        <w:rPr>
          <w:rFonts w:ascii="Arial" w:hAnsi="Arial" w:cs="Arial"/>
          <w:sz w:val="24"/>
          <w:szCs w:val="24"/>
          <w:lang w:val="it-IT"/>
        </w:rPr>
        <w:t>, G. Ciardelli.</w:t>
      </w:r>
      <w:r w:rsidRPr="00A46EBA">
        <w:rPr>
          <w:rFonts w:ascii="Arial" w:hAnsi="Arial" w:cs="Arial"/>
          <w:b/>
          <w:sz w:val="24"/>
          <w:szCs w:val="24"/>
          <w:lang w:val="it-IT"/>
        </w:rPr>
        <w:t xml:space="preserve"> </w:t>
      </w:r>
      <w:r w:rsidRPr="00A46EBA">
        <w:rPr>
          <w:rFonts w:ascii="Arial" w:hAnsi="Arial" w:cs="Arial"/>
          <w:b/>
          <w:sz w:val="24"/>
          <w:szCs w:val="24"/>
          <w:lang w:val="en-US"/>
        </w:rPr>
        <w:t>“</w:t>
      </w:r>
      <w:r w:rsidRPr="00A46EBA">
        <w:rPr>
          <w:rFonts w:ascii="Arial" w:hAnsi="Arial" w:cs="Arial"/>
          <w:sz w:val="24"/>
          <w:szCs w:val="24"/>
          <w:lang w:val="en-US"/>
        </w:rPr>
        <w:t xml:space="preserve">The application of Chitosan in Biomedical Engineering”; </w:t>
      </w:r>
    </w:p>
    <w:p w:rsidR="00387A07" w:rsidRPr="00A46EBA" w:rsidRDefault="00387A07" w:rsidP="00387A07">
      <w:pPr>
        <w:suppressAutoHyphens/>
        <w:autoSpaceDE w:val="0"/>
        <w:spacing w:after="0" w:line="240" w:lineRule="auto"/>
        <w:jc w:val="both"/>
        <w:rPr>
          <w:rFonts w:ascii="Arial" w:hAnsi="Arial" w:cs="Arial"/>
          <w:bCs/>
          <w:sz w:val="24"/>
          <w:szCs w:val="24"/>
          <w:lang w:val="en-US"/>
        </w:rPr>
      </w:pPr>
    </w:p>
    <w:p w:rsidR="00387A07" w:rsidRPr="00A46EBA" w:rsidRDefault="00387A07" w:rsidP="00387A07">
      <w:pPr>
        <w:suppressAutoHyphens/>
        <w:autoSpaceDE w:val="0"/>
        <w:spacing w:after="0" w:line="240" w:lineRule="auto"/>
        <w:jc w:val="both"/>
        <w:rPr>
          <w:rFonts w:ascii="Arial" w:hAnsi="Arial" w:cs="Arial"/>
          <w:bCs/>
          <w:sz w:val="24"/>
          <w:szCs w:val="24"/>
          <w:lang w:val="en-US"/>
        </w:rPr>
      </w:pPr>
      <w:r w:rsidRPr="00A46EBA">
        <w:rPr>
          <w:rFonts w:ascii="Arial" w:hAnsi="Arial" w:cs="Arial"/>
          <w:bCs/>
          <w:sz w:val="24"/>
          <w:szCs w:val="24"/>
          <w:lang w:val="it-IT"/>
        </w:rPr>
        <w:t xml:space="preserve">P Gentile, V Chiono, F Baino, F Boccafoschi, I Carmagnola, A M Ferreira-Duarte, I Pashkuleva, </w:t>
      </w:r>
      <w:r w:rsidRPr="00A46EBA">
        <w:rPr>
          <w:rFonts w:ascii="Arial" w:hAnsi="Arial" w:cs="Arial"/>
          <w:b/>
          <w:bCs/>
          <w:sz w:val="24"/>
          <w:szCs w:val="24"/>
          <w:lang w:val="it-IT"/>
        </w:rPr>
        <w:t>C Mattu</w:t>
      </w:r>
      <w:r w:rsidRPr="00A46EBA">
        <w:rPr>
          <w:rFonts w:ascii="Arial" w:hAnsi="Arial" w:cs="Arial"/>
          <w:bCs/>
          <w:sz w:val="24"/>
          <w:szCs w:val="24"/>
          <w:lang w:val="it-IT"/>
        </w:rPr>
        <w:t xml:space="preserve">, L R Reis, C Vitale-Brovarone, G Georgiev, and G Ciardelli. </w:t>
      </w:r>
      <w:r w:rsidRPr="00A46EBA">
        <w:rPr>
          <w:rFonts w:ascii="Arial" w:hAnsi="Arial" w:cs="Arial"/>
          <w:bCs/>
          <w:sz w:val="24"/>
          <w:szCs w:val="24"/>
          <w:lang w:val="en-US"/>
        </w:rPr>
        <w:t xml:space="preserve">“Engineering of bioactive polymeric or composite scaffolds for bone tissue regeneration”; </w:t>
      </w:r>
    </w:p>
    <w:p w:rsidR="00387A07" w:rsidRPr="00A46EBA" w:rsidRDefault="00387A07" w:rsidP="00387A07">
      <w:pPr>
        <w:suppressAutoHyphens/>
        <w:autoSpaceDE w:val="0"/>
        <w:spacing w:after="0" w:line="240" w:lineRule="auto"/>
        <w:jc w:val="both"/>
        <w:rPr>
          <w:rFonts w:ascii="Arial" w:hAnsi="Arial" w:cs="Arial"/>
          <w:bCs/>
          <w:sz w:val="24"/>
          <w:szCs w:val="24"/>
          <w:lang w:val="en-US"/>
        </w:rPr>
      </w:pPr>
    </w:p>
    <w:p w:rsidR="00387A07" w:rsidRPr="00A46EBA" w:rsidRDefault="00387A07" w:rsidP="00387A07">
      <w:pPr>
        <w:suppressAutoHyphens/>
        <w:autoSpaceDE w:val="0"/>
        <w:spacing w:after="0" w:line="240" w:lineRule="auto"/>
        <w:jc w:val="both"/>
        <w:rPr>
          <w:rFonts w:ascii="Arial" w:hAnsi="Arial" w:cs="Arial"/>
          <w:bCs/>
          <w:sz w:val="24"/>
          <w:szCs w:val="24"/>
          <w:lang w:val="en-US"/>
        </w:rPr>
      </w:pPr>
      <w:r w:rsidRPr="00A46EBA">
        <w:rPr>
          <w:rFonts w:ascii="Arial" w:hAnsi="Arial" w:cs="Arial"/>
          <w:bCs/>
          <w:sz w:val="24"/>
          <w:szCs w:val="24"/>
          <w:lang w:val="it-IT"/>
        </w:rPr>
        <w:t xml:space="preserve">A M Ferreira-Duarte, V Chiono, I Carmagnola, P Gentile, </w:t>
      </w:r>
      <w:r w:rsidRPr="00A46EBA">
        <w:rPr>
          <w:rFonts w:ascii="Arial" w:hAnsi="Arial" w:cs="Arial"/>
          <w:b/>
          <w:bCs/>
          <w:sz w:val="24"/>
          <w:szCs w:val="24"/>
          <w:lang w:val="it-IT"/>
        </w:rPr>
        <w:t>C Mattu</w:t>
      </w:r>
      <w:r w:rsidRPr="00A46EBA">
        <w:rPr>
          <w:rFonts w:ascii="Arial" w:hAnsi="Arial" w:cs="Arial"/>
          <w:bCs/>
          <w:sz w:val="24"/>
          <w:szCs w:val="24"/>
          <w:lang w:val="it-IT"/>
        </w:rPr>
        <w:t xml:space="preserve">, and G Ciardelli. </w:t>
      </w:r>
      <w:r w:rsidRPr="00A46EBA">
        <w:rPr>
          <w:rFonts w:ascii="Arial" w:hAnsi="Arial" w:cs="Arial"/>
          <w:bCs/>
          <w:sz w:val="24"/>
          <w:szCs w:val="24"/>
          <w:lang w:val="en-US"/>
        </w:rPr>
        <w:t xml:space="preserve">“Surface modification of silicone prostheses by plasma treatment for further grafting with Chitosan-Rose Bengal”; </w:t>
      </w:r>
    </w:p>
    <w:p w:rsidR="00387A07" w:rsidRPr="00A46EBA" w:rsidRDefault="00387A07" w:rsidP="00387A07">
      <w:pPr>
        <w:suppressAutoHyphens/>
        <w:autoSpaceDE w:val="0"/>
        <w:spacing w:after="0" w:line="240" w:lineRule="auto"/>
        <w:jc w:val="both"/>
        <w:rPr>
          <w:rFonts w:ascii="Arial" w:hAnsi="Arial" w:cs="Arial"/>
          <w:bCs/>
          <w:sz w:val="24"/>
          <w:szCs w:val="24"/>
          <w:lang w:val="en-US"/>
        </w:rPr>
      </w:pPr>
    </w:p>
    <w:p w:rsidR="00387A07" w:rsidRPr="00A46EBA" w:rsidRDefault="00387A07" w:rsidP="00387A07">
      <w:pPr>
        <w:suppressAutoHyphens/>
        <w:autoSpaceDE w:val="0"/>
        <w:spacing w:after="0" w:line="240" w:lineRule="auto"/>
        <w:jc w:val="both"/>
        <w:rPr>
          <w:rFonts w:ascii="Arial" w:hAnsi="Arial" w:cs="Arial"/>
          <w:bCs/>
          <w:sz w:val="24"/>
          <w:szCs w:val="24"/>
          <w:lang w:val="it-IT"/>
        </w:rPr>
      </w:pPr>
      <w:r w:rsidRPr="00A46EBA">
        <w:rPr>
          <w:rFonts w:ascii="Arial" w:hAnsi="Arial" w:cs="Arial"/>
          <w:bCs/>
          <w:sz w:val="24"/>
          <w:szCs w:val="24"/>
          <w:lang w:val="it-IT"/>
        </w:rPr>
        <w:t>A Gambino, C Tonda-Turo, V Chiono,</w:t>
      </w:r>
      <w:r w:rsidRPr="00A46EBA">
        <w:rPr>
          <w:rFonts w:ascii="Arial" w:hAnsi="Arial" w:cs="Arial"/>
          <w:b/>
          <w:bCs/>
          <w:sz w:val="24"/>
          <w:szCs w:val="24"/>
          <w:lang w:val="it-IT"/>
        </w:rPr>
        <w:t xml:space="preserve"> </w:t>
      </w:r>
      <w:r w:rsidRPr="00A46EBA">
        <w:rPr>
          <w:rFonts w:ascii="Arial" w:hAnsi="Arial" w:cs="Arial"/>
          <w:bCs/>
          <w:sz w:val="24"/>
          <w:szCs w:val="24"/>
          <w:lang w:val="it-IT"/>
        </w:rPr>
        <w:t xml:space="preserve">P Gentile, A Sacco, </w:t>
      </w:r>
      <w:r w:rsidRPr="00A46EBA">
        <w:rPr>
          <w:rFonts w:ascii="Arial" w:hAnsi="Arial" w:cs="Arial"/>
          <w:b/>
          <w:bCs/>
          <w:sz w:val="24"/>
          <w:szCs w:val="24"/>
          <w:lang w:val="it-IT"/>
        </w:rPr>
        <w:t>C Mattu</w:t>
      </w:r>
      <w:r w:rsidRPr="00A46EBA">
        <w:rPr>
          <w:rFonts w:ascii="Arial" w:hAnsi="Arial" w:cs="Arial"/>
          <w:bCs/>
          <w:sz w:val="24"/>
          <w:szCs w:val="24"/>
          <w:lang w:val="it-IT"/>
        </w:rPr>
        <w:t xml:space="preserve">, and G Ciardelli. “Chitosan porous biocompatible membranes for peripheral nerve regeneration”; </w:t>
      </w:r>
    </w:p>
    <w:p w:rsidR="00387A07" w:rsidRPr="00A46EBA" w:rsidRDefault="00387A07" w:rsidP="00387A07">
      <w:pPr>
        <w:suppressAutoHyphens/>
        <w:autoSpaceDE w:val="0"/>
        <w:spacing w:after="0" w:line="240" w:lineRule="auto"/>
        <w:jc w:val="both"/>
        <w:rPr>
          <w:rFonts w:ascii="Arial" w:hAnsi="Arial" w:cs="Arial"/>
          <w:bCs/>
          <w:sz w:val="24"/>
          <w:szCs w:val="24"/>
          <w:lang w:val="it-IT"/>
        </w:rPr>
      </w:pPr>
    </w:p>
    <w:p w:rsidR="00387A07" w:rsidRPr="00A46EBA" w:rsidRDefault="00387A07" w:rsidP="00387A07">
      <w:pPr>
        <w:suppressAutoHyphens/>
        <w:autoSpaceDE w:val="0"/>
        <w:spacing w:after="0" w:line="240" w:lineRule="auto"/>
        <w:jc w:val="both"/>
        <w:rPr>
          <w:rFonts w:ascii="Arial" w:hAnsi="Arial" w:cs="Arial"/>
          <w:bCs/>
          <w:sz w:val="24"/>
          <w:szCs w:val="24"/>
          <w:lang w:val="en-US"/>
        </w:rPr>
      </w:pPr>
      <w:r w:rsidRPr="00A46EBA">
        <w:rPr>
          <w:rFonts w:ascii="Arial" w:hAnsi="Arial" w:cs="Arial"/>
          <w:bCs/>
          <w:sz w:val="24"/>
          <w:szCs w:val="24"/>
          <w:lang w:val="it-IT"/>
        </w:rPr>
        <w:t xml:space="preserve">I Carmagnola, V Chiono, P Gentile, A M Ferreira-Duarte, </w:t>
      </w:r>
      <w:r w:rsidRPr="00A46EBA">
        <w:rPr>
          <w:rFonts w:ascii="Arial" w:hAnsi="Arial" w:cs="Arial"/>
          <w:b/>
          <w:bCs/>
          <w:sz w:val="24"/>
          <w:szCs w:val="24"/>
          <w:lang w:val="it-IT"/>
        </w:rPr>
        <w:t>C Mattu</w:t>
      </w:r>
      <w:r w:rsidRPr="00A46EBA">
        <w:rPr>
          <w:rFonts w:ascii="Arial" w:hAnsi="Arial" w:cs="Arial"/>
          <w:bCs/>
          <w:sz w:val="24"/>
          <w:szCs w:val="24"/>
          <w:lang w:val="it-IT"/>
        </w:rPr>
        <w:t xml:space="preserve">, I Pashkuleva, L R Reis, G Georgiev, and G Ciardelli. </w:t>
      </w:r>
      <w:r w:rsidRPr="00A46EBA">
        <w:rPr>
          <w:rFonts w:ascii="Arial" w:hAnsi="Arial" w:cs="Arial"/>
          <w:bCs/>
          <w:sz w:val="24"/>
          <w:szCs w:val="24"/>
          <w:lang w:val="en-US"/>
        </w:rPr>
        <w:t xml:space="preserve">“Nanostructured coating via Layer-by-layer of photoactive polymers for tissue engineering”; </w:t>
      </w:r>
    </w:p>
    <w:p w:rsidR="00387A07" w:rsidRPr="00A46EBA" w:rsidRDefault="00387A07" w:rsidP="00387A07">
      <w:pPr>
        <w:suppressAutoHyphens/>
        <w:autoSpaceDE w:val="0"/>
        <w:spacing w:after="0" w:line="240" w:lineRule="auto"/>
        <w:jc w:val="both"/>
        <w:rPr>
          <w:rFonts w:ascii="Arial" w:hAnsi="Arial" w:cs="Arial"/>
          <w:bCs/>
          <w:sz w:val="24"/>
          <w:szCs w:val="24"/>
          <w:lang w:val="en-US"/>
        </w:rPr>
      </w:pPr>
    </w:p>
    <w:p w:rsidR="00387A07" w:rsidRPr="00A46EBA" w:rsidRDefault="00387A07" w:rsidP="00387A07">
      <w:pPr>
        <w:suppressAutoHyphens/>
        <w:autoSpaceDE w:val="0"/>
        <w:spacing w:after="0" w:line="240" w:lineRule="auto"/>
        <w:jc w:val="both"/>
        <w:rPr>
          <w:rFonts w:ascii="Arial" w:hAnsi="Arial" w:cs="Arial"/>
          <w:bCs/>
          <w:sz w:val="24"/>
          <w:szCs w:val="24"/>
          <w:lang w:val="en-US"/>
        </w:rPr>
      </w:pPr>
      <w:r w:rsidRPr="00A46EBA">
        <w:rPr>
          <w:rFonts w:ascii="Arial" w:hAnsi="Arial" w:cs="Arial"/>
          <w:bCs/>
          <w:sz w:val="24"/>
          <w:szCs w:val="24"/>
          <w:lang w:val="it-IT"/>
        </w:rPr>
        <w:t xml:space="preserve">V K Nandagiri, P Gentile, V Chiono, </w:t>
      </w:r>
      <w:r w:rsidRPr="00A46EBA">
        <w:rPr>
          <w:rFonts w:ascii="Arial" w:hAnsi="Arial" w:cs="Arial"/>
          <w:b/>
          <w:bCs/>
          <w:sz w:val="24"/>
          <w:szCs w:val="24"/>
          <w:lang w:val="it-IT"/>
        </w:rPr>
        <w:t>C Mattu</w:t>
      </w:r>
      <w:r w:rsidRPr="00A46EBA">
        <w:rPr>
          <w:rFonts w:ascii="Arial" w:hAnsi="Arial" w:cs="Arial"/>
          <w:bCs/>
          <w:sz w:val="24"/>
          <w:szCs w:val="24"/>
          <w:lang w:val="it-IT"/>
        </w:rPr>
        <w:t xml:space="preserve">, G Ciardelli, F M Montevecchi, and Z Ramtoola. </w:t>
      </w:r>
      <w:r w:rsidRPr="00A46EBA">
        <w:rPr>
          <w:rFonts w:ascii="Arial" w:hAnsi="Arial" w:cs="Arial"/>
          <w:bCs/>
          <w:sz w:val="24"/>
          <w:szCs w:val="24"/>
          <w:lang w:val="en-US"/>
        </w:rPr>
        <w:t xml:space="preserve">“Porous chitosan-gelatin scaffolds embedded with PLGA nanoparticles for bone repair”; </w:t>
      </w:r>
    </w:p>
    <w:p w:rsidR="00387A07" w:rsidRPr="00A46EBA" w:rsidRDefault="00387A07" w:rsidP="00387A07">
      <w:pPr>
        <w:suppressAutoHyphens/>
        <w:autoSpaceDE w:val="0"/>
        <w:spacing w:after="0" w:line="240" w:lineRule="auto"/>
        <w:jc w:val="both"/>
        <w:rPr>
          <w:rFonts w:ascii="Arial" w:hAnsi="Arial" w:cs="Arial"/>
          <w:bCs/>
          <w:sz w:val="24"/>
          <w:szCs w:val="24"/>
          <w:lang w:val="en-US"/>
        </w:rPr>
      </w:pPr>
    </w:p>
    <w:p w:rsidR="00387A07" w:rsidRPr="00A46EBA" w:rsidRDefault="00387A07" w:rsidP="00387A07">
      <w:pPr>
        <w:suppressAutoHyphens/>
        <w:autoSpaceDE w:val="0"/>
        <w:spacing w:after="0" w:line="240" w:lineRule="auto"/>
        <w:jc w:val="both"/>
        <w:rPr>
          <w:rFonts w:ascii="Arial" w:hAnsi="Arial" w:cs="Arial"/>
          <w:sz w:val="24"/>
          <w:szCs w:val="24"/>
          <w:lang w:val="en-US"/>
        </w:rPr>
      </w:pPr>
      <w:r w:rsidRPr="00A46EBA">
        <w:rPr>
          <w:rFonts w:ascii="Arial" w:hAnsi="Arial" w:cs="Arial"/>
          <w:sz w:val="24"/>
          <w:szCs w:val="24"/>
          <w:lang w:val="it-IT"/>
        </w:rPr>
        <w:lastRenderedPageBreak/>
        <w:t xml:space="preserve">A.Silvestri, S. Sartori, P.M. Serafini, P. Ferrando, </w:t>
      </w:r>
      <w:r w:rsidRPr="00A46EBA">
        <w:rPr>
          <w:rFonts w:ascii="Arial" w:hAnsi="Arial" w:cs="Arial"/>
          <w:b/>
          <w:sz w:val="24"/>
          <w:szCs w:val="24"/>
          <w:lang w:val="it-IT"/>
        </w:rPr>
        <w:t>C. Mattu</w:t>
      </w:r>
      <w:r w:rsidRPr="00A46EBA">
        <w:rPr>
          <w:rFonts w:ascii="Arial" w:hAnsi="Arial" w:cs="Arial"/>
          <w:sz w:val="24"/>
          <w:szCs w:val="24"/>
          <w:lang w:val="it-IT"/>
        </w:rPr>
        <w:t xml:space="preserve">, S. Milione, G. Ciardelli. </w:t>
      </w:r>
      <w:r w:rsidRPr="00A46EBA">
        <w:rPr>
          <w:rFonts w:ascii="Arial" w:hAnsi="Arial" w:cs="Arial"/>
          <w:sz w:val="24"/>
          <w:szCs w:val="24"/>
          <w:lang w:val="en-US"/>
        </w:rPr>
        <w:t xml:space="preserve">“Polysiloxane based polyurethane formulations for cardiovascular applications” </w:t>
      </w:r>
      <w:r w:rsidRPr="00A46EBA">
        <w:rPr>
          <w:rFonts w:ascii="Arial" w:hAnsi="Arial" w:cs="Arial"/>
          <w:bCs/>
          <w:sz w:val="24"/>
          <w:szCs w:val="24"/>
          <w:lang w:val="en-US"/>
        </w:rPr>
        <w:t xml:space="preserve">(2010). In: GNB -  Second National Congress of Bioengineering, Turin, Italy </w:t>
      </w:r>
    </w:p>
    <w:p w:rsidR="00387A07" w:rsidRPr="00A46EBA" w:rsidRDefault="00387A07" w:rsidP="00387A07">
      <w:pPr>
        <w:autoSpaceDE w:val="0"/>
        <w:autoSpaceDN w:val="0"/>
        <w:adjustRightInd w:val="0"/>
        <w:spacing w:before="240" w:after="0" w:line="240" w:lineRule="auto"/>
        <w:jc w:val="both"/>
        <w:rPr>
          <w:rFonts w:ascii="Arial" w:hAnsi="Arial" w:cs="Arial"/>
          <w:color w:val="111111"/>
          <w:sz w:val="24"/>
          <w:szCs w:val="24"/>
          <w:lang w:val="en-US"/>
        </w:rPr>
      </w:pPr>
      <w:r w:rsidRPr="00A46EBA">
        <w:rPr>
          <w:rFonts w:ascii="Arial" w:hAnsi="Arial" w:cs="Arial"/>
          <w:bCs/>
          <w:sz w:val="24"/>
          <w:szCs w:val="24"/>
          <w:lang w:val="it-IT"/>
        </w:rPr>
        <w:t xml:space="preserve">A Gambino, A Sacco, C Tonda-Turo, V Chiono, P Gentile, </w:t>
      </w:r>
      <w:r w:rsidRPr="00A46EBA">
        <w:rPr>
          <w:rFonts w:ascii="Arial" w:hAnsi="Arial" w:cs="Arial"/>
          <w:b/>
          <w:bCs/>
          <w:sz w:val="24"/>
          <w:szCs w:val="24"/>
          <w:lang w:val="it-IT"/>
        </w:rPr>
        <w:t>C Mattu</w:t>
      </w:r>
      <w:r w:rsidRPr="00A46EBA">
        <w:rPr>
          <w:rFonts w:ascii="Arial" w:hAnsi="Arial" w:cs="Arial"/>
          <w:bCs/>
          <w:sz w:val="24"/>
          <w:szCs w:val="24"/>
          <w:lang w:val="it-IT"/>
        </w:rPr>
        <w:t xml:space="preserve">, and G Ciardelli. </w:t>
      </w:r>
      <w:r w:rsidRPr="00A46EBA">
        <w:rPr>
          <w:rFonts w:ascii="Arial" w:hAnsi="Arial" w:cs="Arial"/>
          <w:bCs/>
          <w:sz w:val="24"/>
          <w:szCs w:val="24"/>
          <w:lang w:val="en-US"/>
        </w:rPr>
        <w:t xml:space="preserve">“Chitosan porous membranesas nerve guides” (2010). In: CIMTEC -  5th Forum New Materials, Montecatini Terme, Italy </w:t>
      </w:r>
    </w:p>
    <w:p w:rsidR="00387A07" w:rsidRPr="00A46EBA" w:rsidRDefault="00387A07" w:rsidP="00387A07">
      <w:pPr>
        <w:autoSpaceDE w:val="0"/>
        <w:autoSpaceDN w:val="0"/>
        <w:adjustRightInd w:val="0"/>
        <w:spacing w:before="240" w:after="0" w:line="240" w:lineRule="auto"/>
        <w:jc w:val="both"/>
        <w:rPr>
          <w:rFonts w:ascii="Arial" w:hAnsi="Arial" w:cs="Arial"/>
          <w:color w:val="111111"/>
          <w:sz w:val="24"/>
          <w:szCs w:val="24"/>
          <w:lang w:val="en-US"/>
        </w:rPr>
      </w:pPr>
      <w:r w:rsidRPr="00A46EBA">
        <w:rPr>
          <w:rFonts w:ascii="Arial" w:hAnsi="Arial" w:cs="Arial"/>
          <w:color w:val="111111"/>
          <w:sz w:val="24"/>
          <w:szCs w:val="24"/>
          <w:lang w:val="it-IT"/>
        </w:rPr>
        <w:t xml:space="preserve">A. Silvestri, S. Sartori, P. Serafini, P. Ferrando, </w:t>
      </w:r>
      <w:r w:rsidRPr="00A46EBA">
        <w:rPr>
          <w:rFonts w:ascii="Arial" w:hAnsi="Arial" w:cs="Arial"/>
          <w:b/>
          <w:color w:val="111111"/>
          <w:sz w:val="24"/>
          <w:szCs w:val="24"/>
          <w:lang w:val="it-IT"/>
        </w:rPr>
        <w:t>C. Mattu</w:t>
      </w:r>
      <w:r w:rsidRPr="00A46EBA">
        <w:rPr>
          <w:rFonts w:ascii="Arial" w:hAnsi="Arial" w:cs="Arial"/>
          <w:color w:val="111111"/>
          <w:sz w:val="24"/>
          <w:szCs w:val="24"/>
          <w:lang w:val="it-IT"/>
        </w:rPr>
        <w:t xml:space="preserve">, S. Milione, F. Boccafoschi, G. Ciardelli. </w:t>
      </w:r>
      <w:r w:rsidRPr="00A46EBA">
        <w:rPr>
          <w:rFonts w:ascii="Arial" w:hAnsi="Arial" w:cs="Arial"/>
          <w:color w:val="111111"/>
          <w:sz w:val="24"/>
          <w:szCs w:val="24"/>
          <w:lang w:val="en-US"/>
        </w:rPr>
        <w:t xml:space="preserve">“Silicone Containing Biomaterials in Cardiovascular Application” (2010). In: 5th International Conference on Times of Polymers (TOP) and Composites, June 20-23 2010 , Ischia (Italy). </w:t>
      </w:r>
    </w:p>
    <w:p w:rsidR="00387A07" w:rsidRPr="00A46EBA" w:rsidRDefault="00387A07" w:rsidP="00387A07">
      <w:pPr>
        <w:autoSpaceDE w:val="0"/>
        <w:autoSpaceDN w:val="0"/>
        <w:adjustRightInd w:val="0"/>
        <w:spacing w:before="240" w:after="0" w:line="240" w:lineRule="auto"/>
        <w:jc w:val="both"/>
        <w:rPr>
          <w:rFonts w:ascii="Arial" w:hAnsi="Arial" w:cs="Arial"/>
          <w:color w:val="111111"/>
          <w:sz w:val="24"/>
          <w:szCs w:val="24"/>
          <w:lang w:val="it-IT"/>
        </w:rPr>
      </w:pPr>
      <w:r w:rsidRPr="00A46EBA">
        <w:rPr>
          <w:rFonts w:ascii="Arial" w:hAnsi="Arial" w:cs="Arial"/>
          <w:bCs/>
          <w:sz w:val="24"/>
          <w:szCs w:val="24"/>
          <w:lang w:val="it-IT"/>
        </w:rPr>
        <w:t xml:space="preserve">P Gentile, V K Nandagiri, C Tonda-Turo, V Chiono, </w:t>
      </w:r>
      <w:r w:rsidRPr="00A46EBA">
        <w:rPr>
          <w:rFonts w:ascii="Arial" w:hAnsi="Arial" w:cs="Arial"/>
          <w:b/>
          <w:bCs/>
          <w:sz w:val="24"/>
          <w:szCs w:val="24"/>
          <w:lang w:val="it-IT"/>
        </w:rPr>
        <w:t>C Mattu</w:t>
      </w:r>
      <w:r w:rsidRPr="00A46EBA">
        <w:rPr>
          <w:rFonts w:ascii="Arial" w:hAnsi="Arial" w:cs="Arial"/>
          <w:bCs/>
          <w:sz w:val="24"/>
          <w:szCs w:val="24"/>
          <w:lang w:val="it-IT"/>
        </w:rPr>
        <w:t xml:space="preserve">, L Ruo, and G Ciardelli. </w:t>
      </w:r>
      <w:r w:rsidRPr="00A46EBA">
        <w:rPr>
          <w:rFonts w:ascii="Arial" w:hAnsi="Arial" w:cs="Arial"/>
          <w:bCs/>
          <w:sz w:val="24"/>
          <w:szCs w:val="24"/>
          <w:lang w:val="en-US"/>
        </w:rPr>
        <w:t xml:space="preserve">“Bioactive and resorbable glass/gelatin composite scaffolds for bone tissue engineering” (2009). </w:t>
      </w:r>
      <w:r w:rsidRPr="00A46EBA">
        <w:rPr>
          <w:rFonts w:ascii="Arial" w:hAnsi="Arial" w:cs="Arial"/>
          <w:bCs/>
          <w:sz w:val="24"/>
          <w:szCs w:val="24"/>
          <w:lang w:val="it-IT"/>
        </w:rPr>
        <w:t xml:space="preserve">In: 22nd European Conference on Biomaterials, Lausanne, Switzerland </w:t>
      </w:r>
    </w:p>
    <w:p w:rsidR="00387A07" w:rsidRPr="00A46EBA" w:rsidRDefault="00387A07" w:rsidP="00387A07">
      <w:pPr>
        <w:autoSpaceDE w:val="0"/>
        <w:autoSpaceDN w:val="0"/>
        <w:adjustRightInd w:val="0"/>
        <w:spacing w:before="240" w:after="0" w:line="240" w:lineRule="auto"/>
        <w:jc w:val="both"/>
        <w:rPr>
          <w:rFonts w:ascii="Arial" w:hAnsi="Arial" w:cs="Arial"/>
          <w:bCs/>
          <w:sz w:val="24"/>
          <w:szCs w:val="24"/>
          <w:lang w:val="en-US"/>
        </w:rPr>
      </w:pPr>
      <w:r w:rsidRPr="00A46EBA">
        <w:rPr>
          <w:rFonts w:ascii="Arial" w:hAnsi="Arial" w:cs="Arial"/>
          <w:color w:val="111111"/>
          <w:sz w:val="24"/>
          <w:szCs w:val="24"/>
          <w:lang w:val="it-IT"/>
        </w:rPr>
        <w:t xml:space="preserve">A. Rechichi, A. Silvestri, P. Serafini, </w:t>
      </w:r>
      <w:r w:rsidRPr="00A46EBA">
        <w:rPr>
          <w:rFonts w:ascii="Arial" w:hAnsi="Arial" w:cs="Arial"/>
          <w:b/>
          <w:color w:val="111111"/>
          <w:sz w:val="24"/>
          <w:szCs w:val="24"/>
          <w:lang w:val="it-IT"/>
        </w:rPr>
        <w:t>C. Mattu</w:t>
      </w:r>
      <w:r w:rsidRPr="00A46EBA">
        <w:rPr>
          <w:rFonts w:ascii="Arial" w:hAnsi="Arial" w:cs="Arial"/>
          <w:color w:val="111111"/>
          <w:sz w:val="24"/>
          <w:szCs w:val="24"/>
          <w:lang w:val="it-IT"/>
        </w:rPr>
        <w:t xml:space="preserve">, R. Li, V. K. Nandagiri, G. Ciardelli. </w:t>
      </w:r>
      <w:r w:rsidRPr="00A46EBA">
        <w:rPr>
          <w:rFonts w:ascii="Arial" w:hAnsi="Arial" w:cs="Arial"/>
          <w:color w:val="111111"/>
          <w:sz w:val="24"/>
          <w:szCs w:val="24"/>
          <w:lang w:val="en-US"/>
        </w:rPr>
        <w:t>“</w:t>
      </w:r>
      <w:r w:rsidRPr="00A46EBA">
        <w:rPr>
          <w:rStyle w:val="Enfasicorsivo"/>
          <w:rFonts w:ascii="Arial" w:hAnsi="Arial" w:cs="Arial"/>
          <w:bCs/>
          <w:sz w:val="24"/>
          <w:szCs w:val="24"/>
          <w:lang w:val="en-US"/>
        </w:rPr>
        <w:t>Biodegradable polymeric particles for cancer treatment and regenerative medicine”</w:t>
      </w:r>
      <w:r w:rsidRPr="00A46EBA">
        <w:rPr>
          <w:rFonts w:ascii="Arial" w:hAnsi="Arial" w:cs="Arial"/>
          <w:color w:val="111111"/>
          <w:sz w:val="24"/>
          <w:szCs w:val="24"/>
          <w:lang w:val="en-US"/>
        </w:rPr>
        <w:t xml:space="preserve"> (2009). In COST Action 868 Biotechnical Biopolymers in Textile, Packaging, Cosmetics and Medical Applications, May 18-19 2009, ISOLA D'ELBA (ITALY). </w:t>
      </w:r>
    </w:p>
    <w:p w:rsidR="00387A07" w:rsidRPr="00A46EBA" w:rsidRDefault="00387A07" w:rsidP="00387A07">
      <w:pPr>
        <w:autoSpaceDE w:val="0"/>
        <w:autoSpaceDN w:val="0"/>
        <w:adjustRightInd w:val="0"/>
        <w:spacing w:after="0" w:line="240" w:lineRule="auto"/>
        <w:jc w:val="both"/>
        <w:outlineLvl w:val="0"/>
        <w:rPr>
          <w:rFonts w:ascii="Arial" w:hAnsi="Arial" w:cs="Arial"/>
          <w:bCs/>
          <w:sz w:val="24"/>
          <w:szCs w:val="24"/>
          <w:lang w:val="en-US"/>
        </w:rPr>
      </w:pPr>
      <w:r w:rsidRPr="00A46EBA">
        <w:rPr>
          <w:rFonts w:ascii="Arial" w:hAnsi="Arial" w:cs="Arial"/>
          <w:bCs/>
          <w:sz w:val="24"/>
          <w:szCs w:val="24"/>
          <w:lang w:val="en-US"/>
        </w:rPr>
        <w:t xml:space="preserve"> </w:t>
      </w:r>
    </w:p>
    <w:p w:rsidR="00387A07" w:rsidRPr="00A46EBA" w:rsidRDefault="00387A07" w:rsidP="00387A07">
      <w:pPr>
        <w:autoSpaceDE w:val="0"/>
        <w:autoSpaceDN w:val="0"/>
        <w:adjustRightInd w:val="0"/>
        <w:spacing w:after="0" w:line="240" w:lineRule="auto"/>
        <w:jc w:val="center"/>
        <w:outlineLvl w:val="0"/>
        <w:rPr>
          <w:rFonts w:ascii="Arial" w:hAnsi="Arial" w:cs="Arial"/>
          <w:b/>
          <w:bCs/>
          <w:sz w:val="24"/>
          <w:szCs w:val="24"/>
          <w:lang w:val="it-IT"/>
        </w:rPr>
      </w:pPr>
      <w:r w:rsidRPr="00A46EBA">
        <w:rPr>
          <w:rFonts w:ascii="Arial" w:hAnsi="Arial" w:cs="Arial"/>
          <w:b/>
          <w:bCs/>
          <w:sz w:val="24"/>
          <w:szCs w:val="24"/>
          <w:lang w:val="it-IT"/>
        </w:rPr>
        <w:t>PATENTS</w:t>
      </w:r>
    </w:p>
    <w:p w:rsidR="00387A07" w:rsidRPr="00A46EBA" w:rsidRDefault="00387A07" w:rsidP="00387A07">
      <w:pPr>
        <w:autoSpaceDE w:val="0"/>
        <w:autoSpaceDN w:val="0"/>
        <w:adjustRightInd w:val="0"/>
        <w:spacing w:after="0" w:line="240" w:lineRule="auto"/>
        <w:jc w:val="both"/>
        <w:rPr>
          <w:rFonts w:ascii="Arial" w:hAnsi="Arial" w:cs="Arial"/>
          <w:b/>
          <w:bCs/>
          <w:sz w:val="24"/>
          <w:szCs w:val="24"/>
          <w:lang w:val="it-IT"/>
        </w:rPr>
      </w:pPr>
    </w:p>
    <w:p w:rsidR="00387A07" w:rsidRPr="00A46EBA" w:rsidRDefault="00387A07" w:rsidP="00387A07">
      <w:pPr>
        <w:autoSpaceDE w:val="0"/>
        <w:autoSpaceDN w:val="0"/>
        <w:adjustRightInd w:val="0"/>
        <w:spacing w:after="0" w:line="240" w:lineRule="auto"/>
        <w:jc w:val="both"/>
        <w:rPr>
          <w:rFonts w:ascii="Arial" w:hAnsi="Arial" w:cs="Arial"/>
          <w:bCs/>
          <w:sz w:val="24"/>
          <w:szCs w:val="24"/>
          <w:lang w:val="en-US"/>
        </w:rPr>
      </w:pPr>
      <w:r w:rsidRPr="00A46EBA">
        <w:rPr>
          <w:rFonts w:ascii="Arial" w:hAnsi="Arial" w:cs="Arial"/>
          <w:bCs/>
          <w:sz w:val="24"/>
          <w:szCs w:val="24"/>
          <w:lang w:val="it-IT"/>
        </w:rPr>
        <w:t xml:space="preserve">G Ciardelli, P Gentile, C Tonda Turo, V Chiono, </w:t>
      </w:r>
      <w:r w:rsidRPr="00A46EBA">
        <w:rPr>
          <w:rFonts w:ascii="Arial" w:hAnsi="Arial" w:cs="Arial"/>
          <w:b/>
          <w:bCs/>
          <w:sz w:val="24"/>
          <w:szCs w:val="24"/>
          <w:lang w:val="it-IT"/>
        </w:rPr>
        <w:t>C. Mattu</w:t>
      </w:r>
      <w:r w:rsidRPr="00A46EBA">
        <w:rPr>
          <w:rFonts w:ascii="Arial" w:hAnsi="Arial" w:cs="Arial"/>
          <w:bCs/>
          <w:sz w:val="24"/>
          <w:szCs w:val="24"/>
          <w:lang w:val="it-IT"/>
        </w:rPr>
        <w:t xml:space="preserve">, A.M. Ferreira-Duarte. </w:t>
      </w:r>
      <w:r w:rsidRPr="00A46EBA">
        <w:rPr>
          <w:rFonts w:ascii="Arial" w:hAnsi="Arial" w:cs="Arial"/>
          <w:bCs/>
          <w:sz w:val="24"/>
          <w:szCs w:val="24"/>
          <w:lang w:val="en-US"/>
        </w:rPr>
        <w:t>“B</w:t>
      </w:r>
      <w:r w:rsidRPr="00A46EBA">
        <w:rPr>
          <w:rFonts w:ascii="Arial" w:hAnsi="Arial" w:cs="Arial"/>
          <w:sz w:val="24"/>
          <w:szCs w:val="24"/>
          <w:lang w:val="en-US"/>
        </w:rPr>
        <w:t>iomimetic and biodegradable polymeric bone cements for vertebroplasty</w:t>
      </w:r>
      <w:r w:rsidRPr="00A46EBA">
        <w:rPr>
          <w:rFonts w:ascii="Arial" w:hAnsi="Arial" w:cs="Arial"/>
          <w:bCs/>
          <w:sz w:val="24"/>
          <w:szCs w:val="24"/>
          <w:lang w:val="en-US"/>
        </w:rPr>
        <w:t>” Italian Patent number TO2011A000549, issued Jun. 23, 2011.</w:t>
      </w:r>
    </w:p>
    <w:p w:rsidR="00387A07" w:rsidRPr="00A46EBA" w:rsidRDefault="00387A07" w:rsidP="00387A07">
      <w:pPr>
        <w:autoSpaceDE w:val="0"/>
        <w:autoSpaceDN w:val="0"/>
        <w:adjustRightInd w:val="0"/>
        <w:spacing w:before="240" w:after="0" w:line="240" w:lineRule="auto"/>
        <w:jc w:val="both"/>
        <w:rPr>
          <w:rFonts w:ascii="Arial" w:hAnsi="Arial" w:cs="Arial"/>
          <w:bCs/>
          <w:sz w:val="24"/>
          <w:szCs w:val="24"/>
          <w:lang w:val="en-US"/>
        </w:rPr>
      </w:pPr>
    </w:p>
    <w:p w:rsidR="00387A07" w:rsidRPr="00A46EBA" w:rsidRDefault="00387A07" w:rsidP="00387A07">
      <w:pPr>
        <w:autoSpaceDE w:val="0"/>
        <w:autoSpaceDN w:val="0"/>
        <w:adjustRightInd w:val="0"/>
        <w:spacing w:after="0"/>
        <w:jc w:val="both"/>
        <w:rPr>
          <w:rFonts w:ascii="Arial" w:hAnsi="Arial" w:cs="Arial"/>
          <w:b/>
          <w:bCs/>
          <w:sz w:val="24"/>
          <w:szCs w:val="24"/>
          <w:lang w:val="en-US"/>
        </w:rPr>
      </w:pPr>
    </w:p>
    <w:p w:rsidR="00387A07" w:rsidRPr="00A46EBA" w:rsidRDefault="00387A07" w:rsidP="00387A07">
      <w:pPr>
        <w:jc w:val="both"/>
        <w:rPr>
          <w:rFonts w:ascii="Arial" w:hAnsi="Arial" w:cs="Arial"/>
          <w:sz w:val="24"/>
          <w:szCs w:val="24"/>
          <w:lang w:val="en-US"/>
        </w:rPr>
      </w:pPr>
    </w:p>
    <w:p w:rsidR="00387A07" w:rsidRPr="00A46EBA" w:rsidRDefault="00387A07" w:rsidP="00387A07">
      <w:pPr>
        <w:jc w:val="both"/>
        <w:rPr>
          <w:rFonts w:ascii="Arial" w:hAnsi="Arial" w:cs="Arial"/>
          <w:sz w:val="24"/>
          <w:szCs w:val="24"/>
          <w:lang w:val="en-US"/>
        </w:rPr>
      </w:pPr>
    </w:p>
    <w:p w:rsidR="00387A07" w:rsidRPr="00A46EBA" w:rsidRDefault="00387A07" w:rsidP="00387A07">
      <w:pPr>
        <w:jc w:val="both"/>
        <w:rPr>
          <w:rFonts w:ascii="Arial" w:hAnsi="Arial" w:cs="Arial"/>
          <w:sz w:val="24"/>
          <w:szCs w:val="24"/>
          <w:lang w:val="en-US"/>
        </w:rPr>
      </w:pPr>
    </w:p>
    <w:p w:rsidR="00387A07" w:rsidRPr="00A46EBA" w:rsidRDefault="00387A07" w:rsidP="00387A07">
      <w:pPr>
        <w:jc w:val="both"/>
        <w:rPr>
          <w:rFonts w:ascii="Arial" w:hAnsi="Arial" w:cs="Arial"/>
          <w:sz w:val="24"/>
          <w:szCs w:val="24"/>
          <w:lang w:val="en-US"/>
        </w:rPr>
      </w:pPr>
    </w:p>
    <w:p w:rsidR="00387A07" w:rsidRPr="00A46EBA" w:rsidRDefault="00387A07" w:rsidP="00387A07">
      <w:pPr>
        <w:jc w:val="both"/>
        <w:rPr>
          <w:rFonts w:ascii="Arial" w:hAnsi="Arial" w:cs="Arial"/>
          <w:sz w:val="24"/>
          <w:szCs w:val="24"/>
          <w:lang w:val="en-US"/>
        </w:rPr>
      </w:pPr>
    </w:p>
    <w:p w:rsidR="00387A07" w:rsidRPr="00A46EBA" w:rsidRDefault="00387A07" w:rsidP="00387A07">
      <w:pPr>
        <w:jc w:val="both"/>
        <w:rPr>
          <w:rFonts w:ascii="Arial" w:hAnsi="Arial" w:cs="Arial"/>
          <w:sz w:val="24"/>
          <w:szCs w:val="24"/>
          <w:lang w:val="en-US"/>
        </w:rPr>
      </w:pPr>
    </w:p>
    <w:p w:rsidR="00387A07" w:rsidRDefault="00387A07" w:rsidP="00387A07">
      <w:pPr>
        <w:jc w:val="both"/>
        <w:rPr>
          <w:rFonts w:ascii="Arial" w:hAnsi="Arial" w:cs="Arial"/>
          <w:sz w:val="24"/>
          <w:szCs w:val="24"/>
          <w:lang w:val="en-US"/>
        </w:rPr>
      </w:pPr>
    </w:p>
    <w:p w:rsidR="00387A07" w:rsidRDefault="00387A07" w:rsidP="00387A07">
      <w:pPr>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Default="00387A07" w:rsidP="00387A07">
      <w:pPr>
        <w:spacing w:after="0" w:line="360" w:lineRule="auto"/>
        <w:jc w:val="both"/>
        <w:rPr>
          <w:rFonts w:ascii="Arial" w:hAnsi="Arial" w:cs="Arial"/>
          <w:sz w:val="24"/>
          <w:szCs w:val="24"/>
          <w:lang w:val="en-US"/>
        </w:rPr>
      </w:pPr>
    </w:p>
    <w:p w:rsidR="00387A07" w:rsidRPr="00387A07" w:rsidRDefault="00387A07" w:rsidP="00387A07">
      <w:pPr>
        <w:spacing w:after="0" w:line="360" w:lineRule="auto"/>
        <w:jc w:val="both"/>
        <w:rPr>
          <w:rFonts w:ascii="Arial" w:hAnsi="Arial" w:cs="Arial"/>
          <w:sz w:val="24"/>
          <w:szCs w:val="24"/>
          <w:lang w:val="en-US"/>
        </w:rPr>
      </w:pPr>
    </w:p>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Default="00387A07"/>
    <w:p w:rsidR="00387A07" w:rsidRPr="00CD3216" w:rsidRDefault="00387A07" w:rsidP="00387A07">
      <w:pPr>
        <w:spacing w:after="240"/>
        <w:jc w:val="center"/>
        <w:rPr>
          <w:rFonts w:ascii="Arial" w:hAnsi="Arial" w:cs="Arial"/>
          <w:b/>
          <w:color w:val="1F497D" w:themeColor="text2"/>
          <w:sz w:val="36"/>
          <w:szCs w:val="36"/>
          <w:u w:val="single"/>
          <w:lang w:val="en-US"/>
        </w:rPr>
      </w:pPr>
      <w:r w:rsidRPr="00CD3216">
        <w:rPr>
          <w:rFonts w:ascii="Arial" w:hAnsi="Arial" w:cs="Arial"/>
          <w:b/>
          <w:color w:val="1F497D" w:themeColor="text2"/>
          <w:sz w:val="36"/>
          <w:szCs w:val="36"/>
          <w:u w:val="single"/>
          <w:lang w:val="en-US"/>
        </w:rPr>
        <w:t>Abstract</w:t>
      </w:r>
    </w:p>
    <w:p w:rsidR="00387A07" w:rsidRPr="00C93DB0" w:rsidRDefault="00387A07" w:rsidP="00387A07">
      <w:pPr>
        <w:pStyle w:val="Testonormale"/>
        <w:spacing w:line="360" w:lineRule="auto"/>
        <w:jc w:val="both"/>
        <w:outlineLvl w:val="0"/>
        <w:rPr>
          <w:rFonts w:ascii="Arial" w:hAnsi="Arial" w:cs="Arial"/>
          <w:sz w:val="24"/>
          <w:szCs w:val="24"/>
        </w:rPr>
      </w:pPr>
      <w:r w:rsidRPr="00F00BA7">
        <w:rPr>
          <w:rFonts w:ascii="Arial" w:hAnsi="Arial" w:cs="Arial"/>
          <w:sz w:val="24"/>
          <w:szCs w:val="24"/>
          <w:lang w:val="en-GB"/>
        </w:rPr>
        <w:t>Biodegradable polymeric nanoparticles</w:t>
      </w:r>
      <w:r>
        <w:rPr>
          <w:rFonts w:ascii="Arial" w:hAnsi="Arial" w:cs="Arial"/>
          <w:sz w:val="24"/>
          <w:szCs w:val="24"/>
          <w:lang w:val="en-GB"/>
        </w:rPr>
        <w:t xml:space="preserve"> (nps)</w:t>
      </w:r>
      <w:r w:rsidRPr="00F00BA7">
        <w:rPr>
          <w:rFonts w:ascii="Arial" w:hAnsi="Arial" w:cs="Arial"/>
          <w:sz w:val="24"/>
          <w:szCs w:val="24"/>
          <w:lang w:val="en-GB"/>
        </w:rPr>
        <w:t xml:space="preserve"> have shown to be promising forms for the delivery of a wide array of drug formulations</w:t>
      </w:r>
      <w:r>
        <w:rPr>
          <w:rFonts w:ascii="Arial" w:hAnsi="Arial" w:cs="Arial"/>
          <w:sz w:val="24"/>
          <w:szCs w:val="24"/>
          <w:lang w:val="en-GB"/>
        </w:rPr>
        <w:t>, because of their ability to: (i) increase the drug half-life in the blood stream, (ii) enhance the solubility of poorly-water soluble drugs, which represents the main obstacle to their efficient administration (iii) improve drug bioavailability and (iv) reduce systemic toxicity. These properties are of particular interest when dealing with deseases like cancer, since they offer the possibility to overcome toxicity and administration pro</w:t>
      </w:r>
      <w:r w:rsidRPr="00C93DB0">
        <w:rPr>
          <w:rFonts w:ascii="Arial" w:hAnsi="Arial" w:cs="Arial"/>
          <w:sz w:val="24"/>
          <w:szCs w:val="24"/>
        </w:rPr>
        <w:t>blems associated with traditional chemotherapy.</w:t>
      </w:r>
    </w:p>
    <w:p w:rsidR="00387A07" w:rsidRDefault="00387A07" w:rsidP="00387A07">
      <w:pPr>
        <w:pStyle w:val="Testonormale"/>
        <w:spacing w:line="360" w:lineRule="auto"/>
        <w:ind w:firstLine="284"/>
        <w:jc w:val="both"/>
        <w:outlineLvl w:val="0"/>
        <w:rPr>
          <w:rFonts w:ascii="Arial" w:hAnsi="Arial" w:cs="Arial"/>
          <w:sz w:val="24"/>
          <w:szCs w:val="24"/>
          <w:lang w:val="en-GB"/>
        </w:rPr>
      </w:pPr>
      <w:r>
        <w:rPr>
          <w:rFonts w:ascii="Arial" w:hAnsi="Arial" w:cs="Arial"/>
          <w:sz w:val="24"/>
          <w:szCs w:val="24"/>
          <w:lang w:val="en-GB"/>
        </w:rPr>
        <w:t>Moreover,</w:t>
      </w:r>
      <w:r w:rsidRPr="00F00BA7">
        <w:rPr>
          <w:rFonts w:ascii="Arial" w:hAnsi="Arial" w:cs="Arial"/>
          <w:sz w:val="24"/>
          <w:szCs w:val="24"/>
          <w:lang w:val="en-GB"/>
        </w:rPr>
        <w:t xml:space="preserve"> </w:t>
      </w:r>
      <w:r>
        <w:rPr>
          <w:rFonts w:ascii="Arial" w:hAnsi="Arial" w:cs="Arial"/>
          <w:sz w:val="24"/>
          <w:szCs w:val="24"/>
          <w:lang w:val="en-GB"/>
        </w:rPr>
        <w:t xml:space="preserve">polymeric </w:t>
      </w:r>
      <w:r w:rsidRPr="00F00BA7">
        <w:rPr>
          <w:rFonts w:ascii="Arial" w:hAnsi="Arial" w:cs="Arial"/>
          <w:sz w:val="24"/>
          <w:szCs w:val="24"/>
          <w:lang w:val="en-GB"/>
        </w:rPr>
        <w:t xml:space="preserve">nanoparticles </w:t>
      </w:r>
      <w:r>
        <w:rPr>
          <w:rFonts w:ascii="Arial" w:hAnsi="Arial" w:cs="Arial"/>
          <w:sz w:val="24"/>
          <w:szCs w:val="24"/>
          <w:lang w:val="en-GB"/>
        </w:rPr>
        <w:t>are able</w:t>
      </w:r>
      <w:r w:rsidRPr="00F00BA7">
        <w:rPr>
          <w:rFonts w:ascii="Arial" w:hAnsi="Arial" w:cs="Arial"/>
          <w:sz w:val="24"/>
          <w:szCs w:val="24"/>
          <w:lang w:val="en-GB"/>
        </w:rPr>
        <w:t xml:space="preserve"> to passively target tumour cells through the Enhanced Permea</w:t>
      </w:r>
      <w:r>
        <w:rPr>
          <w:rFonts w:ascii="Arial" w:hAnsi="Arial" w:cs="Arial"/>
          <w:sz w:val="24"/>
          <w:szCs w:val="24"/>
          <w:lang w:val="en-GB"/>
        </w:rPr>
        <w:t>tion and Retention (EPR) Effect</w:t>
      </w:r>
      <w:r w:rsidRPr="00F00BA7">
        <w:rPr>
          <w:rFonts w:ascii="Arial" w:hAnsi="Arial" w:cs="Arial"/>
          <w:sz w:val="24"/>
          <w:szCs w:val="24"/>
          <w:lang w:val="en-GB"/>
        </w:rPr>
        <w:t xml:space="preserve">. Tumours are composed of fastly-growing cells which need an extensive supply of oxygen and other nutrients. Their vessels are therefore highly fenestrated (200-300nm) and allow small-size particles to accumulate inside cancer cells. Moreover tumours lack of an efficient lymphatic system and are not able to eliminate these particles once they entered the cells. </w:t>
      </w:r>
    </w:p>
    <w:p w:rsidR="00387A07" w:rsidRPr="00C2005B" w:rsidRDefault="00387A07" w:rsidP="00387A07">
      <w:pPr>
        <w:pStyle w:val="Testonormale"/>
        <w:spacing w:line="360" w:lineRule="auto"/>
        <w:ind w:firstLine="284"/>
        <w:jc w:val="both"/>
        <w:outlineLvl w:val="0"/>
        <w:rPr>
          <w:rFonts w:ascii="Arial" w:hAnsi="Arial" w:cs="Arial"/>
          <w:b/>
          <w:sz w:val="24"/>
          <w:szCs w:val="24"/>
          <w:lang w:val="en-GB"/>
        </w:rPr>
      </w:pPr>
      <w:r w:rsidRPr="00C2005B">
        <w:rPr>
          <w:rFonts w:ascii="Arial" w:hAnsi="Arial" w:cs="Arial"/>
          <w:b/>
          <w:sz w:val="24"/>
          <w:szCs w:val="24"/>
          <w:lang w:val="en-GB"/>
        </w:rPr>
        <w:t xml:space="preserve">In this thesis work, biodegradable polymeric nanoparticles, prepared with different materials and techniques were proposed for the active and passive targeting of cancer cells and for the functionalization of biomimetic constructs for tissue engineering. </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rPr>
        <w:t>T</w:t>
      </w:r>
      <w:r>
        <w:rPr>
          <w:rFonts w:ascii="Arial" w:hAnsi="Arial" w:cs="Arial"/>
          <w:sz w:val="24"/>
          <w:szCs w:val="24"/>
          <w:lang w:val="en-US"/>
        </w:rPr>
        <w:t xml:space="preserve">he first section of the present work was mainly focused on the preparation of nanoparticles starting from preformed polyesterurethanes (PU) through two widely used and highly reproducible techniques. </w:t>
      </w:r>
    </w:p>
    <w:p w:rsidR="00387A07" w:rsidRDefault="00387A07" w:rsidP="00387A07">
      <w:pPr>
        <w:autoSpaceDE w:val="0"/>
        <w:autoSpaceDN w:val="0"/>
        <w:adjustRightInd w:val="0"/>
        <w:spacing w:after="0" w:line="360" w:lineRule="auto"/>
        <w:ind w:firstLine="708"/>
        <w:jc w:val="both"/>
        <w:rPr>
          <w:rFonts w:ascii="Arial" w:hAnsi="Arial" w:cs="Arial"/>
          <w:sz w:val="24"/>
          <w:szCs w:val="24"/>
          <w:lang w:val="en-US"/>
        </w:rPr>
      </w:pPr>
      <w:r>
        <w:rPr>
          <w:rFonts w:ascii="Arial" w:hAnsi="Arial" w:cs="Arial"/>
          <w:sz w:val="24"/>
          <w:szCs w:val="24"/>
          <w:lang w:val="en-US"/>
        </w:rPr>
        <w:t xml:space="preserve">Chapter two describes the preparation of nanoparticles by the Solvent Displacement method with two widely used commercial polyesters, poly(ε-caprolactone) and poly(D,L lactide) and the newly synthesized polyesterurethane C-BC2000, based on poly(ε-caprolactone) blocks. The solvent displacement method was selected, since it leads to the formation of monodisperse, small particles by simple precipitation of the polymer in the non solvent (water) without the use of toxic solvents or the application of shear stresses.  </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Paclitaxel, one of the most potent antineoplastic drugs, was encapsulated inside the carriers, which were analyzed in terms of:</w:t>
      </w:r>
    </w:p>
    <w:p w:rsidR="00387A07" w:rsidRDefault="00387A07" w:rsidP="00387A07">
      <w:pPr>
        <w:pStyle w:val="Paragrafoelenco"/>
        <w:numPr>
          <w:ilvl w:val="0"/>
          <w:numId w:val="2"/>
        </w:num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Morphology, by means of scanning electron microscopy (SEM) and atomic force microscopy (AFM)</w:t>
      </w:r>
    </w:p>
    <w:p w:rsidR="00387A07" w:rsidRDefault="00387A07" w:rsidP="00387A07">
      <w:pPr>
        <w:pStyle w:val="Paragrafoelenco"/>
        <w:numPr>
          <w:ilvl w:val="0"/>
          <w:numId w:val="2"/>
        </w:num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lastRenderedPageBreak/>
        <w:t>S</w:t>
      </w:r>
      <w:r w:rsidRPr="00654991">
        <w:rPr>
          <w:rFonts w:ascii="Arial" w:hAnsi="Arial" w:cs="Arial"/>
          <w:sz w:val="24"/>
          <w:szCs w:val="24"/>
          <w:lang w:val="en-US"/>
        </w:rPr>
        <w:t xml:space="preserve">ize, size distribution, zeta potential </w:t>
      </w:r>
    </w:p>
    <w:p w:rsidR="00387A07" w:rsidRDefault="00387A07" w:rsidP="00387A07">
      <w:pPr>
        <w:pStyle w:val="Paragrafoelenco"/>
        <w:numPr>
          <w:ilvl w:val="0"/>
          <w:numId w:val="2"/>
        </w:num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E</w:t>
      </w:r>
      <w:r w:rsidRPr="00654991">
        <w:rPr>
          <w:rFonts w:ascii="Arial" w:hAnsi="Arial" w:cs="Arial"/>
          <w:sz w:val="24"/>
          <w:szCs w:val="24"/>
          <w:lang w:val="en-US"/>
        </w:rPr>
        <w:t>ncapsulation</w:t>
      </w:r>
      <w:r>
        <w:rPr>
          <w:rFonts w:ascii="Arial" w:hAnsi="Arial" w:cs="Arial"/>
          <w:sz w:val="24"/>
          <w:szCs w:val="24"/>
          <w:lang w:val="en-US"/>
        </w:rPr>
        <w:t xml:space="preserve"> efficiency</w:t>
      </w:r>
      <w:r w:rsidRPr="00654991">
        <w:rPr>
          <w:rFonts w:ascii="Arial" w:hAnsi="Arial" w:cs="Arial"/>
          <w:sz w:val="24"/>
          <w:szCs w:val="24"/>
          <w:lang w:val="en-US"/>
        </w:rPr>
        <w:t xml:space="preserve"> and release properties </w:t>
      </w:r>
    </w:p>
    <w:p w:rsidR="00387A07" w:rsidRDefault="00387A07" w:rsidP="00387A07">
      <w:pPr>
        <w:pStyle w:val="Paragrafoelenco"/>
        <w:numPr>
          <w:ilvl w:val="0"/>
          <w:numId w:val="2"/>
        </w:num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Hydrolytic degradation pathways</w:t>
      </w:r>
    </w:p>
    <w:p w:rsidR="00387A07" w:rsidRPr="00654991" w:rsidRDefault="00387A07" w:rsidP="00387A07">
      <w:pPr>
        <w:pStyle w:val="Paragrafoelenco"/>
        <w:numPr>
          <w:ilvl w:val="0"/>
          <w:numId w:val="2"/>
        </w:numPr>
        <w:autoSpaceDE w:val="0"/>
        <w:autoSpaceDN w:val="0"/>
        <w:adjustRightInd w:val="0"/>
        <w:spacing w:after="120" w:line="360" w:lineRule="auto"/>
        <w:ind w:left="777" w:hanging="357"/>
        <w:jc w:val="both"/>
        <w:rPr>
          <w:rFonts w:ascii="Arial" w:hAnsi="Arial" w:cs="Arial"/>
          <w:sz w:val="24"/>
          <w:szCs w:val="24"/>
          <w:lang w:val="en-US"/>
        </w:rPr>
      </w:pPr>
      <w:r>
        <w:rPr>
          <w:rFonts w:ascii="Arial" w:hAnsi="Arial" w:cs="Arial"/>
          <w:sz w:val="24"/>
          <w:szCs w:val="24"/>
          <w:lang w:val="en-US"/>
        </w:rPr>
        <w:t xml:space="preserve">Uptake by A431 human epidermal carcinoma </w:t>
      </w:r>
      <w:r w:rsidRPr="00654991">
        <w:rPr>
          <w:rFonts w:ascii="Arial" w:hAnsi="Arial" w:cs="Arial"/>
          <w:sz w:val="24"/>
          <w:szCs w:val="24"/>
          <w:lang w:val="en-US"/>
        </w:rPr>
        <w:t xml:space="preserve">cells </w:t>
      </w:r>
    </w:p>
    <w:p w:rsidR="00387A07" w:rsidRPr="00FA21C6" w:rsidRDefault="00387A07" w:rsidP="00387A07">
      <w:pPr>
        <w:spacing w:after="0" w:line="360" w:lineRule="auto"/>
        <w:jc w:val="both"/>
        <w:rPr>
          <w:rFonts w:ascii="Arial" w:hAnsi="Arial" w:cs="Arial"/>
          <w:sz w:val="24"/>
          <w:szCs w:val="24"/>
          <w:lang w:val="en-US"/>
        </w:rPr>
      </w:pPr>
      <w:r w:rsidRPr="00FA21C6">
        <w:rPr>
          <w:rFonts w:ascii="Arial" w:eastAsia="Calibri" w:hAnsi="Arial" w:cs="Arial"/>
          <w:sz w:val="24"/>
          <w:szCs w:val="24"/>
          <w:lang w:val="en-US"/>
        </w:rPr>
        <w:t xml:space="preserve">Results obtained for PU nanoparticles, </w:t>
      </w:r>
      <w:r>
        <w:rPr>
          <w:rFonts w:ascii="Arial" w:eastAsia="Calibri" w:hAnsi="Arial" w:cs="Arial"/>
          <w:sz w:val="24"/>
          <w:szCs w:val="24"/>
          <w:lang w:val="en-US"/>
        </w:rPr>
        <w:t>regarding</w:t>
      </w:r>
      <w:r w:rsidRPr="00FA21C6">
        <w:rPr>
          <w:rFonts w:ascii="Arial" w:eastAsia="Calibri" w:hAnsi="Arial" w:cs="Arial"/>
          <w:sz w:val="24"/>
          <w:szCs w:val="24"/>
          <w:lang w:val="en-US"/>
        </w:rPr>
        <w:t xml:space="preserve"> </w:t>
      </w:r>
      <w:r>
        <w:rPr>
          <w:rFonts w:ascii="Arial" w:eastAsia="Calibri" w:hAnsi="Arial" w:cs="Arial"/>
          <w:sz w:val="24"/>
          <w:szCs w:val="24"/>
          <w:lang w:val="en-US"/>
        </w:rPr>
        <w:t xml:space="preserve">morphology, </w:t>
      </w:r>
      <w:r w:rsidRPr="00FA21C6">
        <w:rPr>
          <w:rFonts w:ascii="Arial" w:eastAsia="Calibri" w:hAnsi="Arial" w:cs="Arial"/>
          <w:sz w:val="24"/>
          <w:szCs w:val="24"/>
          <w:lang w:val="en-US"/>
        </w:rPr>
        <w:t>size, size distribution and surface charge are comparable to those observed with commer</w:t>
      </w:r>
      <w:r w:rsidRPr="00FA21C6">
        <w:rPr>
          <w:rFonts w:ascii="Arial" w:hAnsi="Arial" w:cs="Arial"/>
          <w:sz w:val="24"/>
          <w:szCs w:val="24"/>
          <w:lang w:val="en-US"/>
        </w:rPr>
        <w:t xml:space="preserve">cial polyesters. </w:t>
      </w:r>
    </w:p>
    <w:p w:rsidR="00387A07" w:rsidRDefault="00387A07" w:rsidP="00387A07">
      <w:pPr>
        <w:spacing w:after="0" w:line="360" w:lineRule="auto"/>
        <w:jc w:val="both"/>
        <w:rPr>
          <w:rFonts w:ascii="Arial" w:hAnsi="Arial" w:cs="Arial"/>
          <w:b/>
          <w:sz w:val="24"/>
          <w:szCs w:val="24"/>
          <w:lang w:val="en-US"/>
        </w:rPr>
      </w:pPr>
      <w:r w:rsidRPr="00FA21C6">
        <w:rPr>
          <w:rFonts w:ascii="Arial" w:hAnsi="Arial" w:cs="Arial"/>
          <w:sz w:val="24"/>
          <w:szCs w:val="24"/>
          <w:lang w:val="en-US"/>
        </w:rPr>
        <w:t>All particles possess</w:t>
      </w:r>
      <w:r>
        <w:rPr>
          <w:rFonts w:ascii="Arial" w:hAnsi="Arial" w:cs="Arial"/>
          <w:sz w:val="24"/>
          <w:szCs w:val="24"/>
          <w:lang w:val="en-US"/>
        </w:rPr>
        <w:t xml:space="preserve"> a</w:t>
      </w:r>
      <w:r w:rsidRPr="00FA21C6">
        <w:rPr>
          <w:rFonts w:ascii="Arial" w:hAnsi="Arial" w:cs="Arial"/>
          <w:sz w:val="24"/>
          <w:szCs w:val="24"/>
          <w:lang w:val="en-US"/>
        </w:rPr>
        <w:t xml:space="preserve"> small size (&lt;250nm)</w:t>
      </w:r>
      <w:r>
        <w:rPr>
          <w:rFonts w:ascii="Arial" w:hAnsi="Arial" w:cs="Arial"/>
          <w:sz w:val="24"/>
          <w:szCs w:val="24"/>
          <w:lang w:val="en-US"/>
        </w:rPr>
        <w:t xml:space="preserve">, </w:t>
      </w:r>
      <w:r w:rsidRPr="00FA21C6">
        <w:rPr>
          <w:rFonts w:ascii="Arial" w:hAnsi="Arial" w:cs="Arial"/>
          <w:sz w:val="24"/>
          <w:szCs w:val="24"/>
          <w:lang w:val="en-US"/>
        </w:rPr>
        <w:t>a low PDI, indicating a narrow size distribution</w:t>
      </w:r>
      <w:r>
        <w:rPr>
          <w:rFonts w:ascii="Arial" w:hAnsi="Arial" w:cs="Arial"/>
          <w:sz w:val="24"/>
          <w:szCs w:val="24"/>
          <w:lang w:val="en-US"/>
        </w:rPr>
        <w:t xml:space="preserve"> and a regular spherical shape, with little coalescence.</w:t>
      </w:r>
      <w:r>
        <w:rPr>
          <w:rFonts w:ascii="Arial" w:hAnsi="Arial" w:cs="Arial"/>
          <w:b/>
          <w:sz w:val="24"/>
          <w:szCs w:val="24"/>
          <w:lang w:val="en-US"/>
        </w:rPr>
        <w:t xml:space="preserve"> </w:t>
      </w:r>
    </w:p>
    <w:p w:rsidR="00387A07" w:rsidRPr="00FA21C6" w:rsidRDefault="00387A07" w:rsidP="00387A07">
      <w:pPr>
        <w:spacing w:after="0" w:line="360" w:lineRule="auto"/>
        <w:jc w:val="both"/>
        <w:rPr>
          <w:rFonts w:ascii="Arial" w:eastAsia="Calibri" w:hAnsi="Arial" w:cs="Arial"/>
          <w:sz w:val="24"/>
          <w:szCs w:val="24"/>
          <w:lang w:val="en-US"/>
        </w:rPr>
      </w:pPr>
      <w:r w:rsidRPr="00FA21C6">
        <w:rPr>
          <w:rFonts w:ascii="Arial" w:eastAsia="Calibri" w:hAnsi="Arial" w:cs="Arial"/>
          <w:sz w:val="24"/>
          <w:szCs w:val="24"/>
          <w:lang w:val="en-US"/>
        </w:rPr>
        <w:t xml:space="preserve">In addition, </w:t>
      </w:r>
      <w:r>
        <w:rPr>
          <w:rFonts w:ascii="Arial" w:eastAsia="Calibri" w:hAnsi="Arial" w:cs="Arial"/>
          <w:sz w:val="24"/>
          <w:szCs w:val="24"/>
          <w:lang w:val="en-US"/>
        </w:rPr>
        <w:t>polyurethane</w:t>
      </w:r>
      <w:r w:rsidRPr="00FA21C6">
        <w:rPr>
          <w:rFonts w:ascii="Arial" w:eastAsia="Calibri" w:hAnsi="Arial" w:cs="Arial"/>
          <w:sz w:val="24"/>
          <w:szCs w:val="24"/>
          <w:lang w:val="en-US"/>
        </w:rPr>
        <w:t xml:space="preserve"> nanoparticles exhibited superior properties, such as longer a</w:t>
      </w:r>
      <w:r>
        <w:rPr>
          <w:rFonts w:ascii="Arial" w:eastAsia="Calibri" w:hAnsi="Arial" w:cs="Arial"/>
          <w:sz w:val="24"/>
          <w:szCs w:val="24"/>
          <w:lang w:val="en-US"/>
        </w:rPr>
        <w:t>nd</w:t>
      </w:r>
      <w:r w:rsidRPr="00FA21C6">
        <w:rPr>
          <w:rFonts w:ascii="Arial" w:eastAsia="Calibri" w:hAnsi="Arial" w:cs="Arial"/>
          <w:sz w:val="24"/>
          <w:szCs w:val="24"/>
          <w:lang w:val="en-US"/>
        </w:rPr>
        <w:t xml:space="preserve"> more controlled release kinetics of the encapsulated drug and a higher cellular internalization.</w:t>
      </w:r>
    </w:p>
    <w:p w:rsidR="00387A07" w:rsidRPr="00316219" w:rsidRDefault="00387A07" w:rsidP="00387A07">
      <w:pPr>
        <w:spacing w:after="0" w:line="360" w:lineRule="auto"/>
        <w:jc w:val="both"/>
        <w:rPr>
          <w:rFonts w:ascii="Arial" w:hAnsi="Arial" w:cs="Arial"/>
          <w:sz w:val="24"/>
          <w:szCs w:val="24"/>
          <w:lang w:val="en-US"/>
        </w:rPr>
      </w:pPr>
      <w:r>
        <w:rPr>
          <w:rFonts w:ascii="Arial" w:eastAsia="Calibri" w:hAnsi="Arial" w:cs="Arial"/>
          <w:sz w:val="24"/>
          <w:szCs w:val="24"/>
          <w:lang w:val="en-US"/>
        </w:rPr>
        <w:t xml:space="preserve">In fact, C-BC2000 nanoparticles had the highest encapsulation efficiency (89±2%) compared to only 24±7% and 18±8% for PLA and PCL, respectively. Moreover the release profile for particles prepared with commercial polyesters, showed that almost all the encapsulated drug was released within the first 48 hours and no further release was observed after this time-point. C-BC2000 nanoparticles were able to sustain the release of the drug for longer time (up to 5 days), when 30% of the active principle was released, indicating that the therapeutic effect of these carriers could last even longer.  </w:t>
      </w:r>
    </w:p>
    <w:p w:rsidR="00387A07" w:rsidRDefault="00387A07" w:rsidP="00387A07">
      <w:pPr>
        <w:spacing w:after="0" w:line="360" w:lineRule="auto"/>
        <w:ind w:firstLine="708"/>
        <w:jc w:val="both"/>
        <w:rPr>
          <w:rFonts w:ascii="Arial" w:eastAsia="Calibri" w:hAnsi="Arial" w:cs="Arial"/>
          <w:sz w:val="24"/>
          <w:szCs w:val="24"/>
          <w:lang w:val="en-US"/>
        </w:rPr>
      </w:pPr>
      <w:r>
        <w:rPr>
          <w:rFonts w:ascii="Arial" w:eastAsia="Calibri" w:hAnsi="Arial" w:cs="Arial"/>
          <w:sz w:val="24"/>
          <w:szCs w:val="24"/>
          <w:lang w:val="en-US"/>
        </w:rPr>
        <w:t xml:space="preserve">In chapter 3 two different polyesterurethanes, synthesized with different chain extenders (named C-BC2000 and NS-BC2000) and three commercial polyesters (PCL, PLA and poly(D,L lactide-co-glycolide) PLGA)  were used to prepare Paclitaxel-loaded nanoparticles for the active targeting of breast cancer. </w:t>
      </w:r>
    </w:p>
    <w:p w:rsidR="00387A07" w:rsidRDefault="00387A07" w:rsidP="00387A07">
      <w:pPr>
        <w:spacing w:after="0" w:line="360" w:lineRule="auto"/>
        <w:jc w:val="both"/>
        <w:rPr>
          <w:rFonts w:ascii="Arial" w:hAnsi="Arial" w:cs="Arial"/>
          <w:sz w:val="24"/>
          <w:szCs w:val="24"/>
          <w:lang w:val="en-US"/>
        </w:rPr>
      </w:pPr>
      <w:r>
        <w:rPr>
          <w:rFonts w:ascii="Arial" w:eastAsia="Calibri" w:hAnsi="Arial" w:cs="Arial"/>
          <w:sz w:val="24"/>
          <w:szCs w:val="24"/>
          <w:lang w:val="en-US"/>
        </w:rPr>
        <w:t xml:space="preserve">A modified Single Emulsion Solvent Evaporation method was used, by selecting ethyl acetate as internal phase, Poly(vinyl alcohol) (PVA) as emulsifier and water as external phase. </w:t>
      </w:r>
      <w:r>
        <w:rPr>
          <w:rFonts w:ascii="Arial" w:hAnsi="Arial" w:cs="Arial"/>
          <w:sz w:val="24"/>
          <w:szCs w:val="24"/>
          <w:lang w:val="en-US"/>
        </w:rPr>
        <w:t>Particles were characterized in terms of m</w:t>
      </w:r>
      <w:r w:rsidRPr="000232B0">
        <w:rPr>
          <w:rFonts w:ascii="Arial" w:hAnsi="Arial" w:cs="Arial"/>
          <w:sz w:val="24"/>
          <w:szCs w:val="24"/>
          <w:lang w:val="en-US"/>
        </w:rPr>
        <w:t>orphology</w:t>
      </w:r>
      <w:r>
        <w:rPr>
          <w:rFonts w:ascii="Arial" w:hAnsi="Arial" w:cs="Arial"/>
          <w:sz w:val="24"/>
          <w:szCs w:val="24"/>
          <w:lang w:val="en-US"/>
        </w:rPr>
        <w:t>, s</w:t>
      </w:r>
      <w:r w:rsidRPr="000232B0">
        <w:rPr>
          <w:rFonts w:ascii="Arial" w:hAnsi="Arial" w:cs="Arial"/>
          <w:sz w:val="24"/>
          <w:szCs w:val="24"/>
          <w:lang w:val="en-US"/>
        </w:rPr>
        <w:t>ize</w:t>
      </w:r>
      <w:r>
        <w:rPr>
          <w:rFonts w:ascii="Arial" w:hAnsi="Arial" w:cs="Arial"/>
          <w:sz w:val="24"/>
          <w:szCs w:val="24"/>
          <w:lang w:val="en-US"/>
        </w:rPr>
        <w:t xml:space="preserve"> distribution and zeta potential.</w:t>
      </w:r>
    </w:p>
    <w:p w:rsidR="00387A07" w:rsidRPr="000232B0"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Carriers with good spherical shape, small size (&lt;200nm) and negative surface charge were obtained, regardless of the polymer used as matrix-forming material.  </w:t>
      </w:r>
    </w:p>
    <w:p w:rsidR="00387A07" w:rsidRDefault="00387A07" w:rsidP="00387A07">
      <w:pPr>
        <w:spacing w:after="0" w:line="360" w:lineRule="auto"/>
        <w:jc w:val="both"/>
        <w:rPr>
          <w:rFonts w:ascii="Arial" w:eastAsia="Calibri" w:hAnsi="Arial" w:cs="Arial"/>
          <w:sz w:val="24"/>
          <w:szCs w:val="24"/>
          <w:lang w:val="en-US"/>
        </w:rPr>
      </w:pPr>
      <w:r>
        <w:rPr>
          <w:rFonts w:ascii="Arial" w:hAnsi="Arial" w:cs="Arial"/>
          <w:sz w:val="24"/>
          <w:szCs w:val="24"/>
          <w:lang w:val="en-US"/>
        </w:rPr>
        <w:t>To augment the targeting ability of nanoparticles towards breast cancer cells, Herceptin, a monoclonal antibody able to selectively recognize a specific receptor (HER2) over-expressed on 25-30% of invasive breast cancer, was attached to the surface of the carriers by hydrophilic/hydrophobic interactions.</w:t>
      </w:r>
      <w:r>
        <w:rPr>
          <w:rFonts w:ascii="Arial" w:eastAsia="Calibri" w:hAnsi="Arial" w:cs="Arial"/>
          <w:sz w:val="24"/>
          <w:szCs w:val="24"/>
          <w:lang w:val="en-US"/>
        </w:rPr>
        <w:t xml:space="preserve">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lastRenderedPageBreak/>
        <w:t xml:space="preserve">Surface coating was successfully achieved, as shown by the changes in zeta potential detected for all carriers.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Moreover the ability of coated particles to selectively recognize their target was tested, by using two different breast cancer cell lines: MCF7, which show a normal expression of the HER2 receptor, and SKBR3 which are known to highly over-express the same receptor. </w:t>
      </w:r>
    </w:p>
    <w:p w:rsidR="00387A07" w:rsidRDefault="00387A07" w:rsidP="00387A07">
      <w:pPr>
        <w:spacing w:after="0" w:line="360" w:lineRule="auto"/>
        <w:jc w:val="both"/>
        <w:rPr>
          <w:rFonts w:ascii="Arial" w:eastAsia="Calibri" w:hAnsi="Arial" w:cs="Arial"/>
          <w:sz w:val="24"/>
          <w:szCs w:val="24"/>
          <w:lang w:val="en-US"/>
        </w:rPr>
      </w:pPr>
      <w:r>
        <w:rPr>
          <w:rFonts w:ascii="Arial" w:eastAsia="Calibri" w:hAnsi="Arial" w:cs="Arial"/>
          <w:sz w:val="24"/>
          <w:szCs w:val="24"/>
          <w:lang w:val="en-US"/>
        </w:rPr>
        <w:t>Quantitative uptake studies showed  good cellular internalization, by both cell lines and an augmented uptake by SKBR3 cells, when the surface was coated with the monoclonal antibody, confirming that a targeting effect was achieved.</w:t>
      </w:r>
    </w:p>
    <w:p w:rsidR="00387A07" w:rsidRDefault="00387A07" w:rsidP="00387A07">
      <w:pPr>
        <w:spacing w:after="0" w:line="360" w:lineRule="auto"/>
        <w:jc w:val="both"/>
        <w:rPr>
          <w:rFonts w:ascii="Arial" w:eastAsia="Calibri" w:hAnsi="Arial" w:cs="Arial"/>
          <w:sz w:val="24"/>
          <w:szCs w:val="24"/>
          <w:lang w:val="en-US"/>
        </w:rPr>
      </w:pPr>
      <w:r>
        <w:rPr>
          <w:rFonts w:ascii="Arial" w:eastAsia="Calibri" w:hAnsi="Arial" w:cs="Arial"/>
          <w:sz w:val="24"/>
          <w:szCs w:val="24"/>
          <w:lang w:val="en-US"/>
        </w:rPr>
        <w:t xml:space="preserve">Encapsulation efficiency and release profiles from both coated and uncoated particles were also analyzed, and the ability of drug-loaded particles (at three different doses) to effectively kill SKBR3 tumor cells was evaluated. </w:t>
      </w:r>
    </w:p>
    <w:p w:rsidR="00387A07" w:rsidRPr="0049423E" w:rsidRDefault="00387A07" w:rsidP="00387A07">
      <w:pPr>
        <w:spacing w:after="0" w:line="360" w:lineRule="auto"/>
        <w:jc w:val="both"/>
        <w:rPr>
          <w:rFonts w:ascii="Arial" w:eastAsia="Calibri" w:hAnsi="Arial" w:cs="Arial"/>
          <w:sz w:val="24"/>
          <w:szCs w:val="24"/>
          <w:lang w:val="en-US"/>
        </w:rPr>
      </w:pPr>
      <w:r w:rsidRPr="0049423E">
        <w:rPr>
          <w:rFonts w:ascii="Arial" w:eastAsia="Calibri" w:hAnsi="Arial" w:cs="Arial"/>
          <w:sz w:val="24"/>
          <w:szCs w:val="24"/>
          <w:lang w:val="en-US"/>
        </w:rPr>
        <w:t xml:space="preserve">PU showed </w:t>
      </w:r>
      <w:r>
        <w:rPr>
          <w:rFonts w:ascii="Arial" w:eastAsia="Calibri" w:hAnsi="Arial" w:cs="Arial"/>
          <w:sz w:val="24"/>
          <w:szCs w:val="24"/>
          <w:lang w:val="en-US"/>
        </w:rPr>
        <w:t>interesting properties, being</w:t>
      </w:r>
      <w:r w:rsidRPr="0049423E">
        <w:rPr>
          <w:rFonts w:ascii="Arial" w:eastAsia="Calibri" w:hAnsi="Arial" w:cs="Arial"/>
          <w:sz w:val="24"/>
          <w:szCs w:val="24"/>
          <w:lang w:val="en-US"/>
        </w:rPr>
        <w:t xml:space="preserve"> superior</w:t>
      </w:r>
      <w:r>
        <w:rPr>
          <w:rFonts w:ascii="Arial" w:eastAsia="Calibri" w:hAnsi="Arial" w:cs="Arial"/>
          <w:sz w:val="24"/>
          <w:szCs w:val="24"/>
          <w:lang w:val="en-US"/>
        </w:rPr>
        <w:t xml:space="preserve"> to commercial polyester</w:t>
      </w:r>
      <w:r w:rsidRPr="0049423E">
        <w:rPr>
          <w:rFonts w:ascii="Arial" w:eastAsia="Calibri" w:hAnsi="Arial" w:cs="Arial"/>
          <w:sz w:val="24"/>
          <w:szCs w:val="24"/>
          <w:lang w:val="en-US"/>
        </w:rPr>
        <w:t xml:space="preserve"> </w:t>
      </w:r>
      <w:r>
        <w:rPr>
          <w:rFonts w:ascii="Arial" w:eastAsia="Calibri" w:hAnsi="Arial" w:cs="Arial"/>
          <w:sz w:val="24"/>
          <w:szCs w:val="24"/>
          <w:lang w:val="en-US"/>
        </w:rPr>
        <w:t>in terms of drug release profiles, cellular internalization</w:t>
      </w:r>
      <w:r w:rsidRPr="0049423E">
        <w:rPr>
          <w:rFonts w:ascii="Arial" w:eastAsia="Calibri" w:hAnsi="Arial" w:cs="Arial"/>
          <w:sz w:val="24"/>
          <w:szCs w:val="24"/>
          <w:lang w:val="en-US"/>
        </w:rPr>
        <w:t xml:space="preserve"> </w:t>
      </w:r>
      <w:r>
        <w:rPr>
          <w:rFonts w:ascii="Arial" w:eastAsia="Calibri" w:hAnsi="Arial" w:cs="Arial"/>
          <w:sz w:val="24"/>
          <w:szCs w:val="24"/>
          <w:lang w:val="en-US"/>
        </w:rPr>
        <w:t xml:space="preserve">and </w:t>
      </w:r>
      <w:r w:rsidRPr="0049423E">
        <w:rPr>
          <w:rFonts w:ascii="Arial" w:eastAsia="Calibri" w:hAnsi="Arial" w:cs="Arial"/>
          <w:sz w:val="24"/>
          <w:szCs w:val="24"/>
          <w:lang w:val="en-US"/>
        </w:rPr>
        <w:t xml:space="preserve">cytotoxic activity. </w:t>
      </w:r>
    </w:p>
    <w:p w:rsidR="00387A07" w:rsidRDefault="00387A07" w:rsidP="00387A07">
      <w:pPr>
        <w:spacing w:after="0" w:line="360" w:lineRule="auto"/>
        <w:jc w:val="both"/>
        <w:rPr>
          <w:rFonts w:ascii="Arial" w:eastAsia="Calibri" w:hAnsi="Arial" w:cs="Arial"/>
          <w:sz w:val="24"/>
          <w:szCs w:val="24"/>
          <w:lang w:val="en-US"/>
        </w:rPr>
      </w:pPr>
      <w:r>
        <w:rPr>
          <w:rFonts w:ascii="Arial" w:eastAsia="Calibri" w:hAnsi="Arial" w:cs="Arial"/>
          <w:sz w:val="24"/>
          <w:szCs w:val="24"/>
          <w:lang w:val="en-US"/>
        </w:rPr>
        <w:t>In fact, for C-BC2000 and NS-BC2000 nanoparticles, the amount of Herceptin detected on the surface was higher than for the other polymers, except for PCL. However, PCL nanoparticles showed no release of the encapsulated drug and poor cytotoxicity on SKBR3 cells.</w:t>
      </w:r>
    </w:p>
    <w:p w:rsidR="00387A07" w:rsidRPr="0049423E" w:rsidRDefault="00387A07" w:rsidP="00387A07">
      <w:pPr>
        <w:spacing w:after="0" w:line="360" w:lineRule="auto"/>
        <w:jc w:val="both"/>
        <w:rPr>
          <w:rFonts w:ascii="Arial" w:eastAsia="Calibri" w:hAnsi="Arial" w:cs="Arial"/>
          <w:sz w:val="24"/>
          <w:szCs w:val="24"/>
          <w:lang w:val="en-US"/>
        </w:rPr>
      </w:pPr>
      <w:r>
        <w:rPr>
          <w:rFonts w:ascii="Arial" w:eastAsia="Calibri" w:hAnsi="Arial" w:cs="Arial"/>
          <w:sz w:val="24"/>
          <w:szCs w:val="24"/>
          <w:lang w:val="en-US"/>
        </w:rPr>
        <w:t xml:space="preserve">Moreover, both coated and uncoated PU nanoparticles exhibited the highest cellular uptake and good activity in killing cancer cells, as demonstrated by cytotoxicity tests. </w:t>
      </w:r>
    </w:p>
    <w:p w:rsidR="00387A07" w:rsidRDefault="00387A07" w:rsidP="00387A07">
      <w:pPr>
        <w:autoSpaceDE w:val="0"/>
        <w:autoSpaceDN w:val="0"/>
        <w:adjustRightInd w:val="0"/>
        <w:spacing w:after="0" w:line="360" w:lineRule="auto"/>
        <w:ind w:firstLine="708"/>
        <w:jc w:val="both"/>
        <w:rPr>
          <w:rFonts w:ascii="Arial" w:hAnsi="Arial" w:cs="Arial"/>
          <w:sz w:val="24"/>
          <w:szCs w:val="24"/>
          <w:lang w:val="en-US"/>
        </w:rPr>
      </w:pPr>
      <w:r>
        <w:rPr>
          <w:rFonts w:ascii="Arial" w:eastAsia="Calibri" w:hAnsi="Arial" w:cs="Arial"/>
          <w:sz w:val="24"/>
          <w:szCs w:val="24"/>
          <w:lang w:val="en-US"/>
        </w:rPr>
        <w:t xml:space="preserve">The second section of the present work was dedicated to the optimization and characterization of a new, bioactive and biomimetic bone cement containing nanoparticles for the controlled release of an anti-inflammatory agent (Indomethacin). </w:t>
      </w:r>
      <w:r>
        <w:rPr>
          <w:rFonts w:ascii="Arial" w:hAnsi="Arial" w:cs="Arial"/>
          <w:sz w:val="24"/>
          <w:szCs w:val="24"/>
          <w:lang w:val="en-US"/>
        </w:rPr>
        <w:t xml:space="preserve">This material is composed of </w:t>
      </w:r>
      <w:r w:rsidRPr="0091294C">
        <w:rPr>
          <w:rFonts w:ascii="Arial" w:hAnsi="Arial" w:cs="Arial"/>
          <w:bCs/>
          <w:sz w:val="24"/>
          <w:szCs w:val="24"/>
          <w:lang w:val="en-US"/>
        </w:rPr>
        <w:t>two phases which are naturally present in bones</w:t>
      </w:r>
      <w:r>
        <w:rPr>
          <w:rFonts w:ascii="Arial" w:hAnsi="Arial" w:cs="Arial"/>
          <w:bCs/>
          <w:sz w:val="24"/>
          <w:szCs w:val="24"/>
          <w:lang w:val="en-US"/>
        </w:rPr>
        <w:t>:</w:t>
      </w:r>
      <w:r>
        <w:rPr>
          <w:rFonts w:ascii="Arial" w:hAnsi="Arial" w:cs="Arial"/>
          <w:sz w:val="24"/>
          <w:szCs w:val="24"/>
          <w:lang w:val="en-US"/>
        </w:rPr>
        <w:t xml:space="preserve"> an organic phase made of chitosan (CH) and collagen as well as of β tricalcium phosphate as inorganic phase, which is expected to increase bioactivity (i.e. the ability to stimulate new bone deposition) of the material. Chitosan and collagen were selected because of their ability to improve injectability and mechanical strength, respectively. Moreover collagen is expected to confer high biomimetic ability to the material. Genipin (GP) was selected as cross-linker for chitosan, due to its natural origin and biocompatibility. The cement composition was optimized to obtain the desired hardening time and dissolution rate and then reinforced with collagen. Moreover, anti-inflammatory properties were given by including Indometacin-loaded biodegradable nanoparticles based on Poly(ε-caprolactone) (PCL) in the cement composition.</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lastRenderedPageBreak/>
        <w:t>Nanoparticles were prepared by the Solvent Displacement Method and their size, encapsulation efficiency as well as release profiles were characterized.</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Injectability, compressive strength and bioactivity of the final cement were also investigated.</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The material showed good bioactivity, promoting the formation of apatite after 14 days of incubation in simulated body fluids (SBF), especially when high concentrations of inorganic phase were used. The material also possessed a low setting time (around 20min) and good injectability (95%), making it an optimal candidate as injectable bone substitute. Mechanical strength under compression was also analyzed, resulting in poor properties when collagen is not part of the composition. After the addition of collagen, the Young modulus for compression increased from 0,15Mpa to 1Mpa, which meets the requirements for a good vertebral substitute.</w:t>
      </w:r>
    </w:p>
    <w:p w:rsidR="00387A07"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 xml:space="preserve">Moreover the addition of nanoparticles confers anti-inflammatory properties, as well as additional mechanical strength, since the release rate of the drug is compatible with the infection raising kinetics. </w:t>
      </w:r>
    </w:p>
    <w:p w:rsidR="00387A07" w:rsidRDefault="00387A07" w:rsidP="00387A07">
      <w:pPr>
        <w:spacing w:before="240" w:after="0" w:line="360" w:lineRule="auto"/>
        <w:jc w:val="both"/>
        <w:rPr>
          <w:rFonts w:ascii="Arial" w:hAnsi="Arial" w:cs="Arial"/>
          <w:b/>
          <w:sz w:val="24"/>
          <w:szCs w:val="24"/>
          <w:lang w:val="en-US"/>
        </w:rPr>
      </w:pPr>
      <w:r>
        <w:rPr>
          <w:rFonts w:ascii="Arial" w:hAnsi="Arial" w:cs="Arial"/>
          <w:b/>
          <w:noProof/>
          <w:sz w:val="24"/>
          <w:szCs w:val="24"/>
          <w:lang w:val="it-IT" w:eastAsia="it-IT"/>
        </w:rPr>
        <w:drawing>
          <wp:inline distT="0" distB="0" distL="0" distR="0">
            <wp:extent cx="6120130" cy="1880235"/>
            <wp:effectExtent l="19050" t="0" r="0" b="0"/>
            <wp:docPr id="2" name="Immagine 1" descr="immagine abstr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abstract.png"/>
                    <pic:cNvPicPr/>
                  </pic:nvPicPr>
                  <pic:blipFill>
                    <a:blip r:embed="rId8" cstate="print"/>
                    <a:stretch>
                      <a:fillRect/>
                    </a:stretch>
                  </pic:blipFill>
                  <pic:spPr>
                    <a:xfrm>
                      <a:off x="0" y="0"/>
                      <a:ext cx="6120130" cy="1880235"/>
                    </a:xfrm>
                    <a:prstGeom prst="rect">
                      <a:avLst/>
                    </a:prstGeom>
                  </pic:spPr>
                </pic:pic>
              </a:graphicData>
            </a:graphic>
          </wp:inline>
        </w:drawing>
      </w:r>
    </w:p>
    <w:p w:rsidR="00387A07" w:rsidRDefault="00387A07" w:rsidP="00387A07">
      <w:pPr>
        <w:pStyle w:val="Didascalia"/>
        <w:rPr>
          <w:rFonts w:ascii="Arial" w:hAnsi="Arial" w:cs="Arial"/>
          <w:b w:val="0"/>
          <w:sz w:val="24"/>
          <w:szCs w:val="24"/>
          <w:lang w:val="en-US"/>
        </w:rPr>
      </w:pPr>
      <w:r>
        <w:t xml:space="preserve">Figure </w:t>
      </w:r>
      <w:fldSimple w:instr=" SEQ Figure \* ARABIC ">
        <w:r>
          <w:rPr>
            <w:noProof/>
          </w:rPr>
          <w:t>1</w:t>
        </w:r>
      </w:fldSimple>
      <w:r>
        <w:t xml:space="preserve"> AFM image of PLA nanoparticles (left) and confocal images of coumarin 6-loaded nanoparticles (green fluorescence) internalized by SKBR3 (middle) and MCF7 (right) breast cancer cells. </w:t>
      </w:r>
    </w:p>
    <w:p w:rsidR="00387A07" w:rsidRPr="00C2005B" w:rsidRDefault="00387A07" w:rsidP="00387A07">
      <w:pPr>
        <w:pStyle w:val="Testonormale"/>
        <w:spacing w:line="360" w:lineRule="auto"/>
        <w:ind w:firstLine="284"/>
        <w:jc w:val="both"/>
        <w:outlineLvl w:val="0"/>
        <w:rPr>
          <w:rFonts w:ascii="Arial" w:hAnsi="Arial" w:cs="Arial"/>
          <w:sz w:val="24"/>
          <w:szCs w:val="24"/>
        </w:rPr>
      </w:pPr>
    </w:p>
    <w:p w:rsidR="00387A07" w:rsidRDefault="00387A07" w:rsidP="00387A07">
      <w:pPr>
        <w:jc w:val="both"/>
        <w:rPr>
          <w:rFonts w:ascii="Arial" w:hAnsi="Arial" w:cs="Arial"/>
          <w:color w:val="4F81BD" w:themeColor="accent1"/>
          <w:sz w:val="24"/>
          <w:szCs w:val="24"/>
          <w:lang w:val="en-US"/>
        </w:rPr>
      </w:pPr>
    </w:p>
    <w:p w:rsidR="00387A07" w:rsidRDefault="00387A07" w:rsidP="00387A07">
      <w:pPr>
        <w:jc w:val="both"/>
        <w:rPr>
          <w:rFonts w:ascii="Arial" w:hAnsi="Arial" w:cs="Arial"/>
          <w:color w:val="4F81BD" w:themeColor="accent1"/>
          <w:sz w:val="24"/>
          <w:szCs w:val="24"/>
          <w:lang w:val="en-US"/>
        </w:rPr>
      </w:pPr>
    </w:p>
    <w:p w:rsidR="00387A07" w:rsidRDefault="00387A07" w:rsidP="00387A07">
      <w:pPr>
        <w:jc w:val="both"/>
        <w:rPr>
          <w:rFonts w:ascii="Arial" w:hAnsi="Arial" w:cs="Arial"/>
          <w:color w:val="4F81BD" w:themeColor="accent1"/>
          <w:sz w:val="24"/>
          <w:szCs w:val="24"/>
          <w:lang w:val="en-US"/>
        </w:rPr>
      </w:pPr>
    </w:p>
    <w:p w:rsidR="00387A07" w:rsidRDefault="00387A07" w:rsidP="00387A07">
      <w:pPr>
        <w:jc w:val="both"/>
        <w:rPr>
          <w:rFonts w:ascii="Arial" w:hAnsi="Arial" w:cs="Arial"/>
          <w:color w:val="4F81BD" w:themeColor="accent1"/>
          <w:sz w:val="24"/>
          <w:szCs w:val="24"/>
          <w:lang w:val="en-US"/>
        </w:rPr>
      </w:pPr>
    </w:p>
    <w:p w:rsidR="00387A07" w:rsidRDefault="00387A07" w:rsidP="00387A07">
      <w:pPr>
        <w:jc w:val="both"/>
        <w:rPr>
          <w:rFonts w:ascii="Arial" w:hAnsi="Arial" w:cs="Arial"/>
          <w:color w:val="4F81BD" w:themeColor="accent1"/>
          <w:sz w:val="24"/>
          <w:szCs w:val="24"/>
          <w:lang w:val="en-US"/>
        </w:rPr>
      </w:pPr>
    </w:p>
    <w:p w:rsidR="00387A07" w:rsidRDefault="00387A07" w:rsidP="00387A07">
      <w:pPr>
        <w:spacing w:after="240" w:line="360" w:lineRule="auto"/>
        <w:rPr>
          <w:rFonts w:ascii="Arial" w:hAnsi="Arial" w:cs="Arial"/>
          <w:color w:val="4F81BD" w:themeColor="accent1"/>
          <w:sz w:val="24"/>
          <w:szCs w:val="24"/>
          <w:lang w:val="en-US"/>
        </w:rPr>
      </w:pPr>
    </w:p>
    <w:p w:rsidR="00387A07" w:rsidRPr="00CD3216" w:rsidRDefault="00387A07" w:rsidP="00387A07">
      <w:pPr>
        <w:spacing w:after="240"/>
        <w:jc w:val="center"/>
        <w:rPr>
          <w:rFonts w:ascii="Arial" w:hAnsi="Arial" w:cs="Arial"/>
          <w:b/>
          <w:color w:val="1F497D" w:themeColor="text2"/>
          <w:sz w:val="36"/>
          <w:szCs w:val="36"/>
          <w:u w:val="single"/>
          <w:lang w:val="en-US"/>
        </w:rPr>
      </w:pPr>
      <w:r w:rsidRPr="00CD3216">
        <w:rPr>
          <w:rFonts w:ascii="Arial" w:hAnsi="Arial" w:cs="Arial"/>
          <w:b/>
          <w:color w:val="1F497D" w:themeColor="text2"/>
          <w:sz w:val="36"/>
          <w:szCs w:val="36"/>
          <w:u w:val="single"/>
          <w:lang w:val="en-US"/>
        </w:rPr>
        <w:lastRenderedPageBreak/>
        <w:t>Thesis outline</w:t>
      </w:r>
    </w:p>
    <w:p w:rsidR="00387A07" w:rsidRDefault="00387A07" w:rsidP="00387A07">
      <w:pPr>
        <w:spacing w:line="360" w:lineRule="auto"/>
        <w:jc w:val="both"/>
        <w:rPr>
          <w:rFonts w:ascii="Arial" w:hAnsi="Arial" w:cs="Arial"/>
          <w:sz w:val="24"/>
          <w:szCs w:val="24"/>
          <w:lang w:val="en-US"/>
        </w:rPr>
      </w:pPr>
      <w:r w:rsidRPr="00A46EBA">
        <w:rPr>
          <w:rFonts w:ascii="Arial" w:hAnsi="Arial" w:cs="Arial"/>
          <w:sz w:val="24"/>
          <w:szCs w:val="24"/>
          <w:lang w:val="en-US"/>
        </w:rPr>
        <w:t>The pr</w:t>
      </w:r>
      <w:r>
        <w:rPr>
          <w:rFonts w:ascii="Arial" w:hAnsi="Arial" w:cs="Arial"/>
          <w:sz w:val="24"/>
          <w:szCs w:val="24"/>
          <w:lang w:val="en-US"/>
        </w:rPr>
        <w:t xml:space="preserve">esent work is divided in four sections and five chapters. Chapter 1 is a general introduction, drafting a picture on the use of nanoparticles in medicine. The </w:t>
      </w:r>
      <w:r w:rsidRPr="00A46EBA">
        <w:rPr>
          <w:rFonts w:ascii="Arial" w:hAnsi="Arial" w:cs="Arial"/>
          <w:sz w:val="24"/>
          <w:szCs w:val="24"/>
          <w:lang w:val="en-US"/>
        </w:rPr>
        <w:t>second</w:t>
      </w:r>
      <w:r>
        <w:rPr>
          <w:rFonts w:ascii="Arial" w:hAnsi="Arial" w:cs="Arial"/>
          <w:sz w:val="24"/>
          <w:szCs w:val="24"/>
          <w:lang w:val="en-US"/>
        </w:rPr>
        <w:t xml:space="preserve"> and third sections are</w:t>
      </w:r>
      <w:r w:rsidRPr="00A46EBA">
        <w:rPr>
          <w:rFonts w:ascii="Arial" w:hAnsi="Arial" w:cs="Arial"/>
          <w:sz w:val="24"/>
          <w:szCs w:val="24"/>
          <w:lang w:val="en-US"/>
        </w:rPr>
        <w:t xml:space="preserve"> ded</w:t>
      </w:r>
      <w:r>
        <w:rPr>
          <w:rFonts w:ascii="Arial" w:hAnsi="Arial" w:cs="Arial"/>
          <w:sz w:val="24"/>
          <w:szCs w:val="24"/>
          <w:lang w:val="en-US"/>
        </w:rPr>
        <w:t xml:space="preserve">icated to the experimental work, aimed at optimizing different parameters and methods for the preparation of nanoparticles to be applied in the field of nanomedicine. Chapter 5 is a short dissertation on the future perspectives regarding the application of nanocarriers as drug delivery devices. </w:t>
      </w:r>
      <w:r w:rsidRPr="00A46EBA">
        <w:rPr>
          <w:rFonts w:ascii="Arial" w:hAnsi="Arial" w:cs="Arial"/>
          <w:sz w:val="24"/>
          <w:szCs w:val="24"/>
          <w:lang w:val="en-US"/>
        </w:rPr>
        <w:t xml:space="preserve"> </w:t>
      </w:r>
    </w:p>
    <w:p w:rsidR="00387A07" w:rsidRPr="00A46EBA" w:rsidRDefault="00387A07" w:rsidP="00387A07">
      <w:pPr>
        <w:spacing w:line="360" w:lineRule="auto"/>
        <w:jc w:val="both"/>
        <w:rPr>
          <w:rFonts w:ascii="Arial" w:hAnsi="Arial" w:cs="Arial"/>
          <w:sz w:val="24"/>
          <w:szCs w:val="24"/>
          <w:lang w:val="en-US"/>
        </w:rPr>
      </w:pPr>
      <w:r>
        <w:rPr>
          <w:rFonts w:ascii="Arial" w:hAnsi="Arial" w:cs="Arial"/>
          <w:sz w:val="24"/>
          <w:szCs w:val="24"/>
          <w:lang w:val="en-US"/>
        </w:rPr>
        <w:t>T</w:t>
      </w:r>
      <w:r w:rsidRPr="00A46EBA">
        <w:rPr>
          <w:rFonts w:ascii="Arial" w:hAnsi="Arial" w:cs="Arial"/>
          <w:sz w:val="24"/>
          <w:szCs w:val="24"/>
          <w:lang w:val="en-US"/>
        </w:rPr>
        <w:t>he basic content of each section and chapter is outlined and summarized</w:t>
      </w:r>
      <w:r>
        <w:rPr>
          <w:rFonts w:ascii="Arial" w:hAnsi="Arial" w:cs="Arial"/>
          <w:sz w:val="24"/>
          <w:szCs w:val="24"/>
          <w:lang w:val="en-US"/>
        </w:rPr>
        <w:t xml:space="preserve"> below</w:t>
      </w:r>
      <w:r w:rsidRPr="00A46EBA">
        <w:rPr>
          <w:rFonts w:ascii="Arial" w:hAnsi="Arial" w:cs="Arial"/>
          <w:sz w:val="24"/>
          <w:szCs w:val="24"/>
          <w:lang w:val="en-US"/>
        </w:rPr>
        <w:t>.</w:t>
      </w:r>
    </w:p>
    <w:p w:rsidR="00387A07" w:rsidRPr="00A46EBA" w:rsidRDefault="00387A07" w:rsidP="00387A07">
      <w:pPr>
        <w:spacing w:line="360" w:lineRule="auto"/>
        <w:jc w:val="both"/>
        <w:rPr>
          <w:rFonts w:ascii="Arial" w:hAnsi="Arial" w:cs="Arial"/>
          <w:sz w:val="24"/>
          <w:szCs w:val="24"/>
          <w:lang w:val="en-US"/>
        </w:rPr>
      </w:pPr>
      <w:r w:rsidRPr="006C3448">
        <w:rPr>
          <w:rFonts w:ascii="Arial" w:hAnsi="Arial" w:cs="Arial"/>
          <w:b/>
          <w:sz w:val="24"/>
          <w:szCs w:val="24"/>
          <w:lang w:val="en-US"/>
        </w:rPr>
        <w:t>Section I</w:t>
      </w:r>
      <w:r w:rsidRPr="00A46EBA">
        <w:rPr>
          <w:rFonts w:ascii="Arial" w:hAnsi="Arial" w:cs="Arial"/>
          <w:sz w:val="24"/>
          <w:szCs w:val="24"/>
          <w:lang w:val="en-US"/>
        </w:rPr>
        <w:t xml:space="preserve"> (</w:t>
      </w:r>
      <w:r w:rsidRPr="006C3448">
        <w:rPr>
          <w:rFonts w:ascii="Arial" w:hAnsi="Arial" w:cs="Arial"/>
          <w:i/>
          <w:sz w:val="24"/>
          <w:szCs w:val="24"/>
          <w:lang w:val="en-US"/>
        </w:rPr>
        <w:t>Chapter 1</w:t>
      </w:r>
      <w:r w:rsidRPr="00A46EBA">
        <w:rPr>
          <w:rFonts w:ascii="Arial" w:hAnsi="Arial" w:cs="Arial"/>
          <w:sz w:val="24"/>
          <w:szCs w:val="24"/>
          <w:lang w:val="en-US"/>
        </w:rPr>
        <w:t xml:space="preserve">) is a brief overview on the use of nanoparticles as drug delivery devices in literature, focused on the description of the principal materials and fabrication protocols adopted. </w:t>
      </w:r>
      <w:r>
        <w:rPr>
          <w:rFonts w:ascii="Arial" w:hAnsi="Arial" w:cs="Arial"/>
          <w:sz w:val="24"/>
          <w:szCs w:val="24"/>
          <w:lang w:val="en-US"/>
        </w:rPr>
        <w:t>T</w:t>
      </w:r>
      <w:r w:rsidRPr="00A46EBA">
        <w:rPr>
          <w:rFonts w:ascii="Arial" w:hAnsi="Arial" w:cs="Arial"/>
          <w:sz w:val="24"/>
          <w:szCs w:val="24"/>
          <w:lang w:val="en-US"/>
        </w:rPr>
        <w:t>he state of the art and future trends in this field are extensively discussed.</w:t>
      </w:r>
    </w:p>
    <w:p w:rsidR="00387A07" w:rsidRPr="00A46EBA" w:rsidRDefault="00387A07" w:rsidP="00387A07">
      <w:pPr>
        <w:spacing w:line="360" w:lineRule="auto"/>
        <w:jc w:val="both"/>
        <w:rPr>
          <w:rFonts w:ascii="Arial" w:hAnsi="Arial" w:cs="Arial"/>
          <w:sz w:val="24"/>
          <w:szCs w:val="24"/>
          <w:lang w:val="en-US"/>
        </w:rPr>
      </w:pPr>
      <w:r w:rsidRPr="006C3448">
        <w:rPr>
          <w:rFonts w:ascii="Arial" w:hAnsi="Arial" w:cs="Arial"/>
          <w:b/>
          <w:sz w:val="24"/>
          <w:szCs w:val="24"/>
          <w:lang w:val="en-US"/>
        </w:rPr>
        <w:t>Section II</w:t>
      </w:r>
      <w:r>
        <w:rPr>
          <w:rFonts w:ascii="Arial" w:hAnsi="Arial" w:cs="Arial"/>
          <w:sz w:val="24"/>
          <w:szCs w:val="24"/>
          <w:lang w:val="en-US"/>
        </w:rPr>
        <w:t xml:space="preserve"> </w:t>
      </w:r>
      <w:r w:rsidRPr="00A46EBA">
        <w:rPr>
          <w:rFonts w:ascii="Arial" w:hAnsi="Arial" w:cs="Arial"/>
          <w:sz w:val="24"/>
          <w:szCs w:val="24"/>
          <w:lang w:val="en-US"/>
        </w:rPr>
        <w:t xml:space="preserve">is dedicated to the experimental work </w:t>
      </w:r>
      <w:r>
        <w:rPr>
          <w:rFonts w:ascii="Arial" w:hAnsi="Arial" w:cs="Arial"/>
          <w:sz w:val="24"/>
          <w:szCs w:val="24"/>
          <w:lang w:val="en-US"/>
        </w:rPr>
        <w:t>dealing</w:t>
      </w:r>
      <w:r w:rsidRPr="00A46EBA">
        <w:rPr>
          <w:rFonts w:ascii="Arial" w:hAnsi="Arial" w:cs="Arial"/>
          <w:sz w:val="24"/>
          <w:szCs w:val="24"/>
          <w:lang w:val="en-US"/>
        </w:rPr>
        <w:t xml:space="preserve"> with the preparation and characterization of biodegradable nanoparticles. Two different methods were used to prepare nanoparticles for the passive (</w:t>
      </w:r>
      <w:r w:rsidRPr="006C3448">
        <w:rPr>
          <w:rFonts w:ascii="Arial" w:hAnsi="Arial" w:cs="Arial"/>
          <w:i/>
          <w:sz w:val="24"/>
          <w:szCs w:val="24"/>
          <w:lang w:val="en-US"/>
        </w:rPr>
        <w:t>Chapter 2</w:t>
      </w:r>
      <w:r w:rsidRPr="00A46EBA">
        <w:rPr>
          <w:rFonts w:ascii="Arial" w:hAnsi="Arial" w:cs="Arial"/>
          <w:sz w:val="24"/>
          <w:szCs w:val="24"/>
          <w:lang w:val="en-US"/>
        </w:rPr>
        <w:t>) and active (</w:t>
      </w:r>
      <w:r w:rsidRPr="006C3448">
        <w:rPr>
          <w:rFonts w:ascii="Arial" w:hAnsi="Arial" w:cs="Arial"/>
          <w:i/>
          <w:sz w:val="24"/>
          <w:szCs w:val="24"/>
          <w:lang w:val="en-US"/>
        </w:rPr>
        <w:t>Chapter 3</w:t>
      </w:r>
      <w:r w:rsidRPr="00A46EBA">
        <w:rPr>
          <w:rFonts w:ascii="Arial" w:hAnsi="Arial" w:cs="Arial"/>
          <w:sz w:val="24"/>
          <w:szCs w:val="24"/>
          <w:lang w:val="en-US"/>
        </w:rPr>
        <w:t>) targeting of cancer. In this section, the possibility of introducing novel biodegradable materials with tunable properties (polyurethanes)</w:t>
      </w:r>
      <w:r>
        <w:rPr>
          <w:rFonts w:ascii="Arial" w:hAnsi="Arial" w:cs="Arial"/>
          <w:sz w:val="24"/>
          <w:szCs w:val="24"/>
          <w:lang w:val="en-US"/>
        </w:rPr>
        <w:t xml:space="preserve"> as matrix-forming materials for nanoparticles</w:t>
      </w:r>
      <w:r w:rsidRPr="00A46EBA">
        <w:rPr>
          <w:rFonts w:ascii="Arial" w:hAnsi="Arial" w:cs="Arial"/>
          <w:sz w:val="24"/>
          <w:szCs w:val="24"/>
          <w:lang w:val="en-US"/>
        </w:rPr>
        <w:t xml:space="preserve"> was investigated.</w:t>
      </w:r>
    </w:p>
    <w:p w:rsidR="00387A07" w:rsidRPr="00A46EBA" w:rsidRDefault="00387A07" w:rsidP="00387A07">
      <w:pPr>
        <w:spacing w:line="360" w:lineRule="auto"/>
        <w:jc w:val="both"/>
        <w:rPr>
          <w:rFonts w:ascii="Arial" w:hAnsi="Arial" w:cs="Arial"/>
          <w:sz w:val="24"/>
          <w:szCs w:val="24"/>
          <w:lang w:val="en-US"/>
        </w:rPr>
      </w:pPr>
      <w:r w:rsidRPr="006C3448">
        <w:rPr>
          <w:rFonts w:ascii="Arial" w:hAnsi="Arial" w:cs="Arial"/>
          <w:b/>
          <w:i/>
          <w:sz w:val="24"/>
          <w:szCs w:val="24"/>
          <w:lang w:val="en-US"/>
        </w:rPr>
        <w:t>Chapter 2</w:t>
      </w:r>
      <w:r w:rsidRPr="00A46EBA">
        <w:rPr>
          <w:rFonts w:ascii="Arial" w:hAnsi="Arial" w:cs="Arial"/>
          <w:sz w:val="24"/>
          <w:szCs w:val="24"/>
          <w:lang w:val="en-US"/>
        </w:rPr>
        <w:t xml:space="preserve"> describes the preparation and charact</w:t>
      </w:r>
      <w:r>
        <w:rPr>
          <w:rFonts w:ascii="Arial" w:hAnsi="Arial" w:cs="Arial"/>
          <w:sz w:val="24"/>
          <w:szCs w:val="24"/>
          <w:lang w:val="en-US"/>
        </w:rPr>
        <w:t>erization of biodegradable nano</w:t>
      </w:r>
      <w:r w:rsidRPr="00A46EBA">
        <w:rPr>
          <w:rFonts w:ascii="Arial" w:hAnsi="Arial" w:cs="Arial"/>
          <w:sz w:val="24"/>
          <w:szCs w:val="24"/>
          <w:lang w:val="en-US"/>
        </w:rPr>
        <w:t>p</w:t>
      </w:r>
      <w:r>
        <w:rPr>
          <w:rFonts w:ascii="Arial" w:hAnsi="Arial" w:cs="Arial"/>
          <w:sz w:val="24"/>
          <w:szCs w:val="24"/>
          <w:lang w:val="en-US"/>
        </w:rPr>
        <w:t>a</w:t>
      </w:r>
      <w:r w:rsidRPr="00A46EBA">
        <w:rPr>
          <w:rFonts w:ascii="Arial" w:hAnsi="Arial" w:cs="Arial"/>
          <w:sz w:val="24"/>
          <w:szCs w:val="24"/>
          <w:lang w:val="en-US"/>
        </w:rPr>
        <w:t xml:space="preserve">rticles </w:t>
      </w:r>
      <w:r>
        <w:rPr>
          <w:rFonts w:ascii="Arial" w:hAnsi="Arial" w:cs="Arial"/>
          <w:sz w:val="24"/>
          <w:szCs w:val="24"/>
          <w:lang w:val="en-US"/>
        </w:rPr>
        <w:t>by using</w:t>
      </w:r>
      <w:r w:rsidRPr="00A46EBA">
        <w:rPr>
          <w:rFonts w:ascii="Arial" w:hAnsi="Arial" w:cs="Arial"/>
          <w:sz w:val="24"/>
          <w:szCs w:val="24"/>
          <w:lang w:val="en-US"/>
        </w:rPr>
        <w:t xml:space="preserve"> the Solvent Displacement Method</w:t>
      </w:r>
      <w:r>
        <w:rPr>
          <w:rFonts w:ascii="Arial" w:hAnsi="Arial" w:cs="Arial"/>
          <w:sz w:val="24"/>
          <w:szCs w:val="24"/>
          <w:lang w:val="en-US"/>
        </w:rPr>
        <w:t>, for the controlled release of</w:t>
      </w:r>
      <w:r w:rsidRPr="00A46EBA">
        <w:rPr>
          <w:rFonts w:ascii="Arial" w:hAnsi="Arial" w:cs="Arial"/>
          <w:sz w:val="24"/>
          <w:szCs w:val="24"/>
          <w:lang w:val="en-US"/>
        </w:rPr>
        <w:t xml:space="preserve"> the </w:t>
      </w:r>
      <w:r>
        <w:rPr>
          <w:rFonts w:ascii="Arial" w:hAnsi="Arial" w:cs="Arial"/>
          <w:sz w:val="24"/>
          <w:szCs w:val="24"/>
          <w:lang w:val="en-US"/>
        </w:rPr>
        <w:t>anticancer drug Paclitaxel.</w:t>
      </w:r>
      <w:r w:rsidRPr="00A46EBA">
        <w:rPr>
          <w:rFonts w:ascii="Arial" w:hAnsi="Arial" w:cs="Arial"/>
          <w:sz w:val="24"/>
          <w:szCs w:val="24"/>
          <w:lang w:val="en-US"/>
        </w:rPr>
        <w:t xml:space="preserve"> Three different materials were tested: two widely used biodegradable polyesters</w:t>
      </w:r>
      <w:r>
        <w:rPr>
          <w:rFonts w:ascii="Arial" w:hAnsi="Arial" w:cs="Arial"/>
          <w:sz w:val="24"/>
          <w:szCs w:val="24"/>
          <w:lang w:val="en-US"/>
        </w:rPr>
        <w:t xml:space="preserve"> (Poly(ε-caprolactone) and Poly(D,L-lactide))</w:t>
      </w:r>
      <w:r w:rsidRPr="00A46EBA">
        <w:rPr>
          <w:rFonts w:ascii="Arial" w:hAnsi="Arial" w:cs="Arial"/>
          <w:sz w:val="24"/>
          <w:szCs w:val="24"/>
          <w:lang w:val="en-US"/>
        </w:rPr>
        <w:t xml:space="preserve"> and one</w:t>
      </w:r>
      <w:r>
        <w:rPr>
          <w:rFonts w:ascii="Arial" w:hAnsi="Arial" w:cs="Arial"/>
          <w:sz w:val="24"/>
          <w:szCs w:val="24"/>
          <w:lang w:val="en-US"/>
        </w:rPr>
        <w:t xml:space="preserve"> proprietary</w:t>
      </w:r>
      <w:r w:rsidRPr="00A46EBA">
        <w:rPr>
          <w:rFonts w:ascii="Arial" w:hAnsi="Arial" w:cs="Arial"/>
          <w:sz w:val="24"/>
          <w:szCs w:val="24"/>
          <w:lang w:val="en-US"/>
        </w:rPr>
        <w:t xml:space="preserve"> polyester-urethane. </w:t>
      </w:r>
      <w:r>
        <w:rPr>
          <w:rFonts w:ascii="Arial" w:hAnsi="Arial" w:cs="Arial"/>
          <w:sz w:val="24"/>
          <w:szCs w:val="24"/>
          <w:lang w:val="en-US"/>
        </w:rPr>
        <w:t>The protocol for particles prep</w:t>
      </w:r>
      <w:r w:rsidRPr="00A46EBA">
        <w:rPr>
          <w:rFonts w:ascii="Arial" w:hAnsi="Arial" w:cs="Arial"/>
          <w:sz w:val="24"/>
          <w:szCs w:val="24"/>
          <w:lang w:val="en-US"/>
        </w:rPr>
        <w:t>a</w:t>
      </w:r>
      <w:r>
        <w:rPr>
          <w:rFonts w:ascii="Arial" w:hAnsi="Arial" w:cs="Arial"/>
          <w:sz w:val="24"/>
          <w:szCs w:val="24"/>
          <w:lang w:val="en-US"/>
        </w:rPr>
        <w:t>ra</w:t>
      </w:r>
      <w:r w:rsidRPr="00A46EBA">
        <w:rPr>
          <w:rFonts w:ascii="Arial" w:hAnsi="Arial" w:cs="Arial"/>
          <w:sz w:val="24"/>
          <w:szCs w:val="24"/>
          <w:lang w:val="en-US"/>
        </w:rPr>
        <w:t>tion was optimized in order to obtain th</w:t>
      </w:r>
      <w:r>
        <w:rPr>
          <w:rFonts w:ascii="Arial" w:hAnsi="Arial" w:cs="Arial"/>
          <w:sz w:val="24"/>
          <w:szCs w:val="24"/>
          <w:lang w:val="en-US"/>
        </w:rPr>
        <w:t>e appropriate dimensions for the passive targeting of tumor cells. The r</w:t>
      </w:r>
      <w:r w:rsidRPr="00A46EBA">
        <w:rPr>
          <w:rFonts w:ascii="Arial" w:hAnsi="Arial" w:cs="Arial"/>
          <w:sz w:val="24"/>
          <w:szCs w:val="24"/>
          <w:lang w:val="en-US"/>
        </w:rPr>
        <w:t>elease kinetics as well as the cellular uptake pathways were</w:t>
      </w:r>
      <w:r>
        <w:rPr>
          <w:rFonts w:ascii="Arial" w:hAnsi="Arial" w:cs="Arial"/>
          <w:sz w:val="24"/>
          <w:szCs w:val="24"/>
          <w:lang w:val="en-US"/>
        </w:rPr>
        <w:t xml:space="preserve"> also studied and</w:t>
      </w:r>
      <w:r w:rsidRPr="00A46EBA">
        <w:rPr>
          <w:rFonts w:ascii="Arial" w:hAnsi="Arial" w:cs="Arial"/>
          <w:sz w:val="24"/>
          <w:szCs w:val="24"/>
          <w:lang w:val="en-US"/>
        </w:rPr>
        <w:t xml:space="preserve"> characterized. </w:t>
      </w:r>
    </w:p>
    <w:p w:rsidR="00387A07" w:rsidRPr="00A46EBA" w:rsidRDefault="00387A07" w:rsidP="00387A07">
      <w:pPr>
        <w:spacing w:line="360" w:lineRule="auto"/>
        <w:jc w:val="both"/>
        <w:rPr>
          <w:rFonts w:ascii="Arial" w:hAnsi="Arial" w:cs="Arial"/>
          <w:sz w:val="24"/>
          <w:szCs w:val="24"/>
          <w:lang w:val="en-US"/>
        </w:rPr>
      </w:pPr>
      <w:r w:rsidRPr="006C3448">
        <w:rPr>
          <w:rFonts w:ascii="Arial" w:hAnsi="Arial" w:cs="Arial"/>
          <w:b/>
          <w:i/>
          <w:sz w:val="24"/>
          <w:szCs w:val="24"/>
          <w:lang w:val="en-US"/>
        </w:rPr>
        <w:t>Chapter 3</w:t>
      </w:r>
      <w:r w:rsidRPr="00A46EBA">
        <w:rPr>
          <w:rFonts w:ascii="Arial" w:hAnsi="Arial" w:cs="Arial"/>
          <w:sz w:val="24"/>
          <w:szCs w:val="24"/>
          <w:lang w:val="en-US"/>
        </w:rPr>
        <w:t xml:space="preserve"> deals with the preparation and characterization of surface-modified nanoparticles for the active targeting of breast cancer cells</w:t>
      </w:r>
      <w:r>
        <w:rPr>
          <w:rFonts w:ascii="Arial" w:hAnsi="Arial" w:cs="Arial"/>
          <w:sz w:val="24"/>
          <w:szCs w:val="24"/>
          <w:lang w:val="en-US"/>
        </w:rPr>
        <w:t>. Different materials were used as particle-forming matrices:</w:t>
      </w:r>
      <w:r w:rsidRPr="00A46EBA">
        <w:rPr>
          <w:rFonts w:ascii="Arial" w:hAnsi="Arial" w:cs="Arial"/>
          <w:sz w:val="24"/>
          <w:szCs w:val="24"/>
          <w:lang w:val="en-US"/>
        </w:rPr>
        <w:t xml:space="preserve"> three commercial polyesters and two </w:t>
      </w:r>
      <w:r>
        <w:rPr>
          <w:rFonts w:ascii="Arial" w:hAnsi="Arial" w:cs="Arial"/>
          <w:sz w:val="24"/>
          <w:szCs w:val="24"/>
          <w:lang w:val="en-US"/>
        </w:rPr>
        <w:t xml:space="preserve">proprietary </w:t>
      </w:r>
      <w:r w:rsidRPr="00A46EBA">
        <w:rPr>
          <w:rFonts w:ascii="Arial" w:hAnsi="Arial" w:cs="Arial"/>
          <w:sz w:val="24"/>
          <w:szCs w:val="24"/>
          <w:lang w:val="en-US"/>
        </w:rPr>
        <w:t>polyeter</w:t>
      </w:r>
      <w:r>
        <w:rPr>
          <w:rFonts w:ascii="Arial" w:hAnsi="Arial" w:cs="Arial"/>
          <w:sz w:val="24"/>
          <w:szCs w:val="24"/>
          <w:lang w:val="en-US"/>
        </w:rPr>
        <w:t>-urethanes, prepared with different chain extenders.</w:t>
      </w:r>
      <w:r w:rsidRPr="00A46EBA">
        <w:rPr>
          <w:rFonts w:ascii="Arial" w:hAnsi="Arial" w:cs="Arial"/>
          <w:sz w:val="24"/>
          <w:szCs w:val="24"/>
          <w:lang w:val="en-US"/>
        </w:rPr>
        <w:t xml:space="preserve"> The procedure followed for particles preparation was optimized and the surface was coated with a monoclonal antibody able to </w:t>
      </w:r>
      <w:r w:rsidRPr="00A46EBA">
        <w:rPr>
          <w:rFonts w:ascii="Arial" w:hAnsi="Arial" w:cs="Arial"/>
          <w:sz w:val="24"/>
          <w:szCs w:val="24"/>
          <w:lang w:val="en-US"/>
        </w:rPr>
        <w:lastRenderedPageBreak/>
        <w:t xml:space="preserve">selectively bind to specific </w:t>
      </w:r>
      <w:r>
        <w:rPr>
          <w:rFonts w:ascii="Arial" w:hAnsi="Arial" w:cs="Arial"/>
          <w:sz w:val="24"/>
          <w:szCs w:val="24"/>
          <w:lang w:val="en-US"/>
        </w:rPr>
        <w:t xml:space="preserve">receptors which are over-expressed on breast </w:t>
      </w:r>
      <w:r w:rsidRPr="00A46EBA">
        <w:rPr>
          <w:rFonts w:ascii="Arial" w:hAnsi="Arial" w:cs="Arial"/>
          <w:sz w:val="24"/>
          <w:szCs w:val="24"/>
          <w:lang w:val="en-US"/>
        </w:rPr>
        <w:t xml:space="preserve">cancer cells. The ability of coated and non coated particles to enter these cells as </w:t>
      </w:r>
      <w:r>
        <w:rPr>
          <w:rFonts w:ascii="Arial" w:hAnsi="Arial" w:cs="Arial"/>
          <w:sz w:val="24"/>
          <w:szCs w:val="24"/>
          <w:lang w:val="en-US"/>
        </w:rPr>
        <w:t>well as the cytotoxicity of different drug-nanoparticles formulations</w:t>
      </w:r>
      <w:r w:rsidRPr="00A46EBA">
        <w:rPr>
          <w:rFonts w:ascii="Arial" w:hAnsi="Arial" w:cs="Arial"/>
          <w:sz w:val="24"/>
          <w:szCs w:val="24"/>
          <w:lang w:val="en-US"/>
        </w:rPr>
        <w:t xml:space="preserve"> was investigated. </w:t>
      </w:r>
    </w:p>
    <w:p w:rsidR="00387A07" w:rsidRDefault="00387A07" w:rsidP="00387A07">
      <w:pPr>
        <w:spacing w:line="360" w:lineRule="auto"/>
        <w:jc w:val="both"/>
        <w:rPr>
          <w:rFonts w:ascii="Arial" w:hAnsi="Arial" w:cs="Arial"/>
          <w:sz w:val="24"/>
          <w:szCs w:val="24"/>
          <w:lang w:val="en-US"/>
        </w:rPr>
      </w:pPr>
      <w:r w:rsidRPr="00FB3952">
        <w:rPr>
          <w:rFonts w:ascii="Arial" w:hAnsi="Arial" w:cs="Arial"/>
          <w:b/>
          <w:sz w:val="24"/>
          <w:szCs w:val="24"/>
          <w:lang w:val="en-US"/>
        </w:rPr>
        <w:t>Section III</w:t>
      </w:r>
      <w:r>
        <w:rPr>
          <w:rFonts w:ascii="Arial" w:hAnsi="Arial" w:cs="Arial"/>
          <w:sz w:val="24"/>
          <w:szCs w:val="24"/>
          <w:lang w:val="en-US"/>
        </w:rPr>
        <w:t xml:space="preserve"> (</w:t>
      </w:r>
      <w:r w:rsidRPr="00FB3952">
        <w:rPr>
          <w:rFonts w:ascii="Arial" w:hAnsi="Arial" w:cs="Arial"/>
          <w:i/>
          <w:sz w:val="24"/>
          <w:szCs w:val="24"/>
          <w:lang w:val="en-US"/>
        </w:rPr>
        <w:t>chapter 4</w:t>
      </w:r>
      <w:r>
        <w:rPr>
          <w:rFonts w:ascii="Arial" w:hAnsi="Arial" w:cs="Arial"/>
          <w:sz w:val="24"/>
          <w:szCs w:val="24"/>
          <w:lang w:val="en-US"/>
        </w:rPr>
        <w:t>) describes the application of nanoparticles to the field of bone tissue engineering. Indomethacin-containing nanoparticles were</w:t>
      </w:r>
      <w:r w:rsidRPr="00A46EBA">
        <w:rPr>
          <w:rFonts w:ascii="Arial" w:hAnsi="Arial" w:cs="Arial"/>
          <w:sz w:val="24"/>
          <w:szCs w:val="24"/>
          <w:lang w:val="en-US"/>
        </w:rPr>
        <w:t xml:space="preserve"> </w:t>
      </w:r>
      <w:r>
        <w:rPr>
          <w:rFonts w:ascii="Arial" w:hAnsi="Arial" w:cs="Arial"/>
          <w:sz w:val="24"/>
          <w:szCs w:val="24"/>
          <w:lang w:val="en-US"/>
        </w:rPr>
        <w:t>prepared and loaded on injectable, biodegradable bone cements, containing β-Tricalciumphosphate (TCP) and Collagen.</w:t>
      </w:r>
    </w:p>
    <w:p w:rsidR="00387A07" w:rsidRPr="00A46EBA" w:rsidRDefault="00387A07" w:rsidP="00387A07">
      <w:pPr>
        <w:spacing w:line="360" w:lineRule="auto"/>
        <w:jc w:val="both"/>
        <w:rPr>
          <w:rFonts w:ascii="Arial" w:hAnsi="Arial" w:cs="Arial"/>
          <w:sz w:val="24"/>
          <w:szCs w:val="24"/>
          <w:lang w:val="en-US"/>
        </w:rPr>
      </w:pPr>
      <w:r>
        <w:rPr>
          <w:rFonts w:ascii="Arial" w:hAnsi="Arial" w:cs="Arial"/>
          <w:sz w:val="24"/>
          <w:szCs w:val="24"/>
          <w:lang w:val="en-US"/>
        </w:rPr>
        <w:t xml:space="preserve">In </w:t>
      </w:r>
      <w:r w:rsidRPr="00FB3952">
        <w:rPr>
          <w:rFonts w:ascii="Arial" w:hAnsi="Arial" w:cs="Arial"/>
          <w:b/>
          <w:sz w:val="24"/>
          <w:szCs w:val="24"/>
          <w:lang w:val="en-US"/>
        </w:rPr>
        <w:t>section IV</w:t>
      </w:r>
      <w:r>
        <w:rPr>
          <w:rFonts w:ascii="Arial" w:hAnsi="Arial" w:cs="Arial"/>
          <w:b/>
          <w:sz w:val="24"/>
          <w:szCs w:val="24"/>
          <w:lang w:val="en-US"/>
        </w:rPr>
        <w:t xml:space="preserve"> </w:t>
      </w:r>
      <w:r>
        <w:rPr>
          <w:rFonts w:ascii="Arial" w:hAnsi="Arial" w:cs="Arial"/>
          <w:i/>
          <w:sz w:val="24"/>
          <w:szCs w:val="24"/>
          <w:lang w:val="en-US"/>
        </w:rPr>
        <w:t>(chapter 5)</w:t>
      </w:r>
      <w:r>
        <w:rPr>
          <w:rFonts w:ascii="Arial" w:hAnsi="Arial" w:cs="Arial"/>
          <w:sz w:val="24"/>
          <w:szCs w:val="24"/>
          <w:lang w:val="en-US"/>
        </w:rPr>
        <w:t xml:space="preserve">, </w:t>
      </w:r>
      <w:r w:rsidRPr="00A46EBA">
        <w:rPr>
          <w:rFonts w:ascii="Arial" w:hAnsi="Arial" w:cs="Arial"/>
          <w:sz w:val="24"/>
          <w:szCs w:val="24"/>
          <w:lang w:val="en-US"/>
        </w:rPr>
        <w:t xml:space="preserve">the main achievements of the experimental work are presented and the future trends and general conclusions are discussed. </w:t>
      </w:r>
    </w:p>
    <w:p w:rsidR="00387A07" w:rsidRPr="00B612AD" w:rsidRDefault="00387A07" w:rsidP="00387A07">
      <w:pPr>
        <w:spacing w:line="360" w:lineRule="auto"/>
        <w:jc w:val="both"/>
        <w:rPr>
          <w:rFonts w:ascii="Times New Roman" w:hAnsi="Times New Roman" w:cs="Times New Roman"/>
          <w:sz w:val="26"/>
          <w:szCs w:val="26"/>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r w:rsidRPr="007C2F2E">
        <w:rPr>
          <w:rFonts w:ascii="Arial" w:hAnsi="Arial" w:cs="Arial"/>
          <w:b/>
          <w:color w:val="002060"/>
          <w:sz w:val="120"/>
          <w:szCs w:val="120"/>
          <w:lang w:val="en-US"/>
        </w:rPr>
        <w:t>Section I</w:t>
      </w: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Pr="007C2F2E" w:rsidRDefault="00387A07" w:rsidP="00387A07">
      <w:pPr>
        <w:spacing w:line="360" w:lineRule="auto"/>
        <w:jc w:val="right"/>
        <w:rPr>
          <w:rFonts w:ascii="Arial" w:hAnsi="Arial" w:cs="Arial"/>
          <w:b/>
          <w:color w:val="002060"/>
          <w:sz w:val="120"/>
          <w:szCs w:val="120"/>
          <w:lang w:val="en-US"/>
        </w:rPr>
      </w:pPr>
    </w:p>
    <w:p w:rsidR="00387A07" w:rsidRDefault="00387A07" w:rsidP="00387A07"/>
    <w:p w:rsidR="00387A07" w:rsidRDefault="00387A07" w:rsidP="00387A07">
      <w:pPr>
        <w:jc w:val="right"/>
        <w:rPr>
          <w:rFonts w:ascii="Arial" w:hAnsi="Arial" w:cs="Arial"/>
          <w:b/>
          <w:color w:val="4F81BD" w:themeColor="accent1"/>
          <w:sz w:val="124"/>
          <w:szCs w:val="124"/>
          <w:lang w:val="en-US"/>
        </w:rPr>
      </w:pPr>
      <w:r w:rsidRPr="00182FE9">
        <w:rPr>
          <w:rFonts w:ascii="Arial" w:hAnsi="Arial" w:cs="Arial"/>
          <w:b/>
          <w:color w:val="4F81BD" w:themeColor="accent1"/>
          <w:sz w:val="124"/>
          <w:szCs w:val="124"/>
          <w:lang w:val="en-US"/>
        </w:rPr>
        <w:lastRenderedPageBreak/>
        <w:t>Chapter 1</w:t>
      </w:r>
    </w:p>
    <w:p w:rsidR="00387A07" w:rsidRPr="00182FE9" w:rsidRDefault="00387A07" w:rsidP="00387A07">
      <w:pPr>
        <w:jc w:val="right"/>
        <w:rPr>
          <w:rFonts w:ascii="Arial" w:hAnsi="Arial" w:cs="Arial"/>
          <w:b/>
          <w:sz w:val="24"/>
          <w:szCs w:val="24"/>
          <w:lang w:val="en-US"/>
        </w:rPr>
      </w:pPr>
    </w:p>
    <w:p w:rsidR="00387A07" w:rsidRDefault="00387A07" w:rsidP="00387A07">
      <w:pPr>
        <w:rPr>
          <w:lang w:val="en-US"/>
        </w:rPr>
      </w:pPr>
    </w:p>
    <w:p w:rsidR="00387A07" w:rsidRPr="00353D75" w:rsidRDefault="00387A07" w:rsidP="00387A07">
      <w:pPr>
        <w:spacing w:line="360" w:lineRule="auto"/>
        <w:jc w:val="right"/>
        <w:rPr>
          <w:rFonts w:ascii="Arial" w:hAnsi="Arial" w:cs="Arial"/>
          <w:b/>
          <w:sz w:val="50"/>
          <w:szCs w:val="50"/>
          <w:lang w:val="en-US"/>
        </w:rPr>
      </w:pPr>
      <w:r>
        <w:rPr>
          <w:rFonts w:ascii="Arial" w:hAnsi="Arial" w:cs="Arial"/>
          <w:b/>
          <w:sz w:val="50"/>
          <w:szCs w:val="50"/>
          <w:lang w:val="en-US"/>
        </w:rPr>
        <w:t>Nanotechnology-based Drug Delivery Systems: State of the Art and Future Trends</w:t>
      </w: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550A30" w:rsidRDefault="00550A30"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Default="00387A07" w:rsidP="00387A07">
      <w:pPr>
        <w:rPr>
          <w:rFonts w:ascii="Arial" w:hAnsi="Arial" w:cs="Arial"/>
          <w:b/>
          <w:sz w:val="24"/>
          <w:szCs w:val="24"/>
          <w:lang w:val="en-US"/>
        </w:rPr>
      </w:pPr>
    </w:p>
    <w:p w:rsidR="00387A07" w:rsidRPr="0019015F" w:rsidRDefault="00387A07" w:rsidP="00387A07">
      <w:pPr>
        <w:spacing w:after="240"/>
        <w:rPr>
          <w:rFonts w:ascii="Arial" w:hAnsi="Arial" w:cs="Arial"/>
          <w:b/>
          <w:sz w:val="24"/>
          <w:szCs w:val="24"/>
          <w:lang w:val="en-US"/>
        </w:rPr>
      </w:pPr>
      <w:r>
        <w:rPr>
          <w:rFonts w:ascii="Arial" w:hAnsi="Arial" w:cs="Arial"/>
          <w:b/>
          <w:sz w:val="24"/>
          <w:szCs w:val="24"/>
          <w:lang w:val="en-US"/>
        </w:rPr>
        <w:lastRenderedPageBreak/>
        <w:t>1.1 Introduction</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Nanotechnology-based drug delivery systems have gained growing attention in the past decades because they offer new opportunities in improving, and often combining, diagnosis and treatment of various diseases.</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Corporate investments in the field have increased year by year and founding raised in the United States from $116 million in 2001 to $82 billion in </w:t>
      </w:r>
      <w:r w:rsidRPr="0065313A">
        <w:rPr>
          <w:rFonts w:ascii="Arial" w:hAnsi="Arial" w:cs="Arial"/>
          <w:sz w:val="24"/>
          <w:szCs w:val="24"/>
          <w:lang w:val="en-US"/>
        </w:rPr>
        <w:t>2007 [1,2].</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A successful drug delivery system should enhance therapeutic outcome, improve patient compliance and reduce therapeutic costs.</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Moreover they are expected to offer the possibility to: (i) selectively deliver the encapsulated drug by specific recognition of their target tissues/cells; (ii) reduce toxic side effects such as infections, systemic toxicity or undesired immune reactions and (iii) minimize risks associated with drug administration by improving drug pharmacokinetic and </w:t>
      </w:r>
      <w:r w:rsidRPr="0065313A">
        <w:rPr>
          <w:rFonts w:ascii="Arial" w:hAnsi="Arial" w:cs="Arial"/>
          <w:sz w:val="24"/>
          <w:szCs w:val="24"/>
          <w:lang w:val="en-US"/>
        </w:rPr>
        <w:t>bioavailability [3].</w:t>
      </w:r>
      <w:r>
        <w:rPr>
          <w:rFonts w:ascii="Arial" w:hAnsi="Arial" w:cs="Arial"/>
          <w:sz w:val="24"/>
          <w:szCs w:val="24"/>
          <w:lang w:val="en-US"/>
        </w:rPr>
        <w:t xml:space="preserve">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Traditional nanotechnology for drug delivery refers to those nanoscale vehicles mainly utilized to improve the release properties of pharmacologically active molecules. Recently new multifunctional platforms have been developed to combine therapeutic purposes with the ability to perform other tasks. These tools combine the traditional function of drug delivery with diagnostics, by encapsulating fluorescent or magnetic resonance imaging agents (such as quantum dots or super-paramagnetic particles) as well as with long-term therapeutic strategies such as photothermal therapy in oncology or combined release of </w:t>
      </w:r>
      <w:r w:rsidRPr="0065313A">
        <w:rPr>
          <w:rFonts w:ascii="Arial" w:hAnsi="Arial" w:cs="Arial"/>
          <w:sz w:val="24"/>
          <w:szCs w:val="24"/>
          <w:lang w:val="en-US"/>
        </w:rPr>
        <w:t>multiple therapies such as drugs in conjugation with biomolecules like nucleic acids or peptides [4,5].</w:t>
      </w:r>
    </w:p>
    <w:p w:rsidR="00387A07" w:rsidRPr="00DA7A89" w:rsidRDefault="00387A07" w:rsidP="00387A07">
      <w:pPr>
        <w:spacing w:before="240" w:after="240" w:line="360" w:lineRule="auto"/>
        <w:jc w:val="both"/>
        <w:rPr>
          <w:rFonts w:ascii="Arial" w:hAnsi="Arial" w:cs="Arial"/>
          <w:b/>
          <w:sz w:val="24"/>
          <w:szCs w:val="24"/>
          <w:lang w:val="en-US"/>
        </w:rPr>
      </w:pPr>
      <w:r>
        <w:rPr>
          <w:rFonts w:ascii="Arial" w:hAnsi="Arial" w:cs="Arial"/>
          <w:b/>
          <w:sz w:val="24"/>
          <w:szCs w:val="24"/>
          <w:lang w:val="en-US"/>
        </w:rPr>
        <w:t>1.2 Polymeric nanoparticles as drug delivery systems</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Pr>
          <w:rFonts w:ascii="Arial" w:hAnsi="Arial" w:cs="Arial"/>
          <w:sz w:val="24"/>
          <w:szCs w:val="24"/>
          <w:lang w:val="en-US"/>
        </w:rPr>
        <w:t>Among the nanotechnology-based drug delivery systems, b</w:t>
      </w:r>
      <w:r w:rsidRPr="00C60CB6">
        <w:rPr>
          <w:rFonts w:ascii="Arial" w:hAnsi="Arial" w:cs="Arial"/>
          <w:sz w:val="24"/>
          <w:szCs w:val="24"/>
          <w:lang w:val="en-US"/>
        </w:rPr>
        <w:t>iodegradable polyme</w:t>
      </w:r>
      <w:r>
        <w:rPr>
          <w:rFonts w:ascii="Arial" w:hAnsi="Arial" w:cs="Arial"/>
          <w:sz w:val="24"/>
          <w:szCs w:val="24"/>
          <w:lang w:val="en-US"/>
        </w:rPr>
        <w:t xml:space="preserve">ric nanoparticles have attracted immense </w:t>
      </w:r>
      <w:r w:rsidRPr="0065313A">
        <w:rPr>
          <w:rFonts w:ascii="Arial" w:hAnsi="Arial" w:cs="Arial"/>
          <w:sz w:val="24"/>
          <w:szCs w:val="24"/>
          <w:lang w:val="en-US"/>
        </w:rPr>
        <w:t>interest in research because they offer several advantages over traditional medicine with respect to controlled release, therapeutic impact and targeted delivery through easy surface nanoengineering [6]. They can be tailor-made to achieve both controlled drug release and disease specific localization by tuning the polymer characteristics and surface chemistry [7-9].</w:t>
      </w:r>
    </w:p>
    <w:p w:rsidR="00387A07"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Figure 1.1 represents the increase in the number of scientific publication from 1996 to 2010 (Scopus) regarding polymer nanoparticles [10] and reflects the growing interest raised in the scientific community in this field.</w:t>
      </w:r>
      <w:r>
        <w:rPr>
          <w:rFonts w:ascii="Arial" w:hAnsi="Arial" w:cs="Arial"/>
          <w:sz w:val="24"/>
          <w:szCs w:val="24"/>
          <w:lang w:val="en-US"/>
        </w:rPr>
        <w:t xml:space="preserve"> </w:t>
      </w:r>
    </w:p>
    <w:p w:rsidR="00387A07" w:rsidRDefault="00387A07" w:rsidP="00387A07">
      <w:pPr>
        <w:spacing w:after="0" w:line="360" w:lineRule="auto"/>
        <w:jc w:val="center"/>
        <w:rPr>
          <w:rFonts w:ascii="Arial" w:hAnsi="Arial" w:cs="Arial"/>
          <w:sz w:val="24"/>
          <w:szCs w:val="24"/>
          <w:lang w:val="en-US"/>
        </w:rPr>
      </w:pPr>
      <w:r>
        <w:rPr>
          <w:rFonts w:ascii="Arial" w:hAnsi="Arial" w:cs="Arial"/>
          <w:noProof/>
          <w:sz w:val="24"/>
          <w:szCs w:val="24"/>
          <w:lang w:val="it-IT" w:eastAsia="it-IT"/>
        </w:rPr>
        <w:lastRenderedPageBreak/>
        <w:drawing>
          <wp:inline distT="0" distB="0" distL="0" distR="0">
            <wp:extent cx="4295775" cy="2743200"/>
            <wp:effectExtent l="19050" t="0" r="9525" b="0"/>
            <wp:docPr id="4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9"/>
                    <a:srcRect/>
                    <a:stretch>
                      <a:fillRect/>
                    </a:stretch>
                  </pic:blipFill>
                  <pic:spPr bwMode="auto">
                    <a:xfrm>
                      <a:off x="0" y="0"/>
                      <a:ext cx="4295775" cy="2743200"/>
                    </a:xfrm>
                    <a:prstGeom prst="rect">
                      <a:avLst/>
                    </a:prstGeom>
                    <a:noFill/>
                    <a:ln w="9525">
                      <a:noFill/>
                      <a:miter lim="800000"/>
                      <a:headEnd/>
                      <a:tailEnd/>
                    </a:ln>
                  </pic:spPr>
                </pic:pic>
              </a:graphicData>
            </a:graphic>
          </wp:inline>
        </w:drawing>
      </w:r>
    </w:p>
    <w:p w:rsidR="00387A07" w:rsidRDefault="00387A07" w:rsidP="00387A07">
      <w:pPr>
        <w:pStyle w:val="Didascalia"/>
        <w:rPr>
          <w:rFonts w:ascii="Arial" w:hAnsi="Arial" w:cs="Arial"/>
          <w:sz w:val="24"/>
          <w:szCs w:val="24"/>
          <w:lang w:val="en-US"/>
        </w:rPr>
      </w:pPr>
      <w:r>
        <w:t xml:space="preserve">Figure 1. </w:t>
      </w:r>
      <w:fldSimple w:instr=" SEQ Figure_1. \* ARABIC ">
        <w:r>
          <w:rPr>
            <w:noProof/>
          </w:rPr>
          <w:t>1</w:t>
        </w:r>
      </w:fldSimple>
      <w:r>
        <w:t xml:space="preserve"> Representation of the increase in the number of scientific publications on polymer nanoparticles [10].</w:t>
      </w:r>
    </w:p>
    <w:p w:rsidR="00387A07" w:rsidRPr="0065313A" w:rsidRDefault="00387A07" w:rsidP="00387A07">
      <w:pPr>
        <w:autoSpaceDE w:val="0"/>
        <w:autoSpaceDN w:val="0"/>
        <w:adjustRightInd w:val="0"/>
        <w:spacing w:after="0" w:line="360" w:lineRule="auto"/>
        <w:jc w:val="both"/>
        <w:rPr>
          <w:rFonts w:ascii="Arial" w:hAnsi="Arial" w:cs="Arial"/>
          <w:iCs/>
          <w:sz w:val="24"/>
          <w:szCs w:val="24"/>
          <w:lang w:val="en-US"/>
        </w:rPr>
      </w:pPr>
      <w:r w:rsidRPr="0065313A">
        <w:rPr>
          <w:rFonts w:ascii="Arial" w:hAnsi="Arial" w:cs="Arial"/>
          <w:sz w:val="24"/>
          <w:szCs w:val="24"/>
          <w:lang w:val="en-US"/>
        </w:rPr>
        <w:t>Nanoparticles are solid, colloidal particles consisting of macromolecular substances that vary in size from 10nm to 1000nm [11.]. The drug of interest could be dissolved, entrapped, adsorbed, attached or encapsulated into the polymer matrix (see figure 1.2) and according to the interactions that take place between the drug and the polymeric carriers, nanocapsules or nanospheres can be obtained [12]</w:t>
      </w:r>
      <w:r w:rsidRPr="0065313A">
        <w:rPr>
          <w:rFonts w:ascii="Arial" w:hAnsi="Arial" w:cs="Arial"/>
          <w:color w:val="FF0000"/>
          <w:sz w:val="24"/>
          <w:szCs w:val="24"/>
          <w:lang w:val="en-US"/>
        </w:rPr>
        <w:t>.</w:t>
      </w:r>
    </w:p>
    <w:p w:rsidR="00387A07" w:rsidRPr="008C1AC5"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Nanocapsules are core-shell type vesicular systems in which the active principle is confined to a cavity surrounded b</w:t>
      </w:r>
      <w:r w:rsidRPr="008C1AC5">
        <w:rPr>
          <w:rFonts w:ascii="Arial" w:hAnsi="Arial" w:cs="Arial"/>
          <w:sz w:val="24"/>
          <w:szCs w:val="24"/>
          <w:lang w:val="en-US"/>
        </w:rPr>
        <w:t>y a polymeric membrane of variable thickness.</w:t>
      </w:r>
    </w:p>
    <w:p w:rsidR="00387A07" w:rsidRPr="002E6D82" w:rsidRDefault="00387A07" w:rsidP="00387A07">
      <w:pPr>
        <w:spacing w:after="120" w:line="360" w:lineRule="auto"/>
        <w:jc w:val="both"/>
        <w:rPr>
          <w:rFonts w:ascii="Arial" w:hAnsi="Arial" w:cs="Arial"/>
          <w:sz w:val="24"/>
          <w:szCs w:val="24"/>
          <w:lang w:val="en-US"/>
        </w:rPr>
      </w:pPr>
      <w:r w:rsidRPr="002E6D82">
        <w:rPr>
          <w:rFonts w:ascii="Arial" w:hAnsi="Arial" w:cs="Arial"/>
          <w:sz w:val="24"/>
          <w:szCs w:val="24"/>
          <w:lang w:val="en-US"/>
        </w:rPr>
        <w:t xml:space="preserve">Nanospheres are matrix-type nanoparticles, in which the drug is entrapped or finely dispersed in a polymer matrix. </w:t>
      </w:r>
    </w:p>
    <w:p w:rsidR="00387A07" w:rsidRDefault="00387A07" w:rsidP="00387A07">
      <w:pPr>
        <w:autoSpaceDE w:val="0"/>
        <w:autoSpaceDN w:val="0"/>
        <w:adjustRightInd w:val="0"/>
        <w:spacing w:after="120" w:line="240" w:lineRule="auto"/>
        <w:jc w:val="center"/>
        <w:rPr>
          <w:rFonts w:ascii="Times New Roman" w:hAnsi="Times New Roman"/>
          <w:sz w:val="24"/>
          <w:szCs w:val="24"/>
          <w:lang w:val="en-US"/>
        </w:rPr>
      </w:pPr>
      <w:r>
        <w:rPr>
          <w:rFonts w:ascii="Times New Roman" w:hAnsi="Times New Roman"/>
          <w:noProof/>
          <w:sz w:val="24"/>
          <w:szCs w:val="24"/>
          <w:lang w:val="it-IT" w:eastAsia="it-IT"/>
        </w:rPr>
        <w:drawing>
          <wp:inline distT="0" distB="0" distL="0" distR="0">
            <wp:extent cx="2886075" cy="1304925"/>
            <wp:effectExtent l="19050" t="19050" r="28575" b="28575"/>
            <wp:docPr id="43" name="Immagine 4" descr="nanocapsule nanosf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nanocapsule nanosfere.jpg"/>
                    <pic:cNvPicPr>
                      <a:picLocks noChangeAspect="1" noChangeArrowheads="1"/>
                    </pic:cNvPicPr>
                  </pic:nvPicPr>
                  <pic:blipFill>
                    <a:blip r:embed="rId10"/>
                    <a:srcRect t="7904" b="7904"/>
                    <a:stretch>
                      <a:fillRect/>
                    </a:stretch>
                  </pic:blipFill>
                  <pic:spPr bwMode="auto">
                    <a:xfrm>
                      <a:off x="0" y="0"/>
                      <a:ext cx="2886075" cy="1304925"/>
                    </a:xfrm>
                    <a:prstGeom prst="rect">
                      <a:avLst/>
                    </a:prstGeom>
                    <a:noFill/>
                    <a:ln w="9525" cmpd="sng">
                      <a:solidFill>
                        <a:srgbClr val="000000"/>
                      </a:solidFill>
                      <a:miter lim="800000"/>
                      <a:headEnd/>
                      <a:tailEnd/>
                    </a:ln>
                    <a:effectLst/>
                  </pic:spPr>
                </pic:pic>
              </a:graphicData>
            </a:graphic>
          </wp:inline>
        </w:drawing>
      </w:r>
    </w:p>
    <w:p w:rsidR="00387A07" w:rsidRPr="00D614D9" w:rsidRDefault="00387A07" w:rsidP="00387A07">
      <w:pPr>
        <w:autoSpaceDE w:val="0"/>
        <w:autoSpaceDN w:val="0"/>
        <w:adjustRightInd w:val="0"/>
        <w:spacing w:after="120"/>
        <w:jc w:val="both"/>
        <w:rPr>
          <w:rFonts w:cs="Calibri"/>
          <w:b/>
          <w:color w:val="4F81BD"/>
          <w:sz w:val="18"/>
          <w:szCs w:val="18"/>
          <w:lang w:val="en-US"/>
        </w:rPr>
      </w:pPr>
      <w:r w:rsidRPr="004E757D">
        <w:rPr>
          <w:rFonts w:cs="Calibri"/>
          <w:b/>
          <w:color w:val="4F81BD"/>
          <w:sz w:val="18"/>
          <w:szCs w:val="18"/>
        </w:rPr>
        <w:t xml:space="preserve">Figure 1. </w:t>
      </w:r>
      <w:r w:rsidR="00860AC7" w:rsidRPr="004E757D">
        <w:rPr>
          <w:rFonts w:cs="Calibri"/>
          <w:b/>
          <w:color w:val="4F81BD"/>
          <w:sz w:val="18"/>
          <w:szCs w:val="18"/>
        </w:rPr>
        <w:fldChar w:fldCharType="begin"/>
      </w:r>
      <w:r w:rsidRPr="004E757D">
        <w:rPr>
          <w:rFonts w:cs="Calibri"/>
          <w:b/>
          <w:color w:val="4F81BD"/>
          <w:sz w:val="18"/>
          <w:szCs w:val="18"/>
        </w:rPr>
        <w:instrText xml:space="preserve"> SEQ Figure_1. \* ARABIC </w:instrText>
      </w:r>
      <w:r w:rsidR="00860AC7" w:rsidRPr="004E757D">
        <w:rPr>
          <w:rFonts w:cs="Calibri"/>
          <w:b/>
          <w:color w:val="4F81BD"/>
          <w:sz w:val="18"/>
          <w:szCs w:val="18"/>
        </w:rPr>
        <w:fldChar w:fldCharType="separate"/>
      </w:r>
      <w:r>
        <w:rPr>
          <w:rFonts w:cs="Calibri"/>
          <w:b/>
          <w:noProof/>
          <w:color w:val="4F81BD"/>
          <w:sz w:val="18"/>
          <w:szCs w:val="18"/>
        </w:rPr>
        <w:t>2</w:t>
      </w:r>
      <w:r w:rsidR="00860AC7" w:rsidRPr="004E757D">
        <w:rPr>
          <w:rFonts w:cs="Calibri"/>
          <w:b/>
          <w:color w:val="4F81BD"/>
          <w:sz w:val="18"/>
          <w:szCs w:val="18"/>
        </w:rPr>
        <w:fldChar w:fldCharType="end"/>
      </w:r>
      <w:r w:rsidRPr="004E757D">
        <w:rPr>
          <w:rFonts w:cs="Calibri"/>
          <w:b/>
          <w:color w:val="4F81BD"/>
          <w:sz w:val="18"/>
          <w:szCs w:val="18"/>
        </w:rPr>
        <w:t xml:space="preserve"> </w:t>
      </w:r>
      <w:r w:rsidRPr="004E757D">
        <w:rPr>
          <w:rFonts w:cs="Calibri"/>
          <w:b/>
          <w:color w:val="4F81BD"/>
          <w:sz w:val="18"/>
          <w:szCs w:val="18"/>
          <w:lang w:val="en-US"/>
        </w:rPr>
        <w:t xml:space="preserve">Schematics of exemplary </w:t>
      </w:r>
      <w:r>
        <w:rPr>
          <w:rFonts w:cs="Calibri"/>
          <w:b/>
          <w:color w:val="4F81BD"/>
          <w:sz w:val="18"/>
          <w:szCs w:val="18"/>
          <w:lang w:val="en-US"/>
        </w:rPr>
        <w:t>types of drug nanoparticles. In m</w:t>
      </w:r>
      <w:r w:rsidRPr="004E757D">
        <w:rPr>
          <w:rFonts w:cs="Calibri"/>
          <w:b/>
          <w:color w:val="4F81BD"/>
          <w:sz w:val="18"/>
          <w:szCs w:val="18"/>
          <w:lang w:val="en-US"/>
        </w:rPr>
        <w:t>atrix type nanosphere, drug molecules are evenly dis</w:t>
      </w:r>
      <w:r>
        <w:rPr>
          <w:rFonts w:cs="Calibri"/>
          <w:b/>
          <w:color w:val="4F81BD"/>
          <w:sz w:val="18"/>
          <w:szCs w:val="18"/>
          <w:lang w:val="en-US"/>
        </w:rPr>
        <w:t>persed in the polymer matrix. In core shell nanocapsule the</w:t>
      </w:r>
      <w:r w:rsidRPr="004E757D">
        <w:rPr>
          <w:rFonts w:cs="Calibri"/>
          <w:b/>
          <w:color w:val="4F81BD"/>
          <w:sz w:val="18"/>
          <w:szCs w:val="18"/>
          <w:lang w:val="en-US"/>
        </w:rPr>
        <w:t xml:space="preserve"> drug molecule is presented in a core covered </w:t>
      </w:r>
      <w:r>
        <w:rPr>
          <w:rFonts w:cs="Calibri"/>
          <w:b/>
          <w:color w:val="4F81BD"/>
          <w:sz w:val="18"/>
          <w:szCs w:val="18"/>
          <w:lang w:val="en-US"/>
        </w:rPr>
        <w:t>by</w:t>
      </w:r>
      <w:r w:rsidRPr="004E757D">
        <w:rPr>
          <w:rFonts w:cs="Calibri"/>
          <w:b/>
          <w:color w:val="4F81BD"/>
          <w:sz w:val="18"/>
          <w:szCs w:val="18"/>
          <w:lang w:val="en-US"/>
        </w:rPr>
        <w:t xml:space="preserve"> a polymer shell.</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 xml:space="preserve">1.2.1 Advantages of polymeric drug carriers.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Polymeric nanoparticles have been extensively investigated as carriers for various drug formulations, such as hydrophilic or hydrophobic active principles [13-15], DNA [16], RNA [17] or other biomolecules [18], because of their ability to improve the therapeutic value, the solubility  and the bioavailability of the encapsulated active principles [19]. </w:t>
      </w:r>
    </w:p>
    <w:p w:rsidR="00387A07"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Traditional administration routes, such as transdermal, nasal or oral routes, though simple and comfortable for patients, display several drawbacks like poor bioavailability due to the passage through various biological barriers (like the intestine or the digestive systems) in</w:t>
      </w:r>
      <w:r>
        <w:rPr>
          <w:rFonts w:ascii="Arial" w:hAnsi="Arial" w:cs="Arial"/>
          <w:sz w:val="24"/>
          <w:szCs w:val="24"/>
          <w:lang w:val="en-US"/>
        </w:rPr>
        <w:t xml:space="preserve"> which extreme conditions (pH, applied stresses) may degrade the active principle and reduce the efficacy of therapies [</w:t>
      </w:r>
      <w:r w:rsidRPr="0065313A">
        <w:rPr>
          <w:rFonts w:ascii="Arial" w:hAnsi="Arial" w:cs="Arial"/>
          <w:sz w:val="24"/>
          <w:szCs w:val="24"/>
          <w:lang w:val="en-US"/>
        </w:rPr>
        <w:t>20-22]. Other challenges</w:t>
      </w:r>
      <w:r>
        <w:rPr>
          <w:rFonts w:ascii="Arial" w:hAnsi="Arial" w:cs="Arial"/>
          <w:sz w:val="24"/>
          <w:szCs w:val="24"/>
          <w:lang w:val="en-US"/>
        </w:rPr>
        <w:t xml:space="preserve"> involved in conventional drug delivery include reproducibility of the release kinetics, the difficulties of targeting specific regions without affecting healthy tissues and the poor water solubility of many potent active principles.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Nanomedicine formulation depends on the choice of suitable polymeric systems having the higher encapsulation efficiency, bioavailability and retention time. </w:t>
      </w:r>
    </w:p>
    <w:p w:rsidR="00387A07" w:rsidRDefault="00387A07" w:rsidP="00387A07">
      <w:pPr>
        <w:spacing w:before="240" w:after="240" w:line="360" w:lineRule="auto"/>
        <w:jc w:val="both"/>
        <w:rPr>
          <w:rFonts w:ascii="Arial" w:hAnsi="Arial" w:cs="Arial"/>
          <w:b/>
          <w:sz w:val="24"/>
          <w:szCs w:val="24"/>
          <w:lang w:val="en-US"/>
        </w:rPr>
      </w:pPr>
      <w:r w:rsidRPr="00876141">
        <w:rPr>
          <w:rFonts w:ascii="Arial" w:hAnsi="Arial" w:cs="Arial"/>
          <w:b/>
          <w:sz w:val="24"/>
          <w:szCs w:val="24"/>
          <w:lang w:val="en-US"/>
        </w:rPr>
        <w:t>1.2.1.1</w:t>
      </w:r>
      <w:r>
        <w:rPr>
          <w:rFonts w:ascii="Arial" w:hAnsi="Arial" w:cs="Arial"/>
          <w:b/>
          <w:sz w:val="24"/>
          <w:szCs w:val="24"/>
          <w:lang w:val="en-US"/>
        </w:rPr>
        <w:t xml:space="preserve"> Localized and targeted drug delivery</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One of the major goals in drug delivery is the possibility to deliver the drug toward its specific target tissue or organ without affecting normal neighbors [23]. Nanoparticles are capable of targeting at many different levels from organs to tissue and cells. Targeting can be achieved by applying external stimuli, like ultrasounds or magnetic fields, or by simply taking advantage of the size of the carriers (passive targeting) which could be tuned in order to enable nanoparticles to leak through peculiar vasculature fenestrations of different organs and tissues. For example blood vessels in liver have fenestrations of approximately 100-170nm [24], many types of tumors are characterized by highly porous vessels with a pore cut off size between 300 and 700nm [25].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Moreover polymer nanoparticles can be surface-modified with specific ligands such as antibodies, transferring or folate for the active targeting of specific cells over-expressing specific receptors for the immobilized molecules [26,27].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localized and targeted delivery greatly helps in reducing systemic toxicity and in increasing the efficacy of therapies [28].</w:t>
      </w:r>
    </w:p>
    <w:p w:rsidR="00387A07" w:rsidRDefault="00387A07" w:rsidP="00387A07">
      <w:pPr>
        <w:spacing w:before="240" w:after="240" w:line="360" w:lineRule="auto"/>
        <w:jc w:val="both"/>
        <w:rPr>
          <w:rFonts w:ascii="Arial" w:hAnsi="Arial" w:cs="Arial"/>
          <w:b/>
          <w:sz w:val="24"/>
          <w:szCs w:val="24"/>
          <w:lang w:val="en-US"/>
        </w:rPr>
      </w:pPr>
      <w:r w:rsidRPr="0065313A">
        <w:rPr>
          <w:rFonts w:ascii="Arial" w:hAnsi="Arial" w:cs="Arial"/>
          <w:sz w:val="24"/>
          <w:szCs w:val="24"/>
          <w:lang w:val="en-US"/>
        </w:rPr>
        <w:t xml:space="preserve"> </w:t>
      </w:r>
      <w:r w:rsidRPr="0065313A">
        <w:rPr>
          <w:rFonts w:ascii="Arial" w:hAnsi="Arial" w:cs="Arial"/>
          <w:b/>
          <w:sz w:val="24"/>
          <w:szCs w:val="24"/>
          <w:lang w:val="en-US"/>
        </w:rPr>
        <w:t>1.2.1.1.1 Passive</w:t>
      </w:r>
      <w:r>
        <w:rPr>
          <w:rFonts w:ascii="Arial" w:hAnsi="Arial" w:cs="Arial"/>
          <w:b/>
          <w:sz w:val="24"/>
          <w:szCs w:val="24"/>
          <w:lang w:val="en-US"/>
        </w:rPr>
        <w:t xml:space="preserve"> targeting</w:t>
      </w:r>
    </w:p>
    <w:p w:rsidR="00387A07" w:rsidRDefault="00387A07" w:rsidP="00387A07">
      <w:pPr>
        <w:autoSpaceDE w:val="0"/>
        <w:autoSpaceDN w:val="0"/>
        <w:adjustRightInd w:val="0"/>
        <w:spacing w:after="120" w:line="360" w:lineRule="auto"/>
        <w:jc w:val="both"/>
        <w:rPr>
          <w:rFonts w:ascii="Arial" w:hAnsi="Arial" w:cs="Arial"/>
          <w:sz w:val="24"/>
          <w:szCs w:val="24"/>
          <w:lang w:val="en-US"/>
        </w:rPr>
      </w:pPr>
      <w:r w:rsidRPr="001F5358">
        <w:rPr>
          <w:rFonts w:ascii="Arial" w:hAnsi="Arial" w:cs="Arial"/>
          <w:sz w:val="24"/>
          <w:szCs w:val="24"/>
          <w:lang w:val="en-US"/>
        </w:rPr>
        <w:t>As mentioned above, the passive targeting ability of nanoparticles relies on their small size, which enables them to preferentially concentrate</w:t>
      </w:r>
      <w:r>
        <w:rPr>
          <w:rFonts w:ascii="Arial" w:hAnsi="Arial" w:cs="Arial"/>
          <w:sz w:val="24"/>
          <w:szCs w:val="24"/>
          <w:lang w:val="en-US"/>
        </w:rPr>
        <w:t xml:space="preserve"> in the tumo</w:t>
      </w:r>
      <w:r w:rsidRPr="001F5358">
        <w:rPr>
          <w:rFonts w:ascii="Arial" w:hAnsi="Arial" w:cs="Arial"/>
          <w:sz w:val="24"/>
          <w:szCs w:val="24"/>
          <w:lang w:val="en-US"/>
        </w:rPr>
        <w:t>r tissues, inflammatory and infectious sites by virtue of the enhanced permeability and retention (EPR) effect of these tissues</w:t>
      </w:r>
      <w:r>
        <w:rPr>
          <w:rFonts w:ascii="Arial" w:hAnsi="Arial" w:cs="Arial"/>
          <w:sz w:val="24"/>
          <w:szCs w:val="24"/>
          <w:lang w:val="en-US"/>
        </w:rPr>
        <w:t xml:space="preserve"> (see figure 1.3)</w:t>
      </w:r>
      <w:r w:rsidRPr="001F5358">
        <w:rPr>
          <w:rFonts w:ascii="Arial" w:hAnsi="Arial" w:cs="Arial"/>
          <w:sz w:val="24"/>
          <w:szCs w:val="24"/>
          <w:lang w:val="en-US"/>
        </w:rPr>
        <w:t>.</w:t>
      </w:r>
      <w:r>
        <w:rPr>
          <w:rFonts w:ascii="Arial" w:hAnsi="Arial" w:cs="Arial"/>
          <w:sz w:val="24"/>
          <w:szCs w:val="24"/>
          <w:lang w:val="en-US"/>
        </w:rPr>
        <w:t xml:space="preserve"> Tumors are composed of fast-growing cells needing a high supply of nutrients in order to survive and proliferate. To sustain this abnormal growing </w:t>
      </w:r>
      <w:r>
        <w:rPr>
          <w:rFonts w:ascii="Arial" w:hAnsi="Arial" w:cs="Arial"/>
          <w:sz w:val="24"/>
          <w:szCs w:val="24"/>
          <w:lang w:val="en-US"/>
        </w:rPr>
        <w:lastRenderedPageBreak/>
        <w:t xml:space="preserve">potential, tumor vessels present specific characteristics like highly fenestrated vessels with a pore </w:t>
      </w:r>
    </w:p>
    <w:p w:rsidR="00387A07" w:rsidRDefault="00387A07" w:rsidP="00387A07">
      <w:pPr>
        <w:autoSpaceDE w:val="0"/>
        <w:autoSpaceDN w:val="0"/>
        <w:adjustRightInd w:val="0"/>
        <w:spacing w:after="0" w:line="360" w:lineRule="auto"/>
        <w:jc w:val="center"/>
        <w:rPr>
          <w:rFonts w:ascii="Arial" w:hAnsi="Arial" w:cs="Arial"/>
          <w:sz w:val="24"/>
          <w:szCs w:val="24"/>
          <w:lang w:val="en-US"/>
        </w:rPr>
      </w:pPr>
      <w:r>
        <w:rPr>
          <w:rFonts w:ascii="Arial" w:hAnsi="Arial" w:cs="Arial"/>
          <w:noProof/>
          <w:sz w:val="24"/>
          <w:szCs w:val="24"/>
          <w:lang w:val="it-IT" w:eastAsia="it-IT"/>
        </w:rPr>
        <w:drawing>
          <wp:inline distT="0" distB="0" distL="0" distR="0">
            <wp:extent cx="4838700" cy="3124200"/>
            <wp:effectExtent l="19050" t="0" r="0" b="0"/>
            <wp:docPr id="42" name="Immagine 7" descr="passive targe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passive targeting.jpg"/>
                    <pic:cNvPicPr>
                      <a:picLocks noChangeAspect="1" noChangeArrowheads="1"/>
                    </pic:cNvPicPr>
                  </pic:nvPicPr>
                  <pic:blipFill>
                    <a:blip r:embed="rId11"/>
                    <a:srcRect/>
                    <a:stretch>
                      <a:fillRect/>
                    </a:stretch>
                  </pic:blipFill>
                  <pic:spPr bwMode="auto">
                    <a:xfrm>
                      <a:off x="0" y="0"/>
                      <a:ext cx="4838700" cy="3124200"/>
                    </a:xfrm>
                    <a:prstGeom prst="rect">
                      <a:avLst/>
                    </a:prstGeom>
                    <a:noFill/>
                    <a:ln w="9525">
                      <a:noFill/>
                      <a:miter lim="800000"/>
                      <a:headEnd/>
                      <a:tailEnd/>
                    </a:ln>
                  </pic:spPr>
                </pic:pic>
              </a:graphicData>
            </a:graphic>
          </wp:inline>
        </w:drawing>
      </w:r>
    </w:p>
    <w:p w:rsidR="00387A07" w:rsidRPr="00EA1437" w:rsidRDefault="00387A07" w:rsidP="00387A07">
      <w:pPr>
        <w:shd w:val="clear" w:color="auto" w:fill="FFFFFF"/>
        <w:rPr>
          <w:rFonts w:ascii="Arial" w:hAnsi="Arial" w:cs="Arial"/>
          <w:b/>
          <w:color w:val="4F81BD"/>
          <w:sz w:val="18"/>
          <w:szCs w:val="18"/>
          <w:lang w:eastAsia="it-IT"/>
        </w:rPr>
      </w:pPr>
      <w:r w:rsidRPr="00EA1437">
        <w:rPr>
          <w:b/>
          <w:color w:val="4F81BD"/>
          <w:sz w:val="18"/>
          <w:szCs w:val="18"/>
        </w:rPr>
        <w:t xml:space="preserve">Figure 1. </w:t>
      </w:r>
      <w:r w:rsidR="00860AC7" w:rsidRPr="00EA1437">
        <w:rPr>
          <w:b/>
          <w:color w:val="4F81BD"/>
          <w:sz w:val="18"/>
          <w:szCs w:val="18"/>
        </w:rPr>
        <w:fldChar w:fldCharType="begin"/>
      </w:r>
      <w:r w:rsidRPr="00EA1437">
        <w:rPr>
          <w:b/>
          <w:color w:val="4F81BD"/>
          <w:sz w:val="18"/>
          <w:szCs w:val="18"/>
        </w:rPr>
        <w:instrText xml:space="preserve"> SEQ Figure_1. \* ARABIC </w:instrText>
      </w:r>
      <w:r w:rsidR="00860AC7" w:rsidRPr="00EA1437">
        <w:rPr>
          <w:b/>
          <w:color w:val="4F81BD"/>
          <w:sz w:val="18"/>
          <w:szCs w:val="18"/>
        </w:rPr>
        <w:fldChar w:fldCharType="separate"/>
      </w:r>
      <w:r>
        <w:rPr>
          <w:b/>
          <w:noProof/>
          <w:color w:val="4F81BD"/>
          <w:sz w:val="18"/>
          <w:szCs w:val="18"/>
        </w:rPr>
        <w:t>3</w:t>
      </w:r>
      <w:r w:rsidR="00860AC7" w:rsidRPr="00EA1437">
        <w:rPr>
          <w:b/>
          <w:color w:val="4F81BD"/>
          <w:sz w:val="18"/>
          <w:szCs w:val="18"/>
        </w:rPr>
        <w:fldChar w:fldCharType="end"/>
      </w:r>
      <w:r w:rsidRPr="00EA1437">
        <w:rPr>
          <w:b/>
          <w:color w:val="4F81BD"/>
          <w:sz w:val="18"/>
          <w:szCs w:val="18"/>
        </w:rPr>
        <w:t xml:space="preserve"> Representation of the passive targeting of small molecules to tumour tissues through the EPR effect. Taken from </w:t>
      </w:r>
      <w:r w:rsidRPr="00EA1437">
        <w:rPr>
          <w:b/>
          <w:color w:val="4F81BD"/>
          <w:sz w:val="18"/>
          <w:szCs w:val="18"/>
          <w:highlight w:val="yellow"/>
        </w:rPr>
        <w:t>[29]</w:t>
      </w:r>
      <w:r w:rsidRPr="00EA1437">
        <w:rPr>
          <w:b/>
          <w:color w:val="4F81BD"/>
          <w:sz w:val="18"/>
          <w:szCs w:val="18"/>
        </w:rPr>
        <w:t xml:space="preserve">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cutoff ranging from 300 to 700nm depending on the tumor type. Nanoparticles with average diameters of 100-250nm are able to selectively accumulate into tumors (Enhanced permeation effect) [30].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Moreover these tissues lack of an efficient lymphatic system and are therefore not able to eliminate these particles once they enter the cells (Retention effect).      </w:t>
      </w:r>
    </w:p>
    <w:p w:rsidR="00387A07" w:rsidRPr="0065313A" w:rsidRDefault="00387A07" w:rsidP="00387A07">
      <w:pPr>
        <w:autoSpaceDE w:val="0"/>
        <w:autoSpaceDN w:val="0"/>
        <w:adjustRightInd w:val="0"/>
        <w:spacing w:after="0" w:line="360" w:lineRule="auto"/>
        <w:jc w:val="both"/>
        <w:rPr>
          <w:rFonts w:ascii="Times New Roman" w:hAnsi="Times New Roman"/>
          <w:i/>
          <w:iCs/>
          <w:sz w:val="24"/>
          <w:szCs w:val="24"/>
          <w:lang w:val="en-US"/>
        </w:rPr>
      </w:pPr>
      <w:r w:rsidRPr="0065313A">
        <w:rPr>
          <w:rFonts w:ascii="Arial" w:hAnsi="Arial" w:cs="Arial"/>
          <w:sz w:val="24"/>
          <w:szCs w:val="24"/>
          <w:lang w:val="en-US"/>
        </w:rPr>
        <w:t xml:space="preserve">Once accumulated at the target site, hydrophobic biodegradable polymeric nanoparticles can act as a local drug depot, providing a source for a continuous supply of encapsulated therapeutic compound at the disease site [31,32]. </w:t>
      </w:r>
    </w:p>
    <w:p w:rsidR="00387A07"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 xml:space="preserve"> 1.2.1.1.2 Active targeting</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Targeting molecules may be conjugated to the surface of nanoparticles to actively target them to particular sites in the body. Targeting is mainly achieved by immobilizing small peptides (like transferrins or folate) or monoclonal antibodies which can enhance the receptor-mediated cellular internalization.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Active targeting is particularly helpful in the treatment of cancer, since cancer cells normally over-express peculiar receptors which can be exploited for selective recognition.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For example folate or transferrin receptors are over-expressed on various tumor cells and can enhance cellular endocytosis of decorated drug </w:t>
      </w:r>
      <w:r w:rsidRPr="0065313A">
        <w:rPr>
          <w:rFonts w:ascii="Arial" w:hAnsi="Arial" w:cs="Arial"/>
          <w:sz w:val="24"/>
          <w:szCs w:val="24"/>
          <w:lang w:val="en-US"/>
        </w:rPr>
        <w:t>carriers [33,34].</w:t>
      </w:r>
      <w:r>
        <w:rPr>
          <w:rFonts w:ascii="Arial" w:hAnsi="Arial" w:cs="Arial"/>
          <w:sz w:val="24"/>
          <w:szCs w:val="24"/>
          <w:lang w:val="en-US"/>
        </w:rPr>
        <w:t xml:space="preserve">  </w:t>
      </w:r>
    </w:p>
    <w:p w:rsidR="00387A07" w:rsidRPr="0065313A"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lastRenderedPageBreak/>
        <w:t xml:space="preserve">Monoclonal antibodies can also be used to </w:t>
      </w:r>
      <w:r w:rsidRPr="0065313A">
        <w:rPr>
          <w:rFonts w:ascii="Arial" w:hAnsi="Arial" w:cs="Arial"/>
          <w:sz w:val="24"/>
          <w:szCs w:val="24"/>
          <w:lang w:val="en-US"/>
        </w:rPr>
        <w:t xml:space="preserve">selectively target specific cancer cells with virtually none or little effect on normal cells [35].  </w:t>
      </w:r>
    </w:p>
    <w:p w:rsidR="00387A07"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1.2.1.2 Sustained and controlled releas</w:t>
      </w:r>
      <w:r>
        <w:rPr>
          <w:rFonts w:ascii="Arial" w:hAnsi="Arial" w:cs="Arial"/>
          <w:b/>
          <w:sz w:val="24"/>
          <w:szCs w:val="24"/>
          <w:lang w:val="en-US"/>
        </w:rPr>
        <w:t>e</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Nanoscale drug delivery systems offer the possibility to deliver various drug formulations at optimum dosages and at controlled intervals of time, thus improving patient compliance and optimizing therapeutic outcomes [36,37].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release kinetics of encapsulated or matrix-entrapped active principles could be controlled and modulated according to therapeutic needs, by choosing the correct type of material for nanoparticles preparation [10].</w:t>
      </w:r>
    </w:p>
    <w:p w:rsidR="00387A07"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1.2.1.3 Extended</w:t>
      </w:r>
      <w:r>
        <w:rPr>
          <w:rFonts w:ascii="Arial" w:hAnsi="Arial" w:cs="Arial"/>
          <w:b/>
          <w:sz w:val="24"/>
          <w:szCs w:val="24"/>
          <w:lang w:val="en-US"/>
        </w:rPr>
        <w:t xml:space="preserve"> blood circulation time and biodistribution</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Nanocarriers may increase the circulation time of drugs within the body. This property is particularly important for intravenously administered nanoparticles, being a pre-requisite for targeted and sustained delivery. </w:t>
      </w:r>
    </w:p>
    <w:p w:rsidR="00387A07" w:rsidRPr="00DF7CCB"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Particles size is intrinsically related to circulation time. In particular, smaller particles (below 200nm), being able to escape phagocyte clearance, show prolonged blood circulation. Larger particles, on the other hand, </w:t>
      </w:r>
      <w:r w:rsidRPr="0065313A">
        <w:rPr>
          <w:rFonts w:ascii="Arial" w:hAnsi="Arial" w:cs="Arial"/>
          <w:sz w:val="24"/>
          <w:szCs w:val="24"/>
          <w:lang w:val="en-US"/>
        </w:rPr>
        <w:t>are easily taken up by the Reticulo-endothelial system (RES) and eliminated from the body [38,49].</w:t>
      </w:r>
      <w:r>
        <w:rPr>
          <w:rFonts w:ascii="Arial" w:hAnsi="Arial" w:cs="Arial"/>
          <w:sz w:val="24"/>
          <w:szCs w:val="24"/>
          <w:lang w:val="en-US"/>
        </w:rPr>
        <w:t xml:space="preserve">  </w:t>
      </w:r>
    </w:p>
    <w:p w:rsidR="00387A07" w:rsidRDefault="00387A07" w:rsidP="00387A07">
      <w:pPr>
        <w:spacing w:before="240" w:after="240" w:line="360" w:lineRule="auto"/>
        <w:jc w:val="both"/>
        <w:rPr>
          <w:rFonts w:ascii="Arial" w:hAnsi="Arial" w:cs="Arial"/>
          <w:b/>
          <w:sz w:val="24"/>
          <w:szCs w:val="24"/>
          <w:lang w:val="en-US"/>
        </w:rPr>
      </w:pPr>
      <w:r>
        <w:rPr>
          <w:rFonts w:ascii="Arial" w:hAnsi="Arial" w:cs="Arial"/>
          <w:b/>
          <w:sz w:val="24"/>
          <w:szCs w:val="24"/>
          <w:lang w:val="en-US"/>
        </w:rPr>
        <w:t>1.2.1.4 Delivery of poorly water soluble drugs</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Drugs are conventionally administered in the form of free, unassociated molecules. This strategy has inherent limitations especially for what concerns highly cytotoxic formulations (like most of chemotherapeutics) or environmentally sensitive substances. </w:t>
      </w:r>
    </w:p>
    <w:p w:rsidR="00387A07"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Several potent drugs are highly hydrophobic, resulting in poor bioavailability and in the need to increase dosages with a higher  risk of severe side effects.</w:t>
      </w:r>
    </w:p>
    <w:p w:rsidR="00387A07" w:rsidRPr="00B4724E"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Nanoparticles may increase the solubility of these drugs and thus represent a valid solution to the problem of their effective </w:t>
      </w:r>
      <w:r w:rsidRPr="0065313A">
        <w:rPr>
          <w:rFonts w:ascii="Arial" w:hAnsi="Arial" w:cs="Arial"/>
          <w:sz w:val="24"/>
          <w:szCs w:val="24"/>
          <w:lang w:val="en-US"/>
        </w:rPr>
        <w:t>administration [41].</w:t>
      </w:r>
      <w:r>
        <w:rPr>
          <w:rFonts w:ascii="Arial" w:hAnsi="Arial" w:cs="Arial"/>
          <w:sz w:val="24"/>
          <w:szCs w:val="24"/>
          <w:lang w:val="en-US"/>
        </w:rPr>
        <w:t xml:space="preserve">  </w:t>
      </w:r>
    </w:p>
    <w:p w:rsidR="00387A07" w:rsidRDefault="00387A07" w:rsidP="00387A07">
      <w:pPr>
        <w:spacing w:before="240" w:after="240" w:line="360" w:lineRule="auto"/>
        <w:jc w:val="both"/>
        <w:rPr>
          <w:rFonts w:ascii="Arial" w:hAnsi="Arial" w:cs="Arial"/>
          <w:b/>
          <w:sz w:val="24"/>
          <w:szCs w:val="24"/>
          <w:lang w:val="en-US"/>
        </w:rPr>
      </w:pPr>
      <w:r>
        <w:rPr>
          <w:rFonts w:ascii="Arial" w:hAnsi="Arial" w:cs="Arial"/>
          <w:b/>
          <w:sz w:val="24"/>
          <w:szCs w:val="24"/>
          <w:lang w:val="en-US"/>
        </w:rPr>
        <w:t>1.2.1.5 Protection of the encapsulated active principle</w:t>
      </w:r>
    </w:p>
    <w:p w:rsidR="00387A07" w:rsidRPr="00D614D9" w:rsidRDefault="00387A07" w:rsidP="00387A07">
      <w:pPr>
        <w:spacing w:after="0" w:line="360" w:lineRule="auto"/>
        <w:jc w:val="both"/>
        <w:rPr>
          <w:rFonts w:ascii="Arial" w:hAnsi="Arial" w:cs="Arial"/>
          <w:sz w:val="24"/>
          <w:szCs w:val="24"/>
          <w:lang w:val="en-US"/>
        </w:rPr>
      </w:pPr>
      <w:r>
        <w:rPr>
          <w:rFonts w:ascii="Arial" w:hAnsi="Arial" w:cs="Arial"/>
          <w:sz w:val="24"/>
          <w:szCs w:val="24"/>
          <w:lang w:val="en-US"/>
        </w:rPr>
        <w:t xml:space="preserve">Many drugs, especially nucleic acids and peptides, are rapidly cleared and degraded by the body during their passage through biological barriers, this often results in reduced targeting ability. Drug nanoformulations </w:t>
      </w:r>
      <w:r w:rsidRPr="00545550">
        <w:rPr>
          <w:rFonts w:ascii="Arial" w:hAnsi="Arial" w:cs="Arial"/>
          <w:sz w:val="24"/>
          <w:szCs w:val="24"/>
          <w:lang w:val="en-US"/>
        </w:rPr>
        <w:t xml:space="preserve">can protect the active principle from premature </w:t>
      </w:r>
      <w:r w:rsidRPr="00545550">
        <w:rPr>
          <w:rFonts w:ascii="Arial" w:hAnsi="Arial" w:cs="Arial"/>
          <w:sz w:val="24"/>
          <w:szCs w:val="24"/>
          <w:lang w:val="en-US"/>
        </w:rPr>
        <w:lastRenderedPageBreak/>
        <w:t>degradation and interaction with the bio</w:t>
      </w:r>
      <w:r>
        <w:rPr>
          <w:rFonts w:ascii="Arial" w:hAnsi="Arial" w:cs="Arial"/>
          <w:sz w:val="24"/>
          <w:szCs w:val="24"/>
          <w:lang w:val="en-US"/>
        </w:rPr>
        <w:t>logical environment thus enhancing</w:t>
      </w:r>
      <w:r w:rsidRPr="00545550">
        <w:rPr>
          <w:rFonts w:ascii="Arial" w:hAnsi="Arial" w:cs="Arial"/>
          <w:sz w:val="24"/>
          <w:szCs w:val="24"/>
          <w:lang w:val="en-US"/>
        </w:rPr>
        <w:t xml:space="preserve"> intracellular </w:t>
      </w:r>
      <w:r w:rsidRPr="0065313A">
        <w:rPr>
          <w:rFonts w:ascii="Arial" w:hAnsi="Arial" w:cs="Arial"/>
          <w:sz w:val="24"/>
          <w:szCs w:val="24"/>
          <w:lang w:val="en-US"/>
        </w:rPr>
        <w:t>penetration [41].</w:t>
      </w:r>
    </w:p>
    <w:p w:rsidR="00387A07" w:rsidRDefault="00387A07" w:rsidP="00387A07">
      <w:pPr>
        <w:spacing w:before="240" w:after="240" w:line="360" w:lineRule="auto"/>
        <w:jc w:val="both"/>
        <w:rPr>
          <w:rFonts w:ascii="Arial" w:hAnsi="Arial" w:cs="Arial"/>
          <w:b/>
          <w:sz w:val="24"/>
          <w:szCs w:val="24"/>
          <w:lang w:val="en-US"/>
        </w:rPr>
      </w:pPr>
      <w:r>
        <w:rPr>
          <w:rFonts w:ascii="Arial" w:hAnsi="Arial" w:cs="Arial"/>
          <w:b/>
          <w:sz w:val="24"/>
          <w:szCs w:val="24"/>
          <w:lang w:val="en-US"/>
        </w:rPr>
        <w:t>1.2.1.6 Enhanced cellular uptake and ability to cross biological barriers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Intracellular drug delivery helps in reducing toxicity and improving dosage efficacy.</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Hydrophobic nanoscale drug carriers are able to cross biological barriers and are easily internalized by non phagocytic cells [42]. The extent of the uptake and the localization in the specific intracellular compartment is size dependent [43]. The encapsulated principle can therefore be directed to specific sites by tailoring the dimensions of the carrier.</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small size of nanoparticles enables them to cross several biological barriers, like the blood/brain barrier or the intestinal barrier, which represent a major obstacle for the delivery of various drug formulations [44].     </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 xml:space="preserve">1.2.1.7 Enhanced surface area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As compared to conventional drug delivery systems, nanoparticles possess larger surface areas per unit of volume. This feature results in improved loading and release properties [2].</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 methods for the preparation of nanoparticles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Several methods have been developed for preparing nanoparticles. Conventionally they can be divided into two main categories, according to weather the formulation requires a polymerization reaction of monomers or is achieved directly from preformed natural or synthetic polymers [45,46].</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The choice of the proper preparation method depends on different factors such as the polymeric matrix-forming material, the area of application and the final size.</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1.3.1 Particles prepared from the polymerization of monomers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polymerization methods can be divided into emulsion polymerization (organic or aqueous, depending on the continuous phase) of which two versions have been proposed depending on the addition of surfactants and interfacial polymerization. </w:t>
      </w:r>
    </w:p>
    <w:p w:rsidR="00387A07"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In table 1.2 the basic characteristics of nanoparticles prepared by polymerization of monomers  are summarized.</w:t>
      </w:r>
    </w:p>
    <w:p w:rsidR="00387A07" w:rsidRPr="0065313A" w:rsidRDefault="00387A07" w:rsidP="00387A07">
      <w:pPr>
        <w:spacing w:after="0" w:line="360" w:lineRule="auto"/>
        <w:jc w:val="both"/>
        <w:rPr>
          <w:rFonts w:ascii="Arial" w:hAnsi="Arial" w:cs="Arial"/>
          <w:b/>
          <w:sz w:val="24"/>
          <w:szCs w:val="24"/>
          <w:lang w:val="en-US"/>
        </w:rPr>
      </w:pP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lastRenderedPageBreak/>
        <w:t xml:space="preserve">1.3.1.1 Emulsion polymerization </w:t>
      </w:r>
    </w:p>
    <w:p w:rsidR="00387A07" w:rsidRPr="0065313A" w:rsidRDefault="00387A07" w:rsidP="00387A07">
      <w:pPr>
        <w:spacing w:after="0" w:line="360" w:lineRule="auto"/>
        <w:jc w:val="center"/>
        <w:rPr>
          <w:rFonts w:ascii="Arial" w:hAnsi="Arial" w:cs="Arial"/>
          <w:b/>
          <w:sz w:val="24"/>
          <w:szCs w:val="24"/>
          <w:lang w:val="en-US"/>
        </w:rPr>
      </w:pPr>
      <w:r w:rsidRPr="0065313A">
        <w:rPr>
          <w:rFonts w:ascii="Arial" w:hAnsi="Arial" w:cs="Arial"/>
          <w:b/>
          <w:noProof/>
          <w:sz w:val="24"/>
          <w:szCs w:val="24"/>
          <w:lang w:val="it-IT" w:eastAsia="it-IT"/>
        </w:rPr>
        <w:drawing>
          <wp:inline distT="0" distB="0" distL="0" distR="0">
            <wp:extent cx="4695825" cy="1323975"/>
            <wp:effectExtent l="19050" t="0" r="0" b="0"/>
            <wp:docPr id="41" name="Immagine 3" descr="emulsion polymer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emulsion polymerization.png"/>
                    <pic:cNvPicPr>
                      <a:picLocks noChangeAspect="1" noChangeArrowheads="1"/>
                    </pic:cNvPicPr>
                  </pic:nvPicPr>
                  <pic:blipFill>
                    <a:blip r:embed="rId12"/>
                    <a:srcRect/>
                    <a:stretch>
                      <a:fillRect/>
                    </a:stretch>
                  </pic:blipFill>
                  <pic:spPr bwMode="auto">
                    <a:xfrm>
                      <a:off x="0" y="0"/>
                      <a:ext cx="4695825" cy="1323975"/>
                    </a:xfrm>
                    <a:prstGeom prst="rect">
                      <a:avLst/>
                    </a:prstGeom>
                    <a:noFill/>
                    <a:ln w="9525">
                      <a:noFill/>
                      <a:miter lim="800000"/>
                      <a:headEnd/>
                      <a:tailEnd/>
                    </a:ln>
                  </pic:spPr>
                </pic:pic>
              </a:graphicData>
            </a:graphic>
          </wp:inline>
        </w:drawing>
      </w:r>
    </w:p>
    <w:p w:rsidR="00387A07" w:rsidRPr="0065313A" w:rsidRDefault="00387A07" w:rsidP="00387A07">
      <w:pPr>
        <w:pStyle w:val="Didascalia"/>
        <w:rPr>
          <w:rFonts w:ascii="Arial" w:hAnsi="Arial" w:cs="Arial"/>
          <w:b w:val="0"/>
          <w:sz w:val="24"/>
          <w:szCs w:val="24"/>
          <w:lang w:val="en-US"/>
        </w:rPr>
      </w:pPr>
      <w:r w:rsidRPr="0065313A">
        <w:t xml:space="preserve">Figure 1. </w:t>
      </w:r>
      <w:fldSimple w:instr=" SEQ Figure_1. \* ARABIC ">
        <w:r w:rsidRPr="0065313A">
          <w:rPr>
            <w:noProof/>
          </w:rPr>
          <w:t>4</w:t>
        </w:r>
      </w:fldSimple>
      <w:r w:rsidRPr="0065313A">
        <w:t xml:space="preserve"> Schematic representation of the basic steps of the Emulsion polymerization technique.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Emulsion polymerization is a simple, common, easily scalable and fast method for the preparation of nanoparticles. Water is used as dispersing medium, since it is environmentally friendly and also allows excellent heat dissipation during the course of the polymerization.</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Based on the utilization of surfactants, the method can be classified into conventional and surfactant-free emulsion polymerization [47].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other ingredients are a monomer of low water solubility and a water-soluble initiator.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Initiation occurs when a monomer molecule dissolved in the continuous phase collides with an initiator molecule that may be an ion or a free radical. Alternatively, the monomer molecule can be transformed into an initiating radical by high-energy radiation, including γ-radiation, ultraviolet or strong visible light. </w:t>
      </w:r>
      <w:r w:rsidRPr="0065313A">
        <w:rPr>
          <w:rFonts w:ascii="Arial" w:hAnsi="Arial" w:cs="Arial"/>
          <w:sz w:val="24"/>
          <w:szCs w:val="24"/>
        </w:rPr>
        <w:t>The emulsion polymerization method is comprised of three major steps, as described  by Smith and Ewart [</w:t>
      </w:r>
      <w:r w:rsidRPr="0065313A">
        <w:rPr>
          <w:rFonts w:ascii="Arial" w:hAnsi="Arial" w:cs="Arial"/>
          <w:sz w:val="24"/>
          <w:szCs w:val="24"/>
          <w:lang w:eastAsia="it-IT"/>
        </w:rPr>
        <w:t>48</w:t>
      </w:r>
      <w:r w:rsidRPr="0065313A">
        <w:rPr>
          <w:rFonts w:ascii="Arial" w:hAnsi="Arial" w:cs="Arial"/>
          <w:sz w:val="24"/>
          <w:szCs w:val="24"/>
        </w:rPr>
        <w:t>].</w:t>
      </w:r>
    </w:p>
    <w:p w:rsidR="00387A07" w:rsidRPr="0065313A" w:rsidRDefault="00387A07" w:rsidP="00387A07">
      <w:pPr>
        <w:spacing w:after="0" w:line="360" w:lineRule="auto"/>
        <w:jc w:val="both"/>
        <w:rPr>
          <w:rFonts w:ascii="Times New Roman" w:hAnsi="Times New Roman"/>
          <w:sz w:val="24"/>
          <w:szCs w:val="24"/>
          <w:lang w:eastAsia="it-IT"/>
        </w:rPr>
      </w:pPr>
      <w:r w:rsidRPr="0065313A">
        <w:rPr>
          <w:rFonts w:ascii="Arial" w:hAnsi="Arial" w:cs="Arial"/>
          <w:sz w:val="24"/>
          <w:szCs w:val="24"/>
          <w:lang w:eastAsia="it-IT"/>
        </w:rPr>
        <w:t xml:space="preserve">At first, the monomer is dispersed or </w:t>
      </w:r>
      <w:hyperlink r:id="rId13" w:tooltip="Emulsified" w:history="1">
        <w:r w:rsidRPr="0065313A">
          <w:rPr>
            <w:rFonts w:ascii="Arial" w:hAnsi="Arial" w:cs="Arial"/>
            <w:sz w:val="24"/>
            <w:szCs w:val="24"/>
            <w:lang w:eastAsia="it-IT"/>
          </w:rPr>
          <w:t>emulsified</w:t>
        </w:r>
      </w:hyperlink>
      <w:r w:rsidRPr="0065313A">
        <w:rPr>
          <w:rFonts w:ascii="Arial" w:hAnsi="Arial" w:cs="Arial"/>
          <w:sz w:val="24"/>
          <w:szCs w:val="24"/>
          <w:lang w:eastAsia="it-IT"/>
        </w:rPr>
        <w:t xml:space="preserve"> in a solution of surfactant and water forming relatively large droplets of monomer in water, while excess surfactant will create small micelles in which small amounts of the monomer will slowly migrate (see figure 1.4)</w:t>
      </w:r>
      <w:r w:rsidRPr="0065313A">
        <w:rPr>
          <w:rFonts w:ascii="Times New Roman" w:hAnsi="Times New Roman"/>
          <w:sz w:val="24"/>
          <w:szCs w:val="24"/>
          <w:lang w:eastAsia="it-IT"/>
        </w:rPr>
        <w:t>.</w:t>
      </w:r>
    </w:p>
    <w:p w:rsidR="00387A07" w:rsidRPr="0065313A" w:rsidRDefault="00387A07" w:rsidP="00387A07">
      <w:pPr>
        <w:spacing w:after="0" w:line="360" w:lineRule="auto"/>
        <w:jc w:val="both"/>
        <w:rPr>
          <w:rFonts w:ascii="Arial" w:hAnsi="Arial" w:cs="Arial"/>
          <w:sz w:val="24"/>
          <w:szCs w:val="24"/>
          <w:lang w:eastAsia="it-IT"/>
        </w:rPr>
      </w:pPr>
      <w:r w:rsidRPr="0065313A">
        <w:rPr>
          <w:rFonts w:ascii="Arial" w:hAnsi="Arial" w:cs="Arial"/>
          <w:sz w:val="24"/>
          <w:szCs w:val="24"/>
          <w:lang w:eastAsia="it-IT"/>
        </w:rPr>
        <w:t xml:space="preserve">The addition of the water-soluble initiator into the water phase will cause the monomer, present inside the micelles, to react and polymerize. Since the total surface area of the micelles is much greater than the total surface area of the fewer, larger monomer droplets, the initiator typically reacts in the micelles. </w:t>
      </w:r>
    </w:p>
    <w:p w:rsidR="00387A07" w:rsidRPr="0065313A" w:rsidRDefault="00387A07" w:rsidP="00387A07">
      <w:pPr>
        <w:spacing w:after="0" w:line="360" w:lineRule="auto"/>
        <w:jc w:val="both"/>
        <w:rPr>
          <w:rFonts w:ascii="Arial" w:hAnsi="Arial" w:cs="Arial"/>
          <w:sz w:val="24"/>
          <w:szCs w:val="24"/>
          <w:lang w:eastAsia="it-IT"/>
        </w:rPr>
      </w:pPr>
      <w:r w:rsidRPr="0065313A">
        <w:rPr>
          <w:rFonts w:ascii="Arial" w:hAnsi="Arial" w:cs="Arial"/>
          <w:sz w:val="24"/>
          <w:szCs w:val="24"/>
          <w:lang w:eastAsia="it-IT"/>
        </w:rPr>
        <w:t xml:space="preserve">During the second step, the monomer in the micelles quickly polymerizes and the monomer-swollen micelle turns into a polymer particle. </w:t>
      </w:r>
    </w:p>
    <w:p w:rsidR="00387A07" w:rsidRPr="0065313A" w:rsidRDefault="00387A07" w:rsidP="00387A07">
      <w:pPr>
        <w:spacing w:after="0" w:line="360" w:lineRule="auto"/>
        <w:jc w:val="both"/>
        <w:rPr>
          <w:rFonts w:ascii="Arial" w:hAnsi="Arial" w:cs="Arial"/>
          <w:sz w:val="24"/>
          <w:szCs w:val="24"/>
          <w:lang w:eastAsia="it-IT"/>
        </w:rPr>
      </w:pPr>
      <w:r w:rsidRPr="0065313A">
        <w:rPr>
          <w:rFonts w:ascii="Arial" w:hAnsi="Arial" w:cs="Arial"/>
          <w:sz w:val="24"/>
          <w:szCs w:val="24"/>
          <w:lang w:eastAsia="it-IT"/>
        </w:rPr>
        <w:t xml:space="preserve">Since excess monomer is still present in the initial droplets, it will start to diffuse to the growing particle, where more initiators will eventually react until all remaining monomer is located in the particles.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Phase separation and formation of solid particles can take place before or after the termination of the polymerization reaction [49].</w:t>
      </w:r>
    </w:p>
    <w:p w:rsidR="00387A07" w:rsidRPr="0065313A" w:rsidRDefault="00387A07" w:rsidP="00387A07">
      <w:pPr>
        <w:spacing w:after="0" w:line="360" w:lineRule="auto"/>
        <w:jc w:val="both"/>
        <w:rPr>
          <w:rFonts w:ascii="Arial" w:hAnsi="Arial" w:cs="Arial"/>
          <w:color w:val="000000"/>
          <w:sz w:val="24"/>
          <w:szCs w:val="24"/>
          <w:lang w:val="en-US"/>
        </w:rPr>
      </w:pPr>
      <w:r w:rsidRPr="0065313A">
        <w:rPr>
          <w:rFonts w:ascii="Arial" w:hAnsi="Arial" w:cs="Arial"/>
          <w:sz w:val="24"/>
          <w:szCs w:val="24"/>
          <w:lang w:val="en-US"/>
        </w:rPr>
        <w:lastRenderedPageBreak/>
        <w:t xml:space="preserve">The size of the latex particles thereby produced is usually in the range of 50–300 nm. Under appropriate conditions, these particles, formed either by dispersion or by emulsion polymerization, may have </w:t>
      </w:r>
      <w:r w:rsidRPr="0065313A">
        <w:rPr>
          <w:rFonts w:ascii="Arial" w:hAnsi="Arial" w:cs="Arial"/>
          <w:color w:val="000000"/>
          <w:sz w:val="24"/>
          <w:szCs w:val="24"/>
          <w:lang w:val="en-US"/>
        </w:rPr>
        <w:t xml:space="preserve">a narrow size distribution </w:t>
      </w:r>
      <w:r w:rsidRPr="0065313A">
        <w:rPr>
          <w:rFonts w:ascii="Arial" w:hAnsi="Arial" w:cs="Arial"/>
          <w:sz w:val="24"/>
          <w:szCs w:val="24"/>
          <w:lang w:val="en-US"/>
        </w:rPr>
        <w:t>[50,51</w:t>
      </w:r>
      <w:r w:rsidRPr="0065313A">
        <w:rPr>
          <w:rFonts w:ascii="Arial" w:hAnsi="Arial" w:cs="Arial"/>
          <w:color w:val="00008C"/>
          <w:sz w:val="24"/>
          <w:szCs w:val="24"/>
          <w:lang w:val="en-US"/>
        </w:rPr>
        <w:t>]</w:t>
      </w:r>
      <w:r w:rsidRPr="0065313A">
        <w:rPr>
          <w:rFonts w:ascii="Arial" w:hAnsi="Arial" w:cs="Arial"/>
          <w:color w:val="000000"/>
          <w:sz w:val="24"/>
          <w:szCs w:val="24"/>
          <w:lang w:val="en-US"/>
        </w:rPr>
        <w:t>. Previous studies also</w:t>
      </w:r>
      <w:r w:rsidRPr="0065313A">
        <w:rPr>
          <w:rFonts w:ascii="Arial" w:hAnsi="Arial" w:cs="Arial"/>
          <w:sz w:val="24"/>
          <w:szCs w:val="24"/>
          <w:lang w:val="en-US"/>
        </w:rPr>
        <w:t xml:space="preserve"> </w:t>
      </w:r>
      <w:r w:rsidRPr="0065313A">
        <w:rPr>
          <w:rFonts w:ascii="Arial" w:hAnsi="Arial" w:cs="Arial"/>
          <w:color w:val="000000"/>
          <w:sz w:val="24"/>
          <w:szCs w:val="24"/>
          <w:lang w:val="en-US"/>
        </w:rPr>
        <w:t>demonstrated that various conditions, such as the nature and</w:t>
      </w:r>
      <w:r w:rsidRPr="0065313A">
        <w:rPr>
          <w:rFonts w:ascii="Arial" w:hAnsi="Arial" w:cs="Arial"/>
          <w:sz w:val="24"/>
          <w:szCs w:val="24"/>
          <w:lang w:val="en-US"/>
        </w:rPr>
        <w:t xml:space="preserve"> </w:t>
      </w:r>
      <w:r w:rsidRPr="0065313A">
        <w:rPr>
          <w:rFonts w:ascii="Arial" w:hAnsi="Arial" w:cs="Arial"/>
          <w:color w:val="000000"/>
          <w:sz w:val="24"/>
          <w:szCs w:val="24"/>
          <w:lang w:val="en-US"/>
        </w:rPr>
        <w:t>concentration of the surfactant, monomer and initiator concentration play an important role in determining the</w:t>
      </w:r>
      <w:r w:rsidRPr="0065313A">
        <w:rPr>
          <w:rFonts w:ascii="Arial" w:hAnsi="Arial" w:cs="Arial"/>
          <w:sz w:val="24"/>
          <w:szCs w:val="24"/>
          <w:lang w:val="en-US"/>
        </w:rPr>
        <w:t xml:space="preserve"> </w:t>
      </w:r>
      <w:r w:rsidRPr="0065313A">
        <w:rPr>
          <w:rFonts w:ascii="Arial" w:hAnsi="Arial" w:cs="Arial"/>
          <w:color w:val="000000"/>
          <w:sz w:val="24"/>
          <w:szCs w:val="24"/>
          <w:lang w:val="en-US"/>
        </w:rPr>
        <w:t>size and size distribution of the particles, as well as the efficiency</w:t>
      </w:r>
      <w:r w:rsidRPr="0065313A">
        <w:rPr>
          <w:rFonts w:ascii="Arial" w:hAnsi="Arial" w:cs="Arial"/>
          <w:sz w:val="24"/>
          <w:szCs w:val="24"/>
          <w:lang w:val="en-US"/>
        </w:rPr>
        <w:t xml:space="preserve"> </w:t>
      </w:r>
      <w:r w:rsidRPr="0065313A">
        <w:rPr>
          <w:rFonts w:ascii="Arial" w:hAnsi="Arial" w:cs="Arial"/>
          <w:color w:val="000000"/>
          <w:sz w:val="24"/>
          <w:szCs w:val="24"/>
          <w:lang w:val="en-US"/>
        </w:rPr>
        <w:t>of the polymerization process.</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Conventional emulsion polymerization systems utilize varying quantities of surfactants that need to be eliminated from the final product but are hard to remove completely. Removal of surfactants is a time consuming process that increases the cost of production [52,53].</w:t>
      </w:r>
      <w:r w:rsidRPr="0065313A">
        <w:rPr>
          <w:rFonts w:ascii="Arial" w:hAnsi="Arial" w:cs="Arial"/>
          <w:color w:val="000077"/>
          <w:sz w:val="24"/>
          <w:szCs w:val="24"/>
          <w:lang w:val="en-US"/>
        </w:rPr>
        <w:t xml:space="preserve">  </w:t>
      </w:r>
      <w:r w:rsidRPr="0065313A">
        <w:rPr>
          <w:rFonts w:ascii="Arial" w:hAnsi="Arial" w:cs="Arial"/>
          <w:sz w:val="24"/>
          <w:szCs w:val="24"/>
          <w:lang w:val="en-US"/>
        </w:rPr>
        <w:t>As an alternative, emulsion polymerization has been performed in the absence of emulsifier (surfactant free emulsion polymerization).  The reagents used include deionized water, a water soluble initiator and monomers. In such polymerization systems, stabilization of NPs occurs through the use of ionizable initiators or ionic co-monomers.</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To further reduce the size of the droplets a slight modification of the tradition emulsion polymerization method has been proposed, called mini-emulsion polymerization. The key difference between these two methods, summarized in table 1.1, is the additional use of low molecular masses co-stabilizers and the use of high shear devices to form the emulsion. </w:t>
      </w:r>
    </w:p>
    <w:p w:rsidR="00387A07" w:rsidRPr="0065313A" w:rsidRDefault="00387A07" w:rsidP="00387A07">
      <w:pPr>
        <w:autoSpaceDE w:val="0"/>
        <w:autoSpaceDN w:val="0"/>
        <w:adjustRightInd w:val="0"/>
        <w:spacing w:after="120" w:line="360" w:lineRule="auto"/>
        <w:jc w:val="both"/>
        <w:rPr>
          <w:rFonts w:ascii="Arial" w:hAnsi="Arial" w:cs="Arial"/>
          <w:sz w:val="24"/>
          <w:szCs w:val="24"/>
          <w:lang w:val="en-US"/>
        </w:rPr>
      </w:pPr>
      <w:r w:rsidRPr="0065313A">
        <w:rPr>
          <w:rFonts w:ascii="Arial" w:hAnsi="Arial" w:cs="Arial"/>
          <w:sz w:val="24"/>
          <w:szCs w:val="24"/>
          <w:lang w:val="en-US"/>
        </w:rPr>
        <w:t xml:space="preserve">Particles with very low polydispersity and small size, ranging from 10 to 30 nm, can be obtained with this method [54,55]. </w:t>
      </w:r>
    </w:p>
    <w:tbl>
      <w:tblPr>
        <w:tblW w:w="0" w:type="auto"/>
        <w:jc w:val="center"/>
        <w:tblBorders>
          <w:top w:val="single" w:sz="4" w:space="0" w:color="000000"/>
          <w:left w:val="single" w:sz="4" w:space="0" w:color="000000"/>
          <w:bottom w:val="single" w:sz="4" w:space="0" w:color="000000"/>
          <w:right w:val="single" w:sz="4" w:space="0" w:color="000000"/>
        </w:tblBorders>
        <w:tblLook w:val="00A0"/>
      </w:tblPr>
      <w:tblGrid>
        <w:gridCol w:w="2943"/>
        <w:gridCol w:w="2410"/>
        <w:gridCol w:w="2409"/>
      </w:tblGrid>
      <w:tr w:rsidR="00387A07" w:rsidRPr="0065313A" w:rsidTr="00387A07">
        <w:trPr>
          <w:jc w:val="center"/>
        </w:trPr>
        <w:tc>
          <w:tcPr>
            <w:tcW w:w="2943" w:type="dxa"/>
            <w:tcBorders>
              <w:top w:val="single" w:sz="4" w:space="0" w:color="000000"/>
              <w:left w:val="nil"/>
              <w:bottom w:val="single" w:sz="4" w:space="0" w:color="auto"/>
            </w:tcBorders>
            <w:shd w:val="clear" w:color="auto" w:fill="F2F2F2"/>
          </w:tcPr>
          <w:p w:rsidR="00387A07" w:rsidRPr="0065313A" w:rsidRDefault="00387A07" w:rsidP="00387A07">
            <w:pPr>
              <w:rPr>
                <w:b/>
              </w:rPr>
            </w:pPr>
            <w:r w:rsidRPr="0065313A">
              <w:rPr>
                <w:b/>
              </w:rPr>
              <w:t>Characteristics</w:t>
            </w:r>
          </w:p>
        </w:tc>
        <w:tc>
          <w:tcPr>
            <w:tcW w:w="2410" w:type="dxa"/>
            <w:tcBorders>
              <w:top w:val="single" w:sz="4" w:space="0" w:color="000000"/>
              <w:bottom w:val="single" w:sz="4" w:space="0" w:color="auto"/>
            </w:tcBorders>
            <w:shd w:val="clear" w:color="auto" w:fill="F2F2F2"/>
          </w:tcPr>
          <w:p w:rsidR="00387A07" w:rsidRPr="0065313A" w:rsidRDefault="00387A07" w:rsidP="00387A07">
            <w:pPr>
              <w:rPr>
                <w:b/>
              </w:rPr>
            </w:pPr>
            <w:r w:rsidRPr="0065313A">
              <w:rPr>
                <w:b/>
              </w:rPr>
              <w:t>Emulsion</w:t>
            </w:r>
          </w:p>
        </w:tc>
        <w:tc>
          <w:tcPr>
            <w:tcW w:w="2409" w:type="dxa"/>
            <w:tcBorders>
              <w:top w:val="single" w:sz="4" w:space="0" w:color="000000"/>
              <w:bottom w:val="single" w:sz="4" w:space="0" w:color="auto"/>
              <w:right w:val="nil"/>
            </w:tcBorders>
            <w:shd w:val="clear" w:color="auto" w:fill="F2F2F2"/>
          </w:tcPr>
          <w:p w:rsidR="00387A07" w:rsidRPr="0065313A" w:rsidRDefault="00387A07" w:rsidP="00387A07">
            <w:pPr>
              <w:rPr>
                <w:b/>
              </w:rPr>
            </w:pPr>
            <w:r w:rsidRPr="0065313A">
              <w:rPr>
                <w:b/>
              </w:rPr>
              <w:t>Mini-emulsion</w:t>
            </w:r>
          </w:p>
        </w:tc>
      </w:tr>
      <w:tr w:rsidR="00387A07" w:rsidRPr="0065313A" w:rsidTr="00387A07">
        <w:trPr>
          <w:jc w:val="center"/>
        </w:trPr>
        <w:tc>
          <w:tcPr>
            <w:tcW w:w="2943" w:type="dxa"/>
            <w:tcBorders>
              <w:top w:val="single" w:sz="4" w:space="0" w:color="auto"/>
              <w:left w:val="nil"/>
            </w:tcBorders>
            <w:shd w:val="clear" w:color="auto" w:fill="F2F2F2"/>
          </w:tcPr>
          <w:p w:rsidR="00387A07" w:rsidRPr="0065313A" w:rsidRDefault="00387A07" w:rsidP="00387A07">
            <w:r w:rsidRPr="0065313A">
              <w:t>Thermodynamic stability</w:t>
            </w:r>
          </w:p>
        </w:tc>
        <w:tc>
          <w:tcPr>
            <w:tcW w:w="2410" w:type="dxa"/>
            <w:tcBorders>
              <w:top w:val="single" w:sz="4" w:space="0" w:color="auto"/>
            </w:tcBorders>
            <w:shd w:val="clear" w:color="auto" w:fill="F2F2F2"/>
          </w:tcPr>
          <w:p w:rsidR="00387A07" w:rsidRPr="0065313A" w:rsidRDefault="00387A07" w:rsidP="00387A07">
            <w:r w:rsidRPr="0065313A">
              <w:t>Non-stable</w:t>
            </w:r>
          </w:p>
        </w:tc>
        <w:tc>
          <w:tcPr>
            <w:tcW w:w="2409" w:type="dxa"/>
            <w:tcBorders>
              <w:top w:val="single" w:sz="4" w:space="0" w:color="auto"/>
              <w:right w:val="nil"/>
            </w:tcBorders>
            <w:shd w:val="clear" w:color="auto" w:fill="F2F2F2"/>
          </w:tcPr>
          <w:p w:rsidR="00387A07" w:rsidRPr="0065313A" w:rsidRDefault="00387A07" w:rsidP="00387A07">
            <w:r w:rsidRPr="0065313A">
              <w:t>Non-stable</w:t>
            </w:r>
          </w:p>
        </w:tc>
      </w:tr>
      <w:tr w:rsidR="00387A07" w:rsidRPr="0065313A" w:rsidTr="00387A07">
        <w:trPr>
          <w:jc w:val="center"/>
        </w:trPr>
        <w:tc>
          <w:tcPr>
            <w:tcW w:w="2943" w:type="dxa"/>
            <w:tcBorders>
              <w:left w:val="nil"/>
            </w:tcBorders>
            <w:shd w:val="clear" w:color="auto" w:fill="F2F2F2"/>
          </w:tcPr>
          <w:p w:rsidR="00387A07" w:rsidRPr="0065313A" w:rsidRDefault="00387A07" w:rsidP="00387A07">
            <w:r w:rsidRPr="0065313A">
              <w:t>Stability period</w:t>
            </w:r>
          </w:p>
        </w:tc>
        <w:tc>
          <w:tcPr>
            <w:tcW w:w="2410" w:type="dxa"/>
            <w:shd w:val="clear" w:color="auto" w:fill="F2F2F2"/>
          </w:tcPr>
          <w:p w:rsidR="00387A07" w:rsidRPr="0065313A" w:rsidRDefault="00387A07" w:rsidP="00387A07">
            <w:r w:rsidRPr="0065313A">
              <w:t>Seconds to months</w:t>
            </w:r>
          </w:p>
        </w:tc>
        <w:tc>
          <w:tcPr>
            <w:tcW w:w="2409" w:type="dxa"/>
            <w:tcBorders>
              <w:right w:val="nil"/>
            </w:tcBorders>
            <w:shd w:val="clear" w:color="auto" w:fill="F2F2F2"/>
          </w:tcPr>
          <w:p w:rsidR="00387A07" w:rsidRPr="0065313A" w:rsidRDefault="00387A07" w:rsidP="00387A07">
            <w:r w:rsidRPr="0065313A">
              <w:t>Hours to months</w:t>
            </w:r>
          </w:p>
        </w:tc>
      </w:tr>
      <w:tr w:rsidR="00387A07" w:rsidRPr="0065313A" w:rsidTr="00387A07">
        <w:trPr>
          <w:jc w:val="center"/>
        </w:trPr>
        <w:tc>
          <w:tcPr>
            <w:tcW w:w="2943" w:type="dxa"/>
            <w:tcBorders>
              <w:left w:val="nil"/>
            </w:tcBorders>
            <w:shd w:val="clear" w:color="auto" w:fill="F2F2F2"/>
          </w:tcPr>
          <w:p w:rsidR="00387A07" w:rsidRPr="0065313A" w:rsidRDefault="00387A07" w:rsidP="00387A07">
            <w:r w:rsidRPr="0065313A">
              <w:t>Droplet size</w:t>
            </w:r>
          </w:p>
        </w:tc>
        <w:tc>
          <w:tcPr>
            <w:tcW w:w="2410" w:type="dxa"/>
            <w:shd w:val="clear" w:color="auto" w:fill="F2F2F2"/>
          </w:tcPr>
          <w:p w:rsidR="00387A07" w:rsidRPr="0065313A" w:rsidRDefault="00387A07" w:rsidP="00387A07">
            <w:r w:rsidRPr="0065313A">
              <w:t xml:space="preserve">1-10 </w:t>
            </w:r>
            <w:r w:rsidRPr="0065313A">
              <w:rPr>
                <w:rFonts w:cs="Calibri"/>
              </w:rPr>
              <w:t>µ</w:t>
            </w:r>
            <w:r w:rsidRPr="0065313A">
              <w:t>m</w:t>
            </w:r>
          </w:p>
        </w:tc>
        <w:tc>
          <w:tcPr>
            <w:tcW w:w="2409" w:type="dxa"/>
            <w:tcBorders>
              <w:right w:val="nil"/>
            </w:tcBorders>
            <w:shd w:val="clear" w:color="auto" w:fill="F2F2F2"/>
          </w:tcPr>
          <w:p w:rsidR="00387A07" w:rsidRPr="0065313A" w:rsidRDefault="00387A07" w:rsidP="00387A07">
            <w:r w:rsidRPr="0065313A">
              <w:t>20-200 nm</w:t>
            </w:r>
          </w:p>
        </w:tc>
      </w:tr>
      <w:tr w:rsidR="00387A07" w:rsidRPr="0065313A" w:rsidTr="00387A07">
        <w:trPr>
          <w:jc w:val="center"/>
        </w:trPr>
        <w:tc>
          <w:tcPr>
            <w:tcW w:w="2943" w:type="dxa"/>
            <w:tcBorders>
              <w:left w:val="nil"/>
            </w:tcBorders>
            <w:shd w:val="clear" w:color="auto" w:fill="F2F2F2"/>
          </w:tcPr>
          <w:p w:rsidR="00387A07" w:rsidRPr="0065313A" w:rsidRDefault="00387A07" w:rsidP="00387A07">
            <w:r w:rsidRPr="0065313A">
              <w:t>Polydispersity</w:t>
            </w:r>
          </w:p>
        </w:tc>
        <w:tc>
          <w:tcPr>
            <w:tcW w:w="2410" w:type="dxa"/>
            <w:shd w:val="clear" w:color="auto" w:fill="F2F2F2"/>
          </w:tcPr>
          <w:p w:rsidR="00387A07" w:rsidRPr="0065313A" w:rsidRDefault="00387A07" w:rsidP="00387A07">
            <w:r w:rsidRPr="0065313A">
              <w:t>Low</w:t>
            </w:r>
          </w:p>
        </w:tc>
        <w:tc>
          <w:tcPr>
            <w:tcW w:w="2409" w:type="dxa"/>
            <w:tcBorders>
              <w:right w:val="nil"/>
            </w:tcBorders>
            <w:shd w:val="clear" w:color="auto" w:fill="F2F2F2"/>
          </w:tcPr>
          <w:p w:rsidR="00387A07" w:rsidRPr="0065313A" w:rsidRDefault="00387A07" w:rsidP="00387A07">
            <w:r w:rsidRPr="0065313A">
              <w:t>Very low</w:t>
            </w:r>
          </w:p>
        </w:tc>
      </w:tr>
      <w:tr w:rsidR="00387A07" w:rsidRPr="0065313A" w:rsidTr="00387A07">
        <w:trPr>
          <w:jc w:val="center"/>
        </w:trPr>
        <w:tc>
          <w:tcPr>
            <w:tcW w:w="2943" w:type="dxa"/>
            <w:tcBorders>
              <w:left w:val="nil"/>
              <w:bottom w:val="single" w:sz="4" w:space="0" w:color="000000"/>
            </w:tcBorders>
            <w:shd w:val="clear" w:color="auto" w:fill="F2F2F2"/>
          </w:tcPr>
          <w:p w:rsidR="00387A07" w:rsidRPr="0065313A" w:rsidRDefault="00387A07" w:rsidP="00387A07">
            <w:r w:rsidRPr="0065313A">
              <w:t>Particle size</w:t>
            </w:r>
          </w:p>
        </w:tc>
        <w:tc>
          <w:tcPr>
            <w:tcW w:w="2410" w:type="dxa"/>
            <w:tcBorders>
              <w:bottom w:val="single" w:sz="4" w:space="0" w:color="000000"/>
            </w:tcBorders>
            <w:shd w:val="clear" w:color="auto" w:fill="F2F2F2"/>
          </w:tcPr>
          <w:p w:rsidR="00387A07" w:rsidRPr="0065313A" w:rsidRDefault="00387A07" w:rsidP="00387A07">
            <w:r w:rsidRPr="0065313A">
              <w:t>50-300 nm</w:t>
            </w:r>
          </w:p>
        </w:tc>
        <w:tc>
          <w:tcPr>
            <w:tcW w:w="2409" w:type="dxa"/>
            <w:tcBorders>
              <w:bottom w:val="single" w:sz="4" w:space="0" w:color="000000"/>
              <w:right w:val="nil"/>
            </w:tcBorders>
            <w:shd w:val="clear" w:color="auto" w:fill="F2F2F2"/>
          </w:tcPr>
          <w:p w:rsidR="00387A07" w:rsidRPr="0065313A" w:rsidRDefault="00387A07" w:rsidP="00387A07">
            <w:r w:rsidRPr="0065313A">
              <w:t>10-30 nm</w:t>
            </w:r>
          </w:p>
        </w:tc>
      </w:tr>
    </w:tbl>
    <w:p w:rsidR="00387A07" w:rsidRPr="0065313A" w:rsidRDefault="00387A07" w:rsidP="00387A07">
      <w:pPr>
        <w:pStyle w:val="Didascalia"/>
        <w:spacing w:after="240"/>
        <w:rPr>
          <w:rFonts w:ascii="Arial" w:hAnsi="Arial" w:cs="Arial"/>
          <w:sz w:val="24"/>
          <w:szCs w:val="24"/>
          <w:lang w:val="en-US"/>
        </w:rPr>
      </w:pPr>
      <w:r w:rsidRPr="0065313A">
        <w:t xml:space="preserve">Table 1. </w:t>
      </w:r>
      <w:fldSimple w:instr=" SEQ Table_1. \* ARABIC ">
        <w:r w:rsidRPr="0065313A">
          <w:rPr>
            <w:noProof/>
          </w:rPr>
          <w:t>1</w:t>
        </w:r>
      </w:fldSimple>
      <w:r w:rsidRPr="0065313A">
        <w:t xml:space="preserve"> Basics differences between emulsion and mini-emulsion polymerization. Adapted from [10].</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1.3.1.2 Interfacial polymerization</w:t>
      </w:r>
    </w:p>
    <w:p w:rsidR="00387A07" w:rsidRPr="0065313A" w:rsidRDefault="00387A07" w:rsidP="00387A07">
      <w:pPr>
        <w:autoSpaceDE w:val="0"/>
        <w:autoSpaceDN w:val="0"/>
        <w:adjustRightInd w:val="0"/>
        <w:spacing w:after="120" w:line="360" w:lineRule="auto"/>
        <w:jc w:val="both"/>
        <w:rPr>
          <w:rFonts w:ascii="Arial" w:hAnsi="Arial" w:cs="Arial"/>
          <w:color w:val="000000"/>
          <w:sz w:val="24"/>
          <w:szCs w:val="24"/>
          <w:lang w:val="en-US"/>
        </w:rPr>
      </w:pPr>
      <w:r w:rsidRPr="0065313A">
        <w:rPr>
          <w:rFonts w:ascii="Arial" w:hAnsi="Arial" w:cs="Arial"/>
          <w:color w:val="000000"/>
          <w:sz w:val="24"/>
          <w:szCs w:val="24"/>
          <w:lang w:val="en-US"/>
        </w:rPr>
        <w:t xml:space="preserve">Interfacial polymerization is one of the well established methods used for the preparation of polymer nanoparticles It involves step polymerization of two reactive monomers or </w:t>
      </w:r>
      <w:r w:rsidRPr="0065313A">
        <w:rPr>
          <w:rFonts w:ascii="Arial" w:hAnsi="Arial" w:cs="Arial"/>
          <w:color w:val="000000"/>
          <w:sz w:val="24"/>
          <w:szCs w:val="24"/>
          <w:lang w:val="en-US"/>
        </w:rPr>
        <w:lastRenderedPageBreak/>
        <w:t xml:space="preserve">agents, which are dissolved respectively in two phases (i.e., continuous and dispersed phase), and the reaction takes place at the interface of the two liquids </w:t>
      </w:r>
      <w:r w:rsidRPr="0065313A">
        <w:rPr>
          <w:rFonts w:ascii="Arial" w:hAnsi="Arial" w:cs="Arial"/>
          <w:color w:val="000077"/>
          <w:sz w:val="24"/>
          <w:szCs w:val="24"/>
          <w:lang w:val="en-US"/>
        </w:rPr>
        <w:t>[</w:t>
      </w:r>
      <w:r w:rsidRPr="0065313A">
        <w:rPr>
          <w:rFonts w:ascii="Arial" w:hAnsi="Arial" w:cs="Arial"/>
          <w:sz w:val="24"/>
          <w:szCs w:val="24"/>
          <w:lang w:val="en-US"/>
        </w:rPr>
        <w:t>56]</w:t>
      </w:r>
      <w:r w:rsidRPr="0065313A">
        <w:rPr>
          <w:rFonts w:ascii="Arial" w:hAnsi="Arial" w:cs="Arial"/>
          <w:color w:val="000000"/>
          <w:sz w:val="24"/>
          <w:szCs w:val="24"/>
          <w:lang w:val="en-US"/>
        </w:rPr>
        <w:t xml:space="preserve">. Particles obtained by interfacial polymerization have high encapsulation efficiency [57]. Moreover the polymer is formed </w:t>
      </w:r>
      <w:r w:rsidRPr="0065313A">
        <w:rPr>
          <w:rFonts w:ascii="Arial" w:hAnsi="Arial" w:cs="Arial"/>
          <w:i/>
          <w:color w:val="000000"/>
          <w:sz w:val="24"/>
          <w:szCs w:val="24"/>
          <w:lang w:val="en-US"/>
        </w:rPr>
        <w:t>in situ</w:t>
      </w:r>
      <w:r w:rsidRPr="0065313A">
        <w:rPr>
          <w:rFonts w:ascii="Arial" w:hAnsi="Arial" w:cs="Arial"/>
          <w:color w:val="000000"/>
          <w:sz w:val="24"/>
          <w:szCs w:val="24"/>
          <w:lang w:val="en-US"/>
        </w:rPr>
        <w:t xml:space="preserve"> allowing the polymer membrane to follow the contours of the inner phase of the emulsion. On the other hand the use of organic solvents as external phase and the extensive washing steps required represent the major drawbacks of this method. </w:t>
      </w:r>
    </w:p>
    <w:tbl>
      <w:tblPr>
        <w:tblW w:w="0" w:type="auto"/>
        <w:tblLook w:val="00A0"/>
      </w:tblPr>
      <w:tblGrid>
        <w:gridCol w:w="3794"/>
        <w:gridCol w:w="2693"/>
        <w:gridCol w:w="1701"/>
        <w:gridCol w:w="1666"/>
      </w:tblGrid>
      <w:tr w:rsidR="00387A07" w:rsidRPr="0065313A" w:rsidTr="00387A07">
        <w:tc>
          <w:tcPr>
            <w:tcW w:w="3794" w:type="dxa"/>
            <w:tcBorders>
              <w:left w:val="nil"/>
              <w:bottom w:val="single" w:sz="4" w:space="0" w:color="auto"/>
              <w:right w:val="nil"/>
            </w:tcBorders>
            <w:shd w:val="clear" w:color="auto" w:fill="EEECE1"/>
          </w:tcPr>
          <w:p w:rsidR="00387A07" w:rsidRPr="0065313A" w:rsidRDefault="00387A07" w:rsidP="00387A07">
            <w:pPr>
              <w:rPr>
                <w:rFonts w:cs="Calibri"/>
                <w:b/>
              </w:rPr>
            </w:pPr>
            <w:r w:rsidRPr="0065313A">
              <w:rPr>
                <w:rFonts w:cs="Calibri"/>
                <w:b/>
              </w:rPr>
              <w:t>Polymer</w:t>
            </w:r>
          </w:p>
        </w:tc>
        <w:tc>
          <w:tcPr>
            <w:tcW w:w="2693" w:type="dxa"/>
            <w:tcBorders>
              <w:left w:val="nil"/>
              <w:bottom w:val="single" w:sz="4" w:space="0" w:color="000000"/>
              <w:right w:val="nil"/>
            </w:tcBorders>
            <w:shd w:val="clear" w:color="auto" w:fill="EEECE1"/>
          </w:tcPr>
          <w:p w:rsidR="00387A07" w:rsidRPr="0065313A" w:rsidRDefault="00387A07" w:rsidP="00387A07">
            <w:pPr>
              <w:rPr>
                <w:rFonts w:cs="Calibri"/>
                <w:b/>
              </w:rPr>
            </w:pPr>
            <w:r w:rsidRPr="0065313A">
              <w:rPr>
                <w:rFonts w:cs="Calibri"/>
                <w:b/>
              </w:rPr>
              <w:t>Encapsulant</w:t>
            </w:r>
          </w:p>
        </w:tc>
        <w:tc>
          <w:tcPr>
            <w:tcW w:w="1701" w:type="dxa"/>
            <w:tcBorders>
              <w:left w:val="nil"/>
              <w:bottom w:val="single" w:sz="4" w:space="0" w:color="000000"/>
              <w:right w:val="nil"/>
            </w:tcBorders>
            <w:shd w:val="clear" w:color="auto" w:fill="EEECE1"/>
          </w:tcPr>
          <w:p w:rsidR="00387A07" w:rsidRPr="0065313A" w:rsidRDefault="00387A07" w:rsidP="00387A07">
            <w:pPr>
              <w:rPr>
                <w:rFonts w:cs="Calibri"/>
                <w:b/>
              </w:rPr>
            </w:pPr>
            <w:r w:rsidRPr="0065313A">
              <w:rPr>
                <w:rFonts w:cs="Calibri"/>
                <w:b/>
              </w:rPr>
              <w:t>Size</w:t>
            </w:r>
          </w:p>
        </w:tc>
        <w:tc>
          <w:tcPr>
            <w:tcW w:w="1666" w:type="dxa"/>
            <w:tcBorders>
              <w:left w:val="nil"/>
              <w:bottom w:val="single" w:sz="4" w:space="0" w:color="000000"/>
              <w:right w:val="nil"/>
            </w:tcBorders>
            <w:shd w:val="clear" w:color="auto" w:fill="EEECE1"/>
          </w:tcPr>
          <w:p w:rsidR="00387A07" w:rsidRPr="0065313A" w:rsidRDefault="00387A07" w:rsidP="00387A07">
            <w:pPr>
              <w:rPr>
                <w:rFonts w:cs="Calibri"/>
                <w:b/>
              </w:rPr>
            </w:pPr>
            <w:r w:rsidRPr="0065313A">
              <w:rPr>
                <w:rFonts w:cs="Calibri"/>
                <w:b/>
              </w:rPr>
              <w:t>Reference</w:t>
            </w:r>
          </w:p>
        </w:tc>
      </w:tr>
      <w:tr w:rsidR="00387A07" w:rsidRPr="0065313A" w:rsidTr="00387A07">
        <w:tc>
          <w:tcPr>
            <w:tcW w:w="3794" w:type="dxa"/>
            <w:tcBorders>
              <w:top w:val="single" w:sz="4" w:space="0" w:color="auto"/>
              <w:left w:val="nil"/>
              <w:bottom w:val="single" w:sz="4" w:space="0" w:color="auto"/>
              <w:right w:val="nil"/>
            </w:tcBorders>
            <w:shd w:val="clear" w:color="auto" w:fill="EEECE1"/>
          </w:tcPr>
          <w:p w:rsidR="00387A07" w:rsidRPr="0065313A" w:rsidRDefault="00387A07" w:rsidP="00387A07">
            <w:pPr>
              <w:rPr>
                <w:rFonts w:cs="Calibri"/>
                <w:b/>
              </w:rPr>
            </w:pPr>
            <w:r w:rsidRPr="0065313A">
              <w:rPr>
                <w:rFonts w:cs="Calibri"/>
                <w:b/>
              </w:rPr>
              <w:t>Emulsion polymerization</w:t>
            </w:r>
          </w:p>
        </w:tc>
        <w:tc>
          <w:tcPr>
            <w:tcW w:w="2693" w:type="dxa"/>
            <w:tcBorders>
              <w:left w:val="nil"/>
              <w:bottom w:val="single" w:sz="4" w:space="0" w:color="000000"/>
              <w:right w:val="nil"/>
            </w:tcBorders>
            <w:shd w:val="clear" w:color="auto" w:fill="EEECE1"/>
          </w:tcPr>
          <w:p w:rsidR="00387A07" w:rsidRPr="0065313A" w:rsidRDefault="00387A07" w:rsidP="00387A07">
            <w:pPr>
              <w:rPr>
                <w:rFonts w:cs="Calibri"/>
              </w:rPr>
            </w:pPr>
          </w:p>
        </w:tc>
        <w:tc>
          <w:tcPr>
            <w:tcW w:w="1701" w:type="dxa"/>
            <w:tcBorders>
              <w:left w:val="nil"/>
              <w:bottom w:val="single" w:sz="4" w:space="0" w:color="000000"/>
              <w:right w:val="nil"/>
            </w:tcBorders>
            <w:shd w:val="clear" w:color="auto" w:fill="EEECE1"/>
          </w:tcPr>
          <w:p w:rsidR="00387A07" w:rsidRPr="0065313A" w:rsidRDefault="00387A07" w:rsidP="00387A07">
            <w:pPr>
              <w:rPr>
                <w:rFonts w:cs="Calibri"/>
              </w:rPr>
            </w:pPr>
          </w:p>
        </w:tc>
        <w:tc>
          <w:tcPr>
            <w:tcW w:w="1666" w:type="dxa"/>
            <w:tcBorders>
              <w:left w:val="nil"/>
              <w:bottom w:val="single" w:sz="4" w:space="0" w:color="000000"/>
              <w:right w:val="nil"/>
            </w:tcBorders>
            <w:shd w:val="clear" w:color="auto" w:fill="EEECE1"/>
          </w:tcPr>
          <w:p w:rsidR="00387A07" w:rsidRPr="0065313A" w:rsidRDefault="00387A07" w:rsidP="00387A07">
            <w:pPr>
              <w:rPr>
                <w:rFonts w:cs="Calibri"/>
              </w:rPr>
            </w:pPr>
          </w:p>
        </w:tc>
      </w:tr>
      <w:tr w:rsidR="00387A07" w:rsidRPr="0065313A" w:rsidTr="00387A07">
        <w:tc>
          <w:tcPr>
            <w:tcW w:w="3794" w:type="dxa"/>
            <w:tcBorders>
              <w:top w:val="single" w:sz="4" w:space="0" w:color="auto"/>
              <w:left w:val="nil"/>
              <w:bottom w:val="nil"/>
              <w:right w:val="nil"/>
            </w:tcBorders>
            <w:shd w:val="clear" w:color="auto" w:fill="EEECE1"/>
          </w:tcPr>
          <w:p w:rsidR="00387A07" w:rsidRPr="0065313A" w:rsidRDefault="00387A07" w:rsidP="00387A07">
            <w:pPr>
              <w:rPr>
                <w:rFonts w:cs="Calibri"/>
              </w:rPr>
            </w:pPr>
            <w:r w:rsidRPr="0065313A">
              <w:rPr>
                <w:rFonts w:cs="Calibri"/>
              </w:rPr>
              <w:t>Poly(methylmethacrylate)</w:t>
            </w:r>
          </w:p>
        </w:tc>
        <w:tc>
          <w:tcPr>
            <w:tcW w:w="2693" w:type="dxa"/>
            <w:tcBorders>
              <w:left w:val="nil"/>
              <w:bottom w:val="nil"/>
              <w:right w:val="nil"/>
            </w:tcBorders>
            <w:shd w:val="clear" w:color="auto" w:fill="EEECE1"/>
          </w:tcPr>
          <w:p w:rsidR="00387A07" w:rsidRPr="0065313A" w:rsidRDefault="00387A07" w:rsidP="00387A07">
            <w:pPr>
              <w:rPr>
                <w:rFonts w:cs="Calibri"/>
              </w:rPr>
            </w:pPr>
            <w:r w:rsidRPr="0065313A">
              <w:rPr>
                <w:rFonts w:cs="Calibri"/>
              </w:rPr>
              <w:t>Influenza antigen</w:t>
            </w:r>
          </w:p>
        </w:tc>
        <w:tc>
          <w:tcPr>
            <w:tcW w:w="1701" w:type="dxa"/>
            <w:tcBorders>
              <w:left w:val="nil"/>
              <w:bottom w:val="nil"/>
              <w:right w:val="nil"/>
            </w:tcBorders>
            <w:shd w:val="clear" w:color="auto" w:fill="EEECE1"/>
          </w:tcPr>
          <w:p w:rsidR="00387A07" w:rsidRPr="0065313A" w:rsidRDefault="00387A07" w:rsidP="00387A07">
            <w:pPr>
              <w:rPr>
                <w:rFonts w:cs="Calibri"/>
              </w:rPr>
            </w:pPr>
            <w:r w:rsidRPr="0065313A">
              <w:rPr>
                <w:rFonts w:cs="Calibri"/>
              </w:rPr>
              <w:t>130</w:t>
            </w:r>
          </w:p>
        </w:tc>
        <w:tc>
          <w:tcPr>
            <w:tcW w:w="1666" w:type="dxa"/>
            <w:tcBorders>
              <w:left w:val="nil"/>
              <w:bottom w:val="nil"/>
              <w:right w:val="nil"/>
            </w:tcBorders>
            <w:shd w:val="clear" w:color="auto" w:fill="EEECE1"/>
          </w:tcPr>
          <w:p w:rsidR="00387A07" w:rsidRPr="0065313A" w:rsidRDefault="00387A07" w:rsidP="00387A07">
            <w:pPr>
              <w:jc w:val="center"/>
              <w:rPr>
                <w:rFonts w:cs="Calibri"/>
              </w:rPr>
            </w:pPr>
            <w:r w:rsidRPr="0065313A">
              <w:rPr>
                <w:rFonts w:cs="Calibri"/>
              </w:rPr>
              <w:t>[58]</w:t>
            </w:r>
          </w:p>
        </w:tc>
      </w:tr>
      <w:tr w:rsidR="00387A07" w:rsidRPr="0065313A" w:rsidTr="00387A07">
        <w:tc>
          <w:tcPr>
            <w:tcW w:w="3794"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Poly(methylmethacrylate) copolymer</w:t>
            </w:r>
          </w:p>
        </w:tc>
        <w:tc>
          <w:tcPr>
            <w:tcW w:w="2693"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Doxorubicin</w:t>
            </w:r>
          </w:p>
        </w:tc>
        <w:tc>
          <w:tcPr>
            <w:tcW w:w="1701"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300</w:t>
            </w:r>
          </w:p>
        </w:tc>
        <w:tc>
          <w:tcPr>
            <w:tcW w:w="1666" w:type="dxa"/>
            <w:tcBorders>
              <w:top w:val="nil"/>
              <w:left w:val="nil"/>
              <w:bottom w:val="nil"/>
              <w:right w:val="nil"/>
            </w:tcBorders>
            <w:shd w:val="clear" w:color="auto" w:fill="EEECE1"/>
          </w:tcPr>
          <w:p w:rsidR="00387A07" w:rsidRPr="0065313A" w:rsidRDefault="00387A07" w:rsidP="00387A07">
            <w:pPr>
              <w:jc w:val="center"/>
              <w:rPr>
                <w:rFonts w:cs="Calibri"/>
              </w:rPr>
            </w:pPr>
            <w:r w:rsidRPr="0065313A">
              <w:rPr>
                <w:rFonts w:cs="Calibri"/>
              </w:rPr>
              <w:t>[59]</w:t>
            </w:r>
          </w:p>
        </w:tc>
      </w:tr>
      <w:tr w:rsidR="00387A07" w:rsidRPr="0065313A" w:rsidTr="00387A07">
        <w:tc>
          <w:tcPr>
            <w:tcW w:w="3794"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Poly(methylcyanoacrylate)</w:t>
            </w:r>
          </w:p>
        </w:tc>
        <w:tc>
          <w:tcPr>
            <w:tcW w:w="2693"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Vinblastine</w:t>
            </w:r>
          </w:p>
        </w:tc>
        <w:tc>
          <w:tcPr>
            <w:tcW w:w="1701"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200-300</w:t>
            </w:r>
          </w:p>
        </w:tc>
        <w:tc>
          <w:tcPr>
            <w:tcW w:w="1666" w:type="dxa"/>
            <w:tcBorders>
              <w:top w:val="nil"/>
              <w:left w:val="nil"/>
              <w:bottom w:val="nil"/>
              <w:right w:val="nil"/>
            </w:tcBorders>
            <w:shd w:val="clear" w:color="auto" w:fill="EEECE1"/>
          </w:tcPr>
          <w:p w:rsidR="00387A07" w:rsidRPr="0065313A" w:rsidRDefault="00387A07" w:rsidP="00387A07">
            <w:pPr>
              <w:jc w:val="center"/>
              <w:rPr>
                <w:rFonts w:cs="Calibri"/>
              </w:rPr>
            </w:pPr>
            <w:r w:rsidRPr="0065313A">
              <w:rPr>
                <w:rFonts w:cs="Calibri"/>
              </w:rPr>
              <w:t>[60]</w:t>
            </w:r>
          </w:p>
        </w:tc>
      </w:tr>
      <w:tr w:rsidR="00387A07" w:rsidRPr="0065313A" w:rsidTr="00387A07">
        <w:tc>
          <w:tcPr>
            <w:tcW w:w="3794"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Poly(ethylcyanoacrylate)</w:t>
            </w:r>
          </w:p>
        </w:tc>
        <w:tc>
          <w:tcPr>
            <w:tcW w:w="2693"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Insulin</w:t>
            </w:r>
          </w:p>
        </w:tc>
        <w:tc>
          <w:tcPr>
            <w:tcW w:w="1701"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&lt;500</w:t>
            </w:r>
          </w:p>
        </w:tc>
        <w:tc>
          <w:tcPr>
            <w:tcW w:w="1666" w:type="dxa"/>
            <w:tcBorders>
              <w:top w:val="nil"/>
              <w:left w:val="nil"/>
              <w:bottom w:val="nil"/>
              <w:right w:val="nil"/>
            </w:tcBorders>
            <w:shd w:val="clear" w:color="auto" w:fill="EEECE1"/>
          </w:tcPr>
          <w:p w:rsidR="00387A07" w:rsidRPr="0065313A" w:rsidRDefault="00387A07" w:rsidP="00387A07">
            <w:pPr>
              <w:jc w:val="center"/>
              <w:rPr>
                <w:rFonts w:cs="Calibri"/>
              </w:rPr>
            </w:pPr>
            <w:r w:rsidRPr="0065313A">
              <w:rPr>
                <w:rFonts w:cs="Calibri"/>
              </w:rPr>
              <w:t>[61]</w:t>
            </w:r>
          </w:p>
        </w:tc>
      </w:tr>
      <w:tr w:rsidR="00387A07" w:rsidRPr="0065313A" w:rsidTr="00387A07">
        <w:tc>
          <w:tcPr>
            <w:tcW w:w="3794"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Poly(butylcyanoacrylate)</w:t>
            </w:r>
          </w:p>
        </w:tc>
        <w:tc>
          <w:tcPr>
            <w:tcW w:w="2693"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Progesterone</w:t>
            </w:r>
          </w:p>
        </w:tc>
        <w:tc>
          <w:tcPr>
            <w:tcW w:w="1701" w:type="dxa"/>
            <w:tcBorders>
              <w:top w:val="nil"/>
              <w:left w:val="nil"/>
              <w:bottom w:val="nil"/>
              <w:right w:val="nil"/>
            </w:tcBorders>
            <w:shd w:val="clear" w:color="auto" w:fill="EEECE1"/>
          </w:tcPr>
          <w:p w:rsidR="00387A07" w:rsidRPr="0065313A" w:rsidRDefault="00387A07" w:rsidP="00387A07">
            <w:pPr>
              <w:rPr>
                <w:rFonts w:cs="Calibri"/>
              </w:rPr>
            </w:pPr>
            <w:r w:rsidRPr="0065313A">
              <w:rPr>
                <w:rFonts w:cs="Calibri"/>
              </w:rPr>
              <w:t>250</w:t>
            </w:r>
          </w:p>
        </w:tc>
        <w:tc>
          <w:tcPr>
            <w:tcW w:w="1666" w:type="dxa"/>
            <w:tcBorders>
              <w:top w:val="nil"/>
              <w:left w:val="nil"/>
              <w:bottom w:val="nil"/>
              <w:right w:val="nil"/>
            </w:tcBorders>
            <w:shd w:val="clear" w:color="auto" w:fill="EEECE1"/>
          </w:tcPr>
          <w:p w:rsidR="00387A07" w:rsidRPr="0065313A" w:rsidRDefault="00387A07" w:rsidP="00387A07">
            <w:pPr>
              <w:jc w:val="center"/>
              <w:rPr>
                <w:rFonts w:cs="Calibri"/>
              </w:rPr>
            </w:pPr>
            <w:r w:rsidRPr="0065313A">
              <w:rPr>
                <w:rFonts w:cs="Calibri"/>
              </w:rPr>
              <w:t>[62]</w:t>
            </w:r>
          </w:p>
        </w:tc>
      </w:tr>
      <w:tr w:rsidR="00387A07" w:rsidRPr="0065313A" w:rsidTr="00387A07">
        <w:tc>
          <w:tcPr>
            <w:tcW w:w="3794" w:type="dxa"/>
            <w:tcBorders>
              <w:top w:val="nil"/>
              <w:left w:val="nil"/>
              <w:bottom w:val="single" w:sz="4" w:space="0" w:color="auto"/>
              <w:right w:val="nil"/>
            </w:tcBorders>
            <w:shd w:val="clear" w:color="auto" w:fill="EEECE1"/>
          </w:tcPr>
          <w:p w:rsidR="00387A07" w:rsidRPr="0065313A" w:rsidRDefault="00387A07" w:rsidP="00387A07">
            <w:pPr>
              <w:rPr>
                <w:rFonts w:cs="Calibri"/>
              </w:rPr>
            </w:pPr>
            <w:r w:rsidRPr="0065313A">
              <w:rPr>
                <w:rFonts w:cs="Calibri"/>
              </w:rPr>
              <w:t>Poly(isobutylcyanoacrylate)</w:t>
            </w:r>
          </w:p>
        </w:tc>
        <w:tc>
          <w:tcPr>
            <w:tcW w:w="2693" w:type="dxa"/>
            <w:tcBorders>
              <w:top w:val="nil"/>
              <w:left w:val="nil"/>
              <w:bottom w:val="single" w:sz="4" w:space="0" w:color="000000"/>
              <w:right w:val="nil"/>
            </w:tcBorders>
            <w:shd w:val="clear" w:color="auto" w:fill="EEECE1"/>
          </w:tcPr>
          <w:p w:rsidR="00387A07" w:rsidRPr="0065313A" w:rsidRDefault="00387A07" w:rsidP="00387A07">
            <w:pPr>
              <w:rPr>
                <w:rFonts w:cs="Calibri"/>
              </w:rPr>
            </w:pPr>
            <w:r w:rsidRPr="0065313A">
              <w:rPr>
                <w:rFonts w:cs="Calibri"/>
              </w:rPr>
              <w:t>Ampicillin</w:t>
            </w:r>
          </w:p>
          <w:p w:rsidR="00387A07" w:rsidRPr="0065313A" w:rsidRDefault="00387A07" w:rsidP="00387A07">
            <w:pPr>
              <w:rPr>
                <w:rFonts w:cs="Calibri"/>
              </w:rPr>
            </w:pPr>
            <w:r w:rsidRPr="0065313A">
              <w:rPr>
                <w:rFonts w:cs="Calibri"/>
              </w:rPr>
              <w:t>Antibodies</w:t>
            </w:r>
          </w:p>
          <w:p w:rsidR="00387A07" w:rsidRPr="0065313A" w:rsidRDefault="00387A07" w:rsidP="00387A07">
            <w:pPr>
              <w:rPr>
                <w:rFonts w:cs="Calibri"/>
              </w:rPr>
            </w:pPr>
            <w:r w:rsidRPr="0065313A">
              <w:rPr>
                <w:rFonts w:cs="Calibri"/>
              </w:rPr>
              <w:t>hGFR</w:t>
            </w:r>
          </w:p>
        </w:tc>
        <w:tc>
          <w:tcPr>
            <w:tcW w:w="1701" w:type="dxa"/>
            <w:tcBorders>
              <w:top w:val="nil"/>
              <w:left w:val="nil"/>
              <w:bottom w:val="single" w:sz="4" w:space="0" w:color="000000"/>
              <w:right w:val="nil"/>
            </w:tcBorders>
            <w:shd w:val="clear" w:color="auto" w:fill="EEECE1"/>
          </w:tcPr>
          <w:p w:rsidR="00387A07" w:rsidRPr="0065313A" w:rsidRDefault="00387A07" w:rsidP="00387A07">
            <w:pPr>
              <w:rPr>
                <w:rFonts w:cs="Calibri"/>
              </w:rPr>
            </w:pPr>
            <w:r w:rsidRPr="0065313A">
              <w:rPr>
                <w:rFonts w:cs="Calibri"/>
              </w:rPr>
              <w:t>40-80</w:t>
            </w:r>
          </w:p>
          <w:p w:rsidR="00387A07" w:rsidRPr="0065313A" w:rsidRDefault="00387A07" w:rsidP="00387A07">
            <w:pPr>
              <w:rPr>
                <w:rFonts w:cs="Calibri"/>
              </w:rPr>
            </w:pPr>
            <w:r w:rsidRPr="0065313A">
              <w:rPr>
                <w:rFonts w:cs="Calibri"/>
              </w:rPr>
              <w:t>120</w:t>
            </w:r>
          </w:p>
          <w:p w:rsidR="00387A07" w:rsidRPr="0065313A" w:rsidRDefault="00387A07" w:rsidP="00387A07">
            <w:pPr>
              <w:rPr>
                <w:rFonts w:cs="Calibri"/>
              </w:rPr>
            </w:pPr>
            <w:r w:rsidRPr="0065313A">
              <w:rPr>
                <w:rFonts w:cs="Calibri"/>
              </w:rPr>
              <w:t>140-170</w:t>
            </w:r>
          </w:p>
        </w:tc>
        <w:tc>
          <w:tcPr>
            <w:tcW w:w="1666" w:type="dxa"/>
            <w:tcBorders>
              <w:top w:val="nil"/>
              <w:left w:val="nil"/>
              <w:bottom w:val="single" w:sz="4" w:space="0" w:color="000000"/>
              <w:right w:val="nil"/>
            </w:tcBorders>
            <w:shd w:val="clear" w:color="auto" w:fill="EEECE1"/>
          </w:tcPr>
          <w:p w:rsidR="00387A07" w:rsidRPr="0065313A" w:rsidRDefault="00387A07" w:rsidP="00387A07">
            <w:pPr>
              <w:jc w:val="center"/>
              <w:rPr>
                <w:rFonts w:cs="Calibri"/>
              </w:rPr>
            </w:pPr>
            <w:r w:rsidRPr="0065313A">
              <w:rPr>
                <w:rFonts w:cs="Calibri"/>
              </w:rPr>
              <w:t>[63]</w:t>
            </w:r>
          </w:p>
          <w:p w:rsidR="00387A07" w:rsidRPr="0065313A" w:rsidRDefault="00387A07" w:rsidP="00387A07">
            <w:pPr>
              <w:jc w:val="center"/>
              <w:rPr>
                <w:rFonts w:cs="Calibri"/>
              </w:rPr>
            </w:pPr>
            <w:r w:rsidRPr="0065313A">
              <w:rPr>
                <w:rFonts w:cs="Calibri"/>
              </w:rPr>
              <w:t>[64]</w:t>
            </w:r>
          </w:p>
          <w:p w:rsidR="00387A07" w:rsidRPr="0065313A" w:rsidRDefault="00387A07" w:rsidP="00387A07">
            <w:pPr>
              <w:jc w:val="center"/>
              <w:rPr>
                <w:rFonts w:cs="Calibri"/>
              </w:rPr>
            </w:pPr>
            <w:r w:rsidRPr="0065313A">
              <w:rPr>
                <w:rFonts w:cs="Calibri"/>
              </w:rPr>
              <w:t>[65]</w:t>
            </w:r>
          </w:p>
        </w:tc>
      </w:tr>
      <w:tr w:rsidR="00387A07" w:rsidRPr="0065313A" w:rsidTr="00387A07">
        <w:tc>
          <w:tcPr>
            <w:tcW w:w="3794" w:type="dxa"/>
            <w:tcBorders>
              <w:top w:val="single" w:sz="4" w:space="0" w:color="auto"/>
              <w:left w:val="nil"/>
              <w:bottom w:val="single" w:sz="4" w:space="0" w:color="auto"/>
              <w:right w:val="nil"/>
            </w:tcBorders>
            <w:shd w:val="clear" w:color="auto" w:fill="BFBFBF"/>
          </w:tcPr>
          <w:p w:rsidR="00387A07" w:rsidRPr="0065313A" w:rsidRDefault="00387A07" w:rsidP="00387A07">
            <w:pPr>
              <w:rPr>
                <w:rFonts w:cs="Calibri"/>
                <w:b/>
              </w:rPr>
            </w:pPr>
            <w:r w:rsidRPr="0065313A">
              <w:rPr>
                <w:rFonts w:cs="Calibri"/>
                <w:b/>
              </w:rPr>
              <w:t>Interfacial polymerization</w:t>
            </w:r>
          </w:p>
        </w:tc>
        <w:tc>
          <w:tcPr>
            <w:tcW w:w="2693" w:type="dxa"/>
            <w:tcBorders>
              <w:left w:val="nil"/>
              <w:bottom w:val="single" w:sz="4" w:space="0" w:color="000000"/>
              <w:right w:val="nil"/>
            </w:tcBorders>
            <w:shd w:val="clear" w:color="auto" w:fill="BFBFBF"/>
          </w:tcPr>
          <w:p w:rsidR="00387A07" w:rsidRPr="0065313A" w:rsidRDefault="00387A07" w:rsidP="00387A07">
            <w:pPr>
              <w:rPr>
                <w:rFonts w:cs="Calibri"/>
              </w:rPr>
            </w:pPr>
          </w:p>
        </w:tc>
        <w:tc>
          <w:tcPr>
            <w:tcW w:w="1701" w:type="dxa"/>
            <w:tcBorders>
              <w:left w:val="nil"/>
              <w:bottom w:val="single" w:sz="4" w:space="0" w:color="000000"/>
              <w:right w:val="nil"/>
            </w:tcBorders>
            <w:shd w:val="clear" w:color="auto" w:fill="BFBFBF"/>
          </w:tcPr>
          <w:p w:rsidR="00387A07" w:rsidRPr="0065313A" w:rsidRDefault="00387A07" w:rsidP="00387A07">
            <w:pPr>
              <w:rPr>
                <w:rFonts w:cs="Calibri"/>
              </w:rPr>
            </w:pPr>
          </w:p>
        </w:tc>
        <w:tc>
          <w:tcPr>
            <w:tcW w:w="1666" w:type="dxa"/>
            <w:tcBorders>
              <w:left w:val="nil"/>
              <w:bottom w:val="single" w:sz="4" w:space="0" w:color="000000"/>
              <w:right w:val="nil"/>
            </w:tcBorders>
            <w:shd w:val="clear" w:color="auto" w:fill="BFBFBF"/>
          </w:tcPr>
          <w:p w:rsidR="00387A07" w:rsidRPr="0065313A" w:rsidRDefault="00387A07" w:rsidP="00387A07">
            <w:pPr>
              <w:jc w:val="center"/>
              <w:rPr>
                <w:rFonts w:cs="Calibri"/>
              </w:rPr>
            </w:pPr>
          </w:p>
        </w:tc>
      </w:tr>
      <w:tr w:rsidR="00387A07" w:rsidRPr="0065313A" w:rsidTr="00387A07">
        <w:tc>
          <w:tcPr>
            <w:tcW w:w="3794" w:type="dxa"/>
            <w:tcBorders>
              <w:top w:val="single" w:sz="4" w:space="0" w:color="auto"/>
              <w:left w:val="nil"/>
              <w:bottom w:val="nil"/>
              <w:right w:val="nil"/>
            </w:tcBorders>
            <w:shd w:val="clear" w:color="auto" w:fill="BFBFBF"/>
          </w:tcPr>
          <w:p w:rsidR="00387A07" w:rsidRPr="0065313A" w:rsidRDefault="00387A07" w:rsidP="00387A07">
            <w:pPr>
              <w:rPr>
                <w:rFonts w:cs="Calibri"/>
              </w:rPr>
            </w:pPr>
            <w:r w:rsidRPr="0065313A">
              <w:rPr>
                <w:rFonts w:cs="Calibri"/>
              </w:rPr>
              <w:t>Poly(ethylcyanoacrylate)</w:t>
            </w:r>
          </w:p>
        </w:tc>
        <w:tc>
          <w:tcPr>
            <w:tcW w:w="2693" w:type="dxa"/>
            <w:tcBorders>
              <w:left w:val="nil"/>
              <w:bottom w:val="nil"/>
              <w:right w:val="nil"/>
            </w:tcBorders>
            <w:shd w:val="clear" w:color="auto" w:fill="BFBFBF"/>
          </w:tcPr>
          <w:p w:rsidR="00387A07" w:rsidRPr="0065313A" w:rsidRDefault="00387A07" w:rsidP="00387A07">
            <w:pPr>
              <w:rPr>
                <w:rFonts w:cs="Calibri"/>
              </w:rPr>
            </w:pPr>
            <w:r w:rsidRPr="0065313A">
              <w:rPr>
                <w:rFonts w:cs="Calibri"/>
              </w:rPr>
              <w:t>Insulin</w:t>
            </w:r>
          </w:p>
        </w:tc>
        <w:tc>
          <w:tcPr>
            <w:tcW w:w="1701" w:type="dxa"/>
            <w:tcBorders>
              <w:left w:val="nil"/>
              <w:bottom w:val="nil"/>
              <w:right w:val="nil"/>
            </w:tcBorders>
            <w:shd w:val="clear" w:color="auto" w:fill="BFBFBF"/>
          </w:tcPr>
          <w:p w:rsidR="00387A07" w:rsidRPr="0065313A" w:rsidRDefault="00387A07" w:rsidP="00387A07">
            <w:pPr>
              <w:rPr>
                <w:rFonts w:cs="Calibri"/>
              </w:rPr>
            </w:pPr>
            <w:r w:rsidRPr="0065313A">
              <w:rPr>
                <w:rFonts w:cs="Calibri"/>
              </w:rPr>
              <w:t>150</w:t>
            </w:r>
          </w:p>
        </w:tc>
        <w:tc>
          <w:tcPr>
            <w:tcW w:w="1666" w:type="dxa"/>
            <w:tcBorders>
              <w:left w:val="nil"/>
              <w:bottom w:val="nil"/>
              <w:right w:val="nil"/>
            </w:tcBorders>
            <w:shd w:val="clear" w:color="auto" w:fill="BFBFBF"/>
          </w:tcPr>
          <w:p w:rsidR="00387A07" w:rsidRPr="0065313A" w:rsidRDefault="00387A07" w:rsidP="00387A07">
            <w:pPr>
              <w:jc w:val="center"/>
              <w:rPr>
                <w:rFonts w:cs="Calibri"/>
              </w:rPr>
            </w:pPr>
            <w:r w:rsidRPr="0065313A">
              <w:rPr>
                <w:rFonts w:cs="Calibri"/>
              </w:rPr>
              <w:t>[66]</w:t>
            </w:r>
          </w:p>
        </w:tc>
      </w:tr>
      <w:tr w:rsidR="00387A07" w:rsidRPr="0065313A" w:rsidTr="00387A07">
        <w:tc>
          <w:tcPr>
            <w:tcW w:w="3794" w:type="dxa"/>
            <w:tcBorders>
              <w:top w:val="nil"/>
              <w:left w:val="nil"/>
              <w:bottom w:val="single" w:sz="4" w:space="0" w:color="auto"/>
              <w:right w:val="nil"/>
            </w:tcBorders>
            <w:shd w:val="clear" w:color="auto" w:fill="BFBFBF"/>
          </w:tcPr>
          <w:p w:rsidR="00387A07" w:rsidRPr="0065313A" w:rsidRDefault="00387A07" w:rsidP="00387A07">
            <w:pPr>
              <w:rPr>
                <w:rFonts w:cs="Calibri"/>
              </w:rPr>
            </w:pPr>
            <w:r w:rsidRPr="0065313A">
              <w:rPr>
                <w:rFonts w:cs="Calibri"/>
              </w:rPr>
              <w:t>Poly(isobutylcyanoacrylate)</w:t>
            </w:r>
          </w:p>
        </w:tc>
        <w:tc>
          <w:tcPr>
            <w:tcW w:w="2693" w:type="dxa"/>
            <w:tcBorders>
              <w:top w:val="nil"/>
              <w:left w:val="nil"/>
              <w:bottom w:val="single" w:sz="4" w:space="0" w:color="auto"/>
              <w:right w:val="nil"/>
            </w:tcBorders>
            <w:shd w:val="clear" w:color="auto" w:fill="BFBFBF"/>
          </w:tcPr>
          <w:p w:rsidR="00387A07" w:rsidRPr="0065313A" w:rsidRDefault="00387A07" w:rsidP="00387A07">
            <w:pPr>
              <w:rPr>
                <w:rFonts w:cs="Calibri"/>
              </w:rPr>
            </w:pPr>
            <w:r w:rsidRPr="0065313A">
              <w:rPr>
                <w:rFonts w:cs="Calibri"/>
              </w:rPr>
              <w:t>Indomethacin</w:t>
            </w:r>
          </w:p>
          <w:p w:rsidR="00387A07" w:rsidRPr="0065313A" w:rsidRDefault="00387A07" w:rsidP="00387A07">
            <w:pPr>
              <w:rPr>
                <w:rFonts w:cs="Calibri"/>
              </w:rPr>
            </w:pPr>
            <w:r w:rsidRPr="0065313A">
              <w:rPr>
                <w:rFonts w:cs="Calibri"/>
              </w:rPr>
              <w:t>Insulin</w:t>
            </w:r>
          </w:p>
          <w:p w:rsidR="00387A07" w:rsidRPr="0065313A" w:rsidRDefault="00387A07" w:rsidP="00387A07">
            <w:pPr>
              <w:rPr>
                <w:rFonts w:cs="Calibri"/>
              </w:rPr>
            </w:pPr>
            <w:r w:rsidRPr="0065313A">
              <w:rPr>
                <w:rFonts w:cs="Calibri"/>
              </w:rPr>
              <w:t>Calcitonin</w:t>
            </w:r>
          </w:p>
        </w:tc>
        <w:tc>
          <w:tcPr>
            <w:tcW w:w="1701" w:type="dxa"/>
            <w:tcBorders>
              <w:top w:val="nil"/>
              <w:left w:val="nil"/>
              <w:bottom w:val="single" w:sz="4" w:space="0" w:color="auto"/>
              <w:right w:val="nil"/>
            </w:tcBorders>
            <w:shd w:val="clear" w:color="auto" w:fill="BFBFBF"/>
          </w:tcPr>
          <w:p w:rsidR="00387A07" w:rsidRPr="0065313A" w:rsidRDefault="00387A07" w:rsidP="00387A07">
            <w:pPr>
              <w:rPr>
                <w:rFonts w:cs="Calibri"/>
              </w:rPr>
            </w:pPr>
            <w:r w:rsidRPr="0065313A">
              <w:rPr>
                <w:rFonts w:cs="Calibri"/>
              </w:rPr>
              <w:t>220-240</w:t>
            </w:r>
          </w:p>
          <w:p w:rsidR="00387A07" w:rsidRPr="0065313A" w:rsidRDefault="00387A07" w:rsidP="00387A07">
            <w:pPr>
              <w:rPr>
                <w:rFonts w:cs="Calibri"/>
              </w:rPr>
            </w:pPr>
            <w:r w:rsidRPr="0065313A">
              <w:rPr>
                <w:rFonts w:cs="Calibri"/>
              </w:rPr>
              <w:t>150-300</w:t>
            </w:r>
          </w:p>
          <w:p w:rsidR="00387A07" w:rsidRPr="0065313A" w:rsidRDefault="00387A07" w:rsidP="00387A07">
            <w:pPr>
              <w:rPr>
                <w:rFonts w:cs="Calibri"/>
              </w:rPr>
            </w:pPr>
            <w:r w:rsidRPr="0065313A">
              <w:rPr>
                <w:rFonts w:cs="Calibri"/>
              </w:rPr>
              <w:t>&lt;1000</w:t>
            </w:r>
          </w:p>
        </w:tc>
        <w:tc>
          <w:tcPr>
            <w:tcW w:w="1666" w:type="dxa"/>
            <w:tcBorders>
              <w:top w:val="nil"/>
              <w:left w:val="nil"/>
              <w:bottom w:val="single" w:sz="4" w:space="0" w:color="auto"/>
              <w:right w:val="nil"/>
            </w:tcBorders>
            <w:shd w:val="clear" w:color="auto" w:fill="BFBFBF"/>
          </w:tcPr>
          <w:p w:rsidR="00387A07" w:rsidRPr="0065313A" w:rsidRDefault="00387A07" w:rsidP="00387A07">
            <w:pPr>
              <w:jc w:val="center"/>
              <w:rPr>
                <w:rFonts w:cs="Calibri"/>
              </w:rPr>
            </w:pPr>
            <w:r w:rsidRPr="0065313A">
              <w:rPr>
                <w:rFonts w:cs="Calibri"/>
              </w:rPr>
              <w:t>[67]</w:t>
            </w:r>
          </w:p>
          <w:p w:rsidR="00387A07" w:rsidRPr="0065313A" w:rsidRDefault="00387A07" w:rsidP="00387A07">
            <w:pPr>
              <w:jc w:val="center"/>
              <w:rPr>
                <w:rFonts w:cs="Calibri"/>
              </w:rPr>
            </w:pPr>
            <w:r w:rsidRPr="0065313A">
              <w:rPr>
                <w:rFonts w:cs="Calibri"/>
              </w:rPr>
              <w:t>[68]</w:t>
            </w:r>
          </w:p>
          <w:p w:rsidR="00387A07" w:rsidRPr="0065313A" w:rsidRDefault="00387A07" w:rsidP="00387A07">
            <w:pPr>
              <w:jc w:val="center"/>
              <w:rPr>
                <w:rFonts w:cs="Calibri"/>
              </w:rPr>
            </w:pPr>
            <w:r w:rsidRPr="0065313A">
              <w:rPr>
                <w:rFonts w:cs="Calibri"/>
              </w:rPr>
              <w:t>[69]</w:t>
            </w:r>
          </w:p>
        </w:tc>
      </w:tr>
    </w:tbl>
    <w:p w:rsidR="00387A07" w:rsidRPr="0065313A" w:rsidRDefault="00387A07" w:rsidP="00387A07">
      <w:pPr>
        <w:pStyle w:val="Didascalia"/>
        <w:spacing w:before="120"/>
        <w:rPr>
          <w:rFonts w:ascii="Arial" w:hAnsi="Arial" w:cs="Arial"/>
          <w:sz w:val="24"/>
          <w:szCs w:val="24"/>
          <w:lang w:val="en-US"/>
        </w:rPr>
      </w:pPr>
      <w:r w:rsidRPr="0065313A">
        <w:t xml:space="preserve">Table 1. </w:t>
      </w:r>
      <w:fldSimple w:instr=" SEQ Table_1. \* ARABIC ">
        <w:r w:rsidRPr="0065313A">
          <w:rPr>
            <w:noProof/>
          </w:rPr>
          <w:t>2</w:t>
        </w:r>
      </w:fldSimple>
      <w:r w:rsidRPr="0065313A">
        <w:t xml:space="preserve"> Drug-nanoformulations prepared by polymerization of monomers.</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1.3.2 Particles prepared from preformed polymers</w:t>
      </w:r>
    </w:p>
    <w:p w:rsidR="00387A07"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Most of the monomers suitable for nanoparticles preparation involving in situ polymerization, lead to slowly biodegradable or non biodegradable polymers. In addition, residual molecules in the polymerization medium can be toxic, thus extensive washing and purification steps are needed. To avoid these limitations methods starting from preformed polymers instead of monomers have been proposed.</w:t>
      </w:r>
    </w:p>
    <w:p w:rsidR="00387A07" w:rsidRPr="0065313A" w:rsidRDefault="00387A07" w:rsidP="00387A07">
      <w:pPr>
        <w:spacing w:after="0" w:line="360" w:lineRule="auto"/>
        <w:jc w:val="both"/>
        <w:rPr>
          <w:rFonts w:ascii="Arial" w:hAnsi="Arial" w:cs="Arial"/>
          <w:sz w:val="24"/>
          <w:szCs w:val="24"/>
          <w:lang w:val="en-US"/>
        </w:rPr>
      </w:pP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1.3.2.1 Emulsification Solvent evaporation form single Oil-in-Water emulsion</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Solvent evaporation was the first developed method to prepare nanoparticles from preformed polymers [70] and is the most widely employed technique in the literature.</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These method utilizes high-speed homogenization or ultrasonication followed by solvent evaporation either by continuous stirring or under reduced pressure.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Nanospheres preparation involves four major steps, as represented in figure 1.5 [71]. During the first step, the polymer is dissolved in an organic solvent, like dichlorometane (DCM), chloroform or ethyl acetate. The drug (generally lypophilic) is dissolved or dispersed into the preformed polymer solution. </w:t>
      </w:r>
    </w:p>
    <w:p w:rsidR="00387A07" w:rsidRPr="0065313A" w:rsidRDefault="00387A07" w:rsidP="00387A07">
      <w:pPr>
        <w:spacing w:after="0" w:line="360" w:lineRule="auto"/>
        <w:jc w:val="center"/>
        <w:rPr>
          <w:rFonts w:ascii="Arial" w:hAnsi="Arial" w:cs="Arial"/>
          <w:sz w:val="24"/>
          <w:szCs w:val="24"/>
          <w:lang w:val="en-US"/>
        </w:rPr>
      </w:pPr>
      <w:r w:rsidRPr="0065313A">
        <w:rPr>
          <w:rFonts w:ascii="Arial" w:hAnsi="Arial" w:cs="Arial"/>
          <w:noProof/>
          <w:sz w:val="24"/>
          <w:szCs w:val="24"/>
          <w:lang w:val="it-IT" w:eastAsia="it-IT"/>
        </w:rPr>
        <w:drawing>
          <wp:inline distT="0" distB="0" distL="0" distR="0">
            <wp:extent cx="3600450" cy="2971800"/>
            <wp:effectExtent l="19050" t="19050" r="19050" b="19050"/>
            <wp:docPr id="4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3600450" cy="2971800"/>
                    </a:xfrm>
                    <a:prstGeom prst="rect">
                      <a:avLst/>
                    </a:prstGeom>
                    <a:noFill/>
                    <a:ln w="19050" cmpd="sng">
                      <a:solidFill>
                        <a:srgbClr val="000000"/>
                      </a:solidFill>
                      <a:miter lim="800000"/>
                      <a:headEnd/>
                      <a:tailEnd/>
                    </a:ln>
                    <a:effectLst/>
                  </pic:spPr>
                </pic:pic>
              </a:graphicData>
            </a:graphic>
          </wp:inline>
        </w:drawing>
      </w:r>
    </w:p>
    <w:p w:rsidR="00387A07" w:rsidRPr="0065313A" w:rsidRDefault="00387A07" w:rsidP="00387A07">
      <w:pPr>
        <w:pStyle w:val="Didascalia"/>
        <w:rPr>
          <w:rFonts w:ascii="Arial" w:hAnsi="Arial" w:cs="Arial"/>
          <w:sz w:val="24"/>
          <w:szCs w:val="24"/>
          <w:lang w:val="en-US"/>
        </w:rPr>
      </w:pPr>
      <w:r w:rsidRPr="0065313A">
        <w:t xml:space="preserve">Figure 1. </w:t>
      </w:r>
      <w:fldSimple w:instr=" SEQ Figure_1. \* ARABIC ">
        <w:r w:rsidRPr="0065313A">
          <w:rPr>
            <w:noProof/>
          </w:rPr>
          <w:t>5</w:t>
        </w:r>
      </w:fldSimple>
      <w:r w:rsidRPr="0065313A">
        <w:t xml:space="preserve"> Schematic representation of the Single Emulsion Solvent Evaporation method [71]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This mixture is then emulsified using a dispersing agent and high energy homogenization, into an external solution immiscible with the first one (generally water) to make an oil in water (O/W) emulsion.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During the third step the polymer precipitates in the form of nanospheres in which the drug is finely dispersed inside the polymer matrix. The solvent is subsequently evaporated by increasing the temperature, reducing the pressure or by continuous stirring.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last phase consists in the harvesting and washing of nanospheres, generally by selective centrifugation or dialysis.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size can be controlled by adjusting the stirring rate, type and amount of dispersing agent, viscosity of organic and aqueous solutions and temperature [72,73].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 xml:space="preserve">Generally an increase in the emulsifier concentration results in a decrease in particles size while the homogenization speed and the evaporation rate only slightly influence the nanoparticles size [74].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In the past dichloromethane and chloroform were widely used but are now replaced by ethyl acetate which has a better toxicological profile [10].</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Different emulsions can be prepared, though oil in water emulsions are the most common, since the use of water highly simplifies the washing and purification process, reducing the risk of aggregation. This method is suitable only for lypophilic drugs and limitations are imposed by scale up and high energy requirements in homogenization [75].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This method is frequently applied for biodegradable polyesters, like </w:t>
      </w:r>
      <w:r w:rsidRPr="0065313A">
        <w:rPr>
          <w:rFonts w:ascii="Arial" w:hAnsi="Arial" w:cs="Arial"/>
          <w:color w:val="000000"/>
          <w:sz w:val="24"/>
          <w:szCs w:val="24"/>
          <w:lang w:val="en-US"/>
        </w:rPr>
        <w:t>poly(D,L-lactide)</w:t>
      </w:r>
      <w:r w:rsidRPr="0065313A">
        <w:rPr>
          <w:rFonts w:ascii="Arial" w:hAnsi="Arial" w:cs="Arial"/>
          <w:sz w:val="24"/>
          <w:szCs w:val="24"/>
          <w:lang w:val="en-US"/>
        </w:rPr>
        <w:t xml:space="preserve"> PLA [76], </w:t>
      </w:r>
      <w:r w:rsidRPr="0065313A">
        <w:rPr>
          <w:rFonts w:ascii="Arial" w:hAnsi="Arial" w:cs="Arial"/>
          <w:color w:val="000000"/>
          <w:sz w:val="24"/>
          <w:szCs w:val="24"/>
          <w:lang w:val="en-US"/>
        </w:rPr>
        <w:t>poly(ε-caprolactone) (</w:t>
      </w:r>
      <w:r w:rsidRPr="0065313A">
        <w:rPr>
          <w:rFonts w:ascii="Arial" w:hAnsi="Arial" w:cs="Arial"/>
          <w:sz w:val="24"/>
          <w:szCs w:val="24"/>
          <w:lang w:val="en-US"/>
        </w:rPr>
        <w:t xml:space="preserve">PCL) [77] and </w:t>
      </w:r>
      <w:r w:rsidRPr="0065313A">
        <w:rPr>
          <w:rFonts w:ascii="Arial" w:hAnsi="Arial" w:cs="Arial"/>
          <w:color w:val="000000"/>
          <w:sz w:val="24"/>
          <w:szCs w:val="24"/>
          <w:lang w:val="en-US"/>
        </w:rPr>
        <w:t xml:space="preserve">poly(lactide-co-glycolide) </w:t>
      </w:r>
      <w:r w:rsidRPr="0065313A">
        <w:rPr>
          <w:rFonts w:ascii="Arial" w:hAnsi="Arial" w:cs="Arial"/>
          <w:sz w:val="24"/>
          <w:szCs w:val="24"/>
          <w:lang w:val="en-US"/>
        </w:rPr>
        <w:t>PLGA [78] and has been successfully proposed for the encapsulation of different active principles like Indomethacin, albumin, loperamide and testosterone [79-80] [75]</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1.3.2.2 Water in Oil in Water (W/O/W) Double emulsion solvent evaporation method.</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color w:val="000000"/>
          <w:sz w:val="24"/>
          <w:szCs w:val="24"/>
          <w:lang w:val="en-US"/>
        </w:rPr>
        <w:t xml:space="preserve">The W/O/W double emulsion methods have been most widely used because of their relatively simple process, convenience in controlling process parameters, and ability to produce small and mono-disperse particles with inexpensive equipment </w:t>
      </w:r>
      <w:r w:rsidRPr="0065313A">
        <w:rPr>
          <w:rFonts w:ascii="Arial" w:hAnsi="Arial" w:cs="Arial"/>
          <w:color w:val="0000FF"/>
          <w:sz w:val="24"/>
          <w:szCs w:val="24"/>
          <w:lang w:val="en-US"/>
        </w:rPr>
        <w:t>[</w:t>
      </w:r>
      <w:r w:rsidRPr="0065313A">
        <w:rPr>
          <w:rFonts w:ascii="Arial" w:hAnsi="Arial" w:cs="Arial"/>
          <w:sz w:val="24"/>
          <w:szCs w:val="24"/>
          <w:lang w:val="en-US"/>
        </w:rPr>
        <w:t>81,82</w:t>
      </w:r>
      <w:r w:rsidRPr="0065313A">
        <w:rPr>
          <w:rFonts w:ascii="Arial" w:hAnsi="Arial" w:cs="Arial"/>
          <w:color w:val="0000FF"/>
          <w:sz w:val="24"/>
          <w:szCs w:val="24"/>
          <w:lang w:val="en-US"/>
        </w:rPr>
        <w:t>]</w:t>
      </w:r>
      <w:r w:rsidRPr="0065313A">
        <w:rPr>
          <w:rFonts w:ascii="Arial" w:hAnsi="Arial" w:cs="Arial"/>
          <w:color w:val="000000"/>
          <w:sz w:val="24"/>
          <w:szCs w:val="24"/>
          <w:lang w:val="en-US"/>
        </w:rPr>
        <w:t>.</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double emulsion method was first developed by</w:t>
      </w:r>
      <w:r w:rsidRPr="0065313A">
        <w:rPr>
          <w:rFonts w:ascii="Arial" w:hAnsi="Arial" w:cs="Arial"/>
          <w:b/>
          <w:sz w:val="24"/>
          <w:szCs w:val="24"/>
          <w:lang w:val="en-US"/>
        </w:rPr>
        <w:t xml:space="preserve"> </w:t>
      </w:r>
      <w:r w:rsidRPr="0065313A">
        <w:rPr>
          <w:rFonts w:ascii="Arial" w:hAnsi="Arial" w:cs="Arial"/>
          <w:sz w:val="24"/>
          <w:szCs w:val="24"/>
          <w:lang w:val="en-US"/>
        </w:rPr>
        <w:t>the industrial group</w:t>
      </w:r>
      <w:r w:rsidRPr="0065313A">
        <w:rPr>
          <w:rFonts w:ascii="Arial" w:hAnsi="Arial" w:cs="Arial"/>
          <w:b/>
          <w:sz w:val="24"/>
          <w:szCs w:val="24"/>
          <w:lang w:val="en-US"/>
        </w:rPr>
        <w:t xml:space="preserve"> </w:t>
      </w:r>
      <w:r w:rsidRPr="0065313A">
        <w:rPr>
          <w:rFonts w:ascii="Arial" w:hAnsi="Arial" w:cs="Arial"/>
          <w:sz w:val="24"/>
          <w:szCs w:val="24"/>
          <w:lang w:val="en-US"/>
        </w:rPr>
        <w:t>of Takeda Chemical Industries [83-85] for the encapsulation of hydrophilic substances, such as peptides or other biomolecules, for which the single emulsion method is not suitable.</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During manufacturing, in order to avoid denaturation or aggregation, these molecules must not be subjected to excessive exposure to heat, shear forces or extreme pH variations [86].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multiple Emulsion Solvent Evaporation method consists in dissolving the drug in distilled water or in a buffer solution containing a surfactant, called the inner phase, while the polymer is dissolved in a proper organic solvent.</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inner water phase is then poured into the second organic phase and emulsified, to form a primary water-in-oil emulsion. This first emulsion is then poured under vigorous mixing into an aqueous solution of the emulsifier (external aqueous phase), to form a secondary water-in-oil-in-water emulsion.</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This double emulsion is then kept under constant stirring until solvent evaporation is achieved and solid drug loaded particles are formed [87]. </w:t>
      </w:r>
    </w:p>
    <w:p w:rsidR="00387A07" w:rsidRPr="0065313A" w:rsidRDefault="00387A07" w:rsidP="00387A07">
      <w:pPr>
        <w:spacing w:after="0" w:line="360" w:lineRule="auto"/>
        <w:jc w:val="center"/>
        <w:rPr>
          <w:rFonts w:ascii="Arial" w:hAnsi="Arial" w:cs="Arial"/>
          <w:sz w:val="24"/>
          <w:szCs w:val="24"/>
          <w:lang w:val="en-US"/>
        </w:rPr>
      </w:pPr>
      <w:r w:rsidRPr="0065313A">
        <w:rPr>
          <w:rFonts w:ascii="Arial" w:hAnsi="Arial" w:cs="Arial"/>
          <w:noProof/>
          <w:sz w:val="24"/>
          <w:szCs w:val="24"/>
          <w:lang w:val="it-IT" w:eastAsia="it-IT"/>
        </w:rPr>
        <w:lastRenderedPageBreak/>
        <w:drawing>
          <wp:inline distT="0" distB="0" distL="0" distR="0">
            <wp:extent cx="4533900" cy="1933575"/>
            <wp:effectExtent l="0" t="0" r="0" b="0"/>
            <wp:docPr id="39" name="Immagine 2" descr="DOUBLE EMUL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DOUBLE EMULSION.png"/>
                    <pic:cNvPicPr>
                      <a:picLocks noChangeAspect="1" noChangeArrowheads="1"/>
                    </pic:cNvPicPr>
                  </pic:nvPicPr>
                  <pic:blipFill>
                    <a:blip r:embed="rId15"/>
                    <a:srcRect/>
                    <a:stretch>
                      <a:fillRect/>
                    </a:stretch>
                  </pic:blipFill>
                  <pic:spPr bwMode="auto">
                    <a:xfrm>
                      <a:off x="0" y="0"/>
                      <a:ext cx="4533900" cy="1933575"/>
                    </a:xfrm>
                    <a:prstGeom prst="rect">
                      <a:avLst/>
                    </a:prstGeom>
                    <a:noFill/>
                    <a:ln w="9525">
                      <a:noFill/>
                      <a:miter lim="800000"/>
                      <a:headEnd/>
                      <a:tailEnd/>
                    </a:ln>
                  </pic:spPr>
                </pic:pic>
              </a:graphicData>
            </a:graphic>
          </wp:inline>
        </w:drawing>
      </w:r>
    </w:p>
    <w:p w:rsidR="00387A07" w:rsidRPr="0065313A" w:rsidRDefault="00387A07" w:rsidP="00387A07">
      <w:pPr>
        <w:pStyle w:val="Didascalia"/>
        <w:rPr>
          <w:rFonts w:ascii="Arial" w:hAnsi="Arial" w:cs="Arial"/>
          <w:sz w:val="24"/>
          <w:szCs w:val="24"/>
          <w:lang w:val="en-US"/>
        </w:rPr>
      </w:pPr>
      <w:r w:rsidRPr="0065313A">
        <w:t xml:space="preserve">Figure 1. </w:t>
      </w:r>
      <w:fldSimple w:instr=" SEQ Figure_1. \* ARABIC ">
        <w:r w:rsidRPr="0065313A">
          <w:rPr>
            <w:noProof/>
          </w:rPr>
          <w:t>6</w:t>
        </w:r>
      </w:fldSimple>
      <w:r w:rsidRPr="0065313A">
        <w:t xml:space="preserve"> schematic representation of the W/O/W double emulsion method.</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Important parameters are the duration and preparation of the emulsification steps, the polymer concentration, the solvent used and the amount and type of emulsifier used [</w:t>
      </w:r>
      <w:r w:rsidRPr="0065313A">
        <w:rPr>
          <w:rFonts w:ascii="Arial" w:hAnsi="Arial" w:cs="Arial"/>
          <w:iCs/>
          <w:sz w:val="24"/>
          <w:szCs w:val="24"/>
          <w:lang w:val="en-US"/>
        </w:rPr>
        <w:t>88</w:t>
      </w:r>
      <w:r w:rsidRPr="0065313A">
        <w:rPr>
          <w:rFonts w:ascii="Arial" w:hAnsi="Arial" w:cs="Arial"/>
          <w:sz w:val="24"/>
          <w:szCs w:val="24"/>
          <w:lang w:val="en-US"/>
        </w:rPr>
        <w:t>].</w:t>
      </w:r>
    </w:p>
    <w:p w:rsidR="00387A07" w:rsidRPr="0065313A" w:rsidRDefault="00387A07" w:rsidP="00387A07">
      <w:pPr>
        <w:spacing w:after="120" w:line="360" w:lineRule="auto"/>
        <w:jc w:val="both"/>
        <w:rPr>
          <w:rFonts w:ascii="Arial" w:hAnsi="Arial" w:cs="Arial"/>
          <w:b/>
          <w:sz w:val="24"/>
          <w:szCs w:val="24"/>
          <w:lang w:val="en-US"/>
        </w:rPr>
      </w:pPr>
      <w:r w:rsidRPr="0065313A">
        <w:rPr>
          <w:rFonts w:ascii="Arial" w:hAnsi="Arial" w:cs="Arial"/>
          <w:sz w:val="24"/>
          <w:szCs w:val="24"/>
          <w:lang w:val="en-US"/>
        </w:rPr>
        <w:t>Generally the most used emulsifier is Polyvinylalcohol (PVA) and its concentration in the internal phase is the most important parameter affecting particles size, while PVA concentration in the external aqueous phase and the homogenizer speed only slightly influence the particles size [89].</w:t>
      </w:r>
    </w:p>
    <w:tbl>
      <w:tblPr>
        <w:tblW w:w="0" w:type="auto"/>
        <w:jc w:val="center"/>
        <w:tblInd w:w="-157" w:type="dxa"/>
        <w:tblBorders>
          <w:top w:val="single" w:sz="4" w:space="0" w:color="auto"/>
          <w:left w:val="single" w:sz="4" w:space="0" w:color="auto"/>
          <w:bottom w:val="single" w:sz="4" w:space="0" w:color="auto"/>
          <w:right w:val="single" w:sz="4" w:space="0" w:color="auto"/>
        </w:tblBorders>
        <w:tblLayout w:type="fixed"/>
        <w:tblLook w:val="00A0"/>
      </w:tblPr>
      <w:tblGrid>
        <w:gridCol w:w="1134"/>
        <w:gridCol w:w="1825"/>
        <w:gridCol w:w="1701"/>
        <w:gridCol w:w="1559"/>
        <w:gridCol w:w="1417"/>
        <w:gridCol w:w="993"/>
      </w:tblGrid>
      <w:tr w:rsidR="00387A07" w:rsidRPr="0065313A" w:rsidTr="00387A07">
        <w:trPr>
          <w:jc w:val="center"/>
        </w:trPr>
        <w:tc>
          <w:tcPr>
            <w:tcW w:w="1134"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Polymer</w:t>
            </w:r>
          </w:p>
        </w:tc>
        <w:tc>
          <w:tcPr>
            <w:tcW w:w="1825"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Organic solvent</w:t>
            </w:r>
          </w:p>
        </w:tc>
        <w:tc>
          <w:tcPr>
            <w:tcW w:w="1701"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Stabilizer</w:t>
            </w:r>
          </w:p>
        </w:tc>
        <w:tc>
          <w:tcPr>
            <w:tcW w:w="1559"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Emulsion type</w:t>
            </w:r>
          </w:p>
        </w:tc>
        <w:tc>
          <w:tcPr>
            <w:tcW w:w="1417"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Particles size (nm)</w:t>
            </w:r>
          </w:p>
        </w:tc>
        <w:tc>
          <w:tcPr>
            <w:tcW w:w="993" w:type="dxa"/>
            <w:tcBorders>
              <w:top w:val="single" w:sz="4" w:space="0" w:color="auto"/>
              <w:left w:val="nil"/>
              <w:bottom w:val="single" w:sz="4" w:space="0" w:color="auto"/>
              <w:right w:val="nil"/>
            </w:tcBorders>
            <w:shd w:val="clear" w:color="auto" w:fill="F2F2F2"/>
          </w:tcPr>
          <w:p w:rsidR="00387A07" w:rsidRPr="0065313A" w:rsidRDefault="00387A07" w:rsidP="00387A07">
            <w:pPr>
              <w:rPr>
                <w:rFonts w:cs="Calibri"/>
                <w:b/>
              </w:rPr>
            </w:pPr>
            <w:r w:rsidRPr="0065313A">
              <w:rPr>
                <w:rFonts w:cs="Calibri"/>
                <w:b/>
              </w:rPr>
              <w:t>Ref</w:t>
            </w:r>
          </w:p>
        </w:tc>
      </w:tr>
      <w:tr w:rsidR="00387A07" w:rsidRPr="0065313A" w:rsidTr="00387A07">
        <w:trPr>
          <w:jc w:val="center"/>
        </w:trPr>
        <w:tc>
          <w:tcPr>
            <w:tcW w:w="1134" w:type="dxa"/>
            <w:tcBorders>
              <w:top w:val="single" w:sz="4" w:space="0" w:color="auto"/>
              <w:left w:val="nil"/>
            </w:tcBorders>
            <w:shd w:val="clear" w:color="auto" w:fill="F2F2F2"/>
          </w:tcPr>
          <w:p w:rsidR="00387A07" w:rsidRPr="0065313A" w:rsidRDefault="00387A07" w:rsidP="00387A07">
            <w:pPr>
              <w:rPr>
                <w:rFonts w:cs="Calibri"/>
              </w:rPr>
            </w:pPr>
            <w:r w:rsidRPr="0065313A">
              <w:rPr>
                <w:rFonts w:cs="Calibri"/>
              </w:rPr>
              <w:t>PLGA</w:t>
            </w:r>
          </w:p>
        </w:tc>
        <w:tc>
          <w:tcPr>
            <w:tcW w:w="1825" w:type="dxa"/>
            <w:tcBorders>
              <w:top w:val="single" w:sz="4" w:space="0" w:color="auto"/>
            </w:tcBorders>
            <w:shd w:val="clear" w:color="auto" w:fill="F2F2F2"/>
          </w:tcPr>
          <w:p w:rsidR="00387A07" w:rsidRPr="0065313A" w:rsidRDefault="00387A07" w:rsidP="00387A07">
            <w:pPr>
              <w:rPr>
                <w:rFonts w:cs="Calibri"/>
              </w:rPr>
            </w:pPr>
            <w:r w:rsidRPr="0065313A">
              <w:rPr>
                <w:rFonts w:cs="Calibri"/>
              </w:rPr>
              <w:t>Dichloromethane/acetone</w:t>
            </w:r>
          </w:p>
        </w:tc>
        <w:tc>
          <w:tcPr>
            <w:tcW w:w="1701" w:type="dxa"/>
            <w:tcBorders>
              <w:top w:val="single" w:sz="4" w:space="0" w:color="auto"/>
            </w:tcBorders>
            <w:shd w:val="clear" w:color="auto" w:fill="F2F2F2"/>
          </w:tcPr>
          <w:p w:rsidR="00387A07" w:rsidRPr="0065313A" w:rsidRDefault="00387A07" w:rsidP="00387A07">
            <w:pPr>
              <w:rPr>
                <w:rFonts w:cs="Calibri"/>
              </w:rPr>
            </w:pPr>
            <w:r w:rsidRPr="0065313A">
              <w:rPr>
                <w:rFonts w:cs="Calibri"/>
              </w:rPr>
              <w:t>PVA</w:t>
            </w:r>
          </w:p>
        </w:tc>
        <w:tc>
          <w:tcPr>
            <w:tcW w:w="1559" w:type="dxa"/>
            <w:tcBorders>
              <w:top w:val="single" w:sz="4" w:space="0" w:color="auto"/>
            </w:tcBorders>
            <w:shd w:val="clear" w:color="auto" w:fill="F2F2F2"/>
          </w:tcPr>
          <w:p w:rsidR="00387A07" w:rsidRPr="0065313A" w:rsidRDefault="00387A07" w:rsidP="00387A07">
            <w:pPr>
              <w:rPr>
                <w:rFonts w:cs="Calibri"/>
              </w:rPr>
            </w:pPr>
            <w:r w:rsidRPr="0065313A">
              <w:rPr>
                <w:rFonts w:cs="Calibri"/>
              </w:rPr>
              <w:t>O/W</w:t>
            </w:r>
          </w:p>
        </w:tc>
        <w:tc>
          <w:tcPr>
            <w:tcW w:w="1417" w:type="dxa"/>
            <w:tcBorders>
              <w:top w:val="single" w:sz="4" w:space="0" w:color="auto"/>
            </w:tcBorders>
            <w:shd w:val="clear" w:color="auto" w:fill="F2F2F2"/>
          </w:tcPr>
          <w:p w:rsidR="00387A07" w:rsidRPr="0065313A" w:rsidRDefault="00387A07" w:rsidP="00387A07">
            <w:pPr>
              <w:rPr>
                <w:rFonts w:cs="Calibri"/>
              </w:rPr>
            </w:pPr>
            <w:r w:rsidRPr="0065313A">
              <w:rPr>
                <w:rFonts w:cs="Calibri"/>
              </w:rPr>
              <w:t>60-200</w:t>
            </w:r>
          </w:p>
        </w:tc>
        <w:tc>
          <w:tcPr>
            <w:tcW w:w="993" w:type="dxa"/>
            <w:tcBorders>
              <w:top w:val="single" w:sz="4" w:space="0" w:color="auto"/>
              <w:bottom w:val="nil"/>
              <w:right w:val="nil"/>
            </w:tcBorders>
            <w:shd w:val="clear" w:color="auto" w:fill="F2F2F2"/>
          </w:tcPr>
          <w:p w:rsidR="00387A07" w:rsidRPr="0065313A" w:rsidRDefault="00387A07" w:rsidP="00387A07">
            <w:pPr>
              <w:rPr>
                <w:rFonts w:cs="Calibri"/>
              </w:rPr>
            </w:pPr>
            <w:r w:rsidRPr="0065313A">
              <w:rPr>
                <w:rFonts w:cs="Calibri"/>
              </w:rPr>
              <w:t>[90]</w:t>
            </w:r>
          </w:p>
        </w:tc>
      </w:tr>
      <w:tr w:rsidR="00387A07" w:rsidRPr="0065313A" w:rsidTr="00387A07">
        <w:trPr>
          <w:jc w:val="center"/>
        </w:trPr>
        <w:tc>
          <w:tcPr>
            <w:tcW w:w="1134" w:type="dxa"/>
            <w:tcBorders>
              <w:left w:val="nil"/>
            </w:tcBorders>
            <w:shd w:val="clear" w:color="auto" w:fill="F2F2F2"/>
          </w:tcPr>
          <w:p w:rsidR="00387A07" w:rsidRPr="0065313A" w:rsidRDefault="00387A07" w:rsidP="00387A07">
            <w:pPr>
              <w:rPr>
                <w:rFonts w:cs="Calibri"/>
              </w:rPr>
            </w:pPr>
            <w:r w:rsidRPr="0065313A">
              <w:rPr>
                <w:rFonts w:cs="Calibri"/>
              </w:rPr>
              <w:t>PLGA</w:t>
            </w:r>
          </w:p>
        </w:tc>
        <w:tc>
          <w:tcPr>
            <w:tcW w:w="1825" w:type="dxa"/>
            <w:shd w:val="clear" w:color="auto" w:fill="F2F2F2"/>
          </w:tcPr>
          <w:p w:rsidR="00387A07" w:rsidRPr="0065313A" w:rsidRDefault="00387A07" w:rsidP="00387A07">
            <w:pPr>
              <w:rPr>
                <w:rFonts w:cs="Calibri"/>
              </w:rPr>
            </w:pPr>
            <w:r w:rsidRPr="0065313A">
              <w:rPr>
                <w:rFonts w:cs="Calibri"/>
              </w:rPr>
              <w:t>Dichloromethane</w:t>
            </w:r>
          </w:p>
        </w:tc>
        <w:tc>
          <w:tcPr>
            <w:tcW w:w="1701" w:type="dxa"/>
            <w:shd w:val="clear" w:color="auto" w:fill="F2F2F2"/>
          </w:tcPr>
          <w:p w:rsidR="00387A07" w:rsidRPr="0065313A" w:rsidRDefault="00387A07" w:rsidP="00387A07">
            <w:pPr>
              <w:rPr>
                <w:rFonts w:cs="Calibri"/>
              </w:rPr>
            </w:pPr>
            <w:r w:rsidRPr="0065313A">
              <w:rPr>
                <w:rFonts w:cs="Calibri"/>
              </w:rPr>
              <w:t>Span 40</w:t>
            </w:r>
          </w:p>
        </w:tc>
        <w:tc>
          <w:tcPr>
            <w:tcW w:w="1559" w:type="dxa"/>
            <w:shd w:val="clear" w:color="auto" w:fill="F2F2F2"/>
          </w:tcPr>
          <w:p w:rsidR="00387A07" w:rsidRPr="0065313A" w:rsidRDefault="00387A07" w:rsidP="00387A07">
            <w:pPr>
              <w:rPr>
                <w:rFonts w:cs="Calibri"/>
              </w:rPr>
            </w:pPr>
            <w:r w:rsidRPr="0065313A">
              <w:rPr>
                <w:rFonts w:cs="Calibri"/>
              </w:rPr>
              <w:t>W/O/W</w:t>
            </w:r>
          </w:p>
        </w:tc>
        <w:tc>
          <w:tcPr>
            <w:tcW w:w="1417" w:type="dxa"/>
            <w:shd w:val="clear" w:color="auto" w:fill="F2F2F2"/>
          </w:tcPr>
          <w:p w:rsidR="00387A07" w:rsidRPr="0065313A" w:rsidRDefault="00387A07" w:rsidP="00387A07">
            <w:pPr>
              <w:rPr>
                <w:rFonts w:cs="Calibri"/>
              </w:rPr>
            </w:pPr>
            <w:r w:rsidRPr="0065313A">
              <w:rPr>
                <w:rFonts w:cs="Calibri"/>
              </w:rPr>
              <w:t>200</w:t>
            </w:r>
          </w:p>
        </w:tc>
        <w:tc>
          <w:tcPr>
            <w:tcW w:w="993" w:type="dxa"/>
            <w:tcBorders>
              <w:top w:val="nil"/>
              <w:bottom w:val="nil"/>
              <w:right w:val="nil"/>
            </w:tcBorders>
            <w:shd w:val="clear" w:color="auto" w:fill="F2F2F2"/>
          </w:tcPr>
          <w:p w:rsidR="00387A07" w:rsidRPr="0065313A" w:rsidRDefault="00387A07" w:rsidP="00387A07">
            <w:pPr>
              <w:rPr>
                <w:rFonts w:cs="Calibri"/>
              </w:rPr>
            </w:pPr>
            <w:r w:rsidRPr="0065313A">
              <w:rPr>
                <w:rFonts w:cs="Calibri"/>
              </w:rPr>
              <w:t>[91]</w:t>
            </w:r>
          </w:p>
        </w:tc>
      </w:tr>
      <w:tr w:rsidR="00387A07" w:rsidRPr="0065313A" w:rsidTr="00387A07">
        <w:trPr>
          <w:jc w:val="center"/>
        </w:trPr>
        <w:tc>
          <w:tcPr>
            <w:tcW w:w="1134" w:type="dxa"/>
            <w:tcBorders>
              <w:left w:val="nil"/>
            </w:tcBorders>
            <w:shd w:val="clear" w:color="auto" w:fill="F2F2F2"/>
          </w:tcPr>
          <w:p w:rsidR="00387A07" w:rsidRPr="0065313A" w:rsidRDefault="00387A07" w:rsidP="00387A07">
            <w:pPr>
              <w:rPr>
                <w:rFonts w:cs="Calibri"/>
              </w:rPr>
            </w:pPr>
            <w:r w:rsidRPr="0065313A">
              <w:rPr>
                <w:rFonts w:cs="Calibri"/>
              </w:rPr>
              <w:t>PLA</w:t>
            </w:r>
          </w:p>
        </w:tc>
        <w:tc>
          <w:tcPr>
            <w:tcW w:w="1825" w:type="dxa"/>
            <w:shd w:val="clear" w:color="auto" w:fill="F2F2F2"/>
          </w:tcPr>
          <w:p w:rsidR="00387A07" w:rsidRPr="0065313A" w:rsidRDefault="00387A07" w:rsidP="00387A07">
            <w:pPr>
              <w:rPr>
                <w:rFonts w:cs="Calibri"/>
              </w:rPr>
            </w:pPr>
            <w:r w:rsidRPr="0065313A">
              <w:rPr>
                <w:rFonts w:cs="Calibri"/>
              </w:rPr>
              <w:t>Dichloromethane</w:t>
            </w:r>
          </w:p>
        </w:tc>
        <w:tc>
          <w:tcPr>
            <w:tcW w:w="1701" w:type="dxa"/>
            <w:shd w:val="clear" w:color="auto" w:fill="F2F2F2"/>
          </w:tcPr>
          <w:p w:rsidR="00387A07" w:rsidRPr="0065313A" w:rsidRDefault="00387A07" w:rsidP="00387A07">
            <w:pPr>
              <w:rPr>
                <w:rFonts w:cs="Calibri"/>
              </w:rPr>
            </w:pPr>
            <w:r w:rsidRPr="0065313A">
              <w:rPr>
                <w:rFonts w:cs="Calibri"/>
              </w:rPr>
              <w:t>PVA</w:t>
            </w:r>
          </w:p>
        </w:tc>
        <w:tc>
          <w:tcPr>
            <w:tcW w:w="1559" w:type="dxa"/>
            <w:shd w:val="clear" w:color="auto" w:fill="F2F2F2"/>
          </w:tcPr>
          <w:p w:rsidR="00387A07" w:rsidRPr="0065313A" w:rsidRDefault="00387A07" w:rsidP="00387A07">
            <w:pPr>
              <w:rPr>
                <w:rFonts w:cs="Calibri"/>
              </w:rPr>
            </w:pPr>
            <w:r w:rsidRPr="0065313A">
              <w:rPr>
                <w:rFonts w:cs="Calibri"/>
              </w:rPr>
              <w:t>W/O/W</w:t>
            </w:r>
          </w:p>
        </w:tc>
        <w:tc>
          <w:tcPr>
            <w:tcW w:w="1417" w:type="dxa"/>
            <w:shd w:val="clear" w:color="auto" w:fill="F2F2F2"/>
          </w:tcPr>
          <w:p w:rsidR="00387A07" w:rsidRPr="0065313A" w:rsidRDefault="00387A07" w:rsidP="00387A07">
            <w:pPr>
              <w:rPr>
                <w:rFonts w:cs="Calibri"/>
              </w:rPr>
            </w:pPr>
            <w:r w:rsidRPr="0065313A">
              <w:rPr>
                <w:rFonts w:cs="Calibri"/>
              </w:rPr>
              <w:t>200</w:t>
            </w:r>
          </w:p>
        </w:tc>
        <w:tc>
          <w:tcPr>
            <w:tcW w:w="993" w:type="dxa"/>
            <w:tcBorders>
              <w:top w:val="nil"/>
              <w:bottom w:val="nil"/>
              <w:right w:val="nil"/>
            </w:tcBorders>
            <w:shd w:val="clear" w:color="auto" w:fill="F2F2F2"/>
          </w:tcPr>
          <w:p w:rsidR="00387A07" w:rsidRPr="0065313A" w:rsidRDefault="00387A07" w:rsidP="00387A07">
            <w:pPr>
              <w:rPr>
                <w:rFonts w:cs="Calibri"/>
              </w:rPr>
            </w:pPr>
            <w:r w:rsidRPr="0065313A">
              <w:rPr>
                <w:rFonts w:cs="Calibri"/>
              </w:rPr>
              <w:t>[92]</w:t>
            </w:r>
          </w:p>
        </w:tc>
      </w:tr>
      <w:tr w:rsidR="00387A07" w:rsidRPr="0065313A" w:rsidTr="00387A07">
        <w:trPr>
          <w:jc w:val="center"/>
        </w:trPr>
        <w:tc>
          <w:tcPr>
            <w:tcW w:w="1134" w:type="dxa"/>
            <w:tcBorders>
              <w:left w:val="nil"/>
            </w:tcBorders>
            <w:shd w:val="clear" w:color="auto" w:fill="F2F2F2"/>
          </w:tcPr>
          <w:p w:rsidR="00387A07" w:rsidRPr="0065313A" w:rsidRDefault="00387A07" w:rsidP="00387A07">
            <w:pPr>
              <w:rPr>
                <w:rFonts w:cs="Calibri"/>
              </w:rPr>
            </w:pPr>
            <w:r w:rsidRPr="0065313A">
              <w:rPr>
                <w:rFonts w:cs="Calibri"/>
              </w:rPr>
              <w:t>PEG-PLA</w:t>
            </w:r>
          </w:p>
        </w:tc>
        <w:tc>
          <w:tcPr>
            <w:tcW w:w="1825" w:type="dxa"/>
            <w:shd w:val="clear" w:color="auto" w:fill="F2F2F2"/>
          </w:tcPr>
          <w:p w:rsidR="00387A07" w:rsidRPr="0065313A" w:rsidRDefault="00387A07" w:rsidP="00387A07">
            <w:pPr>
              <w:rPr>
                <w:rFonts w:cs="Calibri"/>
              </w:rPr>
            </w:pPr>
            <w:r w:rsidRPr="0065313A">
              <w:rPr>
                <w:rFonts w:cs="Calibri"/>
              </w:rPr>
              <w:t>Dichloromethane</w:t>
            </w:r>
          </w:p>
        </w:tc>
        <w:tc>
          <w:tcPr>
            <w:tcW w:w="1701" w:type="dxa"/>
            <w:shd w:val="clear" w:color="auto" w:fill="F2F2F2"/>
          </w:tcPr>
          <w:p w:rsidR="00387A07" w:rsidRPr="0065313A" w:rsidRDefault="00387A07" w:rsidP="00387A07">
            <w:pPr>
              <w:rPr>
                <w:rFonts w:cs="Calibri"/>
              </w:rPr>
            </w:pPr>
            <w:r w:rsidRPr="0065313A">
              <w:rPr>
                <w:rFonts w:cs="Calibri"/>
              </w:rPr>
              <w:t>Sodium Cholate</w:t>
            </w:r>
          </w:p>
        </w:tc>
        <w:tc>
          <w:tcPr>
            <w:tcW w:w="1559" w:type="dxa"/>
            <w:shd w:val="clear" w:color="auto" w:fill="F2F2F2"/>
          </w:tcPr>
          <w:p w:rsidR="00387A07" w:rsidRPr="0065313A" w:rsidRDefault="00387A07" w:rsidP="00387A07">
            <w:pPr>
              <w:rPr>
                <w:rFonts w:cs="Calibri"/>
              </w:rPr>
            </w:pPr>
            <w:r w:rsidRPr="0065313A">
              <w:rPr>
                <w:rFonts w:cs="Calibri"/>
              </w:rPr>
              <w:t>W/O/W</w:t>
            </w:r>
          </w:p>
        </w:tc>
        <w:tc>
          <w:tcPr>
            <w:tcW w:w="1417" w:type="dxa"/>
            <w:shd w:val="clear" w:color="auto" w:fill="F2F2F2"/>
          </w:tcPr>
          <w:p w:rsidR="00387A07" w:rsidRPr="0065313A" w:rsidRDefault="00387A07" w:rsidP="00387A07">
            <w:pPr>
              <w:rPr>
                <w:rFonts w:cs="Calibri"/>
              </w:rPr>
            </w:pPr>
            <w:r w:rsidRPr="0065313A">
              <w:rPr>
                <w:rFonts w:cs="Calibri"/>
              </w:rPr>
              <w:t>200</w:t>
            </w:r>
          </w:p>
        </w:tc>
        <w:tc>
          <w:tcPr>
            <w:tcW w:w="993" w:type="dxa"/>
            <w:tcBorders>
              <w:top w:val="nil"/>
              <w:bottom w:val="nil"/>
              <w:right w:val="nil"/>
            </w:tcBorders>
            <w:shd w:val="clear" w:color="auto" w:fill="F2F2F2"/>
          </w:tcPr>
          <w:p w:rsidR="00387A07" w:rsidRPr="0065313A" w:rsidRDefault="00387A07" w:rsidP="00387A07">
            <w:pPr>
              <w:rPr>
                <w:rFonts w:cs="Calibri"/>
              </w:rPr>
            </w:pPr>
            <w:r w:rsidRPr="0065313A">
              <w:rPr>
                <w:rFonts w:cs="Calibri"/>
              </w:rPr>
              <w:t>[93]</w:t>
            </w:r>
          </w:p>
        </w:tc>
      </w:tr>
      <w:tr w:rsidR="00387A07" w:rsidRPr="0065313A" w:rsidTr="00387A07">
        <w:trPr>
          <w:jc w:val="center"/>
        </w:trPr>
        <w:tc>
          <w:tcPr>
            <w:tcW w:w="1134" w:type="dxa"/>
            <w:tcBorders>
              <w:left w:val="nil"/>
              <w:bottom w:val="single" w:sz="4" w:space="0" w:color="auto"/>
            </w:tcBorders>
            <w:shd w:val="clear" w:color="auto" w:fill="F2F2F2"/>
          </w:tcPr>
          <w:p w:rsidR="00387A07" w:rsidRPr="0065313A" w:rsidRDefault="00387A07" w:rsidP="00387A07">
            <w:pPr>
              <w:rPr>
                <w:rFonts w:cs="Calibri"/>
              </w:rPr>
            </w:pPr>
            <w:r w:rsidRPr="0065313A">
              <w:rPr>
                <w:rFonts w:cs="Calibri"/>
              </w:rPr>
              <w:t>PLGA</w:t>
            </w:r>
          </w:p>
        </w:tc>
        <w:tc>
          <w:tcPr>
            <w:tcW w:w="1825" w:type="dxa"/>
            <w:tcBorders>
              <w:bottom w:val="single" w:sz="4" w:space="0" w:color="auto"/>
            </w:tcBorders>
            <w:shd w:val="clear" w:color="auto" w:fill="F2F2F2"/>
          </w:tcPr>
          <w:p w:rsidR="00387A07" w:rsidRPr="0065313A" w:rsidRDefault="00387A07" w:rsidP="00387A07">
            <w:pPr>
              <w:rPr>
                <w:rFonts w:cs="Calibri"/>
              </w:rPr>
            </w:pPr>
            <w:r w:rsidRPr="0065313A">
              <w:rPr>
                <w:rFonts w:cs="Calibri"/>
              </w:rPr>
              <w:t>Chloroform</w:t>
            </w:r>
          </w:p>
        </w:tc>
        <w:tc>
          <w:tcPr>
            <w:tcW w:w="1701" w:type="dxa"/>
            <w:tcBorders>
              <w:bottom w:val="single" w:sz="4" w:space="0" w:color="auto"/>
            </w:tcBorders>
            <w:shd w:val="clear" w:color="auto" w:fill="F2F2F2"/>
          </w:tcPr>
          <w:p w:rsidR="00387A07" w:rsidRPr="0065313A" w:rsidRDefault="00387A07" w:rsidP="00387A07">
            <w:pPr>
              <w:rPr>
                <w:rFonts w:cs="Calibri"/>
              </w:rPr>
            </w:pPr>
            <w:r w:rsidRPr="0065313A">
              <w:rPr>
                <w:rFonts w:cs="Calibri"/>
              </w:rPr>
              <w:t>SDS</w:t>
            </w:r>
          </w:p>
        </w:tc>
        <w:tc>
          <w:tcPr>
            <w:tcW w:w="1559" w:type="dxa"/>
            <w:tcBorders>
              <w:bottom w:val="single" w:sz="4" w:space="0" w:color="auto"/>
            </w:tcBorders>
            <w:shd w:val="clear" w:color="auto" w:fill="F2F2F2"/>
          </w:tcPr>
          <w:p w:rsidR="00387A07" w:rsidRPr="0065313A" w:rsidRDefault="00387A07" w:rsidP="00387A07">
            <w:pPr>
              <w:rPr>
                <w:rFonts w:cs="Calibri"/>
              </w:rPr>
            </w:pPr>
            <w:r w:rsidRPr="0065313A">
              <w:rPr>
                <w:rFonts w:cs="Calibri"/>
              </w:rPr>
              <w:t>W/O/W</w:t>
            </w:r>
          </w:p>
        </w:tc>
        <w:tc>
          <w:tcPr>
            <w:tcW w:w="1417" w:type="dxa"/>
            <w:tcBorders>
              <w:bottom w:val="single" w:sz="4" w:space="0" w:color="auto"/>
            </w:tcBorders>
            <w:shd w:val="clear" w:color="auto" w:fill="F2F2F2"/>
          </w:tcPr>
          <w:p w:rsidR="00387A07" w:rsidRPr="0065313A" w:rsidRDefault="00387A07" w:rsidP="00387A07">
            <w:pPr>
              <w:rPr>
                <w:rFonts w:cs="Calibri"/>
              </w:rPr>
            </w:pPr>
            <w:r w:rsidRPr="0065313A">
              <w:rPr>
                <w:rFonts w:cs="Calibri"/>
              </w:rPr>
              <w:t>76</w:t>
            </w:r>
          </w:p>
        </w:tc>
        <w:tc>
          <w:tcPr>
            <w:tcW w:w="993" w:type="dxa"/>
            <w:tcBorders>
              <w:top w:val="nil"/>
              <w:bottom w:val="single" w:sz="4" w:space="0" w:color="auto"/>
              <w:right w:val="nil"/>
            </w:tcBorders>
            <w:shd w:val="clear" w:color="auto" w:fill="F2F2F2"/>
          </w:tcPr>
          <w:p w:rsidR="00387A07" w:rsidRPr="0065313A" w:rsidRDefault="00387A07" w:rsidP="00387A07">
            <w:pPr>
              <w:rPr>
                <w:rFonts w:cs="Calibri"/>
              </w:rPr>
            </w:pPr>
            <w:r w:rsidRPr="0065313A">
              <w:rPr>
                <w:rFonts w:cs="Calibri"/>
              </w:rPr>
              <w:t>[94]</w:t>
            </w:r>
          </w:p>
        </w:tc>
      </w:tr>
    </w:tbl>
    <w:p w:rsidR="00387A07" w:rsidRPr="0065313A" w:rsidRDefault="00387A07" w:rsidP="00387A07">
      <w:pPr>
        <w:pStyle w:val="Didascalia"/>
        <w:spacing w:before="120" w:after="240"/>
        <w:rPr>
          <w:rFonts w:ascii="Arial" w:hAnsi="Arial" w:cs="Arial"/>
          <w:b w:val="0"/>
          <w:sz w:val="24"/>
          <w:szCs w:val="24"/>
          <w:lang w:val="en-US"/>
        </w:rPr>
      </w:pPr>
      <w:r w:rsidRPr="0065313A">
        <w:t xml:space="preserve">Table 1. </w:t>
      </w:r>
      <w:fldSimple w:instr=" SEQ Table_1. \* ARABIC ">
        <w:r w:rsidRPr="0065313A">
          <w:rPr>
            <w:noProof/>
          </w:rPr>
          <w:t>3</w:t>
        </w:r>
      </w:fldSimple>
      <w:r w:rsidRPr="0065313A">
        <w:t xml:space="preserve"> Different nanoparticles formulations prepared by single or double emulsions using different polymers and processing parameters.   </w:t>
      </w:r>
    </w:p>
    <w:p w:rsidR="00387A07" w:rsidRPr="0065313A" w:rsidRDefault="00387A07" w:rsidP="00387A07">
      <w:pPr>
        <w:spacing w:after="240" w:line="360" w:lineRule="auto"/>
        <w:jc w:val="both"/>
        <w:rPr>
          <w:rFonts w:ascii="Arial" w:hAnsi="Arial" w:cs="Arial"/>
          <w:b/>
          <w:sz w:val="24"/>
          <w:szCs w:val="24"/>
          <w:lang w:val="en-US"/>
        </w:rPr>
      </w:pPr>
      <w:r w:rsidRPr="0065313A">
        <w:rPr>
          <w:rFonts w:ascii="Arial" w:hAnsi="Arial" w:cs="Arial"/>
          <w:b/>
          <w:sz w:val="24"/>
          <w:szCs w:val="24"/>
          <w:lang w:val="en-US"/>
        </w:rPr>
        <w:t xml:space="preserve">1.3.2.3 Solvent Displacement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Solvent Displacement method or Nanoprecipitation method was developed by Fessi et al. [95] for the preparation of polymeric nanoparticles.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method is based on the spontaneous emulsification of the organic internal phase containing the dissolved polymer and the drug into the aqueous external phase.</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 xml:space="preserve">The method involves the precipitation of a preformed polymer from an organic solution, composed of a completely water miscible solvent such as acetone, in the aqueous medium containing the surfactant. </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sz w:val="24"/>
          <w:szCs w:val="24"/>
          <w:lang w:val="en-US"/>
        </w:rPr>
        <w:t xml:space="preserve">Rapid diffusion of the solvent into non solvent phase results in the decrease of interfacial tension between the two phases, which </w:t>
      </w:r>
      <w:r w:rsidRPr="0065313A">
        <w:rPr>
          <w:rFonts w:ascii="Arial" w:hAnsi="Arial" w:cs="Arial"/>
          <w:color w:val="000000"/>
          <w:sz w:val="24"/>
          <w:szCs w:val="24"/>
          <w:lang w:val="en-US"/>
        </w:rPr>
        <w:t xml:space="preserve">increases the surface area and leads to the formation of small droplets of organic solvent </w:t>
      </w:r>
      <w:r w:rsidRPr="0065313A">
        <w:rPr>
          <w:rFonts w:ascii="Arial" w:hAnsi="Arial" w:cs="Arial"/>
          <w:color w:val="000077"/>
          <w:sz w:val="24"/>
          <w:szCs w:val="24"/>
          <w:lang w:val="en-US"/>
        </w:rPr>
        <w:t>[96]</w:t>
      </w:r>
      <w:r w:rsidRPr="0065313A">
        <w:rPr>
          <w:rFonts w:ascii="Arial" w:hAnsi="Arial" w:cs="Arial"/>
          <w:color w:val="000000"/>
          <w:sz w:val="24"/>
          <w:szCs w:val="24"/>
          <w:lang w:val="en-US"/>
        </w:rPr>
        <w:t xml:space="preserve">. Nanoprecipitation system consists of three basic components: the polymer, the polymer solvent and the nonsolvent of the polymer. Organic solvents (i.e., ethanol, acetone, hexane or dioxane) which are miscible in water and easy to remove by evaporation are chosen as polymer solvents. </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color w:val="000000"/>
          <w:sz w:val="24"/>
          <w:szCs w:val="24"/>
          <w:lang w:val="en-US"/>
        </w:rPr>
        <w:t xml:space="preserve">The polymers commonly used are biodegradable polyesters, especially poly(ε-caprolactone) [97], poly (D,L-lactide) [92] and poly(lactide-co-glycolide) [64,90] (see table1.4). </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sz w:val="24"/>
          <w:szCs w:val="24"/>
          <w:lang w:val="en-US"/>
        </w:rPr>
        <w:t>Nanoparticles are produced by slow addition of the organic phase to the aqueous phase under moderate stirring. Reversing this order by adding the aqueous phase to the organic phase also leads to the formation of PNP. Nanoparticles with a well defined size are characterized by a narrow distribution formed instantaneously during the rapid diffusion of the polymer solution in the non solvent phase.</w:t>
      </w:r>
    </w:p>
    <w:p w:rsidR="00387A07" w:rsidRPr="0065313A" w:rsidRDefault="00387A07" w:rsidP="00387A07">
      <w:pPr>
        <w:autoSpaceDE w:val="0"/>
        <w:autoSpaceDN w:val="0"/>
        <w:adjustRightInd w:val="0"/>
        <w:spacing w:after="120" w:line="360" w:lineRule="auto"/>
        <w:jc w:val="both"/>
        <w:rPr>
          <w:rFonts w:ascii="Arial" w:hAnsi="Arial" w:cs="Arial"/>
          <w:sz w:val="24"/>
          <w:szCs w:val="24"/>
          <w:lang w:val="en-US"/>
        </w:rPr>
      </w:pPr>
      <w:r w:rsidRPr="0065313A">
        <w:rPr>
          <w:rFonts w:ascii="Arial" w:hAnsi="Arial" w:cs="Arial"/>
          <w:sz w:val="24"/>
          <w:szCs w:val="24"/>
          <w:lang w:val="en-US"/>
        </w:rPr>
        <w:t xml:space="preserve">Nanoprecipitation is a simple, fast and reproducible method which is widely used for the preparation of both nanospheres and nanocapsules. Even though low polymer surfactant concentrations are employed, challenges pertaining to low polymer concentration in the organic phase have to be addressed. </w:t>
      </w:r>
    </w:p>
    <w:tbl>
      <w:tblPr>
        <w:tblW w:w="9639" w:type="dxa"/>
        <w:tblInd w:w="108" w:type="dxa"/>
        <w:tblLook w:val="00A0"/>
      </w:tblPr>
      <w:tblGrid>
        <w:gridCol w:w="1384"/>
        <w:gridCol w:w="1843"/>
        <w:gridCol w:w="1701"/>
        <w:gridCol w:w="2431"/>
        <w:gridCol w:w="1110"/>
        <w:gridCol w:w="1170"/>
      </w:tblGrid>
      <w:tr w:rsidR="00387A07" w:rsidRPr="0065313A" w:rsidTr="00387A07">
        <w:tc>
          <w:tcPr>
            <w:tcW w:w="1384"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Polymer</w:t>
            </w:r>
          </w:p>
        </w:tc>
        <w:tc>
          <w:tcPr>
            <w:tcW w:w="1843"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Solvent</w:t>
            </w:r>
          </w:p>
        </w:tc>
        <w:tc>
          <w:tcPr>
            <w:tcW w:w="1701"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Non-Solvent</w:t>
            </w:r>
          </w:p>
        </w:tc>
        <w:tc>
          <w:tcPr>
            <w:tcW w:w="2431"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Stabilizing agent</w:t>
            </w:r>
          </w:p>
        </w:tc>
        <w:tc>
          <w:tcPr>
            <w:tcW w:w="1110"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Size</w:t>
            </w:r>
          </w:p>
        </w:tc>
        <w:tc>
          <w:tcPr>
            <w:tcW w:w="1170" w:type="dxa"/>
            <w:tcBorders>
              <w:left w:val="nil"/>
              <w:bottom w:val="single" w:sz="4" w:space="0" w:color="000000"/>
              <w:right w:val="nil"/>
            </w:tcBorders>
            <w:shd w:val="clear" w:color="auto" w:fill="F2F2F2"/>
          </w:tcPr>
          <w:p w:rsidR="00387A07" w:rsidRPr="0065313A" w:rsidRDefault="00387A07" w:rsidP="00387A07">
            <w:pPr>
              <w:rPr>
                <w:rFonts w:cs="Calibri"/>
                <w:b/>
              </w:rPr>
            </w:pPr>
            <w:r w:rsidRPr="0065313A">
              <w:rPr>
                <w:rFonts w:cs="Calibri"/>
                <w:b/>
              </w:rPr>
              <w:t>Reference</w:t>
            </w:r>
          </w:p>
        </w:tc>
      </w:tr>
      <w:tr w:rsidR="00387A07" w:rsidRPr="0065313A" w:rsidTr="00387A07">
        <w:tc>
          <w:tcPr>
            <w:tcW w:w="1384" w:type="dxa"/>
            <w:tcBorders>
              <w:left w:val="nil"/>
              <w:bottom w:val="nil"/>
              <w:right w:val="nil"/>
            </w:tcBorders>
            <w:shd w:val="clear" w:color="auto" w:fill="F2F2F2"/>
          </w:tcPr>
          <w:p w:rsidR="00387A07" w:rsidRPr="0065313A" w:rsidRDefault="00387A07" w:rsidP="00387A07">
            <w:pPr>
              <w:rPr>
                <w:rFonts w:cs="Calibri"/>
              </w:rPr>
            </w:pPr>
            <w:r w:rsidRPr="0065313A">
              <w:rPr>
                <w:rFonts w:cs="Calibri"/>
              </w:rPr>
              <w:t>PLGA</w:t>
            </w:r>
          </w:p>
        </w:tc>
        <w:tc>
          <w:tcPr>
            <w:tcW w:w="1843" w:type="dxa"/>
            <w:tcBorders>
              <w:left w:val="nil"/>
              <w:bottom w:val="nil"/>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left w:val="nil"/>
              <w:bottom w:val="nil"/>
              <w:right w:val="nil"/>
            </w:tcBorders>
            <w:shd w:val="clear" w:color="auto" w:fill="F2F2F2"/>
          </w:tcPr>
          <w:p w:rsidR="00387A07" w:rsidRPr="0065313A" w:rsidRDefault="00387A07" w:rsidP="00387A07">
            <w:pPr>
              <w:rPr>
                <w:rFonts w:cs="Calibri"/>
              </w:rPr>
            </w:pPr>
            <w:r w:rsidRPr="0065313A">
              <w:rPr>
                <w:rFonts w:cs="Calibri"/>
              </w:rPr>
              <w:t>PVA</w:t>
            </w:r>
          </w:p>
        </w:tc>
        <w:tc>
          <w:tcPr>
            <w:tcW w:w="1110" w:type="dxa"/>
            <w:tcBorders>
              <w:left w:val="nil"/>
              <w:bottom w:val="nil"/>
              <w:right w:val="nil"/>
            </w:tcBorders>
            <w:shd w:val="clear" w:color="auto" w:fill="F2F2F2"/>
          </w:tcPr>
          <w:p w:rsidR="00387A07" w:rsidRPr="0065313A" w:rsidRDefault="00387A07" w:rsidP="00387A07">
            <w:pPr>
              <w:rPr>
                <w:rFonts w:cs="Calibri"/>
              </w:rPr>
            </w:pPr>
            <w:r w:rsidRPr="0065313A">
              <w:rPr>
                <w:rFonts w:cs="Calibri"/>
              </w:rPr>
              <w:t>90-500</w:t>
            </w:r>
          </w:p>
        </w:tc>
        <w:tc>
          <w:tcPr>
            <w:tcW w:w="1170" w:type="dxa"/>
            <w:tcBorders>
              <w:left w:val="nil"/>
              <w:bottom w:val="nil"/>
              <w:right w:val="nil"/>
            </w:tcBorders>
            <w:shd w:val="clear" w:color="auto" w:fill="F2F2F2"/>
          </w:tcPr>
          <w:p w:rsidR="00387A07" w:rsidRPr="0065313A" w:rsidRDefault="00387A07" w:rsidP="00387A07">
            <w:pPr>
              <w:jc w:val="center"/>
              <w:rPr>
                <w:rFonts w:cs="Calibri"/>
              </w:rPr>
            </w:pPr>
            <w:r w:rsidRPr="0065313A">
              <w:rPr>
                <w:rFonts w:cs="Calibri"/>
              </w:rPr>
              <w:t>[98]</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PCL</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PVA</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360</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[99]</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PCA</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Ethanol/water</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150</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[100]</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PLA</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THF</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100-300</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[101]</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PCL</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Span 20</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741-924</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[97]</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PCL</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Polysorbate 80</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260</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[102]</w:t>
            </w:r>
          </w:p>
        </w:tc>
      </w:tr>
      <w:tr w:rsidR="00387A07" w:rsidRPr="0065313A" w:rsidTr="00387A07">
        <w:tc>
          <w:tcPr>
            <w:tcW w:w="138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PLA</w:t>
            </w:r>
          </w:p>
        </w:tc>
        <w:tc>
          <w:tcPr>
            <w:tcW w:w="1843"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Poloxamer 188</w:t>
            </w:r>
          </w:p>
        </w:tc>
        <w:tc>
          <w:tcPr>
            <w:tcW w:w="1110"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rPr>
              <w:t>250</w:t>
            </w:r>
          </w:p>
        </w:tc>
        <w:tc>
          <w:tcPr>
            <w:tcW w:w="1170" w:type="dxa"/>
            <w:tcBorders>
              <w:top w:val="nil"/>
              <w:left w:val="nil"/>
              <w:bottom w:val="nil"/>
              <w:right w:val="nil"/>
            </w:tcBorders>
            <w:shd w:val="clear" w:color="auto" w:fill="F2F2F2"/>
          </w:tcPr>
          <w:p w:rsidR="00387A07" w:rsidRPr="0065313A" w:rsidRDefault="00387A07" w:rsidP="00387A07">
            <w:pPr>
              <w:jc w:val="center"/>
              <w:rPr>
                <w:rFonts w:cs="Calibri"/>
              </w:rPr>
            </w:pPr>
            <w:r w:rsidRPr="0065313A">
              <w:rPr>
                <w:rFonts w:cs="Calibri"/>
              </w:rPr>
              <w:t>[103]</w:t>
            </w:r>
          </w:p>
        </w:tc>
      </w:tr>
      <w:tr w:rsidR="00387A07" w:rsidRPr="0065313A" w:rsidTr="00387A07">
        <w:tc>
          <w:tcPr>
            <w:tcW w:w="1384" w:type="dxa"/>
            <w:tcBorders>
              <w:top w:val="nil"/>
              <w:left w:val="nil"/>
              <w:bottom w:val="single" w:sz="4" w:space="0" w:color="auto"/>
              <w:right w:val="nil"/>
            </w:tcBorders>
            <w:shd w:val="clear" w:color="auto" w:fill="F2F2F2"/>
          </w:tcPr>
          <w:p w:rsidR="00387A07" w:rsidRPr="0065313A" w:rsidRDefault="00387A07" w:rsidP="00387A07">
            <w:pPr>
              <w:rPr>
                <w:rFonts w:cs="Calibri"/>
              </w:rPr>
            </w:pPr>
            <w:r w:rsidRPr="0065313A">
              <w:rPr>
                <w:rFonts w:cs="Calibri"/>
              </w:rPr>
              <w:t>PCL</w:t>
            </w:r>
          </w:p>
        </w:tc>
        <w:tc>
          <w:tcPr>
            <w:tcW w:w="1843" w:type="dxa"/>
            <w:tcBorders>
              <w:top w:val="nil"/>
              <w:left w:val="nil"/>
              <w:bottom w:val="single" w:sz="4" w:space="0" w:color="000000"/>
              <w:right w:val="nil"/>
            </w:tcBorders>
            <w:shd w:val="clear" w:color="auto" w:fill="F2F2F2"/>
          </w:tcPr>
          <w:p w:rsidR="00387A07" w:rsidRPr="0065313A" w:rsidRDefault="00387A07" w:rsidP="00387A07">
            <w:pPr>
              <w:rPr>
                <w:rFonts w:cs="Calibri"/>
              </w:rPr>
            </w:pPr>
            <w:r w:rsidRPr="0065313A">
              <w:rPr>
                <w:rFonts w:cs="Calibri"/>
              </w:rPr>
              <w:t>Acetone</w:t>
            </w:r>
          </w:p>
        </w:tc>
        <w:tc>
          <w:tcPr>
            <w:tcW w:w="1701" w:type="dxa"/>
            <w:tcBorders>
              <w:top w:val="nil"/>
              <w:left w:val="nil"/>
              <w:bottom w:val="single" w:sz="4" w:space="0" w:color="000000"/>
              <w:right w:val="nil"/>
            </w:tcBorders>
            <w:shd w:val="clear" w:color="auto" w:fill="F2F2F2"/>
          </w:tcPr>
          <w:p w:rsidR="00387A07" w:rsidRPr="0065313A" w:rsidRDefault="00387A07" w:rsidP="00387A07">
            <w:pPr>
              <w:rPr>
                <w:rFonts w:cs="Calibri"/>
              </w:rPr>
            </w:pPr>
            <w:r w:rsidRPr="0065313A">
              <w:rPr>
                <w:rFonts w:cs="Calibri"/>
              </w:rPr>
              <w:t>Water</w:t>
            </w:r>
          </w:p>
        </w:tc>
        <w:tc>
          <w:tcPr>
            <w:tcW w:w="2431" w:type="dxa"/>
            <w:tcBorders>
              <w:top w:val="nil"/>
              <w:left w:val="nil"/>
              <w:bottom w:val="single" w:sz="4" w:space="0" w:color="000000"/>
              <w:right w:val="nil"/>
            </w:tcBorders>
            <w:shd w:val="clear" w:color="auto" w:fill="F2F2F2"/>
          </w:tcPr>
          <w:p w:rsidR="00387A07" w:rsidRPr="0065313A" w:rsidRDefault="00387A07" w:rsidP="00387A07">
            <w:pPr>
              <w:rPr>
                <w:rFonts w:cs="Calibri"/>
              </w:rPr>
            </w:pPr>
            <w:r w:rsidRPr="0065313A">
              <w:rPr>
                <w:rFonts w:cs="Calibri"/>
              </w:rPr>
              <w:t>Pluronic F68</w:t>
            </w:r>
          </w:p>
        </w:tc>
        <w:tc>
          <w:tcPr>
            <w:tcW w:w="1110" w:type="dxa"/>
            <w:tcBorders>
              <w:top w:val="nil"/>
              <w:left w:val="nil"/>
              <w:bottom w:val="single" w:sz="4" w:space="0" w:color="000000"/>
              <w:right w:val="nil"/>
            </w:tcBorders>
            <w:shd w:val="clear" w:color="auto" w:fill="F2F2F2"/>
          </w:tcPr>
          <w:p w:rsidR="00387A07" w:rsidRPr="0065313A" w:rsidRDefault="00387A07" w:rsidP="00387A07">
            <w:pPr>
              <w:rPr>
                <w:rFonts w:cs="Calibri"/>
              </w:rPr>
            </w:pPr>
            <w:r w:rsidRPr="0065313A">
              <w:rPr>
                <w:rFonts w:cs="Calibri"/>
              </w:rPr>
              <w:t>300</w:t>
            </w:r>
          </w:p>
        </w:tc>
        <w:tc>
          <w:tcPr>
            <w:tcW w:w="1170" w:type="dxa"/>
            <w:tcBorders>
              <w:top w:val="nil"/>
              <w:left w:val="nil"/>
              <w:bottom w:val="single" w:sz="4" w:space="0" w:color="000000"/>
              <w:right w:val="nil"/>
            </w:tcBorders>
            <w:shd w:val="clear" w:color="auto" w:fill="F2F2F2"/>
          </w:tcPr>
          <w:p w:rsidR="00387A07" w:rsidRPr="0065313A" w:rsidRDefault="00387A07" w:rsidP="00387A07">
            <w:pPr>
              <w:jc w:val="center"/>
              <w:rPr>
                <w:rFonts w:cs="Calibri"/>
              </w:rPr>
            </w:pPr>
            <w:r w:rsidRPr="0065313A">
              <w:rPr>
                <w:rFonts w:cs="Calibri"/>
              </w:rPr>
              <w:t>[104]</w:t>
            </w:r>
          </w:p>
        </w:tc>
      </w:tr>
    </w:tbl>
    <w:p w:rsidR="00387A07" w:rsidRPr="009925A1" w:rsidRDefault="00387A07" w:rsidP="009925A1">
      <w:pPr>
        <w:pStyle w:val="Didascalia"/>
        <w:rPr>
          <w:rFonts w:ascii="Arial" w:hAnsi="Arial" w:cs="Arial"/>
          <w:sz w:val="24"/>
          <w:szCs w:val="24"/>
          <w:lang w:val="en-US"/>
        </w:rPr>
      </w:pPr>
      <w:r w:rsidRPr="0065313A">
        <w:t xml:space="preserve">Table 1. </w:t>
      </w:r>
      <w:fldSimple w:instr=" SEQ Table_1. \* ARABIC ">
        <w:r w:rsidRPr="0065313A">
          <w:rPr>
            <w:noProof/>
          </w:rPr>
          <w:t>4</w:t>
        </w:r>
      </w:fldSimple>
      <w:r w:rsidRPr="0065313A">
        <w:t xml:space="preserve"> Principal characteristics of different nanoparticles prepared by the Solvent Displacement method.</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lastRenderedPageBreak/>
        <w:t xml:space="preserve">1.3.2.4 Salting out </w:t>
      </w:r>
    </w:p>
    <w:p w:rsidR="00387A07" w:rsidRPr="0065313A" w:rsidRDefault="00387A07" w:rsidP="00387A07">
      <w:pPr>
        <w:spacing w:after="0" w:line="360" w:lineRule="auto"/>
        <w:jc w:val="center"/>
        <w:rPr>
          <w:rFonts w:ascii="Arial" w:hAnsi="Arial" w:cs="Arial"/>
          <w:b/>
          <w:sz w:val="24"/>
          <w:szCs w:val="24"/>
          <w:lang w:val="en-US"/>
        </w:rPr>
      </w:pPr>
      <w:r w:rsidRPr="0065313A">
        <w:rPr>
          <w:rFonts w:ascii="Arial" w:hAnsi="Arial" w:cs="Arial"/>
          <w:b/>
          <w:noProof/>
          <w:sz w:val="24"/>
          <w:szCs w:val="24"/>
          <w:lang w:val="it-IT" w:eastAsia="it-IT"/>
        </w:rPr>
        <w:drawing>
          <wp:inline distT="0" distB="0" distL="0" distR="0">
            <wp:extent cx="4114800" cy="1895475"/>
            <wp:effectExtent l="19050" t="0" r="0" b="0"/>
            <wp:docPr id="3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pic:cNvPicPr>
                      <a:picLocks noChangeAspect="1" noChangeArrowheads="1"/>
                    </pic:cNvPicPr>
                  </pic:nvPicPr>
                  <pic:blipFill>
                    <a:blip r:embed="rId16"/>
                    <a:srcRect/>
                    <a:stretch>
                      <a:fillRect/>
                    </a:stretch>
                  </pic:blipFill>
                  <pic:spPr bwMode="auto">
                    <a:xfrm>
                      <a:off x="0" y="0"/>
                      <a:ext cx="4114800" cy="1895475"/>
                    </a:xfrm>
                    <a:prstGeom prst="rect">
                      <a:avLst/>
                    </a:prstGeom>
                    <a:noFill/>
                    <a:ln w="9525">
                      <a:noFill/>
                      <a:miter lim="800000"/>
                      <a:headEnd/>
                      <a:tailEnd/>
                    </a:ln>
                  </pic:spPr>
                </pic:pic>
              </a:graphicData>
            </a:graphic>
          </wp:inline>
        </w:drawing>
      </w:r>
    </w:p>
    <w:p w:rsidR="00387A07" w:rsidRPr="0065313A" w:rsidRDefault="00387A07" w:rsidP="00387A07">
      <w:pPr>
        <w:pStyle w:val="Didascalia"/>
        <w:spacing w:after="120"/>
        <w:rPr>
          <w:rFonts w:ascii="Arial" w:hAnsi="Arial" w:cs="Arial"/>
          <w:sz w:val="24"/>
          <w:szCs w:val="24"/>
          <w:lang w:val="en-US"/>
        </w:rPr>
      </w:pPr>
      <w:r w:rsidRPr="0065313A">
        <w:t xml:space="preserve">Figure 1. </w:t>
      </w:r>
      <w:fldSimple w:instr=" SEQ Figure_1. \* ARABIC ">
        <w:r w:rsidRPr="0065313A">
          <w:rPr>
            <w:noProof/>
          </w:rPr>
          <w:t>7</w:t>
        </w:r>
      </w:fldSimple>
      <w:r w:rsidRPr="0065313A">
        <w:t xml:space="preserve"> Schematic representation of the salting out method [46].</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salting out method is based on the separation of a water miscible solvent from aqueous solution via a salting out effect [46] and avoids the use of surfactant and chlorinated solvents. Generally the polymer and drug are dissolved in a totally water-miscible solvent (i.e. acetone) and added to a solution of water, containing a salting out agent (magnesium chloride, calcium chloride or sucrose). An Oil in Water emulsion is then formed by homogenization and diluted with a sufficient volume of water to decrease salt concentration and enhance the diffusion of the solvent into the aqueous phase, thus inducing the formation of nanospheres. </w:t>
      </w:r>
    </w:p>
    <w:p w:rsidR="00387A07" w:rsidRPr="0065313A" w:rsidRDefault="00387A07" w:rsidP="00387A07">
      <w:pPr>
        <w:spacing w:after="120" w:line="360" w:lineRule="auto"/>
        <w:jc w:val="both"/>
        <w:rPr>
          <w:rFonts w:ascii="Arial" w:hAnsi="Arial" w:cs="Arial"/>
          <w:sz w:val="24"/>
          <w:szCs w:val="24"/>
          <w:lang w:val="en-US"/>
        </w:rPr>
      </w:pPr>
      <w:r w:rsidRPr="0065313A">
        <w:rPr>
          <w:rFonts w:ascii="Arial" w:hAnsi="Arial" w:cs="Arial"/>
          <w:sz w:val="24"/>
          <w:szCs w:val="24"/>
          <w:lang w:val="en-US"/>
        </w:rPr>
        <w:t xml:space="preserve">The most important parameter affecting nanoparticles size is the choice of the salting out agent (table 1.5).    </w:t>
      </w:r>
    </w:p>
    <w:tbl>
      <w:tblPr>
        <w:tblW w:w="0" w:type="auto"/>
        <w:jc w:val="center"/>
        <w:tblLayout w:type="fixed"/>
        <w:tblLook w:val="00A0"/>
      </w:tblPr>
      <w:tblGrid>
        <w:gridCol w:w="1375"/>
        <w:gridCol w:w="1912"/>
        <w:gridCol w:w="2350"/>
        <w:gridCol w:w="1275"/>
        <w:gridCol w:w="1560"/>
      </w:tblGrid>
      <w:tr w:rsidR="00387A07" w:rsidRPr="0065313A" w:rsidTr="00387A07">
        <w:trPr>
          <w:jc w:val="center"/>
        </w:trPr>
        <w:tc>
          <w:tcPr>
            <w:tcW w:w="1375"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Polymer</w:t>
            </w:r>
          </w:p>
        </w:tc>
        <w:tc>
          <w:tcPr>
            <w:tcW w:w="191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Salting-out agent</w:t>
            </w:r>
          </w:p>
        </w:tc>
        <w:tc>
          <w:tcPr>
            <w:tcW w:w="2350"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Organic Solvent</w:t>
            </w:r>
          </w:p>
        </w:tc>
        <w:tc>
          <w:tcPr>
            <w:tcW w:w="1275"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Size</w:t>
            </w:r>
          </w:p>
        </w:tc>
        <w:tc>
          <w:tcPr>
            <w:tcW w:w="1560" w:type="dxa"/>
            <w:tcBorders>
              <w:left w:val="nil"/>
              <w:bottom w:val="single" w:sz="4" w:space="0" w:color="000000"/>
              <w:right w:val="nil"/>
            </w:tcBorders>
            <w:shd w:val="clear" w:color="auto" w:fill="F2F2F2"/>
          </w:tcPr>
          <w:p w:rsidR="00387A07" w:rsidRPr="0065313A" w:rsidRDefault="00387A07" w:rsidP="00387A07">
            <w:pPr>
              <w:jc w:val="center"/>
              <w:rPr>
                <w:b/>
              </w:rPr>
            </w:pPr>
            <w:r w:rsidRPr="0065313A">
              <w:rPr>
                <w:b/>
              </w:rPr>
              <w:t>Reference</w:t>
            </w:r>
          </w:p>
        </w:tc>
      </w:tr>
      <w:tr w:rsidR="00387A07" w:rsidRPr="0065313A" w:rsidTr="00387A07">
        <w:trPr>
          <w:jc w:val="center"/>
        </w:trPr>
        <w:tc>
          <w:tcPr>
            <w:tcW w:w="1375" w:type="dxa"/>
            <w:tcBorders>
              <w:left w:val="nil"/>
              <w:bottom w:val="nil"/>
              <w:right w:val="nil"/>
            </w:tcBorders>
            <w:shd w:val="clear" w:color="auto" w:fill="F2F2F2"/>
          </w:tcPr>
          <w:p w:rsidR="00387A07" w:rsidRPr="0065313A" w:rsidRDefault="00387A07" w:rsidP="00387A07">
            <w:r w:rsidRPr="0065313A">
              <w:t>PDLLA</w:t>
            </w:r>
          </w:p>
        </w:tc>
        <w:tc>
          <w:tcPr>
            <w:tcW w:w="1912" w:type="dxa"/>
            <w:tcBorders>
              <w:left w:val="nil"/>
              <w:bottom w:val="nil"/>
              <w:right w:val="nil"/>
            </w:tcBorders>
            <w:shd w:val="clear" w:color="auto" w:fill="F2F2F2"/>
          </w:tcPr>
          <w:p w:rsidR="00387A07" w:rsidRPr="0065313A" w:rsidRDefault="00387A07" w:rsidP="00387A07">
            <w:r w:rsidRPr="0065313A">
              <w:t>Mg(CH</w:t>
            </w:r>
            <w:r w:rsidRPr="0065313A">
              <w:rPr>
                <w:vertAlign w:val="subscript"/>
              </w:rPr>
              <w:t>3</w:t>
            </w:r>
            <w:r w:rsidRPr="0065313A">
              <w:t>COO)</w:t>
            </w:r>
            <w:r w:rsidRPr="0065313A">
              <w:rPr>
                <w:vertAlign w:val="subscript"/>
              </w:rPr>
              <w:t>2</w:t>
            </w:r>
            <w:r w:rsidRPr="0065313A">
              <w:t>4H</w:t>
            </w:r>
            <w:r w:rsidRPr="0065313A">
              <w:rPr>
                <w:vertAlign w:val="subscript"/>
              </w:rPr>
              <w:t>2</w:t>
            </w:r>
            <w:r w:rsidRPr="0065313A">
              <w:t>O</w:t>
            </w:r>
          </w:p>
        </w:tc>
        <w:tc>
          <w:tcPr>
            <w:tcW w:w="2350" w:type="dxa"/>
            <w:tcBorders>
              <w:left w:val="nil"/>
              <w:bottom w:val="nil"/>
              <w:right w:val="nil"/>
            </w:tcBorders>
            <w:shd w:val="clear" w:color="auto" w:fill="F2F2F2"/>
          </w:tcPr>
          <w:p w:rsidR="00387A07" w:rsidRPr="0065313A" w:rsidRDefault="00387A07" w:rsidP="00387A07">
            <w:r w:rsidRPr="0065313A">
              <w:t>Acetone</w:t>
            </w:r>
          </w:p>
        </w:tc>
        <w:tc>
          <w:tcPr>
            <w:tcW w:w="1275" w:type="dxa"/>
            <w:tcBorders>
              <w:left w:val="nil"/>
              <w:bottom w:val="nil"/>
              <w:right w:val="nil"/>
            </w:tcBorders>
            <w:shd w:val="clear" w:color="auto" w:fill="F2F2F2"/>
          </w:tcPr>
          <w:p w:rsidR="00387A07" w:rsidRPr="0065313A" w:rsidRDefault="00387A07" w:rsidP="00387A07">
            <w:r w:rsidRPr="0065313A">
              <w:t>295</w:t>
            </w:r>
          </w:p>
        </w:tc>
        <w:tc>
          <w:tcPr>
            <w:tcW w:w="1560" w:type="dxa"/>
            <w:tcBorders>
              <w:left w:val="nil"/>
              <w:bottom w:val="nil"/>
              <w:right w:val="nil"/>
            </w:tcBorders>
            <w:shd w:val="clear" w:color="auto" w:fill="F2F2F2"/>
          </w:tcPr>
          <w:p w:rsidR="00387A07" w:rsidRPr="0065313A" w:rsidRDefault="00387A07" w:rsidP="00387A07">
            <w:pPr>
              <w:jc w:val="center"/>
            </w:pPr>
            <w:r w:rsidRPr="0065313A">
              <w:t>[105]</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PLGA</w:t>
            </w:r>
          </w:p>
        </w:tc>
        <w:tc>
          <w:tcPr>
            <w:tcW w:w="1912" w:type="dxa"/>
            <w:tcBorders>
              <w:top w:val="nil"/>
              <w:left w:val="nil"/>
              <w:bottom w:val="nil"/>
              <w:right w:val="nil"/>
            </w:tcBorders>
            <w:shd w:val="clear" w:color="auto" w:fill="F2F2F2"/>
          </w:tcPr>
          <w:p w:rsidR="00387A07" w:rsidRPr="0065313A" w:rsidRDefault="00387A07" w:rsidP="00387A07">
            <w:r w:rsidRPr="0065313A">
              <w:t>MgCl</w:t>
            </w:r>
            <w:r w:rsidRPr="0065313A">
              <w:rPr>
                <w:vertAlign w:val="subscript"/>
              </w:rPr>
              <w:t>2</w:t>
            </w:r>
            <w:r w:rsidRPr="0065313A">
              <w:t>6H</w:t>
            </w:r>
            <w:r w:rsidRPr="0065313A">
              <w:rPr>
                <w:vertAlign w:val="subscript"/>
              </w:rPr>
              <w:t>2</w:t>
            </w:r>
            <w:r w:rsidRPr="0065313A">
              <w:t>O</w:t>
            </w:r>
          </w:p>
        </w:tc>
        <w:tc>
          <w:tcPr>
            <w:tcW w:w="2350" w:type="dxa"/>
            <w:tcBorders>
              <w:top w:val="nil"/>
              <w:left w:val="nil"/>
              <w:bottom w:val="nil"/>
              <w:right w:val="nil"/>
            </w:tcBorders>
            <w:shd w:val="clear" w:color="auto" w:fill="F2F2F2"/>
          </w:tcPr>
          <w:p w:rsidR="00387A07" w:rsidRPr="0065313A" w:rsidRDefault="00387A07" w:rsidP="00387A07">
            <w:r w:rsidRPr="0065313A">
              <w:t>THF</w:t>
            </w:r>
          </w:p>
        </w:tc>
        <w:tc>
          <w:tcPr>
            <w:tcW w:w="1275" w:type="dxa"/>
            <w:tcBorders>
              <w:top w:val="nil"/>
              <w:left w:val="nil"/>
              <w:bottom w:val="nil"/>
              <w:right w:val="nil"/>
            </w:tcBorders>
            <w:shd w:val="clear" w:color="auto" w:fill="F2F2F2"/>
          </w:tcPr>
          <w:p w:rsidR="00387A07" w:rsidRPr="0065313A" w:rsidRDefault="00387A07" w:rsidP="00387A07">
            <w:r w:rsidRPr="0065313A">
              <w:t>&gt;200</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[106]</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PLGA</w:t>
            </w:r>
          </w:p>
        </w:tc>
        <w:tc>
          <w:tcPr>
            <w:tcW w:w="1912" w:type="dxa"/>
            <w:tcBorders>
              <w:top w:val="nil"/>
              <w:left w:val="nil"/>
              <w:bottom w:val="nil"/>
              <w:right w:val="nil"/>
            </w:tcBorders>
            <w:shd w:val="clear" w:color="auto" w:fill="F2F2F2"/>
          </w:tcPr>
          <w:p w:rsidR="00387A07" w:rsidRPr="0065313A" w:rsidRDefault="00387A07" w:rsidP="00387A07">
            <w:pPr>
              <w:rPr>
                <w:vertAlign w:val="subscript"/>
              </w:rPr>
            </w:pPr>
            <w:r w:rsidRPr="0065313A">
              <w:t>CaCl</w:t>
            </w:r>
            <w:r w:rsidRPr="0065313A">
              <w:rPr>
                <w:vertAlign w:val="subscript"/>
              </w:rPr>
              <w:t>2</w:t>
            </w:r>
          </w:p>
        </w:tc>
        <w:tc>
          <w:tcPr>
            <w:tcW w:w="2350" w:type="dxa"/>
            <w:tcBorders>
              <w:top w:val="nil"/>
              <w:left w:val="nil"/>
              <w:bottom w:val="nil"/>
              <w:right w:val="nil"/>
            </w:tcBorders>
            <w:shd w:val="clear" w:color="auto" w:fill="F2F2F2"/>
          </w:tcPr>
          <w:p w:rsidR="00387A07" w:rsidRPr="0065313A" w:rsidRDefault="00387A07" w:rsidP="00387A07">
            <w:r w:rsidRPr="0065313A">
              <w:t>Acetonitrile</w:t>
            </w:r>
          </w:p>
        </w:tc>
        <w:tc>
          <w:tcPr>
            <w:tcW w:w="1275" w:type="dxa"/>
            <w:tcBorders>
              <w:top w:val="nil"/>
              <w:left w:val="nil"/>
              <w:bottom w:val="nil"/>
              <w:right w:val="nil"/>
            </w:tcBorders>
            <w:shd w:val="clear" w:color="auto" w:fill="F2F2F2"/>
          </w:tcPr>
          <w:p w:rsidR="00387A07" w:rsidRPr="0065313A" w:rsidRDefault="00387A07" w:rsidP="00387A07">
            <w:r w:rsidRPr="0065313A">
              <w:t>480</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[107]</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PDLLA</w:t>
            </w:r>
          </w:p>
        </w:tc>
        <w:tc>
          <w:tcPr>
            <w:tcW w:w="1912" w:type="dxa"/>
            <w:tcBorders>
              <w:top w:val="nil"/>
              <w:left w:val="nil"/>
              <w:bottom w:val="nil"/>
              <w:right w:val="nil"/>
            </w:tcBorders>
            <w:shd w:val="clear" w:color="auto" w:fill="F2F2F2"/>
          </w:tcPr>
          <w:p w:rsidR="00387A07" w:rsidRPr="0065313A" w:rsidRDefault="00387A07" w:rsidP="00387A07">
            <w:r w:rsidRPr="0065313A">
              <w:t>MgCl</w:t>
            </w:r>
            <w:r w:rsidRPr="0065313A">
              <w:rPr>
                <w:vertAlign w:val="subscript"/>
              </w:rPr>
              <w:t>2</w:t>
            </w:r>
            <w:r w:rsidRPr="0065313A">
              <w:t>6H</w:t>
            </w:r>
            <w:r w:rsidRPr="0065313A">
              <w:rPr>
                <w:vertAlign w:val="subscript"/>
              </w:rPr>
              <w:t>2</w:t>
            </w:r>
            <w:r w:rsidRPr="0065313A">
              <w:t>O</w:t>
            </w:r>
          </w:p>
        </w:tc>
        <w:tc>
          <w:tcPr>
            <w:tcW w:w="2350" w:type="dxa"/>
            <w:tcBorders>
              <w:top w:val="nil"/>
              <w:left w:val="nil"/>
              <w:bottom w:val="nil"/>
              <w:right w:val="nil"/>
            </w:tcBorders>
            <w:shd w:val="clear" w:color="auto" w:fill="F2F2F2"/>
          </w:tcPr>
          <w:p w:rsidR="00387A07" w:rsidRPr="0065313A" w:rsidRDefault="00387A07" w:rsidP="00387A07">
            <w:r w:rsidRPr="0065313A">
              <w:t>Acetone/Ethyl acetate</w:t>
            </w:r>
          </w:p>
        </w:tc>
        <w:tc>
          <w:tcPr>
            <w:tcW w:w="1275" w:type="dxa"/>
            <w:tcBorders>
              <w:top w:val="nil"/>
              <w:left w:val="nil"/>
              <w:bottom w:val="nil"/>
              <w:right w:val="nil"/>
            </w:tcBorders>
            <w:shd w:val="clear" w:color="auto" w:fill="F2F2F2"/>
          </w:tcPr>
          <w:p w:rsidR="00387A07" w:rsidRPr="0065313A" w:rsidRDefault="00387A07" w:rsidP="00387A07">
            <w:r w:rsidRPr="0065313A">
              <w:t>100-400</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[108]</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PDLLA</w:t>
            </w:r>
          </w:p>
        </w:tc>
        <w:tc>
          <w:tcPr>
            <w:tcW w:w="1912" w:type="dxa"/>
            <w:tcBorders>
              <w:top w:val="nil"/>
              <w:left w:val="nil"/>
              <w:bottom w:val="nil"/>
              <w:right w:val="nil"/>
            </w:tcBorders>
            <w:shd w:val="clear" w:color="auto" w:fill="F2F2F2"/>
          </w:tcPr>
          <w:p w:rsidR="00387A07" w:rsidRPr="0065313A" w:rsidRDefault="00387A07" w:rsidP="00387A07">
            <w:r w:rsidRPr="0065313A">
              <w:t>MgCl</w:t>
            </w:r>
            <w:r w:rsidRPr="0065313A">
              <w:rPr>
                <w:vertAlign w:val="subscript"/>
              </w:rPr>
              <w:t>2</w:t>
            </w:r>
            <w:r w:rsidRPr="0065313A">
              <w:t>6H</w:t>
            </w:r>
            <w:r w:rsidRPr="0065313A">
              <w:rPr>
                <w:vertAlign w:val="subscript"/>
              </w:rPr>
              <w:t>2</w:t>
            </w:r>
            <w:r w:rsidRPr="0065313A">
              <w:t>O</w:t>
            </w:r>
          </w:p>
        </w:tc>
        <w:tc>
          <w:tcPr>
            <w:tcW w:w="2350" w:type="dxa"/>
            <w:tcBorders>
              <w:top w:val="nil"/>
              <w:left w:val="nil"/>
              <w:bottom w:val="nil"/>
              <w:right w:val="nil"/>
            </w:tcBorders>
            <w:shd w:val="clear" w:color="auto" w:fill="F2F2F2"/>
          </w:tcPr>
          <w:p w:rsidR="00387A07" w:rsidRPr="0065313A" w:rsidRDefault="00387A07" w:rsidP="00387A07">
            <w:r w:rsidRPr="0065313A">
              <w:t>Acetone</w:t>
            </w:r>
          </w:p>
        </w:tc>
        <w:tc>
          <w:tcPr>
            <w:tcW w:w="1275" w:type="dxa"/>
            <w:tcBorders>
              <w:top w:val="nil"/>
              <w:left w:val="nil"/>
              <w:bottom w:val="nil"/>
              <w:right w:val="nil"/>
            </w:tcBorders>
            <w:shd w:val="clear" w:color="auto" w:fill="F2F2F2"/>
          </w:tcPr>
          <w:p w:rsidR="00387A07" w:rsidRPr="0065313A" w:rsidRDefault="00387A07" w:rsidP="00387A07">
            <w:r w:rsidRPr="0065313A">
              <w:t>279</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[109]</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PDLLA</w:t>
            </w:r>
          </w:p>
        </w:tc>
        <w:tc>
          <w:tcPr>
            <w:tcW w:w="1912" w:type="dxa"/>
            <w:tcBorders>
              <w:top w:val="nil"/>
              <w:left w:val="nil"/>
              <w:bottom w:val="nil"/>
              <w:right w:val="nil"/>
            </w:tcBorders>
            <w:shd w:val="clear" w:color="auto" w:fill="F2F2F2"/>
          </w:tcPr>
          <w:p w:rsidR="00387A07" w:rsidRPr="0065313A" w:rsidRDefault="00387A07" w:rsidP="00387A07">
            <w:r w:rsidRPr="0065313A">
              <w:t>MgCl</w:t>
            </w:r>
            <w:r w:rsidRPr="0065313A">
              <w:rPr>
                <w:vertAlign w:val="subscript"/>
              </w:rPr>
              <w:t>2</w:t>
            </w:r>
            <w:r w:rsidRPr="0065313A">
              <w:t>6H</w:t>
            </w:r>
            <w:r w:rsidRPr="0065313A">
              <w:rPr>
                <w:vertAlign w:val="subscript"/>
              </w:rPr>
              <w:t>2</w:t>
            </w:r>
            <w:r w:rsidRPr="0065313A">
              <w:t>O</w:t>
            </w:r>
          </w:p>
        </w:tc>
        <w:tc>
          <w:tcPr>
            <w:tcW w:w="2350" w:type="dxa"/>
            <w:tcBorders>
              <w:top w:val="nil"/>
              <w:left w:val="nil"/>
              <w:bottom w:val="nil"/>
              <w:right w:val="nil"/>
            </w:tcBorders>
            <w:shd w:val="clear" w:color="auto" w:fill="F2F2F2"/>
          </w:tcPr>
          <w:p w:rsidR="00387A07" w:rsidRPr="0065313A" w:rsidRDefault="00387A07" w:rsidP="00387A07">
            <w:r w:rsidRPr="0065313A">
              <w:t>Acetone</w:t>
            </w:r>
          </w:p>
        </w:tc>
        <w:tc>
          <w:tcPr>
            <w:tcW w:w="1275" w:type="dxa"/>
            <w:tcBorders>
              <w:top w:val="nil"/>
              <w:left w:val="nil"/>
              <w:bottom w:val="nil"/>
              <w:right w:val="nil"/>
            </w:tcBorders>
            <w:shd w:val="clear" w:color="auto" w:fill="F2F2F2"/>
          </w:tcPr>
          <w:p w:rsidR="00387A07" w:rsidRPr="0065313A" w:rsidRDefault="00387A07" w:rsidP="00387A07">
            <w:r w:rsidRPr="0065313A">
              <w:t>248</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[110]</w:t>
            </w:r>
          </w:p>
        </w:tc>
      </w:tr>
      <w:tr w:rsidR="00387A07" w:rsidRPr="0065313A" w:rsidTr="00387A07">
        <w:trPr>
          <w:jc w:val="center"/>
        </w:trPr>
        <w:tc>
          <w:tcPr>
            <w:tcW w:w="1375" w:type="dxa"/>
            <w:tcBorders>
              <w:top w:val="nil"/>
              <w:left w:val="nil"/>
              <w:bottom w:val="nil"/>
              <w:right w:val="nil"/>
            </w:tcBorders>
            <w:shd w:val="clear" w:color="auto" w:fill="F2F2F2"/>
          </w:tcPr>
          <w:p w:rsidR="00387A07" w:rsidRPr="0065313A" w:rsidRDefault="00387A07" w:rsidP="00387A07">
            <w:r w:rsidRPr="0065313A">
              <w:t>PLGA</w:t>
            </w:r>
          </w:p>
        </w:tc>
        <w:tc>
          <w:tcPr>
            <w:tcW w:w="1912" w:type="dxa"/>
            <w:tcBorders>
              <w:top w:val="nil"/>
              <w:left w:val="nil"/>
              <w:bottom w:val="nil"/>
              <w:right w:val="nil"/>
            </w:tcBorders>
            <w:shd w:val="clear" w:color="auto" w:fill="F2F2F2"/>
          </w:tcPr>
          <w:p w:rsidR="00387A07" w:rsidRPr="0065313A" w:rsidRDefault="00387A07" w:rsidP="00387A07">
            <w:r w:rsidRPr="0065313A">
              <w:t>PVA</w:t>
            </w:r>
          </w:p>
        </w:tc>
        <w:tc>
          <w:tcPr>
            <w:tcW w:w="2350" w:type="dxa"/>
            <w:tcBorders>
              <w:top w:val="nil"/>
              <w:left w:val="nil"/>
              <w:bottom w:val="nil"/>
              <w:right w:val="nil"/>
            </w:tcBorders>
            <w:shd w:val="clear" w:color="auto" w:fill="F2F2F2"/>
          </w:tcPr>
          <w:p w:rsidR="00387A07" w:rsidRPr="0065313A" w:rsidRDefault="00387A07" w:rsidP="00387A07">
            <w:r w:rsidRPr="0065313A">
              <w:t>Acetone/DCM</w:t>
            </w:r>
          </w:p>
        </w:tc>
        <w:tc>
          <w:tcPr>
            <w:tcW w:w="1275" w:type="dxa"/>
            <w:tcBorders>
              <w:top w:val="nil"/>
              <w:left w:val="nil"/>
              <w:bottom w:val="nil"/>
              <w:right w:val="nil"/>
            </w:tcBorders>
            <w:shd w:val="clear" w:color="auto" w:fill="F2F2F2"/>
          </w:tcPr>
          <w:p w:rsidR="00387A07" w:rsidRPr="0065313A" w:rsidRDefault="00387A07" w:rsidP="00387A07">
            <w:r w:rsidRPr="0065313A">
              <w:t>110</w:t>
            </w:r>
          </w:p>
        </w:tc>
        <w:tc>
          <w:tcPr>
            <w:tcW w:w="1560" w:type="dxa"/>
            <w:tcBorders>
              <w:top w:val="nil"/>
              <w:left w:val="nil"/>
              <w:bottom w:val="nil"/>
              <w:right w:val="nil"/>
            </w:tcBorders>
            <w:shd w:val="clear" w:color="auto" w:fill="F2F2F2"/>
          </w:tcPr>
          <w:p w:rsidR="00387A07" w:rsidRPr="0065313A" w:rsidRDefault="00387A07" w:rsidP="00387A07">
            <w:pPr>
              <w:jc w:val="center"/>
            </w:pPr>
            <w:r w:rsidRPr="0065313A">
              <w:t>[111]</w:t>
            </w:r>
          </w:p>
        </w:tc>
      </w:tr>
    </w:tbl>
    <w:p w:rsidR="00387A07" w:rsidRPr="0065313A" w:rsidRDefault="00387A07" w:rsidP="00387A07">
      <w:pPr>
        <w:pStyle w:val="Didascalia"/>
        <w:spacing w:before="120"/>
      </w:pPr>
      <w:r w:rsidRPr="0065313A">
        <w:t xml:space="preserve">Table 1. </w:t>
      </w:r>
      <w:fldSimple w:instr=" SEQ Table_1. \* ARABIC ">
        <w:r w:rsidRPr="0065313A">
          <w:rPr>
            <w:noProof/>
          </w:rPr>
          <w:t>5</w:t>
        </w:r>
      </w:fldSimple>
      <w:r w:rsidRPr="0065313A">
        <w:t xml:space="preserve"> Characteristic of nanoparticles prepared by the Salting out method. Adapted from [10]</w:t>
      </w:r>
    </w:p>
    <w:p w:rsidR="00387A07" w:rsidRPr="0065313A" w:rsidRDefault="00387A07" w:rsidP="00387A07"/>
    <w:p w:rsidR="00387A07" w:rsidRPr="0065313A" w:rsidRDefault="00387A07" w:rsidP="00387A07"/>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lastRenderedPageBreak/>
        <w:t>1.4 Polymers used in nanoparticle formulations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most widely used polymers for the preparation of biodegradable nanoparticles belong to the polyester family. Biodegradable polyesters such as poly (D,L-lactic acid), poly (lactide-co-glycolide) and poly (ε-caprolactone) have been used extensively for biomedical applications. In some instances, to improve the circulation time in the blood of nanoparticles, copolymers with poly(ethylene glycol) (PEG) are used since it is known that the presence of PEG chains on the surface of nanoparticles hinders the uptake from the mononuclear phogocytic system (MPS). </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1.4.1 Polylactide</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PLA belongs to the family of aliphatic polyesters derived from α-hydroxy acids. The building block of PLA, lactic acid (2-hydroxy propionic acid), can exist in optically active D- or L-enantiomers. Depending on the proportion of the enantiomers, PLA of variable material properties can be derived (see figure 1.8). This allows the production of a wide spectrum of PLA polymers to match performance requirements [112].</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Commercial PLAs are copolymers of poly(L-lactic acid) (</w:t>
      </w:r>
      <w:r w:rsidRPr="0065313A">
        <w:rPr>
          <w:rFonts w:ascii="Arial" w:hAnsi="Arial" w:cs="Arial"/>
          <w:color w:val="000000"/>
          <w:sz w:val="24"/>
          <w:szCs w:val="24"/>
          <w:lang w:val="en-US"/>
        </w:rPr>
        <w:t xml:space="preserve">PLLA) and poly(D,L-lactic acid) (PDLLA), which are produced from L-lactides and D,L-lactides, respectively </w:t>
      </w:r>
      <w:r w:rsidRPr="0065313A">
        <w:rPr>
          <w:rFonts w:ascii="Arial" w:hAnsi="Arial" w:cs="Arial"/>
          <w:color w:val="000066"/>
          <w:sz w:val="24"/>
          <w:szCs w:val="24"/>
          <w:lang w:val="en-US"/>
        </w:rPr>
        <w:t>[</w:t>
      </w:r>
      <w:r w:rsidRPr="0065313A">
        <w:rPr>
          <w:rFonts w:ascii="Arial" w:hAnsi="Arial" w:cs="Arial"/>
          <w:sz w:val="24"/>
          <w:szCs w:val="24"/>
          <w:lang w:val="en-US"/>
        </w:rPr>
        <w:t>113</w:t>
      </w:r>
      <w:r w:rsidRPr="0065313A">
        <w:rPr>
          <w:rFonts w:ascii="Arial" w:hAnsi="Arial" w:cs="Arial"/>
          <w:color w:val="000066"/>
          <w:sz w:val="24"/>
          <w:szCs w:val="24"/>
          <w:lang w:val="en-US"/>
        </w:rPr>
        <w:t>]</w:t>
      </w:r>
      <w:r w:rsidRPr="0065313A">
        <w:rPr>
          <w:rFonts w:ascii="Arial" w:hAnsi="Arial" w:cs="Arial"/>
          <w:color w:val="000000"/>
          <w:sz w:val="24"/>
          <w:szCs w:val="24"/>
          <w:lang w:val="en-US"/>
        </w:rPr>
        <w:t>. The</w:t>
      </w:r>
      <w:r w:rsidRPr="0065313A">
        <w:rPr>
          <w:rFonts w:ascii="Arial" w:hAnsi="Arial" w:cs="Arial"/>
          <w:sz w:val="24"/>
          <w:szCs w:val="24"/>
          <w:lang w:val="en-US"/>
        </w:rPr>
        <w:t xml:space="preserve"> </w:t>
      </w:r>
      <w:r w:rsidRPr="0065313A">
        <w:rPr>
          <w:rFonts w:ascii="Arial" w:hAnsi="Arial" w:cs="Arial"/>
          <w:color w:val="000000"/>
          <w:sz w:val="24"/>
          <w:szCs w:val="24"/>
          <w:lang w:val="en-US"/>
        </w:rPr>
        <w:t>l-isomer constitutes the main fraction of PLA derived from</w:t>
      </w:r>
      <w:r w:rsidRPr="0065313A">
        <w:rPr>
          <w:rFonts w:ascii="Arial" w:hAnsi="Arial" w:cs="Arial"/>
          <w:sz w:val="24"/>
          <w:szCs w:val="24"/>
          <w:lang w:val="en-US"/>
        </w:rPr>
        <w:t xml:space="preserve"> </w:t>
      </w:r>
      <w:r w:rsidRPr="0065313A">
        <w:rPr>
          <w:rFonts w:ascii="Arial" w:hAnsi="Arial" w:cs="Arial"/>
          <w:color w:val="000000"/>
          <w:sz w:val="24"/>
          <w:szCs w:val="24"/>
          <w:lang w:val="en-US"/>
        </w:rPr>
        <w:t>renewable sources since the majority of lactic acid in living systems exists in this form. Depending on the</w:t>
      </w:r>
      <w:r w:rsidRPr="0065313A">
        <w:rPr>
          <w:rFonts w:ascii="Arial" w:hAnsi="Arial" w:cs="Arial"/>
          <w:sz w:val="24"/>
          <w:szCs w:val="24"/>
          <w:lang w:val="en-US"/>
        </w:rPr>
        <w:t xml:space="preserve"> </w:t>
      </w:r>
      <w:r w:rsidRPr="0065313A">
        <w:rPr>
          <w:rFonts w:ascii="Arial" w:hAnsi="Arial" w:cs="Arial"/>
          <w:color w:val="000000"/>
          <w:sz w:val="24"/>
          <w:szCs w:val="24"/>
          <w:lang w:val="en-US"/>
        </w:rPr>
        <w:t>composition of the optically active L- and D- enantiomers,</w:t>
      </w:r>
      <w:r w:rsidRPr="0065313A">
        <w:rPr>
          <w:rFonts w:ascii="Arial" w:hAnsi="Arial" w:cs="Arial"/>
          <w:sz w:val="24"/>
          <w:szCs w:val="24"/>
          <w:lang w:val="en-US"/>
        </w:rPr>
        <w:t xml:space="preserve"> </w:t>
      </w:r>
      <w:r w:rsidRPr="0065313A">
        <w:rPr>
          <w:rFonts w:ascii="Arial" w:hAnsi="Arial" w:cs="Arial"/>
          <w:color w:val="000000"/>
          <w:sz w:val="24"/>
          <w:szCs w:val="24"/>
          <w:lang w:val="en-US"/>
        </w:rPr>
        <w:t xml:space="preserve">PLA can crystallize in three forms (α, β and γ) The α structure is more stable and has a melting temperature </w:t>
      </w:r>
      <w:r w:rsidRPr="0065313A">
        <w:rPr>
          <w:rFonts w:ascii="Arial" w:hAnsi="Arial" w:cs="Arial"/>
          <w:iCs/>
          <w:color w:val="000000"/>
          <w:sz w:val="24"/>
          <w:szCs w:val="24"/>
          <w:lang w:val="en-US"/>
        </w:rPr>
        <w:t>T</w:t>
      </w:r>
      <w:r w:rsidRPr="0065313A">
        <w:rPr>
          <w:rFonts w:ascii="Arial" w:hAnsi="Arial" w:cs="Arial"/>
          <w:iCs/>
          <w:color w:val="000000"/>
          <w:sz w:val="24"/>
          <w:szCs w:val="24"/>
          <w:vertAlign w:val="subscript"/>
          <w:lang w:val="en-US"/>
        </w:rPr>
        <w:t>m</w:t>
      </w:r>
      <w:r w:rsidRPr="0065313A">
        <w:rPr>
          <w:rFonts w:ascii="Arial" w:hAnsi="Arial" w:cs="Arial"/>
          <w:iCs/>
          <w:color w:val="000000"/>
          <w:sz w:val="24"/>
          <w:szCs w:val="24"/>
          <w:lang w:val="en-US"/>
        </w:rPr>
        <w:t xml:space="preserve"> </w:t>
      </w:r>
      <w:r w:rsidRPr="0065313A">
        <w:rPr>
          <w:rFonts w:ascii="Arial" w:hAnsi="Arial" w:cs="Arial"/>
          <w:color w:val="000000"/>
          <w:sz w:val="24"/>
          <w:szCs w:val="24"/>
          <w:lang w:val="en-US"/>
        </w:rPr>
        <w:t xml:space="preserve">of 185°C compared to the β structure, with a </w:t>
      </w:r>
      <w:r w:rsidRPr="0065313A">
        <w:rPr>
          <w:rFonts w:ascii="Arial" w:hAnsi="Arial" w:cs="Arial"/>
          <w:iCs/>
          <w:color w:val="000000"/>
          <w:sz w:val="24"/>
          <w:szCs w:val="24"/>
          <w:lang w:val="en-US"/>
        </w:rPr>
        <w:t>T</w:t>
      </w:r>
      <w:r w:rsidRPr="0065313A">
        <w:rPr>
          <w:rFonts w:ascii="Arial" w:hAnsi="Arial" w:cs="Arial"/>
          <w:color w:val="000000"/>
          <w:sz w:val="24"/>
          <w:szCs w:val="24"/>
          <w:vertAlign w:val="subscript"/>
          <w:lang w:val="en-US"/>
        </w:rPr>
        <w:t>m</w:t>
      </w:r>
      <w:r w:rsidRPr="0065313A">
        <w:rPr>
          <w:rFonts w:ascii="Arial" w:hAnsi="Arial" w:cs="Arial"/>
          <w:color w:val="000000"/>
          <w:sz w:val="24"/>
          <w:szCs w:val="24"/>
          <w:lang w:val="en-US"/>
        </w:rPr>
        <w:t xml:space="preserve"> of 175°C</w:t>
      </w:r>
      <w:r w:rsidRPr="0065313A">
        <w:rPr>
          <w:rFonts w:ascii="Arial" w:hAnsi="Arial" w:cs="Arial"/>
          <w:sz w:val="24"/>
          <w:szCs w:val="24"/>
          <w:lang w:val="en-US"/>
        </w:rPr>
        <w:t xml:space="preserve"> </w:t>
      </w:r>
      <w:r w:rsidRPr="0065313A">
        <w:rPr>
          <w:rFonts w:ascii="Arial" w:hAnsi="Arial" w:cs="Arial"/>
          <w:color w:val="000066"/>
          <w:sz w:val="24"/>
          <w:szCs w:val="24"/>
          <w:lang w:val="en-US"/>
        </w:rPr>
        <w:t>[114]</w:t>
      </w:r>
      <w:r w:rsidRPr="0065313A">
        <w:rPr>
          <w:rFonts w:ascii="Arial" w:hAnsi="Arial" w:cs="Arial"/>
          <w:color w:val="000000"/>
          <w:sz w:val="24"/>
          <w:szCs w:val="24"/>
          <w:lang w:val="en-US"/>
        </w:rPr>
        <w:t>. The optical purity of PLA has several profound effects</w:t>
      </w:r>
      <w:r w:rsidRPr="0065313A">
        <w:rPr>
          <w:rFonts w:ascii="Arial" w:hAnsi="Arial" w:cs="Arial"/>
          <w:sz w:val="24"/>
          <w:szCs w:val="24"/>
          <w:lang w:val="en-US"/>
        </w:rPr>
        <w:t xml:space="preserve"> </w:t>
      </w:r>
      <w:r w:rsidRPr="0065313A">
        <w:rPr>
          <w:rFonts w:ascii="Arial" w:hAnsi="Arial" w:cs="Arial"/>
          <w:color w:val="000000"/>
          <w:sz w:val="24"/>
          <w:szCs w:val="24"/>
          <w:lang w:val="en-US"/>
        </w:rPr>
        <w:t>on the structural, thermal, barrier and mechanical properties</w:t>
      </w:r>
      <w:r w:rsidRPr="0065313A">
        <w:rPr>
          <w:rFonts w:ascii="Arial" w:hAnsi="Arial" w:cs="Arial"/>
          <w:sz w:val="24"/>
          <w:szCs w:val="24"/>
          <w:lang w:val="en-US"/>
        </w:rPr>
        <w:t xml:space="preserve"> </w:t>
      </w:r>
      <w:r w:rsidRPr="0065313A">
        <w:rPr>
          <w:rFonts w:ascii="Arial" w:hAnsi="Arial" w:cs="Arial"/>
          <w:color w:val="000000"/>
          <w:sz w:val="24"/>
          <w:szCs w:val="24"/>
          <w:lang w:val="en-US"/>
        </w:rPr>
        <w:t>of the polymer. PLA polymers with L-content</w:t>
      </w:r>
      <w:r w:rsidRPr="0065313A">
        <w:rPr>
          <w:rFonts w:ascii="Arial" w:hAnsi="Arial" w:cs="Arial"/>
          <w:sz w:val="24"/>
          <w:szCs w:val="24"/>
          <w:lang w:val="en-US"/>
        </w:rPr>
        <w:t xml:space="preserve"> </w:t>
      </w:r>
      <w:r w:rsidRPr="0065313A">
        <w:rPr>
          <w:rFonts w:ascii="Arial" w:hAnsi="Arial" w:cs="Arial"/>
          <w:color w:val="000000"/>
          <w:sz w:val="24"/>
          <w:szCs w:val="24"/>
          <w:lang w:val="en-US"/>
        </w:rPr>
        <w:t>greater than 90% tend to be crystalline while those with</w:t>
      </w:r>
      <w:r w:rsidRPr="0065313A">
        <w:rPr>
          <w:rFonts w:ascii="Arial" w:hAnsi="Arial" w:cs="Arial"/>
          <w:sz w:val="24"/>
          <w:szCs w:val="24"/>
          <w:lang w:val="en-US"/>
        </w:rPr>
        <w:t xml:space="preserve"> </w:t>
      </w:r>
      <w:r w:rsidRPr="0065313A">
        <w:rPr>
          <w:rFonts w:ascii="Arial" w:hAnsi="Arial" w:cs="Arial"/>
          <w:color w:val="000000"/>
          <w:sz w:val="24"/>
          <w:szCs w:val="24"/>
          <w:lang w:val="en-US"/>
        </w:rPr>
        <w:t xml:space="preserve">lower optical purity are amorphous. Moreover, </w:t>
      </w:r>
      <w:r w:rsidRPr="0065313A">
        <w:rPr>
          <w:rFonts w:ascii="Arial" w:hAnsi="Arial" w:cs="Arial"/>
          <w:iCs/>
          <w:color w:val="000000"/>
          <w:sz w:val="24"/>
          <w:szCs w:val="24"/>
          <w:lang w:val="en-US"/>
        </w:rPr>
        <w:t>T</w:t>
      </w:r>
      <w:r w:rsidRPr="0065313A">
        <w:rPr>
          <w:rFonts w:ascii="Arial" w:hAnsi="Arial" w:cs="Arial"/>
          <w:color w:val="000000"/>
          <w:sz w:val="24"/>
          <w:szCs w:val="24"/>
          <w:vertAlign w:val="subscript"/>
          <w:lang w:val="en-US"/>
        </w:rPr>
        <w:t>m</w:t>
      </w:r>
      <w:r w:rsidRPr="0065313A">
        <w:rPr>
          <w:rFonts w:ascii="Arial" w:hAnsi="Arial" w:cs="Arial"/>
          <w:color w:val="000000"/>
          <w:sz w:val="24"/>
          <w:szCs w:val="24"/>
          <w:lang w:val="en-US"/>
        </w:rPr>
        <w:t xml:space="preserve">, glass transition temperature and crystallinity decrease with decreasing L-isomer content </w:t>
      </w:r>
      <w:r w:rsidRPr="0065313A">
        <w:rPr>
          <w:rFonts w:ascii="Arial" w:hAnsi="Arial" w:cs="Arial"/>
          <w:color w:val="000066"/>
          <w:sz w:val="24"/>
          <w:szCs w:val="24"/>
          <w:lang w:val="en-US"/>
        </w:rPr>
        <w:t>[114][</w:t>
      </w:r>
      <w:r w:rsidRPr="0065313A">
        <w:rPr>
          <w:rFonts w:ascii="Arial" w:hAnsi="Arial" w:cs="Arial"/>
          <w:sz w:val="24"/>
          <w:szCs w:val="24"/>
          <w:lang w:val="en-US"/>
        </w:rPr>
        <w:t>115</w:t>
      </w:r>
      <w:r w:rsidRPr="0065313A">
        <w:rPr>
          <w:rFonts w:ascii="Arial" w:hAnsi="Arial" w:cs="Arial"/>
          <w:color w:val="000066"/>
          <w:sz w:val="24"/>
          <w:szCs w:val="24"/>
          <w:lang w:val="en-US"/>
        </w:rPr>
        <w:t>]</w:t>
      </w:r>
      <w:r w:rsidRPr="0065313A">
        <w:rPr>
          <w:rFonts w:ascii="Arial" w:hAnsi="Arial" w:cs="Arial"/>
          <w:color w:val="000000"/>
          <w:sz w:val="24"/>
          <w:szCs w:val="24"/>
          <w:lang w:val="en-US"/>
        </w:rPr>
        <w:t>.</w:t>
      </w:r>
    </w:p>
    <w:p w:rsidR="00387A07" w:rsidRPr="0065313A" w:rsidRDefault="00387A07" w:rsidP="00387A07">
      <w:pPr>
        <w:spacing w:after="0" w:line="360" w:lineRule="auto"/>
        <w:jc w:val="both"/>
        <w:rPr>
          <w:rFonts w:ascii="Arial" w:hAnsi="Arial" w:cs="Arial"/>
          <w:b/>
          <w:sz w:val="24"/>
          <w:szCs w:val="24"/>
          <w:lang w:val="en-US"/>
        </w:rPr>
      </w:pPr>
    </w:p>
    <w:p w:rsidR="00387A07" w:rsidRPr="0065313A" w:rsidRDefault="00387A07" w:rsidP="00387A07">
      <w:pPr>
        <w:spacing w:after="0" w:line="360" w:lineRule="auto"/>
        <w:jc w:val="center"/>
        <w:rPr>
          <w:rFonts w:ascii="Arial" w:hAnsi="Arial" w:cs="Arial"/>
          <w:b/>
          <w:sz w:val="24"/>
          <w:szCs w:val="24"/>
          <w:lang w:val="en-US"/>
        </w:rPr>
      </w:pPr>
      <w:r w:rsidRPr="0065313A">
        <w:rPr>
          <w:rFonts w:ascii="Arial" w:hAnsi="Arial" w:cs="Arial"/>
          <w:b/>
          <w:noProof/>
          <w:sz w:val="24"/>
          <w:szCs w:val="24"/>
          <w:lang w:val="it-IT" w:eastAsia="it-IT"/>
        </w:rPr>
        <w:lastRenderedPageBreak/>
        <w:drawing>
          <wp:inline distT="0" distB="0" distL="0" distR="0">
            <wp:extent cx="3971925" cy="2581275"/>
            <wp:effectExtent l="19050" t="0" r="9525" b="0"/>
            <wp:docPr id="3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7"/>
                    <a:srcRect/>
                    <a:stretch>
                      <a:fillRect/>
                    </a:stretch>
                  </pic:blipFill>
                  <pic:spPr bwMode="auto">
                    <a:xfrm>
                      <a:off x="0" y="0"/>
                      <a:ext cx="3971925" cy="2581275"/>
                    </a:xfrm>
                    <a:prstGeom prst="rect">
                      <a:avLst/>
                    </a:prstGeom>
                    <a:noFill/>
                    <a:ln w="9525">
                      <a:noFill/>
                      <a:miter lim="800000"/>
                      <a:headEnd/>
                      <a:tailEnd/>
                    </a:ln>
                  </pic:spPr>
                </pic:pic>
              </a:graphicData>
            </a:graphic>
          </wp:inline>
        </w:drawing>
      </w:r>
    </w:p>
    <w:p w:rsidR="00387A07" w:rsidRPr="0065313A" w:rsidRDefault="00387A07" w:rsidP="00387A07">
      <w:pPr>
        <w:spacing w:before="120" w:line="360" w:lineRule="auto"/>
        <w:jc w:val="both"/>
        <w:rPr>
          <w:rFonts w:cs="Calibri"/>
          <w:b/>
          <w:color w:val="4F81BD"/>
          <w:sz w:val="18"/>
          <w:szCs w:val="18"/>
          <w:lang w:val="en-US"/>
        </w:rPr>
      </w:pPr>
      <w:r w:rsidRPr="0065313A">
        <w:rPr>
          <w:rFonts w:cs="Calibri"/>
          <w:b/>
          <w:color w:val="4F81BD"/>
          <w:sz w:val="18"/>
          <w:szCs w:val="18"/>
        </w:rPr>
        <w:t xml:space="preserve">Figure 1. </w:t>
      </w:r>
      <w:r w:rsidR="00860AC7" w:rsidRPr="0065313A">
        <w:rPr>
          <w:rFonts w:cs="Calibri"/>
          <w:b/>
          <w:color w:val="4F81BD"/>
          <w:sz w:val="18"/>
          <w:szCs w:val="18"/>
        </w:rPr>
        <w:fldChar w:fldCharType="begin"/>
      </w:r>
      <w:r w:rsidRPr="0065313A">
        <w:rPr>
          <w:rFonts w:cs="Calibri"/>
          <w:b/>
          <w:color w:val="4F81BD"/>
          <w:sz w:val="18"/>
          <w:szCs w:val="18"/>
        </w:rPr>
        <w:instrText xml:space="preserve"> SEQ Figure_1. \* ARABIC </w:instrText>
      </w:r>
      <w:r w:rsidR="00860AC7" w:rsidRPr="0065313A">
        <w:rPr>
          <w:rFonts w:cs="Calibri"/>
          <w:b/>
          <w:color w:val="4F81BD"/>
          <w:sz w:val="18"/>
          <w:szCs w:val="18"/>
        </w:rPr>
        <w:fldChar w:fldCharType="separate"/>
      </w:r>
      <w:r w:rsidRPr="0065313A">
        <w:rPr>
          <w:rFonts w:cs="Calibri"/>
          <w:b/>
          <w:noProof/>
          <w:color w:val="4F81BD"/>
          <w:sz w:val="18"/>
          <w:szCs w:val="18"/>
        </w:rPr>
        <w:t>8</w:t>
      </w:r>
      <w:r w:rsidR="00860AC7" w:rsidRPr="0065313A">
        <w:rPr>
          <w:rFonts w:cs="Calibri"/>
          <w:b/>
          <w:color w:val="4F81BD"/>
          <w:sz w:val="18"/>
          <w:szCs w:val="18"/>
        </w:rPr>
        <w:fldChar w:fldCharType="end"/>
      </w:r>
      <w:r w:rsidRPr="0065313A">
        <w:rPr>
          <w:rFonts w:cs="Calibri"/>
          <w:b/>
          <w:color w:val="4F81BD"/>
          <w:sz w:val="18"/>
          <w:szCs w:val="18"/>
        </w:rPr>
        <w:t xml:space="preserve"> </w:t>
      </w:r>
      <w:r w:rsidRPr="0065313A">
        <w:rPr>
          <w:rFonts w:cs="Calibri"/>
          <w:b/>
          <w:color w:val="4F81BD"/>
          <w:sz w:val="18"/>
          <w:szCs w:val="18"/>
          <w:lang w:val="en-US"/>
        </w:rPr>
        <w:t xml:space="preserve">Synthesis of PLA from l and d lactic acids [113]. </w:t>
      </w:r>
    </w:p>
    <w:p w:rsidR="00387A07" w:rsidRPr="0065313A" w:rsidRDefault="00387A07" w:rsidP="00387A07">
      <w:pPr>
        <w:spacing w:after="120" w:line="360" w:lineRule="auto"/>
        <w:jc w:val="both"/>
        <w:rPr>
          <w:rFonts w:ascii="Arial" w:hAnsi="Arial" w:cs="Arial"/>
          <w:sz w:val="24"/>
          <w:szCs w:val="24"/>
          <w:lang w:val="en-US"/>
        </w:rPr>
      </w:pPr>
      <w:r w:rsidRPr="0065313A">
        <w:rPr>
          <w:rFonts w:ascii="Arial" w:hAnsi="Arial" w:cs="Arial"/>
          <w:sz w:val="24"/>
          <w:szCs w:val="24"/>
          <w:lang w:val="en-US"/>
        </w:rPr>
        <w:t xml:space="preserve">PLA nanoparticles have been mostly prepared by solvent evaporation, solvent displacement and salting out method, for the encapsulation of various drug formulations (see table 1.6). </w:t>
      </w:r>
    </w:p>
    <w:tbl>
      <w:tblPr>
        <w:tblW w:w="7905" w:type="dxa"/>
        <w:jc w:val="center"/>
        <w:tblLayout w:type="fixed"/>
        <w:tblLook w:val="00A0"/>
      </w:tblPr>
      <w:tblGrid>
        <w:gridCol w:w="1242"/>
        <w:gridCol w:w="1701"/>
        <w:gridCol w:w="851"/>
        <w:gridCol w:w="2410"/>
        <w:gridCol w:w="992"/>
        <w:gridCol w:w="709"/>
      </w:tblGrid>
      <w:tr w:rsidR="00387A07" w:rsidRPr="0065313A" w:rsidTr="00387A07">
        <w:trPr>
          <w:jc w:val="center"/>
        </w:trPr>
        <w:tc>
          <w:tcPr>
            <w:tcW w:w="124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Polymer</w:t>
            </w:r>
          </w:p>
        </w:tc>
        <w:tc>
          <w:tcPr>
            <w:tcW w:w="1701"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Encapsulant</w:t>
            </w:r>
          </w:p>
        </w:tc>
        <w:tc>
          <w:tcPr>
            <w:tcW w:w="851"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EE</w:t>
            </w:r>
          </w:p>
        </w:tc>
        <w:tc>
          <w:tcPr>
            <w:tcW w:w="2410"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Method</w:t>
            </w:r>
          </w:p>
        </w:tc>
        <w:tc>
          <w:tcPr>
            <w:tcW w:w="99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Size</w:t>
            </w:r>
          </w:p>
        </w:tc>
        <w:tc>
          <w:tcPr>
            <w:tcW w:w="709"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Ref</w:t>
            </w:r>
          </w:p>
        </w:tc>
      </w:tr>
      <w:tr w:rsidR="00387A07" w:rsidRPr="0065313A" w:rsidTr="00387A07">
        <w:trPr>
          <w:jc w:val="center"/>
        </w:trPr>
        <w:tc>
          <w:tcPr>
            <w:tcW w:w="1242" w:type="dxa"/>
            <w:vMerge w:val="restart"/>
            <w:tcBorders>
              <w:left w:val="nil"/>
              <w:bottom w:val="nil"/>
              <w:right w:val="nil"/>
            </w:tcBorders>
            <w:shd w:val="clear" w:color="auto" w:fill="F2F2F2"/>
          </w:tcPr>
          <w:p w:rsidR="00387A07" w:rsidRPr="0065313A" w:rsidRDefault="00387A07" w:rsidP="00387A07">
            <w:r w:rsidRPr="0065313A">
              <w:t>PLA</w:t>
            </w:r>
          </w:p>
          <w:p w:rsidR="00387A07" w:rsidRPr="0065313A" w:rsidRDefault="00387A07" w:rsidP="00387A07"/>
          <w:p w:rsidR="00387A07" w:rsidRPr="0065313A" w:rsidRDefault="00387A07" w:rsidP="00387A07">
            <w:r w:rsidRPr="0065313A">
              <w:rPr>
                <w:noProof/>
                <w:lang w:val="it-IT" w:eastAsia="it-IT"/>
              </w:rPr>
              <w:drawing>
                <wp:inline distT="0" distB="0" distL="0" distR="0">
                  <wp:extent cx="714375" cy="561975"/>
                  <wp:effectExtent l="19050" t="0" r="9525" b="0"/>
                  <wp:docPr id="3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18"/>
                          <a:srcRect/>
                          <a:stretch>
                            <a:fillRect/>
                          </a:stretch>
                        </pic:blipFill>
                        <pic:spPr bwMode="auto">
                          <a:xfrm>
                            <a:off x="0" y="0"/>
                            <a:ext cx="714375" cy="561975"/>
                          </a:xfrm>
                          <a:prstGeom prst="rect">
                            <a:avLst/>
                          </a:prstGeom>
                          <a:noFill/>
                          <a:ln w="9525">
                            <a:noFill/>
                            <a:miter lim="800000"/>
                            <a:headEnd/>
                            <a:tailEnd/>
                          </a:ln>
                        </pic:spPr>
                      </pic:pic>
                    </a:graphicData>
                  </a:graphic>
                </wp:inline>
              </w:drawing>
            </w:r>
          </w:p>
        </w:tc>
        <w:tc>
          <w:tcPr>
            <w:tcW w:w="1701" w:type="dxa"/>
            <w:tcBorders>
              <w:left w:val="nil"/>
              <w:bottom w:val="nil"/>
              <w:right w:val="nil"/>
            </w:tcBorders>
            <w:shd w:val="clear" w:color="auto" w:fill="F2F2F2"/>
          </w:tcPr>
          <w:p w:rsidR="00387A07" w:rsidRPr="0065313A" w:rsidRDefault="00387A07" w:rsidP="00387A07">
            <w:r w:rsidRPr="0065313A">
              <w:t>Oridonin</w:t>
            </w:r>
          </w:p>
        </w:tc>
        <w:tc>
          <w:tcPr>
            <w:tcW w:w="851" w:type="dxa"/>
            <w:tcBorders>
              <w:left w:val="nil"/>
              <w:bottom w:val="nil"/>
              <w:right w:val="nil"/>
            </w:tcBorders>
            <w:shd w:val="clear" w:color="auto" w:fill="F2F2F2"/>
          </w:tcPr>
          <w:p w:rsidR="00387A07" w:rsidRPr="0065313A" w:rsidRDefault="00387A07" w:rsidP="00387A07">
            <w:r w:rsidRPr="0065313A">
              <w:t>91,8%</w:t>
            </w:r>
          </w:p>
        </w:tc>
        <w:tc>
          <w:tcPr>
            <w:tcW w:w="2410" w:type="dxa"/>
            <w:tcBorders>
              <w:left w:val="nil"/>
              <w:bottom w:val="nil"/>
              <w:right w:val="nil"/>
            </w:tcBorders>
            <w:shd w:val="clear" w:color="auto" w:fill="F2F2F2"/>
          </w:tcPr>
          <w:p w:rsidR="00387A07" w:rsidRPr="0065313A" w:rsidRDefault="00387A07" w:rsidP="00387A07">
            <w:r w:rsidRPr="0065313A">
              <w:t>Single emulsion</w:t>
            </w:r>
          </w:p>
        </w:tc>
        <w:tc>
          <w:tcPr>
            <w:tcW w:w="992" w:type="dxa"/>
            <w:tcBorders>
              <w:left w:val="nil"/>
              <w:bottom w:val="nil"/>
              <w:right w:val="nil"/>
            </w:tcBorders>
            <w:shd w:val="clear" w:color="auto" w:fill="F2F2F2"/>
          </w:tcPr>
          <w:p w:rsidR="00387A07" w:rsidRPr="0065313A" w:rsidRDefault="00387A07" w:rsidP="00387A07">
            <w:r w:rsidRPr="0065313A">
              <w:t>137,3</w:t>
            </w:r>
          </w:p>
        </w:tc>
        <w:tc>
          <w:tcPr>
            <w:tcW w:w="709" w:type="dxa"/>
            <w:tcBorders>
              <w:left w:val="nil"/>
              <w:bottom w:val="nil"/>
              <w:right w:val="nil"/>
            </w:tcBorders>
            <w:shd w:val="clear" w:color="auto" w:fill="F2F2F2"/>
          </w:tcPr>
          <w:p w:rsidR="00387A07" w:rsidRPr="0065313A" w:rsidRDefault="00387A07" w:rsidP="00387A07">
            <w:r w:rsidRPr="0065313A">
              <w:t>[116]</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 xml:space="preserve">Chloricomene </w:t>
            </w:r>
          </w:p>
        </w:tc>
        <w:tc>
          <w:tcPr>
            <w:tcW w:w="851" w:type="dxa"/>
            <w:tcBorders>
              <w:top w:val="nil"/>
              <w:left w:val="nil"/>
              <w:bottom w:val="nil"/>
              <w:right w:val="nil"/>
            </w:tcBorders>
            <w:shd w:val="clear" w:color="auto" w:fill="F2F2F2"/>
          </w:tcPr>
          <w:p w:rsidR="00387A07" w:rsidRPr="0065313A" w:rsidRDefault="00387A07" w:rsidP="00387A07">
            <w:r w:rsidRPr="0065313A">
              <w:t>4%</w:t>
            </w:r>
          </w:p>
        </w:tc>
        <w:tc>
          <w:tcPr>
            <w:tcW w:w="2410" w:type="dxa"/>
            <w:tcBorders>
              <w:top w:val="nil"/>
              <w:left w:val="nil"/>
              <w:bottom w:val="nil"/>
              <w:right w:val="nil"/>
            </w:tcBorders>
            <w:shd w:val="clear" w:color="auto" w:fill="F2F2F2"/>
          </w:tcPr>
          <w:p w:rsidR="00387A07" w:rsidRPr="0065313A" w:rsidRDefault="00387A07" w:rsidP="00387A07">
            <w:r w:rsidRPr="0065313A">
              <w:t>Solvent displacement</w:t>
            </w:r>
          </w:p>
        </w:tc>
        <w:tc>
          <w:tcPr>
            <w:tcW w:w="992" w:type="dxa"/>
            <w:tcBorders>
              <w:top w:val="nil"/>
              <w:left w:val="nil"/>
              <w:bottom w:val="nil"/>
              <w:right w:val="nil"/>
            </w:tcBorders>
            <w:shd w:val="clear" w:color="auto" w:fill="F2F2F2"/>
          </w:tcPr>
          <w:p w:rsidR="00387A07" w:rsidRPr="0065313A" w:rsidRDefault="00387A07" w:rsidP="00387A07">
            <w:r w:rsidRPr="0065313A">
              <w:t>320</w:t>
            </w:r>
          </w:p>
        </w:tc>
        <w:tc>
          <w:tcPr>
            <w:tcW w:w="709" w:type="dxa"/>
            <w:tcBorders>
              <w:top w:val="nil"/>
              <w:left w:val="nil"/>
              <w:bottom w:val="nil"/>
              <w:right w:val="nil"/>
            </w:tcBorders>
            <w:shd w:val="clear" w:color="auto" w:fill="F2F2F2"/>
          </w:tcPr>
          <w:p w:rsidR="00387A07" w:rsidRPr="0065313A" w:rsidRDefault="00387A07" w:rsidP="00387A07">
            <w:r w:rsidRPr="0065313A">
              <w:t>[117]</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BSA</w:t>
            </w:r>
          </w:p>
        </w:tc>
        <w:tc>
          <w:tcPr>
            <w:tcW w:w="851" w:type="dxa"/>
            <w:tcBorders>
              <w:top w:val="nil"/>
              <w:left w:val="nil"/>
              <w:bottom w:val="nil"/>
              <w:right w:val="nil"/>
            </w:tcBorders>
            <w:shd w:val="clear" w:color="auto" w:fill="F2F2F2"/>
          </w:tcPr>
          <w:p w:rsidR="00387A07" w:rsidRPr="0065313A" w:rsidRDefault="00387A07" w:rsidP="00387A07">
            <w:r w:rsidRPr="0065313A">
              <w:t>75,6%</w:t>
            </w:r>
          </w:p>
        </w:tc>
        <w:tc>
          <w:tcPr>
            <w:tcW w:w="2410" w:type="dxa"/>
            <w:tcBorders>
              <w:top w:val="nil"/>
              <w:left w:val="nil"/>
              <w:bottom w:val="nil"/>
              <w:right w:val="nil"/>
            </w:tcBorders>
            <w:shd w:val="clear" w:color="auto" w:fill="F2F2F2"/>
          </w:tcPr>
          <w:p w:rsidR="00387A07" w:rsidRPr="0065313A" w:rsidRDefault="00387A07" w:rsidP="00387A07">
            <w:r w:rsidRPr="0065313A">
              <w:t>Double emulsion</w:t>
            </w:r>
          </w:p>
        </w:tc>
        <w:tc>
          <w:tcPr>
            <w:tcW w:w="992" w:type="dxa"/>
            <w:tcBorders>
              <w:top w:val="nil"/>
              <w:left w:val="nil"/>
              <w:bottom w:val="nil"/>
              <w:right w:val="nil"/>
            </w:tcBorders>
            <w:shd w:val="clear" w:color="auto" w:fill="F2F2F2"/>
          </w:tcPr>
          <w:p w:rsidR="00387A07" w:rsidRPr="0065313A" w:rsidRDefault="00387A07" w:rsidP="00387A07">
            <w:r w:rsidRPr="0065313A">
              <w:t>330</w:t>
            </w:r>
          </w:p>
        </w:tc>
        <w:tc>
          <w:tcPr>
            <w:tcW w:w="709" w:type="dxa"/>
            <w:tcBorders>
              <w:top w:val="nil"/>
              <w:left w:val="nil"/>
              <w:bottom w:val="nil"/>
              <w:right w:val="nil"/>
            </w:tcBorders>
            <w:shd w:val="clear" w:color="auto" w:fill="F2F2F2"/>
          </w:tcPr>
          <w:p w:rsidR="00387A07" w:rsidRPr="0065313A" w:rsidRDefault="00387A07" w:rsidP="00387A07">
            <w:r w:rsidRPr="0065313A">
              <w:t>[118]</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Savoxepine</w:t>
            </w:r>
          </w:p>
        </w:tc>
        <w:tc>
          <w:tcPr>
            <w:tcW w:w="851" w:type="dxa"/>
            <w:tcBorders>
              <w:top w:val="nil"/>
              <w:left w:val="nil"/>
              <w:bottom w:val="nil"/>
              <w:right w:val="nil"/>
            </w:tcBorders>
            <w:shd w:val="clear" w:color="auto" w:fill="F2F2F2"/>
          </w:tcPr>
          <w:p w:rsidR="00387A07" w:rsidRPr="0065313A" w:rsidRDefault="00387A07" w:rsidP="00387A07">
            <w:r w:rsidRPr="0065313A">
              <w:t>95%</w:t>
            </w:r>
          </w:p>
        </w:tc>
        <w:tc>
          <w:tcPr>
            <w:tcW w:w="2410" w:type="dxa"/>
            <w:tcBorders>
              <w:top w:val="nil"/>
              <w:left w:val="nil"/>
              <w:bottom w:val="nil"/>
              <w:right w:val="nil"/>
            </w:tcBorders>
            <w:shd w:val="clear" w:color="auto" w:fill="F2F2F2"/>
          </w:tcPr>
          <w:p w:rsidR="00387A07" w:rsidRPr="0065313A" w:rsidRDefault="00387A07" w:rsidP="00387A07">
            <w:r w:rsidRPr="0065313A">
              <w:t>Salting-out</w:t>
            </w:r>
          </w:p>
        </w:tc>
        <w:tc>
          <w:tcPr>
            <w:tcW w:w="992" w:type="dxa"/>
            <w:tcBorders>
              <w:top w:val="nil"/>
              <w:left w:val="nil"/>
              <w:bottom w:val="nil"/>
              <w:right w:val="nil"/>
            </w:tcBorders>
            <w:shd w:val="clear" w:color="auto" w:fill="F2F2F2"/>
          </w:tcPr>
          <w:p w:rsidR="00387A07" w:rsidRPr="0065313A" w:rsidRDefault="00387A07" w:rsidP="00387A07">
            <w:r w:rsidRPr="0065313A">
              <w:t>&lt;1000</w:t>
            </w:r>
          </w:p>
        </w:tc>
        <w:tc>
          <w:tcPr>
            <w:tcW w:w="709" w:type="dxa"/>
            <w:tcBorders>
              <w:top w:val="nil"/>
              <w:left w:val="nil"/>
              <w:bottom w:val="nil"/>
              <w:right w:val="nil"/>
            </w:tcBorders>
            <w:shd w:val="clear" w:color="auto" w:fill="F2F2F2"/>
          </w:tcPr>
          <w:p w:rsidR="00387A07" w:rsidRPr="0065313A" w:rsidRDefault="00387A07" w:rsidP="00387A07">
            <w:r w:rsidRPr="0065313A">
              <w:t>[119]</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Progesterone</w:t>
            </w:r>
          </w:p>
        </w:tc>
        <w:tc>
          <w:tcPr>
            <w:tcW w:w="851" w:type="dxa"/>
            <w:tcBorders>
              <w:top w:val="nil"/>
              <w:left w:val="nil"/>
              <w:bottom w:val="nil"/>
              <w:right w:val="nil"/>
            </w:tcBorders>
            <w:shd w:val="clear" w:color="auto" w:fill="F2F2F2"/>
          </w:tcPr>
          <w:p w:rsidR="00387A07" w:rsidRPr="0065313A" w:rsidRDefault="00387A07" w:rsidP="00387A07">
            <w:r w:rsidRPr="0065313A">
              <w:t>70%</w:t>
            </w:r>
          </w:p>
        </w:tc>
        <w:tc>
          <w:tcPr>
            <w:tcW w:w="2410" w:type="dxa"/>
            <w:tcBorders>
              <w:top w:val="nil"/>
              <w:left w:val="nil"/>
              <w:bottom w:val="nil"/>
              <w:right w:val="nil"/>
            </w:tcBorders>
            <w:shd w:val="clear" w:color="auto" w:fill="F2F2F2"/>
          </w:tcPr>
          <w:p w:rsidR="00387A07" w:rsidRPr="0065313A" w:rsidRDefault="00387A07" w:rsidP="00387A07">
            <w:r w:rsidRPr="0065313A">
              <w:t>Single emulsion</w:t>
            </w:r>
          </w:p>
        </w:tc>
        <w:tc>
          <w:tcPr>
            <w:tcW w:w="992" w:type="dxa"/>
            <w:tcBorders>
              <w:top w:val="nil"/>
              <w:left w:val="nil"/>
              <w:bottom w:val="nil"/>
              <w:right w:val="nil"/>
            </w:tcBorders>
            <w:shd w:val="clear" w:color="auto" w:fill="F2F2F2"/>
          </w:tcPr>
          <w:p w:rsidR="00387A07" w:rsidRPr="0065313A" w:rsidRDefault="00387A07" w:rsidP="00387A07">
            <w:r w:rsidRPr="0065313A">
              <w:t>260-300</w:t>
            </w:r>
          </w:p>
        </w:tc>
        <w:tc>
          <w:tcPr>
            <w:tcW w:w="709" w:type="dxa"/>
            <w:tcBorders>
              <w:top w:val="nil"/>
              <w:left w:val="nil"/>
              <w:bottom w:val="nil"/>
              <w:right w:val="nil"/>
            </w:tcBorders>
            <w:shd w:val="clear" w:color="auto" w:fill="F2F2F2"/>
          </w:tcPr>
          <w:p w:rsidR="00387A07" w:rsidRPr="0065313A" w:rsidRDefault="00387A07" w:rsidP="00387A07">
            <w:r w:rsidRPr="0065313A">
              <w:t>[120]</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Doxorubicin</w:t>
            </w:r>
          </w:p>
        </w:tc>
        <w:tc>
          <w:tcPr>
            <w:tcW w:w="851" w:type="dxa"/>
            <w:tcBorders>
              <w:top w:val="nil"/>
              <w:left w:val="nil"/>
              <w:bottom w:val="nil"/>
              <w:right w:val="nil"/>
            </w:tcBorders>
            <w:shd w:val="clear" w:color="auto" w:fill="F2F2F2"/>
          </w:tcPr>
          <w:p w:rsidR="00387A07" w:rsidRPr="0065313A" w:rsidRDefault="00387A07" w:rsidP="00387A07">
            <w:r w:rsidRPr="0065313A">
              <w:t>80%</w:t>
            </w:r>
          </w:p>
        </w:tc>
        <w:tc>
          <w:tcPr>
            <w:tcW w:w="2410" w:type="dxa"/>
            <w:tcBorders>
              <w:top w:val="nil"/>
              <w:left w:val="nil"/>
              <w:bottom w:val="nil"/>
              <w:right w:val="nil"/>
            </w:tcBorders>
            <w:shd w:val="clear" w:color="auto" w:fill="F2F2F2"/>
          </w:tcPr>
          <w:p w:rsidR="00387A07" w:rsidRPr="0065313A" w:rsidRDefault="00387A07" w:rsidP="00387A07">
            <w:r w:rsidRPr="0065313A">
              <w:t>Solvent displacement</w:t>
            </w:r>
          </w:p>
        </w:tc>
        <w:tc>
          <w:tcPr>
            <w:tcW w:w="992" w:type="dxa"/>
            <w:tcBorders>
              <w:top w:val="nil"/>
              <w:left w:val="nil"/>
              <w:bottom w:val="nil"/>
              <w:right w:val="nil"/>
            </w:tcBorders>
            <w:shd w:val="clear" w:color="auto" w:fill="F2F2F2"/>
          </w:tcPr>
          <w:p w:rsidR="00387A07" w:rsidRPr="0065313A" w:rsidRDefault="00387A07" w:rsidP="00387A07">
            <w:r w:rsidRPr="0065313A">
              <w:t>270</w:t>
            </w:r>
          </w:p>
        </w:tc>
        <w:tc>
          <w:tcPr>
            <w:tcW w:w="709" w:type="dxa"/>
            <w:tcBorders>
              <w:top w:val="nil"/>
              <w:left w:val="nil"/>
              <w:bottom w:val="nil"/>
              <w:right w:val="nil"/>
            </w:tcBorders>
            <w:shd w:val="clear" w:color="auto" w:fill="F2F2F2"/>
          </w:tcPr>
          <w:p w:rsidR="00387A07" w:rsidRPr="0065313A" w:rsidRDefault="00387A07" w:rsidP="00387A07">
            <w:r w:rsidRPr="0065313A">
              <w:t>[121]</w:t>
            </w:r>
          </w:p>
        </w:tc>
      </w:tr>
      <w:tr w:rsidR="00387A07" w:rsidRPr="0065313A" w:rsidTr="00387A07">
        <w:trPr>
          <w:jc w:val="center"/>
        </w:trPr>
        <w:tc>
          <w:tcPr>
            <w:tcW w:w="1242" w:type="dxa"/>
            <w:vMerge/>
            <w:tcBorders>
              <w:top w:val="nil"/>
              <w:left w:val="nil"/>
              <w:bottom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Taxol</w:t>
            </w:r>
          </w:p>
        </w:tc>
        <w:tc>
          <w:tcPr>
            <w:tcW w:w="851" w:type="dxa"/>
            <w:tcBorders>
              <w:top w:val="nil"/>
              <w:left w:val="nil"/>
              <w:bottom w:val="nil"/>
              <w:right w:val="nil"/>
            </w:tcBorders>
            <w:shd w:val="clear" w:color="auto" w:fill="F2F2F2"/>
          </w:tcPr>
          <w:p w:rsidR="00387A07" w:rsidRPr="0065313A" w:rsidRDefault="00387A07" w:rsidP="00387A07">
            <w:r w:rsidRPr="0065313A">
              <w:t>80%</w:t>
            </w:r>
          </w:p>
        </w:tc>
        <w:tc>
          <w:tcPr>
            <w:tcW w:w="2410" w:type="dxa"/>
            <w:tcBorders>
              <w:top w:val="nil"/>
              <w:left w:val="nil"/>
              <w:bottom w:val="nil"/>
              <w:right w:val="nil"/>
            </w:tcBorders>
            <w:shd w:val="clear" w:color="auto" w:fill="F2F2F2"/>
          </w:tcPr>
          <w:p w:rsidR="00387A07" w:rsidRPr="0065313A" w:rsidRDefault="00387A07" w:rsidP="00387A07">
            <w:r w:rsidRPr="0065313A">
              <w:t>Solvent displacement</w:t>
            </w:r>
          </w:p>
        </w:tc>
        <w:tc>
          <w:tcPr>
            <w:tcW w:w="992" w:type="dxa"/>
            <w:tcBorders>
              <w:top w:val="nil"/>
              <w:left w:val="nil"/>
              <w:bottom w:val="nil"/>
              <w:right w:val="nil"/>
            </w:tcBorders>
            <w:shd w:val="clear" w:color="auto" w:fill="F2F2F2"/>
          </w:tcPr>
          <w:p w:rsidR="00387A07" w:rsidRPr="0065313A" w:rsidRDefault="00387A07" w:rsidP="00387A07">
            <w:r w:rsidRPr="0065313A">
              <w:t>260</w:t>
            </w:r>
          </w:p>
        </w:tc>
        <w:tc>
          <w:tcPr>
            <w:tcW w:w="709" w:type="dxa"/>
            <w:tcBorders>
              <w:top w:val="nil"/>
              <w:left w:val="nil"/>
              <w:bottom w:val="nil"/>
              <w:right w:val="nil"/>
            </w:tcBorders>
            <w:shd w:val="clear" w:color="auto" w:fill="F2F2F2"/>
          </w:tcPr>
          <w:p w:rsidR="00387A07" w:rsidRPr="0065313A" w:rsidRDefault="00387A07" w:rsidP="00387A07">
            <w:r w:rsidRPr="0065313A">
              <w:t>[122]</w:t>
            </w:r>
          </w:p>
        </w:tc>
      </w:tr>
      <w:tr w:rsidR="00387A07" w:rsidRPr="0065313A" w:rsidTr="00387A07">
        <w:trPr>
          <w:jc w:val="center"/>
        </w:trPr>
        <w:tc>
          <w:tcPr>
            <w:tcW w:w="1242" w:type="dxa"/>
            <w:vMerge/>
            <w:tcBorders>
              <w:top w:val="nil"/>
              <w:left w:val="nil"/>
              <w:right w:val="nil"/>
            </w:tcBorders>
            <w:shd w:val="clear" w:color="auto" w:fill="F2F2F2"/>
          </w:tcPr>
          <w:p w:rsidR="00387A07" w:rsidRPr="0065313A" w:rsidRDefault="00387A07" w:rsidP="00387A07"/>
        </w:tc>
        <w:tc>
          <w:tcPr>
            <w:tcW w:w="1701" w:type="dxa"/>
            <w:tcBorders>
              <w:top w:val="nil"/>
              <w:left w:val="nil"/>
              <w:right w:val="nil"/>
            </w:tcBorders>
            <w:shd w:val="clear" w:color="auto" w:fill="F2F2F2"/>
          </w:tcPr>
          <w:p w:rsidR="00387A07" w:rsidRPr="0065313A" w:rsidRDefault="00387A07" w:rsidP="00387A07">
            <w:r w:rsidRPr="0065313A">
              <w:t>Diclofenac</w:t>
            </w:r>
          </w:p>
        </w:tc>
        <w:tc>
          <w:tcPr>
            <w:tcW w:w="851" w:type="dxa"/>
            <w:tcBorders>
              <w:top w:val="nil"/>
              <w:left w:val="nil"/>
              <w:right w:val="nil"/>
            </w:tcBorders>
            <w:shd w:val="clear" w:color="auto" w:fill="F2F2F2"/>
          </w:tcPr>
          <w:p w:rsidR="00387A07" w:rsidRPr="0065313A" w:rsidRDefault="00387A07" w:rsidP="00387A07">
            <w:r w:rsidRPr="0065313A">
              <w:t>100%</w:t>
            </w:r>
          </w:p>
        </w:tc>
        <w:tc>
          <w:tcPr>
            <w:tcW w:w="2410" w:type="dxa"/>
            <w:tcBorders>
              <w:top w:val="nil"/>
              <w:left w:val="nil"/>
              <w:right w:val="nil"/>
            </w:tcBorders>
            <w:shd w:val="clear" w:color="auto" w:fill="F2F2F2"/>
          </w:tcPr>
          <w:p w:rsidR="00387A07" w:rsidRPr="0065313A" w:rsidRDefault="00387A07" w:rsidP="00387A07">
            <w:r w:rsidRPr="0065313A">
              <w:t>Solvent Displacement</w:t>
            </w:r>
          </w:p>
        </w:tc>
        <w:tc>
          <w:tcPr>
            <w:tcW w:w="992" w:type="dxa"/>
            <w:tcBorders>
              <w:top w:val="nil"/>
              <w:left w:val="nil"/>
              <w:right w:val="nil"/>
            </w:tcBorders>
            <w:shd w:val="clear" w:color="auto" w:fill="F2F2F2"/>
          </w:tcPr>
          <w:p w:rsidR="00387A07" w:rsidRPr="0065313A" w:rsidRDefault="00387A07" w:rsidP="00387A07">
            <w:r w:rsidRPr="0065313A">
              <w:t>189-234</w:t>
            </w:r>
          </w:p>
        </w:tc>
        <w:tc>
          <w:tcPr>
            <w:tcW w:w="709" w:type="dxa"/>
            <w:tcBorders>
              <w:top w:val="nil"/>
              <w:left w:val="nil"/>
              <w:right w:val="nil"/>
            </w:tcBorders>
            <w:shd w:val="clear" w:color="auto" w:fill="F2F2F2"/>
          </w:tcPr>
          <w:p w:rsidR="00387A07" w:rsidRPr="0065313A" w:rsidRDefault="00387A07" w:rsidP="00387A07">
            <w:r w:rsidRPr="0065313A">
              <w:t>[123]</w:t>
            </w:r>
          </w:p>
        </w:tc>
      </w:tr>
    </w:tbl>
    <w:p w:rsidR="00387A07" w:rsidRPr="0065313A" w:rsidRDefault="00387A07" w:rsidP="00387A07">
      <w:pPr>
        <w:pStyle w:val="Didascalia"/>
        <w:spacing w:before="120"/>
      </w:pPr>
      <w:r w:rsidRPr="0065313A">
        <w:t xml:space="preserve">Table 1. </w:t>
      </w:r>
      <w:fldSimple w:instr=" SEQ Table_1. \* ARABIC ">
        <w:r w:rsidRPr="0065313A">
          <w:rPr>
            <w:noProof/>
          </w:rPr>
          <w:t>6</w:t>
        </w:r>
      </w:fldSimple>
      <w:r w:rsidRPr="0065313A">
        <w:t xml:space="preserve"> Different drug nanoparticles formulations prepared with PLA as matrix-forming material</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salting out method has been proposed for the preparation of PLA nanoparticles containing Savoxepine [119], a dopamine receptor antagonist, resulting in extended drug delivery over a period of one week and in high encapsulation efficiency (95%).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solvent evaporation method has been widely applied for the preparation of PLA nanoparticles, reporting fast release profiles. Hormones and other drugs have been encapsulated by this method: Matsumoto et al prepared progesterone loaded </w:t>
      </w:r>
      <w:r w:rsidRPr="0065313A">
        <w:rPr>
          <w:rFonts w:ascii="Arial" w:hAnsi="Arial" w:cs="Arial"/>
          <w:sz w:val="24"/>
          <w:szCs w:val="24"/>
          <w:lang w:val="en-US"/>
        </w:rPr>
        <w:lastRenderedPageBreak/>
        <w:t xml:space="preserve">nanoparticles with a PEG-PLA-PEG copolymer, reporting high encapsulation efficiency (70%) and small particles size, depending on the amount and molecular weight of the PEG chains [120].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Zhang and coworkers prepared nanoparticles with a PLA-TPGS copolymer for the encapsulation of the anti-cancer drug Paclitaxel, by the solvent extraction evaporation method. They reported small particles size (300nm) and high encapsulation efficiency (80%) [</w:t>
      </w:r>
      <w:r w:rsidRPr="0065313A">
        <w:rPr>
          <w:rFonts w:ascii="Arial" w:hAnsi="Arial" w:cs="Arial"/>
          <w:iCs/>
          <w:sz w:val="24"/>
          <w:szCs w:val="24"/>
          <w:lang w:val="en-US"/>
        </w:rPr>
        <w:t>122</w:t>
      </w:r>
      <w:r w:rsidRPr="0065313A">
        <w:rPr>
          <w:rFonts w:ascii="Arial" w:hAnsi="Arial" w:cs="Arial"/>
          <w:sz w:val="24"/>
          <w:szCs w:val="24"/>
          <w:lang w:val="en-US"/>
        </w:rPr>
        <w:t xml:space="preserve">]. </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1.4.2 Poly (D,L-lactide-co-glycolide) (PLGA)</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PLGA is one of the successfully used biodegradable polymer for the development of nanomedicine, since it undergoes hydrolysis in the body, producing biocompatible degradation monomers (lactic acid and glycolic acid). PLGA is an FDA approved amorphous copolymer of PLA and PGA (Poly glycolic acid), which easily dissolves in common organic solvents such as dichloromethane and ethyl acetate. The degradation rate in water is a function of the molecular weight and of the lactide:glycolide ratio [124] Higher glycolide content and lower molecular weight increase the degradation rate. </w:t>
      </w:r>
    </w:p>
    <w:p w:rsidR="00387A07" w:rsidRPr="0065313A" w:rsidRDefault="00387A07" w:rsidP="00387A07">
      <w:pPr>
        <w:spacing w:after="0" w:line="360" w:lineRule="auto"/>
        <w:jc w:val="center"/>
        <w:rPr>
          <w:rFonts w:ascii="Arial" w:hAnsi="Arial" w:cs="Arial"/>
          <w:sz w:val="24"/>
          <w:szCs w:val="24"/>
          <w:lang w:val="en-US"/>
        </w:rPr>
      </w:pPr>
      <w:r w:rsidRPr="0065313A">
        <w:rPr>
          <w:rFonts w:ascii="Arial" w:hAnsi="Arial" w:cs="Arial"/>
          <w:noProof/>
          <w:sz w:val="24"/>
          <w:szCs w:val="24"/>
          <w:lang w:val="it-IT" w:eastAsia="it-IT"/>
        </w:rPr>
        <w:drawing>
          <wp:inline distT="0" distB="0" distL="0" distR="0">
            <wp:extent cx="4314825" cy="1933575"/>
            <wp:effectExtent l="19050" t="0" r="9525" b="0"/>
            <wp:docPr id="3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a:blip r:embed="rId19"/>
                    <a:srcRect/>
                    <a:stretch>
                      <a:fillRect/>
                    </a:stretch>
                  </pic:blipFill>
                  <pic:spPr bwMode="auto">
                    <a:xfrm>
                      <a:off x="0" y="0"/>
                      <a:ext cx="4314825" cy="1933575"/>
                    </a:xfrm>
                    <a:prstGeom prst="rect">
                      <a:avLst/>
                    </a:prstGeom>
                    <a:noFill/>
                    <a:ln w="9525">
                      <a:noFill/>
                      <a:miter lim="800000"/>
                      <a:headEnd/>
                      <a:tailEnd/>
                    </a:ln>
                  </pic:spPr>
                </pic:pic>
              </a:graphicData>
            </a:graphic>
          </wp:inline>
        </w:drawing>
      </w:r>
    </w:p>
    <w:p w:rsidR="00387A07" w:rsidRPr="0065313A" w:rsidRDefault="00387A07" w:rsidP="00387A07">
      <w:pPr>
        <w:spacing w:line="360" w:lineRule="auto"/>
        <w:rPr>
          <w:rFonts w:ascii="Arial" w:hAnsi="Arial" w:cs="Arial"/>
          <w:b/>
          <w:color w:val="4F81BD"/>
          <w:sz w:val="18"/>
          <w:szCs w:val="18"/>
          <w:lang w:val="en-US"/>
        </w:rPr>
      </w:pPr>
      <w:r w:rsidRPr="0065313A">
        <w:rPr>
          <w:rFonts w:ascii="Arial" w:hAnsi="Arial" w:cs="Arial"/>
          <w:b/>
          <w:color w:val="4F81BD"/>
          <w:sz w:val="18"/>
          <w:szCs w:val="18"/>
          <w:lang w:val="en-US"/>
        </w:rPr>
        <w:t>Kumari A. et al 2010 Colloids and Surfaces B: Biointerfaces 75:1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PLGA nanoparticles have been prepared for the encapsulation of both hydrophilic and hydrophobic formulations mostly by Single or Double Emulsion Solvent Evaporation technique and by the Solvent Displacement method.</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PLGA has been used to encapsulate various anticancer formulations like Paclitaxel, Xanathones, Cisplatin and Doxorubicin (see table 1.7).</w:t>
      </w:r>
    </w:p>
    <w:p w:rsidR="00387A07"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Fonseca and co-workers used the solvent displacement method to prepare small (size &lt;200nm) and spherical Paclitaxel-loaded PLGA nanoparticles. Particles showed a high </w:t>
      </w:r>
      <w:r w:rsidRPr="0065313A">
        <w:rPr>
          <w:rFonts w:ascii="Arial" w:hAnsi="Arial" w:cs="Arial"/>
          <w:sz w:val="24"/>
          <w:szCs w:val="24"/>
          <w:lang w:val="en-US"/>
        </w:rPr>
        <w:lastRenderedPageBreak/>
        <w:t>encapsulation efficiency (higher than 90%) and a bi-phasic release profile with an initial burst effect (50%) followed by a slow continuous release [125].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Moreno et al prepared Cisplatin-loaded PLGA nanoparticles (200nm) by the w/o/w double emulsion technique. Encapsulation efficiency was 11% and the release profile followed a linear kinetic, after a 20% burst release [126].</w:t>
      </w:r>
    </w:p>
    <w:p w:rsidR="00387A07" w:rsidRPr="0065313A" w:rsidRDefault="00387A07" w:rsidP="00387A07">
      <w:pPr>
        <w:spacing w:after="120" w:line="360" w:lineRule="auto"/>
        <w:jc w:val="both"/>
        <w:rPr>
          <w:rFonts w:ascii="Arial" w:hAnsi="Arial" w:cs="Arial"/>
          <w:sz w:val="24"/>
          <w:szCs w:val="24"/>
          <w:lang w:val="en-US"/>
        </w:rPr>
      </w:pPr>
      <w:r w:rsidRPr="0065313A">
        <w:rPr>
          <w:rFonts w:ascii="Arial" w:hAnsi="Arial" w:cs="Arial"/>
          <w:sz w:val="24"/>
          <w:szCs w:val="24"/>
          <w:lang w:val="en-US"/>
        </w:rPr>
        <w:t xml:space="preserve">Other drugs, like Insulin, antibiotics, hormones and proteins have also been encapsulated into PLGA nanoparticles. </w:t>
      </w:r>
    </w:p>
    <w:tbl>
      <w:tblPr>
        <w:tblW w:w="8570" w:type="dxa"/>
        <w:jc w:val="center"/>
        <w:tblLayout w:type="fixed"/>
        <w:tblLook w:val="00A0"/>
      </w:tblPr>
      <w:tblGrid>
        <w:gridCol w:w="1242"/>
        <w:gridCol w:w="1701"/>
        <w:gridCol w:w="1233"/>
        <w:gridCol w:w="2520"/>
        <w:gridCol w:w="1134"/>
        <w:gridCol w:w="740"/>
      </w:tblGrid>
      <w:tr w:rsidR="00387A07" w:rsidRPr="0065313A" w:rsidTr="00387A07">
        <w:trPr>
          <w:jc w:val="center"/>
        </w:trPr>
        <w:tc>
          <w:tcPr>
            <w:tcW w:w="124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Polymer</w:t>
            </w:r>
          </w:p>
        </w:tc>
        <w:tc>
          <w:tcPr>
            <w:tcW w:w="1701"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Encapsulant</w:t>
            </w:r>
          </w:p>
        </w:tc>
        <w:tc>
          <w:tcPr>
            <w:tcW w:w="1233"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EE</w:t>
            </w:r>
          </w:p>
        </w:tc>
        <w:tc>
          <w:tcPr>
            <w:tcW w:w="2520"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Method</w:t>
            </w:r>
          </w:p>
        </w:tc>
        <w:tc>
          <w:tcPr>
            <w:tcW w:w="1134"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Size (nm)</w:t>
            </w:r>
          </w:p>
        </w:tc>
        <w:tc>
          <w:tcPr>
            <w:tcW w:w="740"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Ref</w:t>
            </w:r>
          </w:p>
        </w:tc>
      </w:tr>
      <w:tr w:rsidR="00387A07" w:rsidRPr="0065313A" w:rsidTr="00387A07">
        <w:trPr>
          <w:jc w:val="center"/>
        </w:trPr>
        <w:tc>
          <w:tcPr>
            <w:tcW w:w="1242" w:type="dxa"/>
            <w:vMerge w:val="restart"/>
            <w:tcBorders>
              <w:left w:val="nil"/>
              <w:right w:val="nil"/>
            </w:tcBorders>
            <w:shd w:val="clear" w:color="auto" w:fill="F2F2F2"/>
          </w:tcPr>
          <w:p w:rsidR="00387A07" w:rsidRPr="0065313A" w:rsidRDefault="00387A07" w:rsidP="00387A07">
            <w:r w:rsidRPr="0065313A">
              <w:t>PLGA</w:t>
            </w:r>
          </w:p>
          <w:p w:rsidR="00387A07" w:rsidRPr="0065313A" w:rsidRDefault="00387A07" w:rsidP="00387A07"/>
          <w:p w:rsidR="00387A07" w:rsidRPr="0065313A" w:rsidRDefault="00387A07" w:rsidP="00387A07"/>
          <w:p w:rsidR="00387A07" w:rsidRPr="0065313A" w:rsidRDefault="00387A07" w:rsidP="00387A07">
            <w:r w:rsidRPr="0065313A">
              <w:rPr>
                <w:rFonts w:ascii="Arial" w:hAnsi="Arial" w:cs="Arial"/>
                <w:b/>
                <w:noProof/>
                <w:sz w:val="24"/>
                <w:szCs w:val="24"/>
                <w:lang w:val="it-IT" w:eastAsia="it-IT"/>
              </w:rPr>
              <w:drawing>
                <wp:inline distT="0" distB="0" distL="0" distR="0">
                  <wp:extent cx="666750" cy="561975"/>
                  <wp:effectExtent l="19050" t="0" r="0" b="0"/>
                  <wp:docPr id="3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20"/>
                          <a:srcRect l="11362" r="18716"/>
                          <a:stretch>
                            <a:fillRect/>
                          </a:stretch>
                        </pic:blipFill>
                        <pic:spPr bwMode="auto">
                          <a:xfrm>
                            <a:off x="0" y="0"/>
                            <a:ext cx="666750" cy="561975"/>
                          </a:xfrm>
                          <a:prstGeom prst="rect">
                            <a:avLst/>
                          </a:prstGeom>
                          <a:noFill/>
                          <a:ln w="9525">
                            <a:noFill/>
                            <a:miter lim="800000"/>
                            <a:headEnd/>
                            <a:tailEnd/>
                          </a:ln>
                        </pic:spPr>
                      </pic:pic>
                    </a:graphicData>
                  </a:graphic>
                </wp:inline>
              </w:drawing>
            </w:r>
          </w:p>
        </w:tc>
        <w:tc>
          <w:tcPr>
            <w:tcW w:w="1701" w:type="dxa"/>
            <w:tcBorders>
              <w:left w:val="nil"/>
              <w:bottom w:val="nil"/>
              <w:right w:val="nil"/>
            </w:tcBorders>
            <w:shd w:val="clear" w:color="auto" w:fill="F2F2F2"/>
          </w:tcPr>
          <w:p w:rsidR="00387A07" w:rsidRPr="0065313A" w:rsidRDefault="00387A07" w:rsidP="00387A07">
            <w:r w:rsidRPr="0065313A">
              <w:t>Paclitaxel</w:t>
            </w:r>
          </w:p>
        </w:tc>
        <w:tc>
          <w:tcPr>
            <w:tcW w:w="1233" w:type="dxa"/>
            <w:tcBorders>
              <w:left w:val="nil"/>
              <w:bottom w:val="nil"/>
              <w:right w:val="nil"/>
            </w:tcBorders>
            <w:shd w:val="clear" w:color="auto" w:fill="F2F2F2"/>
          </w:tcPr>
          <w:p w:rsidR="00387A07" w:rsidRPr="0065313A" w:rsidRDefault="00387A07" w:rsidP="00387A07">
            <w:r w:rsidRPr="0065313A">
              <w:t>90%</w:t>
            </w:r>
          </w:p>
        </w:tc>
        <w:tc>
          <w:tcPr>
            <w:tcW w:w="2520" w:type="dxa"/>
            <w:tcBorders>
              <w:left w:val="nil"/>
              <w:bottom w:val="nil"/>
              <w:right w:val="nil"/>
            </w:tcBorders>
            <w:shd w:val="clear" w:color="auto" w:fill="F2F2F2"/>
          </w:tcPr>
          <w:p w:rsidR="00387A07" w:rsidRPr="0065313A" w:rsidRDefault="00387A07" w:rsidP="00387A07">
            <w:r w:rsidRPr="0065313A">
              <w:t>Solvent displacement</w:t>
            </w:r>
          </w:p>
        </w:tc>
        <w:tc>
          <w:tcPr>
            <w:tcW w:w="1134" w:type="dxa"/>
            <w:tcBorders>
              <w:left w:val="nil"/>
              <w:bottom w:val="nil"/>
              <w:right w:val="nil"/>
            </w:tcBorders>
            <w:shd w:val="clear" w:color="auto" w:fill="F2F2F2"/>
          </w:tcPr>
          <w:p w:rsidR="00387A07" w:rsidRPr="0065313A" w:rsidRDefault="00387A07" w:rsidP="00387A07">
            <w:r w:rsidRPr="0065313A">
              <w:t>200</w:t>
            </w:r>
          </w:p>
        </w:tc>
        <w:tc>
          <w:tcPr>
            <w:tcW w:w="740" w:type="dxa"/>
            <w:tcBorders>
              <w:left w:val="nil"/>
              <w:bottom w:val="nil"/>
              <w:right w:val="nil"/>
            </w:tcBorders>
            <w:shd w:val="clear" w:color="auto" w:fill="F2F2F2"/>
          </w:tcPr>
          <w:p w:rsidR="00387A07" w:rsidRPr="0065313A" w:rsidRDefault="00387A07" w:rsidP="00387A07">
            <w:r w:rsidRPr="0065313A">
              <w:t>[125]</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Estradiol</w:t>
            </w:r>
          </w:p>
        </w:tc>
        <w:tc>
          <w:tcPr>
            <w:tcW w:w="1233" w:type="dxa"/>
            <w:tcBorders>
              <w:top w:val="nil"/>
              <w:left w:val="nil"/>
              <w:bottom w:val="nil"/>
              <w:right w:val="nil"/>
            </w:tcBorders>
            <w:shd w:val="clear" w:color="auto" w:fill="F2F2F2"/>
          </w:tcPr>
          <w:p w:rsidR="00387A07" w:rsidRPr="0065313A" w:rsidRDefault="00387A07" w:rsidP="00387A07">
            <w:r w:rsidRPr="0065313A">
              <w:t>51,3-67,8%</w:t>
            </w:r>
          </w:p>
        </w:tc>
        <w:tc>
          <w:tcPr>
            <w:tcW w:w="2520" w:type="dxa"/>
            <w:tcBorders>
              <w:top w:val="nil"/>
              <w:left w:val="nil"/>
              <w:bottom w:val="nil"/>
              <w:right w:val="nil"/>
            </w:tcBorders>
            <w:shd w:val="clear" w:color="auto" w:fill="F2F2F2"/>
          </w:tcPr>
          <w:p w:rsidR="00387A07" w:rsidRPr="0065313A" w:rsidRDefault="00387A07" w:rsidP="00387A07">
            <w:r w:rsidRPr="0065313A">
              <w:t>Modified single emulsion</w:t>
            </w:r>
          </w:p>
        </w:tc>
        <w:tc>
          <w:tcPr>
            <w:tcW w:w="1134" w:type="dxa"/>
            <w:tcBorders>
              <w:top w:val="nil"/>
              <w:left w:val="nil"/>
              <w:bottom w:val="nil"/>
              <w:right w:val="nil"/>
            </w:tcBorders>
            <w:shd w:val="clear" w:color="auto" w:fill="F2F2F2"/>
          </w:tcPr>
          <w:p w:rsidR="00387A07" w:rsidRPr="0065313A" w:rsidRDefault="00387A07" w:rsidP="00387A07">
            <w:r w:rsidRPr="0065313A">
              <w:t>104-155</w:t>
            </w:r>
          </w:p>
        </w:tc>
        <w:tc>
          <w:tcPr>
            <w:tcW w:w="740" w:type="dxa"/>
            <w:tcBorders>
              <w:top w:val="nil"/>
              <w:left w:val="nil"/>
              <w:bottom w:val="nil"/>
              <w:right w:val="nil"/>
            </w:tcBorders>
            <w:shd w:val="clear" w:color="auto" w:fill="F2F2F2"/>
          </w:tcPr>
          <w:p w:rsidR="00387A07" w:rsidRPr="0065313A" w:rsidRDefault="00387A07" w:rsidP="00387A07">
            <w:r w:rsidRPr="0065313A">
              <w:t>[127]</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Insulin</w:t>
            </w:r>
          </w:p>
        </w:tc>
        <w:tc>
          <w:tcPr>
            <w:tcW w:w="1233" w:type="dxa"/>
            <w:tcBorders>
              <w:top w:val="nil"/>
              <w:left w:val="nil"/>
              <w:bottom w:val="nil"/>
              <w:right w:val="nil"/>
            </w:tcBorders>
            <w:shd w:val="clear" w:color="auto" w:fill="F2F2F2"/>
          </w:tcPr>
          <w:p w:rsidR="00387A07" w:rsidRPr="0065313A" w:rsidRDefault="00387A07" w:rsidP="00387A07">
            <w:r w:rsidRPr="0065313A">
              <w:t>80%</w:t>
            </w:r>
          </w:p>
        </w:tc>
        <w:tc>
          <w:tcPr>
            <w:tcW w:w="2520" w:type="dxa"/>
            <w:tcBorders>
              <w:top w:val="nil"/>
              <w:left w:val="nil"/>
              <w:bottom w:val="nil"/>
              <w:right w:val="nil"/>
            </w:tcBorders>
            <w:shd w:val="clear" w:color="auto" w:fill="F2F2F2"/>
          </w:tcPr>
          <w:p w:rsidR="00387A07" w:rsidRPr="0065313A" w:rsidRDefault="00387A07" w:rsidP="00387A07">
            <w:r w:rsidRPr="0065313A">
              <w:t>Double emulsion</w:t>
            </w:r>
          </w:p>
        </w:tc>
        <w:tc>
          <w:tcPr>
            <w:tcW w:w="1134" w:type="dxa"/>
            <w:tcBorders>
              <w:top w:val="nil"/>
              <w:left w:val="nil"/>
              <w:bottom w:val="nil"/>
              <w:right w:val="nil"/>
            </w:tcBorders>
            <w:shd w:val="clear" w:color="auto" w:fill="F2F2F2"/>
          </w:tcPr>
          <w:p w:rsidR="00387A07" w:rsidRPr="0065313A" w:rsidRDefault="00387A07" w:rsidP="00387A07">
            <w:r w:rsidRPr="0065313A">
              <w:t>&gt;1000</w:t>
            </w:r>
          </w:p>
        </w:tc>
        <w:tc>
          <w:tcPr>
            <w:tcW w:w="740" w:type="dxa"/>
            <w:tcBorders>
              <w:top w:val="nil"/>
              <w:left w:val="nil"/>
              <w:bottom w:val="nil"/>
              <w:right w:val="nil"/>
            </w:tcBorders>
            <w:shd w:val="clear" w:color="auto" w:fill="F2F2F2"/>
          </w:tcPr>
          <w:p w:rsidR="00387A07" w:rsidRPr="0065313A" w:rsidRDefault="00387A07" w:rsidP="00387A07">
            <w:r w:rsidRPr="0065313A">
              <w:t>[128]</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Xanthones</w:t>
            </w:r>
          </w:p>
        </w:tc>
        <w:tc>
          <w:tcPr>
            <w:tcW w:w="1233" w:type="dxa"/>
            <w:tcBorders>
              <w:top w:val="nil"/>
              <w:left w:val="nil"/>
              <w:bottom w:val="nil"/>
              <w:right w:val="nil"/>
            </w:tcBorders>
            <w:shd w:val="clear" w:color="auto" w:fill="F2F2F2"/>
          </w:tcPr>
          <w:p w:rsidR="00387A07" w:rsidRPr="0065313A" w:rsidRDefault="00387A07" w:rsidP="00387A07">
            <w:r w:rsidRPr="0065313A">
              <w:t>26-33%</w:t>
            </w:r>
          </w:p>
        </w:tc>
        <w:tc>
          <w:tcPr>
            <w:tcW w:w="2520" w:type="dxa"/>
            <w:tcBorders>
              <w:top w:val="nil"/>
              <w:left w:val="nil"/>
              <w:bottom w:val="nil"/>
              <w:right w:val="nil"/>
            </w:tcBorders>
            <w:shd w:val="clear" w:color="auto" w:fill="F2F2F2"/>
          </w:tcPr>
          <w:p w:rsidR="00387A07" w:rsidRPr="0065313A" w:rsidRDefault="00387A07" w:rsidP="00387A07">
            <w:r w:rsidRPr="0065313A">
              <w:t>Single emulsion</w:t>
            </w:r>
          </w:p>
        </w:tc>
        <w:tc>
          <w:tcPr>
            <w:tcW w:w="1134" w:type="dxa"/>
            <w:tcBorders>
              <w:top w:val="nil"/>
              <w:left w:val="nil"/>
              <w:bottom w:val="nil"/>
              <w:right w:val="nil"/>
            </w:tcBorders>
            <w:shd w:val="clear" w:color="auto" w:fill="F2F2F2"/>
          </w:tcPr>
          <w:p w:rsidR="00387A07" w:rsidRPr="0065313A" w:rsidRDefault="00387A07" w:rsidP="00387A07">
            <w:r w:rsidRPr="0065313A">
              <w:t>164</w:t>
            </w:r>
          </w:p>
        </w:tc>
        <w:tc>
          <w:tcPr>
            <w:tcW w:w="740" w:type="dxa"/>
            <w:tcBorders>
              <w:top w:val="nil"/>
              <w:left w:val="nil"/>
              <w:bottom w:val="nil"/>
              <w:right w:val="nil"/>
            </w:tcBorders>
            <w:shd w:val="clear" w:color="auto" w:fill="F2F2F2"/>
          </w:tcPr>
          <w:p w:rsidR="00387A07" w:rsidRPr="0065313A" w:rsidRDefault="00387A07" w:rsidP="00387A07">
            <w:r w:rsidRPr="0065313A">
              <w:t>[129]</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Doxorubicin</w:t>
            </w:r>
          </w:p>
        </w:tc>
        <w:tc>
          <w:tcPr>
            <w:tcW w:w="1233" w:type="dxa"/>
            <w:tcBorders>
              <w:top w:val="nil"/>
              <w:left w:val="nil"/>
              <w:bottom w:val="nil"/>
              <w:right w:val="nil"/>
            </w:tcBorders>
            <w:shd w:val="clear" w:color="auto" w:fill="F2F2F2"/>
          </w:tcPr>
          <w:p w:rsidR="00387A07" w:rsidRPr="0065313A" w:rsidRDefault="00387A07" w:rsidP="00387A07">
            <w:r w:rsidRPr="0065313A">
              <w:t>95%</w:t>
            </w:r>
          </w:p>
        </w:tc>
        <w:tc>
          <w:tcPr>
            <w:tcW w:w="2520" w:type="dxa"/>
            <w:tcBorders>
              <w:top w:val="nil"/>
              <w:left w:val="nil"/>
              <w:bottom w:val="nil"/>
              <w:right w:val="nil"/>
            </w:tcBorders>
            <w:shd w:val="clear" w:color="auto" w:fill="F2F2F2"/>
          </w:tcPr>
          <w:p w:rsidR="00387A07" w:rsidRPr="0065313A" w:rsidRDefault="00387A07" w:rsidP="00387A07">
            <w:r w:rsidRPr="0065313A">
              <w:t>Single emulsion</w:t>
            </w:r>
          </w:p>
        </w:tc>
        <w:tc>
          <w:tcPr>
            <w:tcW w:w="1134" w:type="dxa"/>
            <w:tcBorders>
              <w:top w:val="nil"/>
              <w:left w:val="nil"/>
              <w:bottom w:val="nil"/>
              <w:right w:val="nil"/>
            </w:tcBorders>
            <w:shd w:val="clear" w:color="auto" w:fill="F2F2F2"/>
          </w:tcPr>
          <w:p w:rsidR="00387A07" w:rsidRPr="0065313A" w:rsidRDefault="00387A07" w:rsidP="00387A07">
            <w:r w:rsidRPr="0065313A">
              <w:t>280</w:t>
            </w:r>
          </w:p>
        </w:tc>
        <w:tc>
          <w:tcPr>
            <w:tcW w:w="740" w:type="dxa"/>
            <w:tcBorders>
              <w:top w:val="nil"/>
              <w:left w:val="nil"/>
              <w:bottom w:val="nil"/>
              <w:right w:val="nil"/>
            </w:tcBorders>
            <w:shd w:val="clear" w:color="auto" w:fill="F2F2F2"/>
          </w:tcPr>
          <w:p w:rsidR="00387A07" w:rsidRPr="0065313A" w:rsidRDefault="00387A07" w:rsidP="00387A07">
            <w:r w:rsidRPr="0065313A">
              <w:t>[130]</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Doxorubicin</w:t>
            </w:r>
          </w:p>
        </w:tc>
        <w:tc>
          <w:tcPr>
            <w:tcW w:w="1233" w:type="dxa"/>
            <w:tcBorders>
              <w:top w:val="nil"/>
              <w:left w:val="nil"/>
              <w:bottom w:val="nil"/>
              <w:right w:val="nil"/>
            </w:tcBorders>
            <w:shd w:val="clear" w:color="auto" w:fill="F2F2F2"/>
          </w:tcPr>
          <w:p w:rsidR="00387A07" w:rsidRPr="0065313A" w:rsidRDefault="00387A07" w:rsidP="00387A07">
            <w:r w:rsidRPr="0065313A">
              <w:t>67%</w:t>
            </w:r>
          </w:p>
        </w:tc>
        <w:tc>
          <w:tcPr>
            <w:tcW w:w="2520" w:type="dxa"/>
            <w:tcBorders>
              <w:top w:val="nil"/>
              <w:left w:val="nil"/>
              <w:bottom w:val="nil"/>
              <w:right w:val="nil"/>
            </w:tcBorders>
            <w:shd w:val="clear" w:color="auto" w:fill="F2F2F2"/>
          </w:tcPr>
          <w:p w:rsidR="00387A07" w:rsidRPr="0065313A" w:rsidRDefault="00387A07" w:rsidP="00387A07">
            <w:r w:rsidRPr="0065313A">
              <w:t>Double emulsion</w:t>
            </w:r>
          </w:p>
        </w:tc>
        <w:tc>
          <w:tcPr>
            <w:tcW w:w="1134" w:type="dxa"/>
            <w:tcBorders>
              <w:top w:val="nil"/>
              <w:left w:val="nil"/>
              <w:bottom w:val="nil"/>
              <w:right w:val="nil"/>
            </w:tcBorders>
            <w:shd w:val="clear" w:color="auto" w:fill="F2F2F2"/>
          </w:tcPr>
          <w:p w:rsidR="00387A07" w:rsidRPr="0065313A" w:rsidRDefault="00387A07" w:rsidP="00387A07">
            <w:r w:rsidRPr="0065313A">
              <w:t>316</w:t>
            </w:r>
          </w:p>
        </w:tc>
        <w:tc>
          <w:tcPr>
            <w:tcW w:w="740" w:type="dxa"/>
            <w:tcBorders>
              <w:top w:val="nil"/>
              <w:left w:val="nil"/>
              <w:bottom w:val="nil"/>
              <w:right w:val="nil"/>
            </w:tcBorders>
            <w:shd w:val="clear" w:color="auto" w:fill="F2F2F2"/>
          </w:tcPr>
          <w:p w:rsidR="00387A07" w:rsidRPr="0065313A" w:rsidRDefault="00387A07" w:rsidP="00387A07">
            <w:r w:rsidRPr="0065313A">
              <w:t>[130]</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BSA</w:t>
            </w:r>
          </w:p>
        </w:tc>
        <w:tc>
          <w:tcPr>
            <w:tcW w:w="1233" w:type="dxa"/>
            <w:tcBorders>
              <w:top w:val="nil"/>
              <w:left w:val="nil"/>
              <w:bottom w:val="nil"/>
              <w:right w:val="nil"/>
            </w:tcBorders>
            <w:shd w:val="clear" w:color="auto" w:fill="F2F2F2"/>
          </w:tcPr>
          <w:p w:rsidR="00387A07" w:rsidRPr="0065313A" w:rsidRDefault="00387A07" w:rsidP="00387A07">
            <w:r w:rsidRPr="0065313A">
              <w:t>95-98%</w:t>
            </w:r>
          </w:p>
        </w:tc>
        <w:tc>
          <w:tcPr>
            <w:tcW w:w="2520" w:type="dxa"/>
            <w:tcBorders>
              <w:top w:val="nil"/>
              <w:left w:val="nil"/>
              <w:bottom w:val="nil"/>
              <w:right w:val="nil"/>
            </w:tcBorders>
            <w:shd w:val="clear" w:color="auto" w:fill="F2F2F2"/>
          </w:tcPr>
          <w:p w:rsidR="00387A07" w:rsidRPr="0065313A" w:rsidRDefault="00387A07" w:rsidP="00387A07">
            <w:r w:rsidRPr="0065313A">
              <w:t>Double emulsion</w:t>
            </w:r>
          </w:p>
        </w:tc>
        <w:tc>
          <w:tcPr>
            <w:tcW w:w="1134" w:type="dxa"/>
            <w:tcBorders>
              <w:top w:val="nil"/>
              <w:left w:val="nil"/>
              <w:bottom w:val="nil"/>
              <w:right w:val="nil"/>
            </w:tcBorders>
            <w:shd w:val="clear" w:color="auto" w:fill="F2F2F2"/>
          </w:tcPr>
          <w:p w:rsidR="00387A07" w:rsidRPr="0065313A" w:rsidRDefault="00387A07" w:rsidP="00387A07">
            <w:r w:rsidRPr="0065313A">
              <w:t>200</w:t>
            </w:r>
          </w:p>
        </w:tc>
        <w:tc>
          <w:tcPr>
            <w:tcW w:w="740" w:type="dxa"/>
            <w:tcBorders>
              <w:top w:val="nil"/>
              <w:left w:val="nil"/>
              <w:bottom w:val="nil"/>
              <w:right w:val="nil"/>
            </w:tcBorders>
            <w:shd w:val="clear" w:color="auto" w:fill="F2F2F2"/>
          </w:tcPr>
          <w:p w:rsidR="00387A07" w:rsidRPr="0065313A" w:rsidRDefault="00387A07" w:rsidP="00387A07">
            <w:r w:rsidRPr="0065313A">
              <w:t>[131]</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right w:val="nil"/>
            </w:tcBorders>
            <w:shd w:val="clear" w:color="auto" w:fill="F2F2F2"/>
          </w:tcPr>
          <w:p w:rsidR="00387A07" w:rsidRPr="0065313A" w:rsidRDefault="00387A07" w:rsidP="00387A07">
            <w:r w:rsidRPr="0065313A">
              <w:t>Cisplatin</w:t>
            </w:r>
          </w:p>
        </w:tc>
        <w:tc>
          <w:tcPr>
            <w:tcW w:w="1233" w:type="dxa"/>
            <w:tcBorders>
              <w:top w:val="nil"/>
              <w:left w:val="nil"/>
              <w:right w:val="nil"/>
            </w:tcBorders>
            <w:shd w:val="clear" w:color="auto" w:fill="F2F2F2"/>
          </w:tcPr>
          <w:p w:rsidR="00387A07" w:rsidRPr="0065313A" w:rsidRDefault="00387A07" w:rsidP="00387A07">
            <w:r w:rsidRPr="0065313A">
              <w:t>11%</w:t>
            </w:r>
          </w:p>
        </w:tc>
        <w:tc>
          <w:tcPr>
            <w:tcW w:w="2520" w:type="dxa"/>
            <w:tcBorders>
              <w:top w:val="nil"/>
              <w:left w:val="nil"/>
              <w:right w:val="nil"/>
            </w:tcBorders>
            <w:shd w:val="clear" w:color="auto" w:fill="F2F2F2"/>
          </w:tcPr>
          <w:p w:rsidR="00387A07" w:rsidRPr="0065313A" w:rsidRDefault="00387A07" w:rsidP="00387A07">
            <w:r w:rsidRPr="0065313A">
              <w:t>Double emulsion</w:t>
            </w:r>
          </w:p>
        </w:tc>
        <w:tc>
          <w:tcPr>
            <w:tcW w:w="1134" w:type="dxa"/>
            <w:tcBorders>
              <w:top w:val="nil"/>
              <w:left w:val="nil"/>
              <w:right w:val="nil"/>
            </w:tcBorders>
            <w:shd w:val="clear" w:color="auto" w:fill="F2F2F2"/>
          </w:tcPr>
          <w:p w:rsidR="00387A07" w:rsidRPr="0065313A" w:rsidRDefault="00387A07" w:rsidP="00387A07">
            <w:r w:rsidRPr="0065313A">
              <w:t>200</w:t>
            </w:r>
          </w:p>
        </w:tc>
        <w:tc>
          <w:tcPr>
            <w:tcW w:w="740" w:type="dxa"/>
            <w:tcBorders>
              <w:top w:val="nil"/>
              <w:left w:val="nil"/>
              <w:right w:val="nil"/>
            </w:tcBorders>
            <w:shd w:val="clear" w:color="auto" w:fill="F2F2F2"/>
          </w:tcPr>
          <w:p w:rsidR="00387A07" w:rsidRPr="0065313A" w:rsidRDefault="00387A07" w:rsidP="00387A07">
            <w:r w:rsidRPr="0065313A">
              <w:t>[126]</w:t>
            </w:r>
          </w:p>
        </w:tc>
      </w:tr>
    </w:tbl>
    <w:p w:rsidR="00387A07" w:rsidRPr="0065313A" w:rsidRDefault="00387A07" w:rsidP="00387A07">
      <w:pPr>
        <w:pStyle w:val="Didascalia"/>
        <w:spacing w:before="120"/>
        <w:rPr>
          <w:rFonts w:ascii="Arial" w:hAnsi="Arial" w:cs="Arial"/>
          <w:sz w:val="24"/>
          <w:szCs w:val="24"/>
          <w:lang w:val="en-US"/>
        </w:rPr>
      </w:pPr>
      <w:r w:rsidRPr="0065313A">
        <w:t xml:space="preserve">Table 1. </w:t>
      </w:r>
      <w:fldSimple w:instr=" SEQ Table_1. \* ARABIC ">
        <w:r w:rsidRPr="0065313A">
          <w:rPr>
            <w:noProof/>
          </w:rPr>
          <w:t>7</w:t>
        </w:r>
      </w:fldSimple>
      <w:r w:rsidRPr="0065313A">
        <w:t xml:space="preserve"> PLGA nanoparticles for the encapsulation of different drug formulations.</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1.4.3 Poly(ε-caprolactone)</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Poly(ε-caprolactone) (PCL) obtained by ring opening polymerisation of ε-caprolactone was first reported by Pitt et al. [132] for the controlled release of steroids and narcotic antagonists as well as to deliver opthalmic agents. PCL is a </w:t>
      </w:r>
      <w:r w:rsidRPr="0065313A">
        <w:rPr>
          <w:rFonts w:ascii="Arial" w:hAnsi="Arial" w:cs="Arial"/>
          <w:color w:val="000000"/>
          <w:sz w:val="24"/>
          <w:szCs w:val="24"/>
          <w:lang w:val="en-US"/>
        </w:rPr>
        <w:t>hydrophobic</w:t>
      </w:r>
      <w:r w:rsidRPr="0065313A">
        <w:rPr>
          <w:rFonts w:ascii="Arial" w:hAnsi="Arial" w:cs="Arial"/>
          <w:sz w:val="24"/>
          <w:szCs w:val="24"/>
          <w:lang w:val="en-US"/>
        </w:rPr>
        <w:t xml:space="preserve"> semi-crystalline polymer having a glass transition temperature of -60°C and a melting point ranging from 59 and 64°C [133]. </w:t>
      </w:r>
      <w:r w:rsidRPr="0065313A">
        <w:rPr>
          <w:rFonts w:ascii="Arial" w:hAnsi="Arial" w:cs="Arial"/>
          <w:color w:val="000000"/>
          <w:sz w:val="24"/>
          <w:szCs w:val="24"/>
          <w:lang w:val="en-US"/>
        </w:rPr>
        <w:t xml:space="preserve">Its crystallinity tends to decrease with increasing molecular weight. The good solubility of PCL, its low melting point and exceptional blend compatibility has stimulated extensive research into its potential application in the biomedical field </w:t>
      </w:r>
      <w:r w:rsidRPr="0065313A">
        <w:rPr>
          <w:rFonts w:ascii="Arial" w:hAnsi="Arial" w:cs="Arial"/>
          <w:color w:val="000077"/>
          <w:sz w:val="24"/>
          <w:szCs w:val="24"/>
          <w:lang w:val="en-US"/>
        </w:rPr>
        <w:t>[</w:t>
      </w:r>
      <w:r w:rsidRPr="0065313A">
        <w:rPr>
          <w:rFonts w:ascii="Arial" w:hAnsi="Arial" w:cs="Arial"/>
          <w:sz w:val="24"/>
          <w:szCs w:val="24"/>
          <w:lang w:val="en-US"/>
        </w:rPr>
        <w:t>134,135]</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color w:val="000000"/>
          <w:sz w:val="24"/>
          <w:szCs w:val="24"/>
          <w:lang w:val="en-US"/>
        </w:rPr>
        <w:t xml:space="preserve">PCL can be prepared by either ring opening polymerization of ε-caprolactone using a variety of anionic, cationic and coordination catalysts or via free radical ring opening polymerization of 2 methylene 1,3 dioxepane </w:t>
      </w:r>
      <w:r w:rsidRPr="0065313A">
        <w:rPr>
          <w:rFonts w:ascii="Arial" w:hAnsi="Arial" w:cs="Arial"/>
          <w:color w:val="000077"/>
          <w:sz w:val="24"/>
          <w:szCs w:val="24"/>
          <w:lang w:val="en-US"/>
        </w:rPr>
        <w:t>[</w:t>
      </w:r>
      <w:r w:rsidRPr="0065313A">
        <w:rPr>
          <w:rFonts w:ascii="Arial" w:hAnsi="Arial" w:cs="Arial"/>
          <w:sz w:val="24"/>
          <w:szCs w:val="24"/>
          <w:lang w:val="en-US"/>
        </w:rPr>
        <w:t>132</w:t>
      </w:r>
      <w:r w:rsidRPr="0065313A">
        <w:rPr>
          <w:rFonts w:ascii="Arial" w:hAnsi="Arial" w:cs="Arial"/>
          <w:color w:val="000077"/>
          <w:sz w:val="24"/>
          <w:szCs w:val="24"/>
          <w:lang w:val="en-US"/>
        </w:rPr>
        <w:t>]</w:t>
      </w:r>
      <w:r w:rsidRPr="0065313A">
        <w:rPr>
          <w:rFonts w:ascii="Arial" w:hAnsi="Arial" w:cs="Arial"/>
          <w:color w:val="000000"/>
          <w:sz w:val="24"/>
          <w:szCs w:val="24"/>
          <w:lang w:val="en-US"/>
        </w:rPr>
        <w:t xml:space="preserve">.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 xml:space="preserve">PCL is known to degrade by hydrolysis according to a bulk degradation mechanism and the rate of degradation is slower than that of other biodegradable polyesters, like PLA and PLGA. </w:t>
      </w:r>
    </w:p>
    <w:p w:rsidR="00387A07" w:rsidRPr="0065313A" w:rsidRDefault="00387A07" w:rsidP="00387A07">
      <w:pPr>
        <w:spacing w:after="120" w:line="360" w:lineRule="auto"/>
        <w:jc w:val="both"/>
        <w:rPr>
          <w:rFonts w:ascii="Arial" w:hAnsi="Arial" w:cs="Arial"/>
          <w:sz w:val="24"/>
          <w:szCs w:val="24"/>
          <w:lang w:val="en-US"/>
        </w:rPr>
      </w:pPr>
      <w:r w:rsidRPr="0065313A">
        <w:rPr>
          <w:rFonts w:ascii="Arial" w:hAnsi="Arial" w:cs="Arial"/>
          <w:sz w:val="24"/>
          <w:szCs w:val="24"/>
          <w:lang w:val="en-US"/>
        </w:rPr>
        <w:t>The degradation process proceeds according to two phases (see figure 1.8) [133]: (i) Initial loss of molecular weight due to chain scission and (ii) onset of weight loss. The process is auto catalytic, since the presence of free carboxylic acid end-groups catalyzes further hydrolysis of additional ester groups. A constant decrease in intrinsic viscosity and average molecular weight are observed during the first stage of degradation, while no weight loss can be detected. The second phase of degradation is characterized by a decrease in the rate of chain scission and the onset of weight loss, attributed to an increased probability of diffusion of small polymer chains out of the bulk material. In this stage an increase in crystallinity in also observed, since cleavage takes place preferably in the amorphous regions of the polymer.</w:t>
      </w:r>
    </w:p>
    <w:p w:rsidR="00387A07" w:rsidRPr="0065313A" w:rsidRDefault="00387A07" w:rsidP="00387A07">
      <w:pPr>
        <w:spacing w:after="0" w:line="360" w:lineRule="auto"/>
        <w:jc w:val="center"/>
        <w:rPr>
          <w:rFonts w:ascii="Arial" w:hAnsi="Arial" w:cs="Arial"/>
          <w:sz w:val="24"/>
          <w:szCs w:val="24"/>
          <w:lang w:val="en-US"/>
        </w:rPr>
      </w:pPr>
      <w:r w:rsidRPr="0065313A">
        <w:rPr>
          <w:rFonts w:ascii="Arial" w:hAnsi="Arial" w:cs="Arial"/>
          <w:noProof/>
          <w:sz w:val="24"/>
          <w:szCs w:val="24"/>
          <w:lang w:val="it-IT" w:eastAsia="it-IT"/>
        </w:rPr>
        <w:drawing>
          <wp:inline distT="0" distB="0" distL="0" distR="0">
            <wp:extent cx="5143500" cy="3686175"/>
            <wp:effectExtent l="19050" t="0" r="0" b="0"/>
            <wp:docPr id="30"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21"/>
                    <a:srcRect b="24957"/>
                    <a:stretch>
                      <a:fillRect/>
                    </a:stretch>
                  </pic:blipFill>
                  <pic:spPr bwMode="auto">
                    <a:xfrm>
                      <a:off x="0" y="0"/>
                      <a:ext cx="5143500" cy="3686175"/>
                    </a:xfrm>
                    <a:prstGeom prst="rect">
                      <a:avLst/>
                    </a:prstGeom>
                    <a:noFill/>
                    <a:ln w="9525">
                      <a:noFill/>
                      <a:miter lim="800000"/>
                      <a:headEnd/>
                      <a:tailEnd/>
                    </a:ln>
                  </pic:spPr>
                </pic:pic>
              </a:graphicData>
            </a:graphic>
          </wp:inline>
        </w:drawing>
      </w:r>
    </w:p>
    <w:p w:rsidR="00387A07" w:rsidRPr="0065313A" w:rsidRDefault="00387A07" w:rsidP="00387A07">
      <w:pPr>
        <w:autoSpaceDE w:val="0"/>
        <w:autoSpaceDN w:val="0"/>
        <w:adjustRightInd w:val="0"/>
        <w:spacing w:line="240" w:lineRule="auto"/>
        <w:rPr>
          <w:rFonts w:cs="Calibri"/>
          <w:sz w:val="18"/>
          <w:szCs w:val="18"/>
          <w:lang w:val="en-US"/>
        </w:rPr>
      </w:pPr>
      <w:r w:rsidRPr="0065313A">
        <w:rPr>
          <w:rFonts w:cs="Calibri"/>
          <w:b/>
          <w:color w:val="4F81BD"/>
          <w:sz w:val="18"/>
          <w:szCs w:val="18"/>
        </w:rPr>
        <w:t xml:space="preserve">Figure 1. </w:t>
      </w:r>
      <w:r w:rsidR="00860AC7" w:rsidRPr="0065313A">
        <w:rPr>
          <w:rFonts w:cs="Calibri"/>
          <w:b/>
          <w:color w:val="4F81BD"/>
          <w:sz w:val="18"/>
          <w:szCs w:val="18"/>
        </w:rPr>
        <w:fldChar w:fldCharType="begin"/>
      </w:r>
      <w:r w:rsidRPr="0065313A">
        <w:rPr>
          <w:rFonts w:cs="Calibri"/>
          <w:b/>
          <w:color w:val="4F81BD"/>
          <w:sz w:val="18"/>
          <w:szCs w:val="18"/>
        </w:rPr>
        <w:instrText xml:space="preserve"> SEQ Figure_1. \* ARABIC </w:instrText>
      </w:r>
      <w:r w:rsidR="00860AC7" w:rsidRPr="0065313A">
        <w:rPr>
          <w:rFonts w:cs="Calibri"/>
          <w:b/>
          <w:color w:val="4F81BD"/>
          <w:sz w:val="18"/>
          <w:szCs w:val="18"/>
        </w:rPr>
        <w:fldChar w:fldCharType="separate"/>
      </w:r>
      <w:r w:rsidRPr="0065313A">
        <w:rPr>
          <w:rFonts w:cs="Calibri"/>
          <w:b/>
          <w:noProof/>
          <w:color w:val="4F81BD"/>
          <w:sz w:val="18"/>
          <w:szCs w:val="18"/>
        </w:rPr>
        <w:t>9</w:t>
      </w:r>
      <w:r w:rsidR="00860AC7" w:rsidRPr="0065313A">
        <w:rPr>
          <w:rFonts w:cs="Calibri"/>
          <w:b/>
          <w:color w:val="4F81BD"/>
          <w:sz w:val="18"/>
          <w:szCs w:val="18"/>
        </w:rPr>
        <w:fldChar w:fldCharType="end"/>
      </w:r>
      <w:r w:rsidRPr="0065313A">
        <w:rPr>
          <w:rFonts w:cs="Calibri"/>
          <w:b/>
          <w:color w:val="4F81BD"/>
          <w:sz w:val="18"/>
          <w:szCs w:val="18"/>
        </w:rPr>
        <w:t xml:space="preserve"> </w:t>
      </w:r>
      <w:r w:rsidRPr="0065313A">
        <w:rPr>
          <w:rFonts w:cs="Calibri"/>
          <w:b/>
          <w:color w:val="4F81BD"/>
          <w:sz w:val="18"/>
          <w:szCs w:val="18"/>
          <w:lang w:val="en-US"/>
        </w:rPr>
        <w:t>The degradation of PCL via hydrolysis intermediates 6hydroxyl caproic acid and acetyl coenzyme A, which are then eliminated from the body via the citric acid cycle (a). Schematic visualization of how crystalline fragmentation could have taken place(b). [136,137]</w:t>
      </w:r>
    </w:p>
    <w:p w:rsidR="00387A07" w:rsidRPr="0065313A" w:rsidRDefault="00387A07" w:rsidP="00387A07">
      <w:pPr>
        <w:spacing w:after="120" w:line="360" w:lineRule="auto"/>
        <w:jc w:val="both"/>
        <w:rPr>
          <w:rFonts w:ascii="Arial" w:hAnsi="Arial" w:cs="Arial"/>
          <w:sz w:val="24"/>
          <w:szCs w:val="24"/>
          <w:lang w:val="en-US"/>
        </w:rPr>
      </w:pPr>
      <w:r w:rsidRPr="0065313A">
        <w:rPr>
          <w:rFonts w:ascii="Arial" w:hAnsi="Arial" w:cs="Arial"/>
          <w:sz w:val="24"/>
          <w:szCs w:val="24"/>
          <w:lang w:val="en-US"/>
        </w:rPr>
        <w:t>PCL and its copolymers or blends have been used to prepare nanoparticles by different methods and for the encapsulation of numerous drugs (see table 1.8).</w:t>
      </w:r>
    </w:p>
    <w:p w:rsidR="00387A07" w:rsidRPr="0065313A" w:rsidRDefault="00387A07" w:rsidP="00387A07">
      <w:pPr>
        <w:spacing w:after="120" w:line="360" w:lineRule="auto"/>
        <w:jc w:val="both"/>
        <w:rPr>
          <w:rFonts w:ascii="Arial" w:hAnsi="Arial" w:cs="Arial"/>
          <w:sz w:val="24"/>
          <w:szCs w:val="24"/>
          <w:lang w:val="en-US"/>
        </w:rPr>
      </w:pPr>
    </w:p>
    <w:tbl>
      <w:tblPr>
        <w:tblW w:w="8330" w:type="dxa"/>
        <w:jc w:val="center"/>
        <w:tblLayout w:type="fixed"/>
        <w:tblLook w:val="00A0"/>
      </w:tblPr>
      <w:tblGrid>
        <w:gridCol w:w="1242"/>
        <w:gridCol w:w="1701"/>
        <w:gridCol w:w="851"/>
        <w:gridCol w:w="2410"/>
        <w:gridCol w:w="992"/>
        <w:gridCol w:w="1134"/>
      </w:tblGrid>
      <w:tr w:rsidR="00387A07" w:rsidRPr="0065313A" w:rsidTr="00387A07">
        <w:trPr>
          <w:jc w:val="center"/>
        </w:trPr>
        <w:tc>
          <w:tcPr>
            <w:tcW w:w="124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lastRenderedPageBreak/>
              <w:t>Polymer</w:t>
            </w:r>
          </w:p>
        </w:tc>
        <w:tc>
          <w:tcPr>
            <w:tcW w:w="1701"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Encapsulant</w:t>
            </w:r>
          </w:p>
        </w:tc>
        <w:tc>
          <w:tcPr>
            <w:tcW w:w="851"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EE</w:t>
            </w:r>
          </w:p>
        </w:tc>
        <w:tc>
          <w:tcPr>
            <w:tcW w:w="2410"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Method</w:t>
            </w:r>
          </w:p>
        </w:tc>
        <w:tc>
          <w:tcPr>
            <w:tcW w:w="992"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Size</w:t>
            </w:r>
          </w:p>
        </w:tc>
        <w:tc>
          <w:tcPr>
            <w:tcW w:w="1134" w:type="dxa"/>
            <w:tcBorders>
              <w:left w:val="nil"/>
              <w:bottom w:val="single" w:sz="4" w:space="0" w:color="000000"/>
              <w:right w:val="nil"/>
            </w:tcBorders>
            <w:shd w:val="clear" w:color="auto" w:fill="F2F2F2"/>
          </w:tcPr>
          <w:p w:rsidR="00387A07" w:rsidRPr="0065313A" w:rsidRDefault="00387A07" w:rsidP="00387A07">
            <w:pPr>
              <w:rPr>
                <w:b/>
              </w:rPr>
            </w:pPr>
            <w:r w:rsidRPr="0065313A">
              <w:rPr>
                <w:b/>
              </w:rPr>
              <w:t>Ref</w:t>
            </w:r>
          </w:p>
        </w:tc>
      </w:tr>
      <w:tr w:rsidR="00387A07" w:rsidRPr="0065313A" w:rsidTr="00387A07">
        <w:trPr>
          <w:jc w:val="center"/>
        </w:trPr>
        <w:tc>
          <w:tcPr>
            <w:tcW w:w="1242" w:type="dxa"/>
            <w:vMerge w:val="restart"/>
            <w:tcBorders>
              <w:left w:val="nil"/>
              <w:right w:val="nil"/>
            </w:tcBorders>
            <w:shd w:val="clear" w:color="auto" w:fill="F2F2F2"/>
          </w:tcPr>
          <w:p w:rsidR="00387A07" w:rsidRPr="0065313A" w:rsidRDefault="00387A07" w:rsidP="00387A07">
            <w:pPr>
              <w:jc w:val="center"/>
            </w:pPr>
            <w:r w:rsidRPr="0065313A">
              <w:t>PCL</w:t>
            </w:r>
          </w:p>
          <w:p w:rsidR="00387A07" w:rsidRPr="0065313A" w:rsidRDefault="00387A07" w:rsidP="00387A07">
            <w:pPr>
              <w:jc w:val="center"/>
            </w:pPr>
          </w:p>
          <w:p w:rsidR="00387A07" w:rsidRPr="0065313A" w:rsidRDefault="00387A07" w:rsidP="00387A07">
            <w:pPr>
              <w:jc w:val="center"/>
            </w:pPr>
            <w:r w:rsidRPr="0065313A">
              <w:rPr>
                <w:rFonts w:ascii="Arial" w:hAnsi="Arial" w:cs="Arial"/>
                <w:noProof/>
                <w:sz w:val="24"/>
                <w:szCs w:val="24"/>
                <w:lang w:val="it-IT" w:eastAsia="it-IT"/>
              </w:rPr>
              <w:drawing>
                <wp:inline distT="0" distB="0" distL="0" distR="0">
                  <wp:extent cx="638175" cy="342900"/>
                  <wp:effectExtent l="19050" t="0" r="9525" b="0"/>
                  <wp:docPr id="24"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l="6148" r="10428" b="16267"/>
                          <a:stretch>
                            <a:fillRect/>
                          </a:stretch>
                        </pic:blipFill>
                        <pic:spPr bwMode="auto">
                          <a:xfrm>
                            <a:off x="0" y="0"/>
                            <a:ext cx="638175" cy="342900"/>
                          </a:xfrm>
                          <a:prstGeom prst="rect">
                            <a:avLst/>
                          </a:prstGeom>
                          <a:noFill/>
                          <a:ln w="9525">
                            <a:noFill/>
                            <a:miter lim="800000"/>
                            <a:headEnd/>
                            <a:tailEnd/>
                          </a:ln>
                        </pic:spPr>
                      </pic:pic>
                    </a:graphicData>
                  </a:graphic>
                </wp:inline>
              </w:drawing>
            </w:r>
          </w:p>
        </w:tc>
        <w:tc>
          <w:tcPr>
            <w:tcW w:w="1701" w:type="dxa"/>
            <w:tcBorders>
              <w:left w:val="nil"/>
              <w:bottom w:val="nil"/>
              <w:right w:val="nil"/>
            </w:tcBorders>
            <w:shd w:val="clear" w:color="auto" w:fill="F2F2F2"/>
          </w:tcPr>
          <w:p w:rsidR="00387A07" w:rsidRPr="0065313A" w:rsidRDefault="00387A07" w:rsidP="00387A07">
            <w:r w:rsidRPr="0065313A">
              <w:t xml:space="preserve">Indomethacin </w:t>
            </w:r>
          </w:p>
        </w:tc>
        <w:tc>
          <w:tcPr>
            <w:tcW w:w="851" w:type="dxa"/>
            <w:tcBorders>
              <w:left w:val="nil"/>
              <w:bottom w:val="nil"/>
              <w:right w:val="nil"/>
            </w:tcBorders>
            <w:shd w:val="clear" w:color="auto" w:fill="F2F2F2"/>
          </w:tcPr>
          <w:p w:rsidR="00387A07" w:rsidRPr="0065313A" w:rsidRDefault="00387A07" w:rsidP="00387A07">
            <w:r w:rsidRPr="0065313A">
              <w:t xml:space="preserve"> -</w:t>
            </w:r>
          </w:p>
        </w:tc>
        <w:tc>
          <w:tcPr>
            <w:tcW w:w="2410" w:type="dxa"/>
            <w:tcBorders>
              <w:left w:val="nil"/>
              <w:bottom w:val="nil"/>
              <w:right w:val="nil"/>
            </w:tcBorders>
            <w:shd w:val="clear" w:color="auto" w:fill="F2F2F2"/>
          </w:tcPr>
          <w:p w:rsidR="00387A07" w:rsidRPr="0065313A" w:rsidRDefault="00387A07" w:rsidP="00387A07">
            <w:r w:rsidRPr="0065313A">
              <w:t>Solvent displacement</w:t>
            </w:r>
          </w:p>
        </w:tc>
        <w:tc>
          <w:tcPr>
            <w:tcW w:w="992" w:type="dxa"/>
            <w:tcBorders>
              <w:left w:val="nil"/>
              <w:bottom w:val="nil"/>
              <w:right w:val="nil"/>
            </w:tcBorders>
            <w:shd w:val="clear" w:color="auto" w:fill="F2F2F2"/>
          </w:tcPr>
          <w:p w:rsidR="00387A07" w:rsidRPr="0065313A" w:rsidRDefault="00387A07" w:rsidP="00387A07">
            <w:r w:rsidRPr="0065313A">
              <w:t>200-250</w:t>
            </w:r>
          </w:p>
        </w:tc>
        <w:tc>
          <w:tcPr>
            <w:tcW w:w="1134" w:type="dxa"/>
            <w:tcBorders>
              <w:left w:val="nil"/>
              <w:bottom w:val="nil"/>
              <w:right w:val="nil"/>
            </w:tcBorders>
            <w:shd w:val="clear" w:color="auto" w:fill="F2F2F2"/>
          </w:tcPr>
          <w:p w:rsidR="00387A07" w:rsidRPr="0065313A" w:rsidRDefault="00387A07" w:rsidP="00387A07">
            <w:r w:rsidRPr="0065313A">
              <w:t>[138]</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Tamoxifen</w:t>
            </w:r>
          </w:p>
        </w:tc>
        <w:tc>
          <w:tcPr>
            <w:tcW w:w="851" w:type="dxa"/>
            <w:tcBorders>
              <w:top w:val="nil"/>
              <w:left w:val="nil"/>
              <w:bottom w:val="nil"/>
              <w:right w:val="nil"/>
            </w:tcBorders>
            <w:shd w:val="clear" w:color="auto" w:fill="F2F2F2"/>
          </w:tcPr>
          <w:p w:rsidR="00387A07" w:rsidRPr="0065313A" w:rsidRDefault="00387A07" w:rsidP="00387A07">
            <w:r w:rsidRPr="0065313A">
              <w:t>60%</w:t>
            </w:r>
          </w:p>
        </w:tc>
        <w:tc>
          <w:tcPr>
            <w:tcW w:w="2410" w:type="dxa"/>
            <w:tcBorders>
              <w:top w:val="nil"/>
              <w:left w:val="nil"/>
              <w:bottom w:val="nil"/>
              <w:right w:val="nil"/>
            </w:tcBorders>
            <w:shd w:val="clear" w:color="auto" w:fill="F2F2F2"/>
          </w:tcPr>
          <w:p w:rsidR="00387A07" w:rsidRPr="0065313A" w:rsidRDefault="00387A07" w:rsidP="00387A07">
            <w:r w:rsidRPr="0065313A">
              <w:t>Solvent displacement</w:t>
            </w:r>
          </w:p>
        </w:tc>
        <w:tc>
          <w:tcPr>
            <w:tcW w:w="992" w:type="dxa"/>
            <w:tcBorders>
              <w:top w:val="nil"/>
              <w:left w:val="nil"/>
              <w:bottom w:val="nil"/>
              <w:right w:val="nil"/>
            </w:tcBorders>
            <w:shd w:val="clear" w:color="auto" w:fill="F2F2F2"/>
          </w:tcPr>
          <w:p w:rsidR="00387A07" w:rsidRPr="0065313A" w:rsidRDefault="00387A07" w:rsidP="00387A07">
            <w:r w:rsidRPr="0065313A">
              <w:t>320</w:t>
            </w:r>
          </w:p>
        </w:tc>
        <w:tc>
          <w:tcPr>
            <w:tcW w:w="1134" w:type="dxa"/>
            <w:tcBorders>
              <w:top w:val="nil"/>
              <w:left w:val="nil"/>
              <w:bottom w:val="nil"/>
              <w:right w:val="nil"/>
            </w:tcBorders>
            <w:shd w:val="clear" w:color="auto" w:fill="F2F2F2"/>
          </w:tcPr>
          <w:p w:rsidR="00387A07" w:rsidRPr="0065313A" w:rsidRDefault="00387A07" w:rsidP="00387A07">
            <w:pPr>
              <w:rPr>
                <w:rFonts w:cs="Calibri"/>
              </w:rPr>
            </w:pPr>
            <w:r w:rsidRPr="0065313A">
              <w:rPr>
                <w:rFonts w:cs="Calibri"/>
                <w:lang w:val="en-US"/>
              </w:rPr>
              <w:t>[139]</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Taxol</w:t>
            </w:r>
          </w:p>
        </w:tc>
        <w:tc>
          <w:tcPr>
            <w:tcW w:w="851" w:type="dxa"/>
            <w:tcBorders>
              <w:top w:val="nil"/>
              <w:left w:val="nil"/>
              <w:bottom w:val="nil"/>
              <w:right w:val="nil"/>
            </w:tcBorders>
            <w:shd w:val="clear" w:color="auto" w:fill="F2F2F2"/>
          </w:tcPr>
          <w:p w:rsidR="00387A07" w:rsidRPr="0065313A" w:rsidRDefault="00387A07" w:rsidP="00387A07">
            <w:r w:rsidRPr="0065313A">
              <w:t>95%</w:t>
            </w:r>
          </w:p>
        </w:tc>
        <w:tc>
          <w:tcPr>
            <w:tcW w:w="2410" w:type="dxa"/>
            <w:tcBorders>
              <w:top w:val="nil"/>
              <w:left w:val="nil"/>
              <w:bottom w:val="nil"/>
              <w:right w:val="nil"/>
            </w:tcBorders>
            <w:shd w:val="clear" w:color="auto" w:fill="F2F2F2"/>
          </w:tcPr>
          <w:p w:rsidR="00387A07" w:rsidRPr="0065313A" w:rsidRDefault="00387A07" w:rsidP="00387A07">
            <w:r w:rsidRPr="0065313A">
              <w:t>Solvent displacement</w:t>
            </w:r>
          </w:p>
        </w:tc>
        <w:tc>
          <w:tcPr>
            <w:tcW w:w="992" w:type="dxa"/>
            <w:tcBorders>
              <w:top w:val="nil"/>
              <w:left w:val="nil"/>
              <w:bottom w:val="nil"/>
              <w:right w:val="nil"/>
            </w:tcBorders>
            <w:shd w:val="clear" w:color="auto" w:fill="F2F2F2"/>
          </w:tcPr>
          <w:p w:rsidR="00387A07" w:rsidRPr="0065313A" w:rsidRDefault="00387A07" w:rsidP="00387A07">
            <w:r w:rsidRPr="0065313A">
              <w:t>270</w:t>
            </w:r>
          </w:p>
        </w:tc>
        <w:tc>
          <w:tcPr>
            <w:tcW w:w="1134" w:type="dxa"/>
            <w:tcBorders>
              <w:top w:val="nil"/>
              <w:left w:val="nil"/>
              <w:bottom w:val="nil"/>
              <w:right w:val="nil"/>
            </w:tcBorders>
            <w:shd w:val="clear" w:color="auto" w:fill="F2F2F2"/>
          </w:tcPr>
          <w:p w:rsidR="00387A07" w:rsidRPr="0065313A" w:rsidRDefault="00387A07" w:rsidP="00387A07">
            <w:r w:rsidRPr="0065313A">
              <w:t>[140]</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bottom w:val="nil"/>
              <w:right w:val="nil"/>
            </w:tcBorders>
            <w:shd w:val="clear" w:color="auto" w:fill="F2F2F2"/>
          </w:tcPr>
          <w:p w:rsidR="00387A07" w:rsidRPr="0065313A" w:rsidRDefault="00387A07" w:rsidP="00387A07">
            <w:r w:rsidRPr="0065313A">
              <w:t>Diclofenac</w:t>
            </w:r>
          </w:p>
        </w:tc>
        <w:tc>
          <w:tcPr>
            <w:tcW w:w="851" w:type="dxa"/>
            <w:tcBorders>
              <w:top w:val="nil"/>
              <w:left w:val="nil"/>
              <w:bottom w:val="nil"/>
              <w:right w:val="nil"/>
            </w:tcBorders>
            <w:shd w:val="clear" w:color="auto" w:fill="F2F2F2"/>
          </w:tcPr>
          <w:p w:rsidR="00387A07" w:rsidRPr="0065313A" w:rsidRDefault="00387A07" w:rsidP="00387A07">
            <w:r w:rsidRPr="0065313A">
              <w:t>99%</w:t>
            </w:r>
          </w:p>
        </w:tc>
        <w:tc>
          <w:tcPr>
            <w:tcW w:w="2410" w:type="dxa"/>
            <w:tcBorders>
              <w:top w:val="nil"/>
              <w:left w:val="nil"/>
              <w:bottom w:val="nil"/>
              <w:right w:val="nil"/>
            </w:tcBorders>
            <w:shd w:val="clear" w:color="auto" w:fill="F2F2F2"/>
          </w:tcPr>
          <w:p w:rsidR="00387A07" w:rsidRPr="0065313A" w:rsidRDefault="00387A07" w:rsidP="00387A07">
            <w:r w:rsidRPr="0065313A">
              <w:t>Spray drying</w:t>
            </w:r>
          </w:p>
        </w:tc>
        <w:tc>
          <w:tcPr>
            <w:tcW w:w="992" w:type="dxa"/>
            <w:tcBorders>
              <w:top w:val="nil"/>
              <w:left w:val="nil"/>
              <w:bottom w:val="nil"/>
              <w:right w:val="nil"/>
            </w:tcBorders>
            <w:shd w:val="clear" w:color="auto" w:fill="F2F2F2"/>
          </w:tcPr>
          <w:p w:rsidR="00387A07" w:rsidRPr="0065313A" w:rsidRDefault="00387A07" w:rsidP="00387A07">
            <w:r w:rsidRPr="0065313A">
              <w:t>240-300</w:t>
            </w:r>
          </w:p>
        </w:tc>
        <w:tc>
          <w:tcPr>
            <w:tcW w:w="1134" w:type="dxa"/>
            <w:tcBorders>
              <w:top w:val="nil"/>
              <w:left w:val="nil"/>
              <w:bottom w:val="nil"/>
              <w:right w:val="nil"/>
            </w:tcBorders>
            <w:shd w:val="clear" w:color="auto" w:fill="F2F2F2"/>
          </w:tcPr>
          <w:p w:rsidR="00387A07" w:rsidRPr="0065313A" w:rsidRDefault="00387A07" w:rsidP="00387A07">
            <w:r w:rsidRPr="0065313A">
              <w:t>[141]</w:t>
            </w:r>
          </w:p>
        </w:tc>
      </w:tr>
      <w:tr w:rsidR="00387A07" w:rsidRPr="0065313A" w:rsidTr="00387A07">
        <w:trPr>
          <w:jc w:val="center"/>
        </w:trPr>
        <w:tc>
          <w:tcPr>
            <w:tcW w:w="1242" w:type="dxa"/>
            <w:vMerge/>
            <w:tcBorders>
              <w:left w:val="nil"/>
              <w:right w:val="nil"/>
            </w:tcBorders>
            <w:shd w:val="clear" w:color="auto" w:fill="F2F2F2"/>
          </w:tcPr>
          <w:p w:rsidR="00387A07" w:rsidRPr="0065313A" w:rsidRDefault="00387A07" w:rsidP="00387A07"/>
        </w:tc>
        <w:tc>
          <w:tcPr>
            <w:tcW w:w="1701" w:type="dxa"/>
            <w:tcBorders>
              <w:top w:val="nil"/>
              <w:left w:val="nil"/>
              <w:right w:val="nil"/>
            </w:tcBorders>
            <w:shd w:val="clear" w:color="auto" w:fill="F2F2F2"/>
          </w:tcPr>
          <w:p w:rsidR="00387A07" w:rsidRPr="0065313A" w:rsidRDefault="00387A07" w:rsidP="00387A07">
            <w:r w:rsidRPr="0065313A">
              <w:t>Docetaxel</w:t>
            </w:r>
          </w:p>
        </w:tc>
        <w:tc>
          <w:tcPr>
            <w:tcW w:w="851" w:type="dxa"/>
            <w:tcBorders>
              <w:top w:val="nil"/>
              <w:left w:val="nil"/>
              <w:right w:val="nil"/>
            </w:tcBorders>
            <w:shd w:val="clear" w:color="auto" w:fill="F2F2F2"/>
          </w:tcPr>
          <w:p w:rsidR="00387A07" w:rsidRPr="0065313A" w:rsidRDefault="00387A07" w:rsidP="00387A07">
            <w:r w:rsidRPr="0065313A">
              <w:t>65%</w:t>
            </w:r>
          </w:p>
        </w:tc>
        <w:tc>
          <w:tcPr>
            <w:tcW w:w="2410" w:type="dxa"/>
            <w:tcBorders>
              <w:top w:val="nil"/>
              <w:left w:val="nil"/>
              <w:right w:val="nil"/>
            </w:tcBorders>
            <w:shd w:val="clear" w:color="auto" w:fill="F2F2F2"/>
          </w:tcPr>
          <w:p w:rsidR="00387A07" w:rsidRPr="0065313A" w:rsidRDefault="00387A07" w:rsidP="00387A07">
            <w:r w:rsidRPr="0065313A">
              <w:t>Solvent Displacement</w:t>
            </w:r>
          </w:p>
        </w:tc>
        <w:tc>
          <w:tcPr>
            <w:tcW w:w="992" w:type="dxa"/>
            <w:tcBorders>
              <w:top w:val="nil"/>
              <w:left w:val="nil"/>
              <w:right w:val="nil"/>
            </w:tcBorders>
            <w:shd w:val="clear" w:color="auto" w:fill="F2F2F2"/>
          </w:tcPr>
          <w:p w:rsidR="00387A07" w:rsidRPr="0065313A" w:rsidRDefault="00387A07" w:rsidP="00387A07">
            <w:pPr>
              <w:rPr>
                <w:lang w:val="it-IT"/>
              </w:rPr>
            </w:pPr>
            <w:r w:rsidRPr="0065313A">
              <w:t>227nm</w:t>
            </w:r>
          </w:p>
        </w:tc>
        <w:tc>
          <w:tcPr>
            <w:tcW w:w="1134" w:type="dxa"/>
            <w:tcBorders>
              <w:top w:val="nil"/>
              <w:left w:val="nil"/>
              <w:right w:val="nil"/>
            </w:tcBorders>
            <w:shd w:val="clear" w:color="auto" w:fill="F2F2F2"/>
          </w:tcPr>
          <w:p w:rsidR="00387A07" w:rsidRPr="0065313A" w:rsidRDefault="00387A07" w:rsidP="00387A07">
            <w:r w:rsidRPr="0065313A">
              <w:t>[142]</w:t>
            </w:r>
          </w:p>
        </w:tc>
      </w:tr>
    </w:tbl>
    <w:p w:rsidR="00387A07" w:rsidRPr="0065313A" w:rsidRDefault="00387A07" w:rsidP="00387A07">
      <w:pPr>
        <w:pStyle w:val="Didascalia"/>
        <w:spacing w:before="120"/>
        <w:rPr>
          <w:rFonts w:ascii="Arial" w:hAnsi="Arial" w:cs="Arial"/>
          <w:sz w:val="24"/>
          <w:szCs w:val="24"/>
          <w:lang w:val="en-US"/>
        </w:rPr>
      </w:pPr>
      <w:r w:rsidRPr="0065313A">
        <w:t xml:space="preserve">Table 1. </w:t>
      </w:r>
      <w:fldSimple w:instr=" SEQ Table_1. \* ARABIC ">
        <w:r w:rsidRPr="0065313A">
          <w:rPr>
            <w:noProof/>
          </w:rPr>
          <w:t>8</w:t>
        </w:r>
      </w:fldSimple>
      <w:r w:rsidRPr="0065313A">
        <w:t xml:space="preserve"> PCL nanoparticles for the encapsulation of different drug formulations.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Calvo et al. successfully investigated the possibility of using PCL nanoparticles for the relase  of Indomethacin in ophthalmic applications. They used the solvent displacement method to prepare nanoparticles with small size (200-250 nm) which showed an in vitro corneal penetration three fold higher than that of commercial eye drops [138].Flurbiprofen and Diclofenac were also successfully encapsulated in PCL nanospheres prepared by solvent displacement method and spray drying, respectively. The encapsulation efficiency of diclofenac-loaded nanoparticles was very high (90-93%) and the average diameter ranged from 240 to 300 nm [140,143] </w:t>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1.4.4 Poly (ethylene glycol) and the concept of “stealth nanoparticles”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nature of the surface of the nanoparticles largely influences their biodistribution following in vivo administration. Hydrophobic nanoparticles are rapidly coated by blood proteins (opsonins) and consequently cleared from the systemic circulation by the mononuclear phagocytic system (MPS), ending in the liver or in the spleen.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color w:val="000000"/>
          <w:sz w:val="24"/>
          <w:szCs w:val="24"/>
          <w:lang w:val="en-US"/>
        </w:rPr>
        <w:t>The macrophages of the MPS have the ability to remove</w:t>
      </w:r>
      <w:r w:rsidRPr="0065313A">
        <w:rPr>
          <w:rFonts w:ascii="Arial" w:hAnsi="Arial" w:cs="Arial"/>
          <w:sz w:val="24"/>
          <w:szCs w:val="24"/>
          <w:lang w:val="en-US"/>
        </w:rPr>
        <w:t xml:space="preserve"> </w:t>
      </w:r>
      <w:r w:rsidRPr="0065313A">
        <w:rPr>
          <w:rFonts w:ascii="Arial" w:hAnsi="Arial" w:cs="Arial"/>
          <w:color w:val="000000"/>
          <w:sz w:val="24"/>
          <w:szCs w:val="24"/>
          <w:lang w:val="en-US"/>
        </w:rPr>
        <w:t>unprotected nanoparticles from the bloodstream within seconds of intravenous administration, rendering them ineffective as site-specific drug delivery devices [</w:t>
      </w:r>
      <w:r w:rsidRPr="0065313A">
        <w:rPr>
          <w:rFonts w:ascii="Arial" w:hAnsi="Arial" w:cs="Arial"/>
          <w:sz w:val="24"/>
          <w:szCs w:val="24"/>
          <w:lang w:val="en-US"/>
        </w:rPr>
        <w:t>144].</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color w:val="000000"/>
          <w:sz w:val="24"/>
          <w:szCs w:val="24"/>
          <w:lang w:val="en-US"/>
        </w:rPr>
        <w:t xml:space="preserve">These cells cannot directly identify the nanoparticles themselves, but rather recognize the opsonin proteins (like immunoglobulins or other complement proteins) bound to the surface of the particles [145]. The process of opsonization has been shown to be more rapid for hydrophobic polymers. </w:t>
      </w:r>
      <w:r w:rsidRPr="0065313A">
        <w:rPr>
          <w:rFonts w:ascii="Arial" w:hAnsi="Arial" w:cs="Arial"/>
          <w:sz w:val="24"/>
          <w:szCs w:val="24"/>
          <w:lang w:val="en-US"/>
        </w:rPr>
        <w:t xml:space="preserve">The hydrophobic nature of most biodegradable particles could therefore limit the applicability of these carriers in many drug delivery applications.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Several strategies have been proposed to temporarily bypass the MPS by increasing the surface hydrophilicity of nanoparticles</w:t>
      </w:r>
      <w:r w:rsidRPr="0065313A">
        <w:rPr>
          <w:rFonts w:ascii="Arial" w:hAnsi="Arial" w:cs="Arial"/>
          <w:color w:val="000000"/>
          <w:sz w:val="24"/>
          <w:szCs w:val="24"/>
          <w:lang w:val="en-US"/>
        </w:rPr>
        <w:t xml:space="preserve"> [144,146,147</w:t>
      </w:r>
      <w:r w:rsidRPr="0065313A">
        <w:rPr>
          <w:rFonts w:ascii="Arial" w:hAnsi="Arial" w:cs="Arial"/>
          <w:sz w:val="24"/>
          <w:szCs w:val="24"/>
          <w:lang w:val="en-US"/>
        </w:rPr>
        <w:t>]</w:t>
      </w:r>
      <w:r w:rsidRPr="0065313A">
        <w:rPr>
          <w:rFonts w:ascii="Arial" w:hAnsi="Arial" w:cs="Arial"/>
          <w:color w:val="000000"/>
          <w:sz w:val="24"/>
          <w:szCs w:val="24"/>
          <w:lang w:val="en-US"/>
        </w:rPr>
        <w:t>.</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color w:val="000000"/>
          <w:sz w:val="24"/>
          <w:szCs w:val="24"/>
          <w:lang w:val="en-US"/>
        </w:rPr>
        <w:lastRenderedPageBreak/>
        <w:t xml:space="preserve">Some of these systems make use of surface treatments that interfere with the binding of opsonin proteins to the particle surface. </w:t>
      </w:r>
      <w:r w:rsidRPr="0065313A">
        <w:rPr>
          <w:rFonts w:ascii="Arial" w:hAnsi="Arial" w:cs="Arial"/>
          <w:sz w:val="24"/>
          <w:szCs w:val="24"/>
          <w:lang w:val="en-US"/>
        </w:rPr>
        <w:t>One widely used</w:t>
      </w:r>
      <w:r w:rsidRPr="0065313A">
        <w:rPr>
          <w:rFonts w:ascii="Arial" w:hAnsi="Arial" w:cs="Arial"/>
          <w:color w:val="000000"/>
          <w:sz w:val="24"/>
          <w:szCs w:val="24"/>
          <w:lang w:val="en-US"/>
        </w:rPr>
        <w:t xml:space="preserve"> </w:t>
      </w:r>
      <w:r w:rsidRPr="0065313A">
        <w:rPr>
          <w:rFonts w:ascii="Arial" w:hAnsi="Arial" w:cs="Arial"/>
          <w:sz w:val="24"/>
          <w:szCs w:val="24"/>
          <w:lang w:val="en-US"/>
        </w:rPr>
        <w:t>method to slow opsonization and impart stealth properties to nanoparticles is the use of surface adsorbed or</w:t>
      </w:r>
      <w:r w:rsidRPr="0065313A">
        <w:rPr>
          <w:rFonts w:ascii="Arial" w:hAnsi="Arial" w:cs="Arial"/>
          <w:color w:val="000000"/>
          <w:sz w:val="24"/>
          <w:szCs w:val="24"/>
          <w:lang w:val="en-US"/>
        </w:rPr>
        <w:t xml:space="preserve"> </w:t>
      </w:r>
      <w:r w:rsidRPr="0065313A">
        <w:rPr>
          <w:rFonts w:ascii="Arial" w:hAnsi="Arial" w:cs="Arial"/>
          <w:sz w:val="24"/>
          <w:szCs w:val="24"/>
          <w:lang w:val="en-US"/>
        </w:rPr>
        <w:t>grafted shielding groups which can block the electrostatic and</w:t>
      </w:r>
      <w:r w:rsidRPr="0065313A">
        <w:rPr>
          <w:rFonts w:ascii="Arial" w:hAnsi="Arial" w:cs="Arial"/>
          <w:color w:val="000000"/>
          <w:sz w:val="24"/>
          <w:szCs w:val="24"/>
          <w:lang w:val="en-US"/>
        </w:rPr>
        <w:t xml:space="preserve"> </w:t>
      </w:r>
      <w:r w:rsidRPr="0065313A">
        <w:rPr>
          <w:rFonts w:ascii="Arial" w:hAnsi="Arial" w:cs="Arial"/>
          <w:sz w:val="24"/>
          <w:szCs w:val="24"/>
          <w:lang w:val="en-US"/>
        </w:rPr>
        <w:t>hydrophobic interactions that help opsonins bind to particle surfaces</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Several types of surface modified nanoparticles have been described in recent literature.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The most common moiety used for surface modification is poly (ethylene glycol) (PEG). PEG is a hydrophilic, non-ionic polymer that has been shown to exhibit excellent biocompatibility. PEG molecules can be added to the particles via covalent bonding or by surface adsorption.</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The presence of a PEG brush on the surface of nanoparticles besides increasing residence time in the systemic circulation can also reduce protein and enzyme adsorption on the surface and thus can retard particle degradation. The degree of protein adsorption depends on the thickness of the PEG layer which, in turn, depends on the density and molecular weight of PEG on the surface [148]</w:t>
      </w:r>
      <w:r w:rsidRPr="0065313A">
        <w:rPr>
          <w:rFonts w:ascii="Arial" w:hAnsi="Arial" w:cs="Arial"/>
          <w:color w:val="000000"/>
          <w:sz w:val="24"/>
          <w:szCs w:val="24"/>
          <w:lang w:val="en-US"/>
        </w:rPr>
        <w:t>. It has been shown that as PEG molecular weight above 2000 leads to longer  blood circulation half-life of the PEGylated particles</w:t>
      </w:r>
      <w:r w:rsidRPr="0065313A">
        <w:rPr>
          <w:rFonts w:ascii="Arial" w:hAnsi="Arial" w:cs="Arial"/>
          <w:color w:val="000066"/>
          <w:sz w:val="24"/>
          <w:szCs w:val="24"/>
          <w:lang w:val="en-US"/>
        </w:rPr>
        <w:t xml:space="preserve"> [</w:t>
      </w:r>
      <w:r w:rsidRPr="0065313A">
        <w:rPr>
          <w:rFonts w:ascii="Arial" w:hAnsi="Arial" w:cs="Arial"/>
          <w:sz w:val="24"/>
          <w:szCs w:val="24"/>
          <w:lang w:val="en-US"/>
        </w:rPr>
        <w:t>144,149,150</w:t>
      </w:r>
      <w:r w:rsidRPr="0065313A">
        <w:rPr>
          <w:rFonts w:ascii="Arial" w:hAnsi="Arial" w:cs="Arial"/>
          <w:color w:val="000066"/>
          <w:sz w:val="24"/>
          <w:szCs w:val="24"/>
          <w:lang w:val="en-US"/>
        </w:rPr>
        <w:t>].</w:t>
      </w:r>
      <w:r w:rsidRPr="0065313A">
        <w:rPr>
          <w:rFonts w:ascii="Arial" w:hAnsi="Arial" w:cs="Arial"/>
          <w:sz w:val="24"/>
          <w:szCs w:val="24"/>
          <w:lang w:val="en-US"/>
        </w:rPr>
        <w:t xml:space="preserve"> </w:t>
      </w:r>
    </w:p>
    <w:p w:rsidR="00387A07" w:rsidRPr="0065313A" w:rsidRDefault="00387A07" w:rsidP="00387A07">
      <w:pPr>
        <w:autoSpaceDE w:val="0"/>
        <w:autoSpaceDN w:val="0"/>
        <w:adjustRightInd w:val="0"/>
        <w:spacing w:after="120" w:line="360" w:lineRule="auto"/>
        <w:jc w:val="both"/>
        <w:rPr>
          <w:rFonts w:ascii="Arial" w:hAnsi="Arial" w:cs="Arial"/>
          <w:sz w:val="24"/>
          <w:szCs w:val="24"/>
          <w:lang w:val="en-US"/>
        </w:rPr>
      </w:pPr>
      <w:r w:rsidRPr="0065313A">
        <w:rPr>
          <w:rFonts w:ascii="Arial" w:hAnsi="Arial" w:cs="Arial"/>
          <w:color w:val="000000"/>
          <w:sz w:val="24"/>
          <w:szCs w:val="24"/>
          <w:lang w:val="en-US"/>
        </w:rPr>
        <w:t xml:space="preserve">Other critical factors are the density and conformation of the PEG chains on the surface. </w:t>
      </w:r>
    </w:p>
    <w:p w:rsidR="00387A07" w:rsidRPr="0065313A" w:rsidRDefault="00387A07" w:rsidP="00387A07">
      <w:pPr>
        <w:spacing w:after="0" w:line="360" w:lineRule="auto"/>
        <w:jc w:val="center"/>
        <w:rPr>
          <w:rFonts w:ascii="Arial" w:hAnsi="Arial" w:cs="Arial"/>
          <w:color w:val="000000"/>
          <w:sz w:val="24"/>
          <w:szCs w:val="24"/>
          <w:lang w:val="en-US"/>
        </w:rPr>
      </w:pPr>
      <w:r w:rsidRPr="0065313A">
        <w:rPr>
          <w:rFonts w:ascii="Arial" w:hAnsi="Arial" w:cs="Arial"/>
          <w:noProof/>
          <w:color w:val="000000"/>
          <w:sz w:val="24"/>
          <w:szCs w:val="24"/>
          <w:lang w:val="it-IT" w:eastAsia="it-IT"/>
        </w:rPr>
        <w:drawing>
          <wp:inline distT="0" distB="0" distL="0" distR="0">
            <wp:extent cx="3505200" cy="3257550"/>
            <wp:effectExtent l="19050" t="0" r="0" b="0"/>
            <wp:docPr id="2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23"/>
                    <a:srcRect/>
                    <a:stretch>
                      <a:fillRect/>
                    </a:stretch>
                  </pic:blipFill>
                  <pic:spPr bwMode="auto">
                    <a:xfrm>
                      <a:off x="0" y="0"/>
                      <a:ext cx="3505200" cy="3257550"/>
                    </a:xfrm>
                    <a:prstGeom prst="rect">
                      <a:avLst/>
                    </a:prstGeom>
                    <a:noFill/>
                    <a:ln w="9525">
                      <a:noFill/>
                      <a:miter lim="800000"/>
                      <a:headEnd/>
                      <a:tailEnd/>
                    </a:ln>
                  </pic:spPr>
                </pic:pic>
              </a:graphicData>
            </a:graphic>
          </wp:inline>
        </w:drawing>
      </w:r>
    </w:p>
    <w:p w:rsidR="00387A07" w:rsidRPr="0065313A" w:rsidRDefault="00387A07" w:rsidP="00387A07">
      <w:pPr>
        <w:pStyle w:val="Didascalia"/>
        <w:spacing w:after="0"/>
        <w:rPr>
          <w:rFonts w:ascii="Arial" w:hAnsi="Arial" w:cs="Arial"/>
          <w:color w:val="000000"/>
          <w:sz w:val="24"/>
          <w:szCs w:val="24"/>
          <w:lang w:val="en-US"/>
        </w:rPr>
      </w:pPr>
      <w:r w:rsidRPr="0065313A">
        <w:t xml:space="preserve">Figure 1. </w:t>
      </w:r>
      <w:fldSimple w:instr=" SEQ Figure_1. \* ARABIC ">
        <w:r w:rsidRPr="0065313A">
          <w:rPr>
            <w:noProof/>
          </w:rPr>
          <w:t>10</w:t>
        </w:r>
      </w:fldSimple>
      <w:r w:rsidRPr="0065313A">
        <w:t xml:space="preserve"> Schematic representation of PEG distribution on the surface of nanoparticles: A) Mushroom configuration and B) Brush configuration.</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color w:val="000000"/>
          <w:sz w:val="24"/>
          <w:szCs w:val="24"/>
          <w:lang w:val="en-US"/>
        </w:rPr>
        <w:lastRenderedPageBreak/>
        <w:t xml:space="preserve">At </w:t>
      </w:r>
      <w:r w:rsidRPr="0065313A">
        <w:rPr>
          <w:rFonts w:ascii="Arial" w:hAnsi="Arial" w:cs="Arial"/>
          <w:sz w:val="24"/>
          <w:szCs w:val="24"/>
          <w:lang w:val="en-US"/>
        </w:rPr>
        <w:t>low surface coverage, the PEG chains</w:t>
      </w:r>
      <w:r w:rsidRPr="0065313A">
        <w:rPr>
          <w:rFonts w:ascii="Arial" w:hAnsi="Arial" w:cs="Arial"/>
          <w:color w:val="000000"/>
          <w:sz w:val="24"/>
          <w:szCs w:val="24"/>
          <w:lang w:val="en-US"/>
        </w:rPr>
        <w:t xml:space="preserve"> </w:t>
      </w:r>
      <w:r w:rsidRPr="0065313A">
        <w:rPr>
          <w:rFonts w:ascii="Arial" w:hAnsi="Arial" w:cs="Arial"/>
          <w:sz w:val="24"/>
          <w:szCs w:val="24"/>
          <w:lang w:val="en-US"/>
        </w:rPr>
        <w:t>have a larger range of motion and will typically take on what is</w:t>
      </w:r>
      <w:r w:rsidRPr="0065313A">
        <w:rPr>
          <w:rFonts w:ascii="Arial" w:hAnsi="Arial" w:cs="Arial"/>
          <w:color w:val="000000"/>
          <w:sz w:val="24"/>
          <w:szCs w:val="24"/>
          <w:lang w:val="en-US"/>
        </w:rPr>
        <w:t xml:space="preserve"> </w:t>
      </w:r>
      <w:r w:rsidRPr="0065313A">
        <w:rPr>
          <w:rFonts w:ascii="Arial" w:hAnsi="Arial" w:cs="Arial"/>
          <w:sz w:val="24"/>
          <w:szCs w:val="24"/>
          <w:lang w:val="en-US"/>
        </w:rPr>
        <w:t>termed a “mushroom” configuration (Fig. 1.10 A), and will localize mostly close to the surface of the particle. Very low surface</w:t>
      </w:r>
      <w:r w:rsidRPr="0065313A">
        <w:rPr>
          <w:rFonts w:ascii="Arial" w:hAnsi="Arial" w:cs="Arial"/>
          <w:color w:val="000000"/>
          <w:sz w:val="24"/>
          <w:szCs w:val="24"/>
          <w:lang w:val="en-US"/>
        </w:rPr>
        <w:t xml:space="preserve"> </w:t>
      </w:r>
      <w:r w:rsidRPr="0065313A">
        <w:rPr>
          <w:rFonts w:ascii="Arial" w:hAnsi="Arial" w:cs="Arial"/>
          <w:sz w:val="24"/>
          <w:szCs w:val="24"/>
          <w:lang w:val="en-US"/>
        </w:rPr>
        <w:t>coverage can also lead to gaps in the PEG protective layer where</w:t>
      </w:r>
      <w:r w:rsidRPr="0065313A">
        <w:rPr>
          <w:rFonts w:ascii="Arial" w:hAnsi="Arial" w:cs="Arial"/>
          <w:color w:val="000000"/>
          <w:sz w:val="24"/>
          <w:szCs w:val="24"/>
          <w:lang w:val="en-US"/>
        </w:rPr>
        <w:t xml:space="preserve"> </w:t>
      </w:r>
      <w:r w:rsidRPr="0065313A">
        <w:rPr>
          <w:rFonts w:ascii="Arial" w:hAnsi="Arial" w:cs="Arial"/>
          <w:sz w:val="24"/>
          <w:szCs w:val="24"/>
          <w:lang w:val="en-US"/>
        </w:rPr>
        <w:t xml:space="preserve">opsonin proteins can freely bind to the nanoparticle surface.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At high PEG density (brush configuration), even though a complete surface coverage is assured, the range of motion of the chains is greatly reduced </w:t>
      </w:r>
      <w:r w:rsidRPr="0065313A">
        <w:rPr>
          <w:rFonts w:ascii="Arial" w:hAnsi="Arial" w:cs="Arial"/>
          <w:color w:val="000000"/>
          <w:sz w:val="24"/>
          <w:szCs w:val="24"/>
          <w:lang w:val="en-US"/>
        </w:rPr>
        <w:t>resulting in decreased steric repulsion of opsonins (Fig 1.10B) [151</w:t>
      </w:r>
      <w:r w:rsidRPr="0065313A">
        <w:rPr>
          <w:rFonts w:ascii="Arial" w:hAnsi="Arial" w:cs="Arial"/>
          <w:sz w:val="24"/>
          <w:szCs w:val="24"/>
          <w:lang w:val="en-US"/>
        </w:rPr>
        <w:t>].</w:t>
      </w:r>
      <w:r w:rsidRPr="0065313A">
        <w:rPr>
          <w:rFonts w:ascii="Arial" w:hAnsi="Arial" w:cs="Arial"/>
          <w:color w:val="000066"/>
          <w:sz w:val="24"/>
          <w:szCs w:val="24"/>
          <w:lang w:val="en-US"/>
        </w:rPr>
        <w:tab/>
      </w:r>
    </w:p>
    <w:p w:rsidR="00387A07" w:rsidRPr="0065313A" w:rsidRDefault="00387A07" w:rsidP="00387A07">
      <w:pPr>
        <w:spacing w:before="240" w:after="240" w:line="360" w:lineRule="auto"/>
        <w:jc w:val="both"/>
        <w:rPr>
          <w:rFonts w:ascii="Arial" w:hAnsi="Arial" w:cs="Arial"/>
          <w:b/>
          <w:sz w:val="24"/>
          <w:szCs w:val="24"/>
          <w:lang w:val="en-US"/>
        </w:rPr>
      </w:pPr>
      <w:r w:rsidRPr="0065313A">
        <w:rPr>
          <w:rFonts w:ascii="Arial" w:hAnsi="Arial" w:cs="Arial"/>
          <w:b/>
          <w:sz w:val="24"/>
          <w:szCs w:val="24"/>
          <w:lang w:val="en-US"/>
        </w:rPr>
        <w:t>1.5 Thesis Goal</w:t>
      </w:r>
    </w:p>
    <w:p w:rsidR="00387A07" w:rsidRPr="0065313A" w:rsidRDefault="00387A07" w:rsidP="00387A07">
      <w:pPr>
        <w:spacing w:after="0" w:line="360" w:lineRule="auto"/>
        <w:jc w:val="both"/>
        <w:rPr>
          <w:rFonts w:ascii="Arial" w:hAnsi="Arial" w:cs="Arial"/>
          <w:b/>
          <w:i/>
          <w:sz w:val="24"/>
          <w:szCs w:val="24"/>
          <w:lang w:val="en-US"/>
        </w:rPr>
      </w:pPr>
      <w:r w:rsidRPr="0065313A">
        <w:rPr>
          <w:rFonts w:ascii="Arial" w:hAnsi="Arial" w:cs="Arial"/>
          <w:b/>
          <w:i/>
          <w:sz w:val="24"/>
          <w:szCs w:val="24"/>
          <w:lang w:val="en-US"/>
        </w:rPr>
        <w:t xml:space="preserve">The objective of this thesis is to define new strategies for the preparation of nano-materials for the controlled and targeted drug release for cancer treatment and in tissue engineering, eventually through the application of novel carrier materials and surface decoration with targeting moieties.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At present, lots of work has been carred out on the studying and optimization of nanoparticulate carriers for drug release starting from biodegradable commercial polyesters, such as poly(D,L lactide-co-glycolide), poly(D,L lactide), poly(ε-caprolactone) and their co-polymers [120,125,132]. Even if encouraging results have been so far obtained, the </w:t>
      </w:r>
      <w:r w:rsidRPr="0065313A">
        <w:rPr>
          <w:rFonts w:ascii="Arial" w:hAnsi="Arial" w:cs="Arial"/>
          <w:i/>
          <w:sz w:val="24"/>
          <w:szCs w:val="24"/>
          <w:lang w:val="en-US"/>
        </w:rPr>
        <w:t>in vivo</w:t>
      </w:r>
      <w:r w:rsidRPr="0065313A">
        <w:rPr>
          <w:rFonts w:ascii="Arial" w:hAnsi="Arial" w:cs="Arial"/>
          <w:sz w:val="24"/>
          <w:szCs w:val="24"/>
          <w:lang w:val="en-US"/>
        </w:rPr>
        <w:t xml:space="preserve"> fate of these carriers still remains to be cleared [38]. It has been demonstrated that nanoparticles are rapidly cleared by the mononuclear phagocytic system (MPS), through a process called opsonization, and are subsequently eliminated from the body or accumulated in organs, such as the liver or the spleen [145]. This phenomenon is particularly evident for highly hydrophobic materials, such as commercial polyesters normally used for particles preparation [145].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To avoid such inconvenience, the most commonly adopted strategy to escape opsonization and increase the residence time of nanoparticles in the blood stream consists in increasing the hydrophilicity of the surface through the introduction of poly(ethylene glycol) (PEG) [147]. Surface PEG chains may also be exploited for further functionalization through chemical coupling of targeting moieties. This may though require additional chemical steps, which in turn result in increased costs and risk of toxicity as well as in poor reproducibility of results.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For this reason, the use of innovative materials such as biodegradable polyesterurethanes (PU) is proposed in this work. PU are an interesting group of block co-polymers that can be synthesized through simple chemical reactions [152].</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 xml:space="preserve">The synthesis of PU, simply involves three basic components (see appendix A): (i) a macrodiol; (ii) a chain extender and (iii) an isocyanate. Their properties (such as biodegradability, hydrophilicity, mechanical strength) can be tailored by selecting the proper reagents during the synthesis. Biodegradable polyurethanes can be prepared by selecting polyester or polyether diols. Polyethers, such as PEG, can be used as macrodiols, alone or in combination with polyesters during the synthesis, resulting in tuneable hydrophilicity and therefore in longer circulation time and reduced opsonization.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Moreover, specific targeting ligands (like peptides or aminoacids) can be inserted in the polymer backbone or attached as pendant groups or both. This allows for the obtainment of multifunctional carriers with tailored properties, according to the specific therapeutic need, with one simple synthesis process.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Though possessing undeniable interesting properties, biodegradable polyurethanes have been poorly investigated as nanoparticles-forming materials to be applied in the field of drug delivery.  </w:t>
      </w:r>
    </w:p>
    <w:p w:rsidR="00387A07" w:rsidRPr="0065313A" w:rsidRDefault="00387A07" w:rsidP="00387A07">
      <w:pPr>
        <w:spacing w:after="0" w:line="360" w:lineRule="auto"/>
        <w:jc w:val="both"/>
        <w:rPr>
          <w:rFonts w:ascii="Arial" w:hAnsi="Arial" w:cs="Arial"/>
          <w:sz w:val="24"/>
          <w:szCs w:val="24"/>
        </w:rPr>
      </w:pPr>
      <w:r w:rsidRPr="0065313A">
        <w:rPr>
          <w:rFonts w:ascii="Arial" w:hAnsi="Arial" w:cs="Arial"/>
          <w:sz w:val="24"/>
          <w:szCs w:val="24"/>
        </w:rPr>
        <w:t xml:space="preserve">Some authors [153] reported successful preparation of nanoparticles with biodegradable PU by the emulsion polymerization method, which involves </w:t>
      </w:r>
      <w:r w:rsidRPr="0065313A">
        <w:rPr>
          <w:rFonts w:ascii="Arial" w:hAnsi="Arial" w:cs="Arial"/>
          <w:i/>
          <w:sz w:val="24"/>
          <w:szCs w:val="24"/>
        </w:rPr>
        <w:t>in situ</w:t>
      </w:r>
      <w:r w:rsidRPr="0065313A">
        <w:rPr>
          <w:rFonts w:ascii="Arial" w:hAnsi="Arial" w:cs="Arial"/>
          <w:sz w:val="24"/>
          <w:szCs w:val="24"/>
        </w:rPr>
        <w:t xml:space="preserve"> polymerization of monomers. As already mentioned, techniques requiring chemical reactions for nanoparticles formation often use toxic solvents and may cause the production of harmful side products.  </w:t>
      </w:r>
    </w:p>
    <w:p w:rsidR="00387A07" w:rsidRPr="0065313A" w:rsidRDefault="00387A07" w:rsidP="00387A07">
      <w:pPr>
        <w:spacing w:after="0" w:line="360" w:lineRule="auto"/>
        <w:jc w:val="both"/>
        <w:rPr>
          <w:rFonts w:ascii="Arial" w:hAnsi="Arial" w:cs="Arial"/>
          <w:sz w:val="24"/>
          <w:szCs w:val="24"/>
        </w:rPr>
      </w:pPr>
      <w:r w:rsidRPr="0065313A">
        <w:rPr>
          <w:rFonts w:ascii="Arial" w:hAnsi="Arial" w:cs="Arial"/>
          <w:sz w:val="24"/>
          <w:szCs w:val="24"/>
        </w:rPr>
        <w:t xml:space="preserve">On the other hand, techniques involving particles preparation from pre-formed polymers have been extensively applied in literature in the past decades and are therefore optimized and standardized. </w:t>
      </w:r>
    </w:p>
    <w:p w:rsidR="00387A07" w:rsidRPr="0065313A" w:rsidRDefault="00387A07" w:rsidP="00387A07">
      <w:pPr>
        <w:spacing w:after="0" w:line="360" w:lineRule="auto"/>
        <w:jc w:val="both"/>
        <w:rPr>
          <w:rFonts w:ascii="Arial" w:hAnsi="Arial" w:cs="Arial"/>
          <w:sz w:val="24"/>
          <w:szCs w:val="24"/>
        </w:rPr>
      </w:pPr>
      <w:r w:rsidRPr="0065313A">
        <w:rPr>
          <w:rFonts w:ascii="Arial" w:hAnsi="Arial" w:cs="Arial"/>
          <w:sz w:val="24"/>
          <w:szCs w:val="24"/>
        </w:rPr>
        <w:t xml:space="preserve">One of the aims of this work, is therefore the application of </w:t>
      </w:r>
      <w:r w:rsidRPr="0065313A">
        <w:rPr>
          <w:rFonts w:ascii="Arial" w:hAnsi="Arial" w:cs="Arial"/>
          <w:b/>
          <w:sz w:val="24"/>
          <w:szCs w:val="24"/>
        </w:rPr>
        <w:t xml:space="preserve">preformed biodegradable polyesterurethanes </w:t>
      </w:r>
      <w:r w:rsidRPr="0065313A">
        <w:rPr>
          <w:rFonts w:ascii="Arial" w:hAnsi="Arial" w:cs="Arial"/>
          <w:sz w:val="24"/>
          <w:szCs w:val="24"/>
        </w:rPr>
        <w:t>based on poly(ε-caprolactone) diol for the preparation of nanoparticles for the controlled and targeted delivery of Paclitaxel (a potent anti-neoplastic drug), by using two common, fast, non toxic and reproducible methods, described in chapter 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1. The Solvent Displacement method, proposed by Fessi and co-workers [105], which requires the use of a solvent (generally acetone) and of water as the non solvent. The polymer and the drug must dissolve in the first system but not in water and particles form for the precipitation of the polymer when added drop-wise into the non solvent.</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2. A modified Single Emulsion Solvent Evaporation method, in which ethyl acetate was used as solvent for both the polymer and the drug and water as external system. The </w:t>
      </w:r>
      <w:r w:rsidRPr="0065313A">
        <w:rPr>
          <w:rFonts w:ascii="Arial" w:hAnsi="Arial" w:cs="Arial"/>
          <w:sz w:val="24"/>
          <w:szCs w:val="24"/>
          <w:lang w:val="en-US"/>
        </w:rPr>
        <w:lastRenderedPageBreak/>
        <w:t xml:space="preserve">formation of nanoparticles requires emulsification of the two solutions, through the application of shear stresses. Commonly-used polyesters are selected as controls.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All nanoparticles need to be analyzed in terms of:</w:t>
      </w:r>
    </w:p>
    <w:p w:rsidR="00387A07" w:rsidRPr="0065313A" w:rsidRDefault="00387A07" w:rsidP="00387A07">
      <w:pPr>
        <w:pStyle w:val="Paragrafoelenco"/>
        <w:numPr>
          <w:ilvl w:val="0"/>
          <w:numId w:val="32"/>
        </w:numPr>
        <w:spacing w:after="0" w:line="360" w:lineRule="auto"/>
        <w:jc w:val="both"/>
        <w:rPr>
          <w:rFonts w:ascii="Arial" w:hAnsi="Arial" w:cs="Arial"/>
          <w:sz w:val="24"/>
          <w:szCs w:val="24"/>
          <w:lang w:val="en-US"/>
        </w:rPr>
      </w:pPr>
      <w:r w:rsidRPr="0065313A">
        <w:rPr>
          <w:rFonts w:ascii="Arial" w:hAnsi="Arial" w:cs="Arial"/>
          <w:sz w:val="24"/>
          <w:szCs w:val="24"/>
          <w:lang w:val="en-US"/>
        </w:rPr>
        <w:t>Morphology (by means of scanning electron microscopy or atomic force microscopy)</w:t>
      </w:r>
    </w:p>
    <w:p w:rsidR="00387A07" w:rsidRPr="0065313A" w:rsidRDefault="00387A07" w:rsidP="00387A07">
      <w:pPr>
        <w:pStyle w:val="Paragrafoelenco"/>
        <w:numPr>
          <w:ilvl w:val="0"/>
          <w:numId w:val="32"/>
        </w:numPr>
        <w:spacing w:after="0" w:line="360" w:lineRule="auto"/>
        <w:jc w:val="both"/>
        <w:rPr>
          <w:rFonts w:ascii="Arial" w:hAnsi="Arial" w:cs="Arial"/>
          <w:sz w:val="24"/>
          <w:szCs w:val="24"/>
          <w:lang w:val="en-US"/>
        </w:rPr>
      </w:pPr>
      <w:r w:rsidRPr="0065313A">
        <w:rPr>
          <w:rFonts w:ascii="Arial" w:hAnsi="Arial" w:cs="Arial"/>
          <w:sz w:val="24"/>
          <w:szCs w:val="24"/>
          <w:lang w:val="en-US"/>
        </w:rPr>
        <w:t>Mean size, size distribution and zeta potential</w:t>
      </w:r>
    </w:p>
    <w:p w:rsidR="00387A07" w:rsidRPr="0065313A" w:rsidRDefault="00387A07" w:rsidP="00387A07">
      <w:pPr>
        <w:pStyle w:val="Paragrafoelenco"/>
        <w:numPr>
          <w:ilvl w:val="0"/>
          <w:numId w:val="32"/>
        </w:numPr>
        <w:spacing w:after="0" w:line="360" w:lineRule="auto"/>
        <w:jc w:val="both"/>
        <w:rPr>
          <w:rFonts w:ascii="Arial" w:hAnsi="Arial" w:cs="Arial"/>
          <w:sz w:val="24"/>
          <w:szCs w:val="24"/>
          <w:lang w:val="en-US"/>
        </w:rPr>
      </w:pPr>
      <w:r w:rsidRPr="0065313A">
        <w:rPr>
          <w:rFonts w:ascii="Arial" w:hAnsi="Arial" w:cs="Arial"/>
          <w:sz w:val="24"/>
          <w:szCs w:val="24"/>
          <w:lang w:val="en-US"/>
        </w:rPr>
        <w:t>Drug encapsulation efficiency and release profiles.</w:t>
      </w:r>
    </w:p>
    <w:p w:rsidR="00387A07" w:rsidRPr="0065313A" w:rsidRDefault="00387A07" w:rsidP="00387A07">
      <w:pPr>
        <w:pStyle w:val="Paragrafoelenco"/>
        <w:numPr>
          <w:ilvl w:val="0"/>
          <w:numId w:val="32"/>
        </w:numPr>
        <w:spacing w:after="0" w:line="360" w:lineRule="auto"/>
        <w:jc w:val="both"/>
        <w:rPr>
          <w:rFonts w:ascii="Arial" w:hAnsi="Arial" w:cs="Arial"/>
          <w:sz w:val="24"/>
          <w:szCs w:val="24"/>
          <w:lang w:val="en-US"/>
        </w:rPr>
      </w:pPr>
      <w:r w:rsidRPr="0065313A">
        <w:rPr>
          <w:rFonts w:ascii="Arial" w:hAnsi="Arial" w:cs="Arial"/>
          <w:sz w:val="24"/>
          <w:szCs w:val="24"/>
          <w:lang w:val="en-US"/>
        </w:rPr>
        <w:t>Extent of cellular internalization by different cell lines (A431 human epidermal carcinoma cell line, for particles prepared by the Solvent Displacement method and MCF7 as well as SKBR3 breast cancer cells for particles prepared by the second method).</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Particles prepared by the solvent displacement method are proposed for the passive targeting of cancer cells through the Enhanced Permeation and Retention (EPR) Effect. A431 cells are selected to test the ability of these particles to penetrate tumor cells.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The modified single emulsion solvent evaporation method is used to prepare nanoparticles for the active targeting of breast cancer cells. To achieve targeting ability, Herceptin, a monoclonal antibody able to selectively target tumor cells over-expressing the HER2 receptor, is absorbed on the surface of the carriers. </w:t>
      </w:r>
    </w:p>
    <w:p w:rsidR="00387A07" w:rsidRPr="0065313A" w:rsidRDefault="00387A07" w:rsidP="00387A07">
      <w:pPr>
        <w:pStyle w:val="Default"/>
        <w:spacing w:line="360" w:lineRule="auto"/>
        <w:jc w:val="both"/>
        <w:rPr>
          <w:rFonts w:ascii="Arial" w:hAnsi="Arial" w:cs="Arial"/>
          <w:lang w:val="en-US"/>
        </w:rPr>
      </w:pPr>
      <w:r w:rsidRPr="0065313A">
        <w:rPr>
          <w:rFonts w:ascii="Arial" w:hAnsi="Arial" w:cs="Arial"/>
          <w:lang w:val="en-US"/>
        </w:rPr>
        <w:t>Within this thesis, the application of nanoparticles encapsulating an anti-inflammatory drug (Indomethacin) for the preparation of biomimetic, multifunctional and injectable bone cement formulations is also investigated.</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 xml:space="preserve">This material is composed of an organic phase made of chitosan (CH), which is expected to improve injectability, as well as of β tricalcium phosphate as inorganic phase able to increase the bioactivity (i.e. the ability to stimulate new bone deposition) of the material [154]. Genipin (GP) was selected as cross-linker for chitosan, due to its natural origin and biocompatibility [155]. Collagen, which is known to confer biomimetic ability and to increase the mechanical strength [156] of the material, was also added to the cement composition. </w:t>
      </w:r>
    </w:p>
    <w:p w:rsidR="00387A07" w:rsidRPr="0065313A" w:rsidRDefault="00387A07" w:rsidP="00387A07">
      <w:pPr>
        <w:autoSpaceDE w:val="0"/>
        <w:autoSpaceDN w:val="0"/>
        <w:adjustRightInd w:val="0"/>
        <w:spacing w:after="0" w:line="360" w:lineRule="auto"/>
        <w:jc w:val="both"/>
        <w:rPr>
          <w:rFonts w:ascii="Arial" w:hAnsi="Arial" w:cs="Arial"/>
          <w:sz w:val="24"/>
          <w:szCs w:val="24"/>
          <w:lang w:val="en-US"/>
        </w:rPr>
      </w:pPr>
      <w:r w:rsidRPr="0065313A">
        <w:rPr>
          <w:rFonts w:ascii="Arial" w:hAnsi="Arial" w:cs="Arial"/>
          <w:sz w:val="24"/>
          <w:szCs w:val="24"/>
          <w:lang w:val="en-US"/>
        </w:rPr>
        <w:t>The cement composition was optimized to obtain the desired hardening time and dissolution rate and then reinforced with collagen, which is known to confer biomimetic ability and to increase the mechanical strength [156] of the material.</w:t>
      </w:r>
    </w:p>
    <w:p w:rsidR="00387A07" w:rsidRPr="0065313A" w:rsidRDefault="00387A07" w:rsidP="00387A07">
      <w:pPr>
        <w:pStyle w:val="Default"/>
        <w:spacing w:line="360" w:lineRule="auto"/>
        <w:jc w:val="both"/>
        <w:rPr>
          <w:rFonts w:ascii="Arial" w:hAnsi="Arial" w:cs="Arial"/>
          <w:color w:val="231F20"/>
          <w:lang w:val="en-US"/>
        </w:rPr>
      </w:pPr>
      <w:r w:rsidRPr="0065313A">
        <w:rPr>
          <w:rFonts w:ascii="Arial" w:hAnsi="Arial" w:cs="Arial"/>
          <w:color w:val="231F20"/>
          <w:lang w:val="en-US"/>
        </w:rPr>
        <w:t xml:space="preserve">Different compositions were tested, by varying the organic/inorganic phase ratio and the amount of cross linker, in order </w:t>
      </w:r>
      <w:r w:rsidRPr="0065313A">
        <w:rPr>
          <w:rFonts w:ascii="Arial" w:hAnsi="Arial" w:cs="Arial"/>
          <w:lang w:val="en-US"/>
        </w:rPr>
        <w:t xml:space="preserve">to obtain the desired hardening time and dissolution rate. </w:t>
      </w:r>
    </w:p>
    <w:p w:rsidR="00387A07" w:rsidRPr="0065313A" w:rsidRDefault="00387A07" w:rsidP="00387A07">
      <w:pPr>
        <w:pStyle w:val="Default"/>
        <w:spacing w:line="360" w:lineRule="auto"/>
        <w:jc w:val="both"/>
        <w:rPr>
          <w:rFonts w:ascii="Arial" w:hAnsi="Arial" w:cs="Arial"/>
          <w:color w:val="231F20"/>
          <w:lang w:val="en-US"/>
        </w:rPr>
      </w:pPr>
      <w:r w:rsidRPr="0065313A">
        <w:rPr>
          <w:rFonts w:ascii="Arial" w:hAnsi="Arial" w:cs="Arial"/>
          <w:color w:val="231F20"/>
          <w:lang w:val="en-US"/>
        </w:rPr>
        <w:lastRenderedPageBreak/>
        <w:t xml:space="preserve">The addition of Indomethacin (IND) loaded nanoparticles to the cement composition, is attempted to face post-operative infections, since the release rate of the drug is compatible with post-operative infections raising kinetics. </w:t>
      </w:r>
      <w:r w:rsidRPr="0065313A">
        <w:rPr>
          <w:rFonts w:ascii="Arial" w:hAnsi="Arial" w:cs="Arial"/>
          <w:lang w:val="en-US"/>
        </w:rPr>
        <w:t>The proposed formulation is tested as injectable bioactive bone substitute for guided bone regeneration.</w:t>
      </w:r>
    </w:p>
    <w:p w:rsidR="00387A07" w:rsidRPr="0065313A" w:rsidRDefault="00387A07" w:rsidP="00387A07">
      <w:pPr>
        <w:pStyle w:val="Default"/>
        <w:spacing w:before="240" w:after="240" w:line="360" w:lineRule="auto"/>
        <w:jc w:val="both"/>
        <w:rPr>
          <w:rFonts w:ascii="Arial" w:hAnsi="Arial" w:cs="Arial"/>
          <w:b/>
          <w:lang w:val="en-US"/>
        </w:rPr>
      </w:pPr>
      <w:r w:rsidRPr="0065313A">
        <w:rPr>
          <w:rFonts w:ascii="Arial" w:hAnsi="Arial" w:cs="Arial"/>
          <w:b/>
          <w:lang w:val="en-US"/>
        </w:rPr>
        <w:t>References</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 Sahoo A.K. and V. Labhasetwar </w:t>
      </w:r>
      <w:r w:rsidRPr="0065313A">
        <w:rPr>
          <w:rFonts w:ascii="Arial" w:hAnsi="Arial" w:cs="Arial"/>
          <w:b/>
          <w:sz w:val="24"/>
          <w:szCs w:val="24"/>
          <w:lang w:val="en-US"/>
        </w:rPr>
        <w:t>2003</w:t>
      </w:r>
      <w:r w:rsidRPr="0065313A">
        <w:rPr>
          <w:rFonts w:ascii="Arial" w:hAnsi="Arial" w:cs="Arial"/>
          <w:sz w:val="24"/>
          <w:szCs w:val="24"/>
          <w:lang w:val="en-US"/>
        </w:rPr>
        <w:t xml:space="preserve"> Drug Discov Today 24:112 </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[2] Xiaojun Y. at al. in Biomedical nanostructures edited by K.E. Gonsalves.</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 Langer </w:t>
      </w:r>
      <w:r w:rsidRPr="0065313A">
        <w:rPr>
          <w:rFonts w:ascii="Arial" w:hAnsi="Arial" w:cs="Arial"/>
          <w:b/>
          <w:sz w:val="24"/>
          <w:szCs w:val="24"/>
          <w:lang w:val="en-US"/>
        </w:rPr>
        <w:t xml:space="preserve">1998 </w:t>
      </w:r>
      <w:r w:rsidRPr="0065313A">
        <w:rPr>
          <w:rFonts w:ascii="Arial" w:hAnsi="Arial" w:cs="Arial"/>
          <w:sz w:val="24"/>
          <w:szCs w:val="24"/>
          <w:lang w:val="en-US"/>
        </w:rPr>
        <w:t>R. Nature 392:5</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[4] Loo C et al. </w:t>
      </w:r>
      <w:r w:rsidRPr="0065313A">
        <w:rPr>
          <w:rFonts w:ascii="Arial" w:hAnsi="Arial" w:cs="Arial"/>
          <w:b/>
          <w:sz w:val="24"/>
          <w:szCs w:val="24"/>
          <w:lang w:val="en-US"/>
        </w:rPr>
        <w:t xml:space="preserve">2005 </w:t>
      </w:r>
      <w:r w:rsidRPr="0065313A">
        <w:rPr>
          <w:rFonts w:ascii="Arial" w:hAnsi="Arial" w:cs="Arial"/>
          <w:sz w:val="24"/>
          <w:szCs w:val="24"/>
          <w:lang w:val="en-US"/>
        </w:rPr>
        <w:t xml:space="preserve">Nanolett 5:709 </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[5] Zharov V. et al. </w:t>
      </w:r>
      <w:r w:rsidRPr="0065313A">
        <w:rPr>
          <w:rFonts w:ascii="Arial" w:hAnsi="Arial" w:cs="Arial"/>
          <w:b/>
          <w:sz w:val="24"/>
          <w:szCs w:val="24"/>
          <w:lang w:val="en-US"/>
        </w:rPr>
        <w:t>2006</w:t>
      </w:r>
      <w:r w:rsidRPr="0065313A">
        <w:rPr>
          <w:rFonts w:ascii="Arial" w:hAnsi="Arial" w:cs="Arial"/>
          <w:sz w:val="24"/>
          <w:szCs w:val="24"/>
          <w:lang w:val="en-US"/>
        </w:rPr>
        <w:t xml:space="preserve"> Biophys J 90:619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[6] Liu Y. et al. </w:t>
      </w:r>
      <w:r w:rsidRPr="0065313A">
        <w:rPr>
          <w:rFonts w:ascii="Arial" w:hAnsi="Arial" w:cs="Arial"/>
          <w:b/>
          <w:sz w:val="24"/>
          <w:szCs w:val="24"/>
          <w:lang w:val="en-US"/>
        </w:rPr>
        <w:t>2010</w:t>
      </w:r>
      <w:r w:rsidRPr="0065313A">
        <w:rPr>
          <w:rFonts w:ascii="Arial" w:hAnsi="Arial" w:cs="Arial"/>
          <w:sz w:val="24"/>
          <w:szCs w:val="24"/>
          <w:lang w:val="en-US"/>
        </w:rPr>
        <w:t xml:space="preserve"> Biomaterials 31:9145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 Alexis F. et Al. </w:t>
      </w:r>
      <w:r w:rsidRPr="0065313A">
        <w:rPr>
          <w:rFonts w:ascii="Arial" w:hAnsi="Arial" w:cs="Arial"/>
          <w:b/>
          <w:sz w:val="24"/>
          <w:szCs w:val="24"/>
          <w:lang w:val="en-US"/>
        </w:rPr>
        <w:t>2008</w:t>
      </w:r>
      <w:r w:rsidRPr="0065313A">
        <w:rPr>
          <w:rFonts w:ascii="Arial" w:hAnsi="Arial" w:cs="Arial"/>
          <w:sz w:val="24"/>
          <w:szCs w:val="24"/>
          <w:lang w:val="en-US"/>
        </w:rPr>
        <w:t xml:space="preserve"> Mol Pharm 5:505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 Shenoy D.B. et Al. </w:t>
      </w:r>
      <w:r w:rsidRPr="0065313A">
        <w:rPr>
          <w:rFonts w:ascii="Arial" w:hAnsi="Arial" w:cs="Arial"/>
          <w:b/>
          <w:sz w:val="24"/>
          <w:szCs w:val="24"/>
          <w:lang w:val="en-US"/>
        </w:rPr>
        <w:t>2005</w:t>
      </w:r>
      <w:r w:rsidRPr="0065313A">
        <w:rPr>
          <w:rFonts w:ascii="Arial" w:hAnsi="Arial" w:cs="Arial"/>
          <w:sz w:val="24"/>
          <w:szCs w:val="24"/>
          <w:lang w:val="en-US"/>
        </w:rPr>
        <w:t xml:space="preserve"> Int J Pharm 293:261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[9] Leroux J. et Al. </w:t>
      </w:r>
      <w:r w:rsidRPr="0065313A">
        <w:rPr>
          <w:rFonts w:ascii="Arial" w:hAnsi="Arial" w:cs="Arial"/>
          <w:b/>
          <w:sz w:val="24"/>
          <w:szCs w:val="24"/>
          <w:lang w:val="en-US"/>
        </w:rPr>
        <w:t>1996</w:t>
      </w:r>
      <w:r w:rsidRPr="0065313A">
        <w:rPr>
          <w:rFonts w:ascii="Arial" w:hAnsi="Arial" w:cs="Arial"/>
          <w:sz w:val="24"/>
          <w:szCs w:val="24"/>
          <w:lang w:val="en-US"/>
        </w:rPr>
        <w:t xml:space="preserve"> J Control Release 39:339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[10] Rao </w:t>
      </w:r>
      <w:r w:rsidRPr="0065313A">
        <w:rPr>
          <w:rFonts w:ascii="Arial" w:hAnsi="Arial" w:cs="Arial"/>
          <w:iCs/>
          <w:sz w:val="24"/>
          <w:szCs w:val="24"/>
          <w:lang w:val="en-US"/>
        </w:rPr>
        <w:t xml:space="preserve">J.P. et al </w:t>
      </w:r>
      <w:r w:rsidRPr="0065313A">
        <w:rPr>
          <w:rFonts w:ascii="Arial" w:hAnsi="Arial" w:cs="Arial"/>
          <w:b/>
          <w:iCs/>
          <w:sz w:val="24"/>
          <w:szCs w:val="24"/>
          <w:lang w:val="en-US"/>
        </w:rPr>
        <w:t xml:space="preserve">2011 </w:t>
      </w:r>
      <w:r w:rsidRPr="0065313A">
        <w:rPr>
          <w:rFonts w:ascii="Arial" w:hAnsi="Arial" w:cs="Arial"/>
          <w:iCs/>
          <w:sz w:val="24"/>
          <w:szCs w:val="24"/>
          <w:lang w:val="en-US"/>
        </w:rPr>
        <w:t>Progress in Polymer Science 36:887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[11] Kreuter J. in </w:t>
      </w:r>
      <w:r w:rsidRPr="0065313A">
        <w:rPr>
          <w:rFonts w:ascii="Arial" w:hAnsi="Arial" w:cs="Arial"/>
          <w:iCs/>
          <w:sz w:val="24"/>
          <w:szCs w:val="24"/>
          <w:lang w:val="en-US"/>
        </w:rPr>
        <w:t>Encyclopaedia of Pharmaceutical Technology</w:t>
      </w:r>
      <w:r w:rsidRPr="0065313A">
        <w:rPr>
          <w:rFonts w:ascii="Arial" w:hAnsi="Arial" w:cs="Arial"/>
          <w:sz w:val="24"/>
          <w:szCs w:val="24"/>
          <w:lang w:val="en-US"/>
        </w:rPr>
        <w:t>, Swarbrick J, Editor. 1994, Marcel Dekker Inc.: New York,</w:t>
      </w:r>
      <w:r w:rsidRPr="0065313A">
        <w:rPr>
          <w:rFonts w:ascii="Arial" w:hAnsi="Arial" w:cs="Arial"/>
          <w:iCs/>
          <w:sz w:val="24"/>
          <w:szCs w:val="24"/>
          <w:lang w:val="en-US"/>
        </w:rPr>
        <w:t xml:space="preserve"> </w:t>
      </w:r>
      <w:r w:rsidRPr="0065313A">
        <w:rPr>
          <w:rFonts w:ascii="Arial" w:hAnsi="Arial" w:cs="Arial"/>
          <w:sz w:val="24"/>
          <w:szCs w:val="24"/>
          <w:lang w:val="en-US"/>
        </w:rPr>
        <w:t>USA. p. 165-90.</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[12] Brigger I. et al. </w:t>
      </w:r>
      <w:r w:rsidRPr="0065313A">
        <w:rPr>
          <w:rFonts w:ascii="Arial" w:hAnsi="Arial" w:cs="Arial"/>
          <w:b/>
          <w:sz w:val="24"/>
          <w:szCs w:val="24"/>
          <w:lang w:val="en-US"/>
        </w:rPr>
        <w:t>2002</w:t>
      </w:r>
      <w:r w:rsidRPr="0065313A">
        <w:rPr>
          <w:rFonts w:ascii="Arial" w:hAnsi="Arial" w:cs="Arial"/>
          <w:sz w:val="24"/>
          <w:szCs w:val="24"/>
          <w:lang w:val="en-US"/>
        </w:rPr>
        <w:t xml:space="preserve"> Adv. Drug Del. Rev. 54:631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 Barichello J.M. et al. </w:t>
      </w:r>
      <w:r w:rsidRPr="0065313A">
        <w:rPr>
          <w:rFonts w:ascii="Arial" w:hAnsi="Arial" w:cs="Arial"/>
          <w:b/>
          <w:sz w:val="24"/>
          <w:szCs w:val="24"/>
          <w:lang w:val="en-US"/>
        </w:rPr>
        <w:t>1999</w:t>
      </w:r>
      <w:r w:rsidRPr="0065313A">
        <w:rPr>
          <w:rFonts w:ascii="Arial" w:hAnsi="Arial" w:cs="Arial"/>
          <w:sz w:val="24"/>
          <w:szCs w:val="24"/>
          <w:lang w:val="en-US"/>
        </w:rPr>
        <w:t xml:space="preserve"> Drug Dev Ind Pharm 25:471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[14] Raghuvanshi R.S. et al.</w:t>
      </w:r>
      <w:r w:rsidRPr="0065313A">
        <w:rPr>
          <w:rFonts w:ascii="Arial" w:hAnsi="Arial" w:cs="Arial"/>
          <w:b/>
          <w:sz w:val="24"/>
          <w:szCs w:val="24"/>
          <w:lang w:val="en-US"/>
        </w:rPr>
        <w:t xml:space="preserve"> 2002</w:t>
      </w:r>
      <w:r w:rsidRPr="0065313A">
        <w:rPr>
          <w:rFonts w:ascii="Arial" w:hAnsi="Arial" w:cs="Arial"/>
          <w:sz w:val="24"/>
          <w:szCs w:val="24"/>
          <w:lang w:val="en-US"/>
        </w:rPr>
        <w:t xml:space="preserve"> Int J Pharm 245:109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[15] Kawashima Y. et al. </w:t>
      </w:r>
      <w:r w:rsidRPr="0065313A">
        <w:rPr>
          <w:rFonts w:ascii="Arial" w:hAnsi="Arial" w:cs="Arial"/>
          <w:b/>
          <w:sz w:val="24"/>
          <w:szCs w:val="24"/>
          <w:lang w:val="en-US"/>
        </w:rPr>
        <w:t>2000</w:t>
      </w:r>
      <w:r w:rsidRPr="0065313A">
        <w:rPr>
          <w:rFonts w:ascii="Arial" w:hAnsi="Arial" w:cs="Arial"/>
          <w:sz w:val="24"/>
          <w:szCs w:val="24"/>
          <w:lang w:val="en-US"/>
        </w:rPr>
        <w:t xml:space="preserve"> Pharm Dev Technol 5: 77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[16] Park J.S. et al. </w:t>
      </w:r>
      <w:r w:rsidRPr="0065313A">
        <w:rPr>
          <w:rFonts w:ascii="Arial" w:hAnsi="Arial" w:cs="Arial"/>
          <w:b/>
          <w:sz w:val="24"/>
          <w:szCs w:val="24"/>
          <w:lang w:val="en-US"/>
        </w:rPr>
        <w:t>2010</w:t>
      </w:r>
      <w:r w:rsidRPr="0065313A">
        <w:rPr>
          <w:rFonts w:ascii="Arial" w:hAnsi="Arial" w:cs="Arial"/>
          <w:sz w:val="24"/>
          <w:szCs w:val="24"/>
          <w:lang w:val="en-US"/>
        </w:rPr>
        <w:t xml:space="preserve"> Biomaterials 31:124</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[17] Howard K.A. </w:t>
      </w:r>
      <w:r w:rsidRPr="0065313A">
        <w:rPr>
          <w:rFonts w:ascii="Arial" w:hAnsi="Arial" w:cs="Arial"/>
          <w:b/>
          <w:sz w:val="24"/>
          <w:szCs w:val="24"/>
          <w:lang w:val="en-US"/>
        </w:rPr>
        <w:t>2006</w:t>
      </w:r>
      <w:r w:rsidRPr="0065313A">
        <w:rPr>
          <w:rFonts w:ascii="Arial" w:hAnsi="Arial" w:cs="Arial"/>
          <w:sz w:val="24"/>
          <w:szCs w:val="24"/>
          <w:lang w:val="en-US"/>
        </w:rPr>
        <w:t xml:space="preserve"> Advanced Drug Delivery Reviews 61:710</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[18] Jung T. et al. </w:t>
      </w:r>
      <w:r w:rsidRPr="0065313A">
        <w:rPr>
          <w:rFonts w:ascii="Arial" w:hAnsi="Arial" w:cs="Arial"/>
          <w:b/>
          <w:sz w:val="24"/>
          <w:szCs w:val="24"/>
          <w:lang w:val="en-US"/>
        </w:rPr>
        <w:t>2000</w:t>
      </w:r>
      <w:r w:rsidRPr="0065313A">
        <w:rPr>
          <w:rFonts w:ascii="Arial" w:hAnsi="Arial" w:cs="Arial"/>
          <w:sz w:val="24"/>
          <w:szCs w:val="24"/>
          <w:lang w:val="en-US"/>
        </w:rPr>
        <w:t xml:space="preserve"> Eur J Pharm Biopharm 50: 147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[19] Soppimath K.S. et al </w:t>
      </w:r>
      <w:r w:rsidRPr="0065313A">
        <w:rPr>
          <w:rFonts w:ascii="Arial" w:hAnsi="Arial" w:cs="Arial"/>
          <w:b/>
          <w:sz w:val="24"/>
          <w:szCs w:val="24"/>
          <w:lang w:val="en-US"/>
        </w:rPr>
        <w:t>2001</w:t>
      </w:r>
      <w:r w:rsidRPr="0065313A">
        <w:rPr>
          <w:rFonts w:ascii="Arial" w:hAnsi="Arial" w:cs="Arial"/>
          <w:sz w:val="24"/>
          <w:szCs w:val="24"/>
          <w:lang w:val="en-US"/>
        </w:rPr>
        <w:t xml:space="preserve"> J Control Release 70:1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[20] Carino G. et al. </w:t>
      </w:r>
      <w:r w:rsidRPr="0065313A">
        <w:rPr>
          <w:rFonts w:ascii="Arial" w:hAnsi="Arial" w:cs="Arial"/>
          <w:b/>
          <w:sz w:val="24"/>
          <w:szCs w:val="24"/>
          <w:lang w:val="en-US"/>
        </w:rPr>
        <w:t>1999</w:t>
      </w:r>
      <w:r w:rsidRPr="0065313A">
        <w:rPr>
          <w:rFonts w:ascii="Arial" w:hAnsi="Arial" w:cs="Arial"/>
          <w:sz w:val="24"/>
          <w:szCs w:val="24"/>
          <w:lang w:val="en-US"/>
        </w:rPr>
        <w:t xml:space="preserve"> Adv Drug Deliv Rev 35:249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[21] McAllister D.et al </w:t>
      </w:r>
      <w:r w:rsidRPr="0065313A">
        <w:rPr>
          <w:rFonts w:ascii="Arial" w:hAnsi="Arial" w:cs="Arial"/>
          <w:b/>
          <w:sz w:val="24"/>
          <w:szCs w:val="24"/>
          <w:lang w:val="en-US"/>
        </w:rPr>
        <w:t>2000</w:t>
      </w:r>
      <w:r w:rsidRPr="0065313A">
        <w:rPr>
          <w:rFonts w:ascii="Arial" w:hAnsi="Arial" w:cs="Arial"/>
          <w:sz w:val="24"/>
          <w:szCs w:val="24"/>
          <w:lang w:val="en-US"/>
        </w:rPr>
        <w:t xml:space="preserve"> Annu Rev Biomed Eng 2:289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[22] Tahara K. et al. </w:t>
      </w:r>
      <w:r w:rsidRPr="0065313A">
        <w:rPr>
          <w:rFonts w:ascii="Arial" w:hAnsi="Arial" w:cs="Arial"/>
          <w:b/>
          <w:iCs/>
          <w:sz w:val="24"/>
          <w:szCs w:val="24"/>
          <w:lang w:val="en-US"/>
        </w:rPr>
        <w:t>2010</w:t>
      </w:r>
      <w:r w:rsidRPr="0065313A">
        <w:rPr>
          <w:rFonts w:ascii="Arial" w:hAnsi="Arial" w:cs="Arial"/>
          <w:sz w:val="24"/>
          <w:szCs w:val="24"/>
          <w:lang w:val="en-US"/>
        </w:rPr>
        <w:t xml:space="preserve"> Int. J. Pharm. </w:t>
      </w:r>
      <w:r w:rsidRPr="0065313A">
        <w:rPr>
          <w:rFonts w:ascii="Arial" w:hAnsi="Arial" w:cs="Arial"/>
          <w:iCs/>
          <w:sz w:val="24"/>
          <w:szCs w:val="24"/>
          <w:lang w:val="en-US"/>
        </w:rPr>
        <w:t>392:311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[23] Khademhosseini A. </w:t>
      </w:r>
      <w:r w:rsidRPr="0065313A">
        <w:rPr>
          <w:rFonts w:ascii="Arial" w:hAnsi="Arial" w:cs="Arial"/>
          <w:b/>
          <w:sz w:val="24"/>
          <w:szCs w:val="24"/>
          <w:lang w:val="en-US"/>
        </w:rPr>
        <w:t>2006</w:t>
      </w:r>
      <w:r w:rsidRPr="0065313A">
        <w:rPr>
          <w:rFonts w:ascii="Arial" w:hAnsi="Arial" w:cs="Arial"/>
          <w:sz w:val="24"/>
          <w:szCs w:val="24"/>
          <w:lang w:val="en-US"/>
        </w:rPr>
        <w:t xml:space="preserve"> Chemical Engineering Program 102:38</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[24] Ballet F. </w:t>
      </w:r>
      <w:r w:rsidRPr="0065313A">
        <w:rPr>
          <w:rFonts w:ascii="Arial" w:hAnsi="Arial" w:cs="Arial"/>
          <w:b/>
          <w:sz w:val="24"/>
          <w:szCs w:val="24"/>
          <w:lang w:val="en-US"/>
        </w:rPr>
        <w:t xml:space="preserve">1990 </w:t>
      </w:r>
      <w:r w:rsidRPr="0065313A">
        <w:rPr>
          <w:rFonts w:ascii="Arial" w:hAnsi="Arial" w:cs="Arial"/>
          <w:sz w:val="24"/>
          <w:szCs w:val="24"/>
          <w:lang w:val="en-US"/>
        </w:rPr>
        <w:t>Pharmacol Ther 47:281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[25] Jigjiao G et al in Biomedical Nanostructures edited by K.E. Gonsalves.</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[26] Visser C.C. at al. </w:t>
      </w:r>
      <w:r w:rsidRPr="0065313A">
        <w:rPr>
          <w:rFonts w:ascii="Arial" w:hAnsi="Arial" w:cs="Arial"/>
          <w:b/>
          <w:sz w:val="24"/>
          <w:szCs w:val="24"/>
          <w:lang w:val="en-US"/>
        </w:rPr>
        <w:t xml:space="preserve">2005 </w:t>
      </w:r>
      <w:r w:rsidRPr="0065313A">
        <w:rPr>
          <w:rFonts w:ascii="Arial" w:hAnsi="Arial" w:cs="Arial"/>
          <w:sz w:val="24"/>
          <w:szCs w:val="24"/>
          <w:lang w:val="en-US"/>
        </w:rPr>
        <w:t>Int J Pharm 25:299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lastRenderedPageBreak/>
        <w:t xml:space="preserve">[27] Leamon CP et al. </w:t>
      </w:r>
      <w:r w:rsidRPr="0065313A">
        <w:rPr>
          <w:rFonts w:ascii="Arial" w:hAnsi="Arial" w:cs="Arial"/>
          <w:b/>
          <w:sz w:val="24"/>
          <w:szCs w:val="24"/>
          <w:lang w:val="en-US"/>
        </w:rPr>
        <w:t>2004</w:t>
      </w:r>
      <w:r w:rsidRPr="0065313A">
        <w:rPr>
          <w:rFonts w:ascii="Arial" w:hAnsi="Arial" w:cs="Arial"/>
          <w:sz w:val="24"/>
          <w:szCs w:val="24"/>
          <w:lang w:val="en-US"/>
        </w:rPr>
        <w:t xml:space="preserve"> Adv Drug Deliv Rev 80:1127</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t xml:space="preserve">[28] Safra T. et al. </w:t>
      </w:r>
      <w:r w:rsidRPr="0065313A">
        <w:rPr>
          <w:rFonts w:ascii="Arial" w:hAnsi="Arial" w:cs="Arial"/>
          <w:b/>
          <w:sz w:val="24"/>
          <w:szCs w:val="24"/>
          <w:lang w:val="it-IT"/>
        </w:rPr>
        <w:t>2000</w:t>
      </w:r>
      <w:r w:rsidRPr="0065313A">
        <w:rPr>
          <w:rFonts w:ascii="Arial" w:hAnsi="Arial" w:cs="Arial"/>
          <w:sz w:val="24"/>
          <w:szCs w:val="24"/>
          <w:lang w:val="it-IT"/>
        </w:rPr>
        <w:t xml:space="preserve"> Ann Oncol 11:1029</w:t>
      </w:r>
    </w:p>
    <w:p w:rsidR="00387A07" w:rsidRPr="0065313A" w:rsidRDefault="00387A07" w:rsidP="00387A07">
      <w:pPr>
        <w:shd w:val="clear" w:color="auto" w:fill="FFFFFF"/>
        <w:spacing w:after="0" w:line="360" w:lineRule="auto"/>
        <w:rPr>
          <w:rFonts w:ascii="Arial" w:hAnsi="Arial" w:cs="Arial"/>
          <w:color w:val="333333"/>
          <w:sz w:val="24"/>
          <w:szCs w:val="24"/>
          <w:lang w:eastAsia="it-IT"/>
        </w:rPr>
      </w:pPr>
      <w:r w:rsidRPr="0065313A">
        <w:rPr>
          <w:rFonts w:ascii="Arial" w:hAnsi="Arial" w:cs="Arial"/>
          <w:color w:val="333333"/>
          <w:sz w:val="24"/>
          <w:szCs w:val="24"/>
          <w:lang w:eastAsia="it-IT"/>
        </w:rPr>
        <w:t xml:space="preserve">[29] Savita B. et al </w:t>
      </w:r>
      <w:r w:rsidRPr="0065313A">
        <w:rPr>
          <w:rFonts w:ascii="Arial" w:hAnsi="Arial" w:cs="Arial"/>
          <w:b/>
          <w:color w:val="333333"/>
          <w:sz w:val="24"/>
          <w:szCs w:val="24"/>
          <w:lang w:eastAsia="it-IT"/>
        </w:rPr>
        <w:t>2009</w:t>
      </w:r>
      <w:r w:rsidRPr="0065313A">
        <w:rPr>
          <w:rFonts w:ascii="Arial" w:hAnsi="Arial" w:cs="Arial"/>
          <w:color w:val="333333"/>
          <w:sz w:val="24"/>
          <w:szCs w:val="24"/>
          <w:lang w:eastAsia="it-IT"/>
        </w:rPr>
        <w:t xml:space="preserve"> </w:t>
      </w:r>
      <w:r w:rsidRPr="0065313A">
        <w:rPr>
          <w:rFonts w:ascii="Arial" w:hAnsi="Arial" w:cs="Arial"/>
          <w:i/>
          <w:iCs/>
          <w:color w:val="333333"/>
          <w:sz w:val="24"/>
          <w:szCs w:val="24"/>
          <w:lang w:eastAsia="it-IT"/>
        </w:rPr>
        <w:t>WIREs Nanomed Nanobiotechnol</w:t>
      </w:r>
      <w:r w:rsidRPr="0065313A">
        <w:rPr>
          <w:rFonts w:ascii="Arial" w:hAnsi="Arial" w:cs="Arial"/>
          <w:color w:val="333333"/>
          <w:sz w:val="24"/>
          <w:szCs w:val="24"/>
          <w:lang w:eastAsia="it-IT"/>
        </w:rPr>
        <w:t xml:space="preserve"> 1: 415</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[30] Maeda H. et al. </w:t>
      </w:r>
      <w:r w:rsidRPr="0065313A">
        <w:rPr>
          <w:rFonts w:ascii="Arial" w:hAnsi="Arial" w:cs="Arial"/>
          <w:b/>
          <w:sz w:val="24"/>
          <w:szCs w:val="24"/>
          <w:lang w:val="en-US"/>
        </w:rPr>
        <w:t>2009</w:t>
      </w:r>
      <w:r w:rsidRPr="0065313A">
        <w:rPr>
          <w:rFonts w:ascii="Arial" w:hAnsi="Arial" w:cs="Arial"/>
          <w:sz w:val="24"/>
          <w:szCs w:val="24"/>
          <w:lang w:val="en-US"/>
        </w:rPr>
        <w:t xml:space="preserve"> Eur J Pharm Biopharm 71:409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[31] Panyam, J. et al </w:t>
      </w:r>
      <w:r w:rsidRPr="0065313A">
        <w:rPr>
          <w:rFonts w:ascii="Arial" w:hAnsi="Arial" w:cs="Arial"/>
          <w:b/>
          <w:sz w:val="24"/>
          <w:szCs w:val="24"/>
          <w:lang w:val="en-US"/>
        </w:rPr>
        <w:t xml:space="preserve">2003 </w:t>
      </w:r>
      <w:r w:rsidRPr="0065313A">
        <w:rPr>
          <w:rFonts w:ascii="Arial" w:hAnsi="Arial" w:cs="Arial"/>
          <w:sz w:val="24"/>
          <w:szCs w:val="24"/>
          <w:lang w:val="en-US"/>
        </w:rPr>
        <w:t xml:space="preserve">Int. J. Pharm. </w:t>
      </w:r>
      <w:r w:rsidRPr="0065313A">
        <w:rPr>
          <w:rFonts w:ascii="Arial" w:hAnsi="Arial" w:cs="Arial"/>
          <w:bCs/>
          <w:sz w:val="24"/>
          <w:szCs w:val="24"/>
          <w:lang w:val="en-US"/>
        </w:rPr>
        <w:t>262</w:t>
      </w:r>
      <w:r w:rsidRPr="0065313A">
        <w:rPr>
          <w:rFonts w:ascii="Arial" w:hAnsi="Arial" w:cs="Arial"/>
          <w:sz w:val="24"/>
          <w:szCs w:val="24"/>
          <w:lang w:val="en-US"/>
        </w:rPr>
        <w:t>: 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[32] Panyam, J. et al. </w:t>
      </w:r>
      <w:r w:rsidRPr="0065313A">
        <w:rPr>
          <w:rFonts w:ascii="Arial" w:hAnsi="Arial" w:cs="Arial"/>
          <w:b/>
          <w:sz w:val="24"/>
          <w:szCs w:val="24"/>
          <w:lang w:val="en-US"/>
        </w:rPr>
        <w:t xml:space="preserve">2003 </w:t>
      </w:r>
      <w:r w:rsidRPr="0065313A">
        <w:rPr>
          <w:rFonts w:ascii="Arial" w:hAnsi="Arial" w:cs="Arial"/>
          <w:sz w:val="24"/>
          <w:szCs w:val="24"/>
          <w:lang w:val="en-US"/>
        </w:rPr>
        <w:t xml:space="preserve">Adv. Drug Delivery Rev. </w:t>
      </w:r>
      <w:r w:rsidRPr="0065313A">
        <w:rPr>
          <w:rFonts w:ascii="Arial" w:hAnsi="Arial" w:cs="Arial"/>
          <w:bCs/>
          <w:sz w:val="24"/>
          <w:szCs w:val="24"/>
          <w:lang w:val="en-US"/>
        </w:rPr>
        <w:t>55</w:t>
      </w:r>
      <w:r w:rsidRPr="0065313A">
        <w:rPr>
          <w:rFonts w:ascii="Arial" w:hAnsi="Arial" w:cs="Arial"/>
          <w:sz w:val="24"/>
          <w:szCs w:val="24"/>
          <w:lang w:val="en-US"/>
        </w:rPr>
        <w:t>:329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[33] Leamon CP. et al </w:t>
      </w:r>
      <w:r w:rsidRPr="0065313A">
        <w:rPr>
          <w:rFonts w:ascii="Arial" w:hAnsi="Arial" w:cs="Arial"/>
          <w:b/>
          <w:sz w:val="24"/>
          <w:szCs w:val="24"/>
          <w:lang w:val="en-US"/>
        </w:rPr>
        <w:t>2004</w:t>
      </w:r>
      <w:r w:rsidRPr="0065313A">
        <w:rPr>
          <w:rFonts w:ascii="Arial" w:hAnsi="Arial" w:cs="Arial"/>
          <w:sz w:val="24"/>
          <w:szCs w:val="24"/>
          <w:lang w:val="en-US"/>
        </w:rPr>
        <w:t xml:space="preserve"> Adv Drug Deliv Rev 80:1127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[34] Li Y. et al </w:t>
      </w:r>
      <w:r w:rsidRPr="0065313A">
        <w:rPr>
          <w:rFonts w:ascii="Arial" w:hAnsi="Arial" w:cs="Arial"/>
          <w:b/>
          <w:sz w:val="24"/>
          <w:szCs w:val="24"/>
          <w:lang w:val="en-US"/>
        </w:rPr>
        <w:t xml:space="preserve">2003 </w:t>
      </w:r>
      <w:r w:rsidRPr="0065313A">
        <w:rPr>
          <w:rFonts w:ascii="Arial" w:hAnsi="Arial" w:cs="Arial"/>
          <w:sz w:val="24"/>
          <w:szCs w:val="24"/>
          <w:lang w:val="en-US"/>
        </w:rPr>
        <w:t>Int J Pharm  229:93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[35] Malavasi F. et al </w:t>
      </w:r>
      <w:r w:rsidRPr="0065313A">
        <w:rPr>
          <w:rFonts w:ascii="Arial" w:hAnsi="Arial" w:cs="Arial"/>
          <w:b/>
          <w:sz w:val="24"/>
          <w:szCs w:val="24"/>
          <w:lang w:val="en-US"/>
        </w:rPr>
        <w:t xml:space="preserve">2000 </w:t>
      </w:r>
      <w:r w:rsidRPr="0065313A">
        <w:rPr>
          <w:rFonts w:ascii="Arial" w:hAnsi="Arial" w:cs="Arial"/>
          <w:sz w:val="24"/>
          <w:szCs w:val="24"/>
          <w:lang w:val="en-US"/>
        </w:rPr>
        <w:t>Biotechnol Adv 18:385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[36] Shenoy D.B. et Al. </w:t>
      </w:r>
      <w:r w:rsidRPr="0065313A">
        <w:rPr>
          <w:rFonts w:ascii="Arial" w:hAnsi="Arial" w:cs="Arial"/>
          <w:b/>
          <w:sz w:val="24"/>
          <w:szCs w:val="24"/>
          <w:lang w:val="en-US"/>
        </w:rPr>
        <w:t>2005</w:t>
      </w:r>
      <w:r w:rsidRPr="0065313A">
        <w:rPr>
          <w:rFonts w:ascii="Arial" w:hAnsi="Arial" w:cs="Arial"/>
          <w:sz w:val="24"/>
          <w:szCs w:val="24"/>
          <w:lang w:val="en-US"/>
        </w:rPr>
        <w:t xml:space="preserve"> Int J Pharm 293:261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[37] Leroux J. et Al. </w:t>
      </w:r>
      <w:r w:rsidRPr="0065313A">
        <w:rPr>
          <w:rFonts w:ascii="Arial" w:hAnsi="Arial" w:cs="Arial"/>
          <w:b/>
          <w:sz w:val="24"/>
          <w:szCs w:val="24"/>
          <w:lang w:val="en-US"/>
        </w:rPr>
        <w:t>1996</w:t>
      </w:r>
      <w:r w:rsidRPr="0065313A">
        <w:rPr>
          <w:rFonts w:ascii="Arial" w:hAnsi="Arial" w:cs="Arial"/>
          <w:sz w:val="24"/>
          <w:szCs w:val="24"/>
          <w:lang w:val="en-US"/>
        </w:rPr>
        <w:t xml:space="preserve"> J Control Release 39:339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[38] Li Y.P. et al. </w:t>
      </w:r>
      <w:r w:rsidRPr="0065313A">
        <w:rPr>
          <w:rFonts w:ascii="Arial" w:hAnsi="Arial" w:cs="Arial"/>
          <w:b/>
          <w:sz w:val="24"/>
          <w:szCs w:val="24"/>
          <w:lang w:val="en-US"/>
        </w:rPr>
        <w:t>2001</w:t>
      </w:r>
      <w:r w:rsidRPr="0065313A">
        <w:rPr>
          <w:rFonts w:ascii="Arial" w:hAnsi="Arial" w:cs="Arial"/>
          <w:sz w:val="24"/>
          <w:szCs w:val="24"/>
          <w:lang w:val="en-US"/>
        </w:rPr>
        <w:t xml:space="preserve"> J Control Release 71:203]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[39] Moghimi S.M. et al. </w:t>
      </w:r>
      <w:r w:rsidRPr="0065313A">
        <w:rPr>
          <w:rFonts w:ascii="Arial" w:hAnsi="Arial" w:cs="Arial"/>
          <w:b/>
          <w:sz w:val="24"/>
          <w:szCs w:val="24"/>
          <w:lang w:val="en-US"/>
        </w:rPr>
        <w:t>2001</w:t>
      </w:r>
      <w:r w:rsidRPr="0065313A">
        <w:rPr>
          <w:rFonts w:ascii="Arial" w:hAnsi="Arial" w:cs="Arial"/>
          <w:sz w:val="24"/>
          <w:szCs w:val="24"/>
          <w:lang w:val="en-US"/>
        </w:rPr>
        <w:t xml:space="preserve"> Pharmacol Rev 53:289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[40] M. Teixeira et al. </w:t>
      </w:r>
      <w:r w:rsidRPr="0065313A">
        <w:rPr>
          <w:rFonts w:ascii="Arial" w:hAnsi="Arial" w:cs="Arial"/>
          <w:b/>
          <w:sz w:val="24"/>
          <w:szCs w:val="24"/>
          <w:lang w:val="en-US"/>
        </w:rPr>
        <w:t>2005</w:t>
      </w:r>
      <w:r w:rsidRPr="0065313A">
        <w:rPr>
          <w:rFonts w:ascii="Arial" w:hAnsi="Arial" w:cs="Arial"/>
          <w:sz w:val="24"/>
          <w:szCs w:val="24"/>
          <w:lang w:val="en-US"/>
        </w:rPr>
        <w:t xml:space="preserve"> Eur J Pharm Biopharm 59:491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[41] Alexis F. et Al. </w:t>
      </w:r>
      <w:r w:rsidRPr="0065313A">
        <w:rPr>
          <w:rFonts w:ascii="Arial" w:hAnsi="Arial" w:cs="Arial"/>
          <w:b/>
          <w:sz w:val="24"/>
          <w:szCs w:val="24"/>
          <w:lang w:val="en-US"/>
        </w:rPr>
        <w:t>2008</w:t>
      </w:r>
      <w:r w:rsidRPr="0065313A">
        <w:rPr>
          <w:rFonts w:ascii="Arial" w:hAnsi="Arial" w:cs="Arial"/>
          <w:sz w:val="24"/>
          <w:szCs w:val="24"/>
          <w:lang w:val="en-US"/>
        </w:rPr>
        <w:t xml:space="preserve"> Mol. Pharm. 5:505</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[42] Hoffman A et al </w:t>
      </w:r>
      <w:r w:rsidRPr="0065313A">
        <w:rPr>
          <w:rFonts w:ascii="Arial" w:hAnsi="Arial" w:cs="Arial"/>
          <w:b/>
          <w:sz w:val="24"/>
          <w:szCs w:val="24"/>
          <w:lang w:val="en-US"/>
        </w:rPr>
        <w:t>2002</w:t>
      </w:r>
      <w:r w:rsidRPr="0065313A">
        <w:rPr>
          <w:rFonts w:ascii="Arial" w:hAnsi="Arial" w:cs="Arial"/>
          <w:sz w:val="24"/>
          <w:szCs w:val="24"/>
          <w:lang w:val="en-US"/>
        </w:rPr>
        <w:t xml:space="preserve"> Polym Adv Technol 13:992</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[43] Rejman J et al </w:t>
      </w:r>
      <w:r w:rsidRPr="0065313A">
        <w:rPr>
          <w:rFonts w:ascii="Arial" w:hAnsi="Arial" w:cs="Arial"/>
          <w:b/>
          <w:sz w:val="24"/>
          <w:szCs w:val="24"/>
          <w:lang w:val="en-US"/>
        </w:rPr>
        <w:t>2004</w:t>
      </w:r>
      <w:r w:rsidRPr="0065313A">
        <w:rPr>
          <w:rFonts w:ascii="Arial" w:hAnsi="Arial" w:cs="Arial"/>
          <w:sz w:val="24"/>
          <w:szCs w:val="24"/>
          <w:lang w:val="en-US"/>
        </w:rPr>
        <w:t xml:space="preserve"> Biochem J 377:159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[44] Gao K. et al </w:t>
      </w:r>
      <w:r w:rsidRPr="0065313A">
        <w:rPr>
          <w:rFonts w:ascii="Arial" w:hAnsi="Arial" w:cs="Arial"/>
          <w:b/>
          <w:sz w:val="24"/>
          <w:szCs w:val="24"/>
          <w:lang w:val="en-US"/>
        </w:rPr>
        <w:t xml:space="preserve">2006 </w:t>
      </w:r>
      <w:r w:rsidRPr="0065313A">
        <w:rPr>
          <w:rFonts w:ascii="Arial" w:hAnsi="Arial" w:cs="Arial"/>
          <w:sz w:val="24"/>
          <w:szCs w:val="24"/>
          <w:lang w:val="en-US"/>
        </w:rPr>
        <w:t>Int J Pharm 310:213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[45] Couvreur P. et al. </w:t>
      </w:r>
      <w:r w:rsidRPr="0065313A">
        <w:rPr>
          <w:rFonts w:ascii="Arial" w:hAnsi="Arial" w:cs="Arial"/>
          <w:b/>
          <w:sz w:val="24"/>
          <w:szCs w:val="24"/>
          <w:lang w:val="en-US"/>
        </w:rPr>
        <w:t>1995</w:t>
      </w:r>
      <w:r w:rsidRPr="0065313A">
        <w:rPr>
          <w:rFonts w:ascii="Arial" w:hAnsi="Arial" w:cs="Arial"/>
          <w:sz w:val="24"/>
          <w:szCs w:val="24"/>
          <w:lang w:val="en-US"/>
        </w:rPr>
        <w:t xml:space="preserve"> Eur J Pharm Biopharm 41:2 </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[46] Pinto Reis C. et al. </w:t>
      </w:r>
      <w:r w:rsidRPr="0065313A">
        <w:rPr>
          <w:rFonts w:ascii="Arial" w:hAnsi="Arial" w:cs="Arial"/>
          <w:b/>
          <w:sz w:val="24"/>
          <w:szCs w:val="24"/>
          <w:lang w:val="it-IT"/>
        </w:rPr>
        <w:t>2006</w:t>
      </w:r>
      <w:r w:rsidRPr="0065313A">
        <w:rPr>
          <w:rFonts w:ascii="Arial" w:hAnsi="Arial" w:cs="Arial"/>
          <w:sz w:val="24"/>
          <w:szCs w:val="24"/>
          <w:lang w:val="it-IT"/>
        </w:rPr>
        <w:t xml:space="preserve"> Nanomedicine 2:8</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[47] Thickett S.C. et al. </w:t>
      </w:r>
      <w:r w:rsidRPr="0065313A">
        <w:rPr>
          <w:rFonts w:ascii="Arial" w:hAnsi="Arial" w:cs="Arial"/>
          <w:b/>
          <w:sz w:val="24"/>
          <w:szCs w:val="24"/>
          <w:lang w:val="en-US"/>
        </w:rPr>
        <w:t>2007</w:t>
      </w:r>
      <w:r w:rsidRPr="0065313A">
        <w:rPr>
          <w:rFonts w:ascii="Arial" w:hAnsi="Arial" w:cs="Arial"/>
          <w:sz w:val="24"/>
          <w:szCs w:val="24"/>
          <w:lang w:val="en-US"/>
        </w:rPr>
        <w:t xml:space="preserve"> Polymer 48:6965</w:t>
      </w:r>
    </w:p>
    <w:p w:rsidR="00387A07" w:rsidRPr="0065313A" w:rsidRDefault="00387A07" w:rsidP="00387A07">
      <w:pPr>
        <w:spacing w:after="0" w:line="360" w:lineRule="auto"/>
        <w:jc w:val="both"/>
        <w:rPr>
          <w:rFonts w:ascii="Arial" w:hAnsi="Arial" w:cs="Arial"/>
          <w:sz w:val="24"/>
          <w:szCs w:val="24"/>
        </w:rPr>
      </w:pPr>
      <w:r w:rsidRPr="0065313A">
        <w:rPr>
          <w:rFonts w:ascii="Arial" w:hAnsi="Arial" w:cs="Arial"/>
          <w:sz w:val="24"/>
          <w:szCs w:val="24"/>
          <w:lang w:eastAsia="it-IT"/>
        </w:rPr>
        <w:t xml:space="preserve">[48] Smith W. V. </w:t>
      </w:r>
      <w:r w:rsidRPr="0065313A">
        <w:rPr>
          <w:rFonts w:ascii="Arial" w:hAnsi="Arial" w:cs="Arial"/>
          <w:b/>
          <w:sz w:val="24"/>
          <w:szCs w:val="24"/>
          <w:lang w:eastAsia="it-IT"/>
        </w:rPr>
        <w:t>1948</w:t>
      </w:r>
      <w:r w:rsidRPr="0065313A">
        <w:rPr>
          <w:rFonts w:ascii="Arial" w:hAnsi="Arial" w:cs="Arial"/>
          <w:sz w:val="24"/>
          <w:szCs w:val="24"/>
          <w:lang w:eastAsia="it-IT"/>
        </w:rPr>
        <w:t xml:space="preserve"> </w:t>
      </w:r>
      <w:r w:rsidRPr="0065313A">
        <w:rPr>
          <w:rFonts w:ascii="Arial" w:hAnsi="Arial" w:cs="Arial"/>
          <w:iCs/>
          <w:sz w:val="24"/>
          <w:szCs w:val="24"/>
          <w:lang w:eastAsia="it-IT"/>
        </w:rPr>
        <w:t>J Chem Phys</w:t>
      </w:r>
      <w:r w:rsidRPr="0065313A">
        <w:rPr>
          <w:rFonts w:ascii="Arial" w:hAnsi="Arial" w:cs="Arial"/>
          <w:sz w:val="24"/>
          <w:szCs w:val="24"/>
          <w:lang w:eastAsia="it-IT"/>
        </w:rPr>
        <w:t xml:space="preserve"> </w:t>
      </w:r>
      <w:r w:rsidRPr="0065313A">
        <w:rPr>
          <w:rFonts w:ascii="Arial" w:hAnsi="Arial" w:cs="Arial"/>
          <w:b/>
          <w:bCs/>
          <w:sz w:val="24"/>
          <w:szCs w:val="24"/>
          <w:lang w:eastAsia="it-IT"/>
        </w:rPr>
        <w:t>16</w:t>
      </w:r>
      <w:r w:rsidRPr="0065313A">
        <w:rPr>
          <w:rFonts w:ascii="Arial" w:hAnsi="Arial" w:cs="Arial"/>
          <w:sz w:val="24"/>
          <w:szCs w:val="24"/>
          <w:lang w:eastAsia="it-IT"/>
        </w:rPr>
        <w:t>, 592.</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[49] Kreuter J. et al. </w:t>
      </w:r>
      <w:r w:rsidRPr="0065313A">
        <w:rPr>
          <w:rFonts w:ascii="Arial" w:hAnsi="Arial" w:cs="Arial"/>
          <w:b/>
          <w:sz w:val="24"/>
          <w:szCs w:val="24"/>
          <w:lang w:val="en-US"/>
        </w:rPr>
        <w:t>1982</w:t>
      </w:r>
      <w:r w:rsidRPr="0065313A">
        <w:rPr>
          <w:rFonts w:ascii="Arial" w:hAnsi="Arial" w:cs="Arial"/>
          <w:sz w:val="24"/>
          <w:szCs w:val="24"/>
          <w:lang w:val="en-US"/>
        </w:rPr>
        <w:t xml:space="preserve"> J Polym Sci Polym Lett 20:543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[50] Vauthier C. et al. </w:t>
      </w:r>
      <w:r w:rsidRPr="0065313A">
        <w:rPr>
          <w:rFonts w:ascii="Arial" w:hAnsi="Arial" w:cs="Arial"/>
          <w:b/>
          <w:sz w:val="24"/>
          <w:szCs w:val="24"/>
          <w:lang w:val="en-US"/>
        </w:rPr>
        <w:t xml:space="preserve">2003 </w:t>
      </w:r>
      <w:r w:rsidRPr="0065313A">
        <w:rPr>
          <w:rFonts w:ascii="Arial" w:hAnsi="Arial" w:cs="Arial"/>
          <w:sz w:val="24"/>
          <w:szCs w:val="24"/>
          <w:lang w:val="en-US"/>
        </w:rPr>
        <w:t>Adv Drug Deliv Rev</w:t>
      </w:r>
      <w:r w:rsidRPr="0065313A">
        <w:rPr>
          <w:rFonts w:ascii="Arial" w:hAnsi="Arial" w:cs="Arial"/>
          <w:b/>
          <w:sz w:val="24"/>
          <w:szCs w:val="24"/>
          <w:lang w:val="en-US"/>
        </w:rPr>
        <w:t xml:space="preserve"> </w:t>
      </w:r>
      <w:r w:rsidRPr="0065313A">
        <w:rPr>
          <w:rFonts w:ascii="Arial" w:hAnsi="Arial" w:cs="Arial"/>
          <w:sz w:val="24"/>
          <w:szCs w:val="24"/>
          <w:lang w:val="en-US"/>
        </w:rPr>
        <w:t>55:519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[51] Kreuter J. </w:t>
      </w:r>
      <w:r w:rsidRPr="0065313A">
        <w:rPr>
          <w:rFonts w:ascii="Arial" w:hAnsi="Arial" w:cs="Arial"/>
          <w:b/>
          <w:sz w:val="24"/>
          <w:szCs w:val="24"/>
          <w:lang w:val="en-US"/>
        </w:rPr>
        <w:t>1983</w:t>
      </w:r>
      <w:r w:rsidRPr="0065313A">
        <w:rPr>
          <w:rFonts w:ascii="Arial" w:hAnsi="Arial" w:cs="Arial"/>
          <w:sz w:val="24"/>
          <w:szCs w:val="24"/>
          <w:lang w:val="en-US"/>
        </w:rPr>
        <w:t xml:space="preserve"> J Polym Sci 58:196</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[52] Liu G. et al. </w:t>
      </w:r>
      <w:r w:rsidRPr="0065313A">
        <w:rPr>
          <w:rFonts w:ascii="Arial" w:hAnsi="Arial" w:cs="Arial"/>
          <w:b/>
          <w:sz w:val="24"/>
          <w:szCs w:val="24"/>
          <w:lang w:val="en-US"/>
        </w:rPr>
        <w:t>2010</w:t>
      </w:r>
      <w:r w:rsidRPr="0065313A">
        <w:rPr>
          <w:rFonts w:ascii="Arial" w:hAnsi="Arial" w:cs="Arial"/>
          <w:sz w:val="24"/>
          <w:szCs w:val="24"/>
          <w:lang w:val="en-US"/>
        </w:rPr>
        <w:t xml:space="preserve"> Colloid Surf A 354:377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[53] Song Z. et al. </w:t>
      </w:r>
      <w:r w:rsidRPr="0065313A">
        <w:rPr>
          <w:rFonts w:ascii="Arial" w:hAnsi="Arial" w:cs="Arial"/>
          <w:b/>
          <w:sz w:val="24"/>
          <w:szCs w:val="24"/>
          <w:lang w:val="en-US"/>
        </w:rPr>
        <w:t>1990</w:t>
      </w:r>
      <w:r w:rsidRPr="0065313A">
        <w:rPr>
          <w:rFonts w:ascii="Arial" w:hAnsi="Arial" w:cs="Arial"/>
          <w:sz w:val="24"/>
          <w:szCs w:val="24"/>
          <w:lang w:val="en-US"/>
        </w:rPr>
        <w:t xml:space="preserve"> J Polym Sci Part A Polym Chem 28:2359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[54] Wang S. et al. </w:t>
      </w:r>
      <w:r w:rsidRPr="0065313A">
        <w:rPr>
          <w:rFonts w:ascii="Arial" w:hAnsi="Arial" w:cs="Arial"/>
          <w:b/>
          <w:sz w:val="24"/>
          <w:szCs w:val="24"/>
          <w:lang w:val="en-US"/>
        </w:rPr>
        <w:t>2007</w:t>
      </w:r>
      <w:r w:rsidRPr="0065313A">
        <w:rPr>
          <w:rFonts w:ascii="Arial" w:hAnsi="Arial" w:cs="Arial"/>
          <w:sz w:val="24"/>
          <w:szCs w:val="24"/>
          <w:lang w:val="en-US"/>
        </w:rPr>
        <w:t xml:space="preserve"> Eur Polym J 43:178</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[55] Bardajee GR et al. </w:t>
      </w:r>
      <w:r w:rsidRPr="0065313A">
        <w:rPr>
          <w:rFonts w:ascii="Arial" w:hAnsi="Arial" w:cs="Arial"/>
          <w:b/>
          <w:sz w:val="24"/>
          <w:szCs w:val="24"/>
          <w:lang w:val="it-IT"/>
        </w:rPr>
        <w:t>2007</w:t>
      </w:r>
      <w:r w:rsidRPr="0065313A">
        <w:rPr>
          <w:rFonts w:ascii="Arial" w:hAnsi="Arial" w:cs="Arial"/>
          <w:sz w:val="24"/>
          <w:szCs w:val="24"/>
          <w:lang w:val="it-IT"/>
        </w:rPr>
        <w:t xml:space="preserve"> Polymer 48:5839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[56] Karode SK et al. </w:t>
      </w:r>
      <w:r w:rsidRPr="0065313A">
        <w:rPr>
          <w:rFonts w:ascii="Arial" w:hAnsi="Arial" w:cs="Arial"/>
          <w:b/>
          <w:sz w:val="24"/>
          <w:szCs w:val="24"/>
          <w:lang w:val="en-US"/>
        </w:rPr>
        <w:t>1998</w:t>
      </w:r>
      <w:r w:rsidRPr="0065313A">
        <w:rPr>
          <w:rFonts w:ascii="Arial" w:hAnsi="Arial" w:cs="Arial"/>
          <w:sz w:val="24"/>
          <w:szCs w:val="24"/>
          <w:lang w:val="en-US"/>
        </w:rPr>
        <w:t xml:space="preserve"> Chem Eng Sci 53:264.</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[57] Couvreur P et al </w:t>
      </w:r>
      <w:r w:rsidRPr="0065313A">
        <w:rPr>
          <w:rFonts w:ascii="Arial" w:hAnsi="Arial" w:cs="Arial"/>
          <w:b/>
          <w:color w:val="000000"/>
          <w:sz w:val="24"/>
          <w:szCs w:val="24"/>
          <w:lang w:val="en-US"/>
        </w:rPr>
        <w:t>2002</w:t>
      </w:r>
      <w:r w:rsidRPr="0065313A">
        <w:rPr>
          <w:rFonts w:ascii="Arial" w:hAnsi="Arial" w:cs="Arial"/>
          <w:color w:val="000000"/>
          <w:sz w:val="24"/>
          <w:szCs w:val="24"/>
          <w:lang w:val="en-US"/>
        </w:rPr>
        <w:t xml:space="preserve"> Crit Rev Ther Drug Carrier Syst 19:99</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[58] Kreuter J. et al </w:t>
      </w:r>
      <w:r w:rsidRPr="0065313A">
        <w:rPr>
          <w:rFonts w:ascii="Arial" w:hAnsi="Arial" w:cs="Arial"/>
          <w:b/>
          <w:color w:val="000000"/>
          <w:sz w:val="24"/>
          <w:szCs w:val="24"/>
          <w:lang w:val="en-US"/>
        </w:rPr>
        <w:t>1976</w:t>
      </w:r>
      <w:r w:rsidRPr="0065313A">
        <w:rPr>
          <w:rFonts w:ascii="Arial" w:hAnsi="Arial" w:cs="Arial"/>
          <w:color w:val="000000"/>
          <w:sz w:val="24"/>
          <w:szCs w:val="24"/>
          <w:lang w:val="en-US"/>
        </w:rPr>
        <w:t xml:space="preserve"> Exp Cell Biol 44:12</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[59]Rolland A. et al </w:t>
      </w:r>
      <w:r w:rsidRPr="0065313A">
        <w:rPr>
          <w:rFonts w:ascii="Arial" w:hAnsi="Arial" w:cs="Arial"/>
          <w:b/>
          <w:color w:val="000000"/>
          <w:sz w:val="24"/>
          <w:szCs w:val="24"/>
          <w:lang w:val="en-US"/>
        </w:rPr>
        <w:t xml:space="preserve">1986 </w:t>
      </w:r>
      <w:r w:rsidRPr="0065313A">
        <w:rPr>
          <w:rFonts w:ascii="Arial" w:hAnsi="Arial" w:cs="Arial"/>
          <w:color w:val="000000"/>
          <w:sz w:val="24"/>
          <w:szCs w:val="24"/>
          <w:lang w:val="en-US"/>
        </w:rPr>
        <w:t>J Pharm Belg 41:94</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[60] Couvreur P et al </w:t>
      </w:r>
      <w:r w:rsidRPr="0065313A">
        <w:rPr>
          <w:rFonts w:ascii="Arial" w:hAnsi="Arial" w:cs="Arial"/>
          <w:b/>
          <w:color w:val="000000"/>
          <w:sz w:val="24"/>
          <w:szCs w:val="24"/>
          <w:lang w:val="en-US"/>
        </w:rPr>
        <w:t>1980</w:t>
      </w:r>
      <w:r w:rsidRPr="0065313A">
        <w:rPr>
          <w:rFonts w:ascii="Arial" w:hAnsi="Arial" w:cs="Arial"/>
          <w:color w:val="000000"/>
          <w:sz w:val="24"/>
          <w:szCs w:val="24"/>
          <w:lang w:val="en-US"/>
        </w:rPr>
        <w:t xml:space="preserve"> J Pharm Sci 69:199</w:t>
      </w:r>
    </w:p>
    <w:p w:rsidR="00387A07" w:rsidRPr="0065313A" w:rsidRDefault="00387A07" w:rsidP="00387A07">
      <w:pPr>
        <w:spacing w:after="0" w:line="360" w:lineRule="auto"/>
        <w:rPr>
          <w:rFonts w:ascii="Arial" w:hAnsi="Arial" w:cs="Arial"/>
          <w:color w:val="000000"/>
          <w:sz w:val="24"/>
          <w:szCs w:val="24"/>
          <w:lang w:val="it-IT"/>
        </w:rPr>
      </w:pPr>
      <w:r w:rsidRPr="0065313A">
        <w:rPr>
          <w:rFonts w:ascii="Arial" w:hAnsi="Arial" w:cs="Arial"/>
          <w:color w:val="000000"/>
          <w:sz w:val="24"/>
          <w:szCs w:val="24"/>
          <w:lang w:val="it-IT"/>
        </w:rPr>
        <w:lastRenderedPageBreak/>
        <w:t xml:space="preserve">[61] Radwan MA et al </w:t>
      </w:r>
      <w:r w:rsidRPr="0065313A">
        <w:rPr>
          <w:rFonts w:ascii="Arial" w:hAnsi="Arial" w:cs="Arial"/>
          <w:b/>
          <w:color w:val="000000"/>
          <w:sz w:val="24"/>
          <w:szCs w:val="24"/>
          <w:lang w:val="it-IT"/>
        </w:rPr>
        <w:t>2002</w:t>
      </w:r>
      <w:r w:rsidRPr="0065313A">
        <w:rPr>
          <w:rFonts w:ascii="Arial" w:hAnsi="Arial" w:cs="Arial"/>
          <w:color w:val="000000"/>
          <w:sz w:val="24"/>
          <w:szCs w:val="24"/>
          <w:lang w:val="it-IT"/>
        </w:rPr>
        <w:t xml:space="preserve"> J Microencapsul 19:225</w:t>
      </w:r>
    </w:p>
    <w:p w:rsidR="00387A07" w:rsidRPr="0065313A" w:rsidRDefault="00387A07" w:rsidP="00387A07">
      <w:pPr>
        <w:spacing w:after="0" w:line="360" w:lineRule="auto"/>
        <w:rPr>
          <w:rFonts w:ascii="Arial" w:hAnsi="Arial" w:cs="Arial"/>
          <w:color w:val="000000"/>
          <w:sz w:val="24"/>
          <w:szCs w:val="24"/>
          <w:lang w:val="it-IT"/>
        </w:rPr>
      </w:pPr>
      <w:r w:rsidRPr="0065313A">
        <w:rPr>
          <w:rFonts w:ascii="Arial" w:hAnsi="Arial" w:cs="Arial"/>
          <w:color w:val="000000"/>
          <w:sz w:val="24"/>
          <w:szCs w:val="24"/>
          <w:lang w:val="it-IT"/>
        </w:rPr>
        <w:t xml:space="preserve">[62] Li VHK et al. </w:t>
      </w:r>
      <w:r w:rsidRPr="0065313A">
        <w:rPr>
          <w:rFonts w:ascii="Arial" w:hAnsi="Arial" w:cs="Arial"/>
          <w:b/>
          <w:color w:val="000000"/>
          <w:sz w:val="24"/>
          <w:szCs w:val="24"/>
          <w:lang w:val="it-IT"/>
        </w:rPr>
        <w:t>1986</w:t>
      </w:r>
      <w:r w:rsidRPr="0065313A">
        <w:rPr>
          <w:rFonts w:ascii="Arial" w:hAnsi="Arial" w:cs="Arial"/>
          <w:color w:val="000000"/>
          <w:sz w:val="24"/>
          <w:szCs w:val="24"/>
          <w:lang w:val="it-IT"/>
        </w:rPr>
        <w:t xml:space="preserve"> J Microencapsul 3:213</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[63] Seijo B et al </w:t>
      </w:r>
      <w:r w:rsidRPr="0065313A">
        <w:rPr>
          <w:rFonts w:ascii="Arial" w:hAnsi="Arial" w:cs="Arial"/>
          <w:b/>
          <w:color w:val="000000"/>
          <w:sz w:val="24"/>
          <w:szCs w:val="24"/>
          <w:lang w:val="en-US"/>
        </w:rPr>
        <w:t>1990</w:t>
      </w:r>
      <w:r w:rsidRPr="0065313A">
        <w:rPr>
          <w:rFonts w:ascii="Arial" w:hAnsi="Arial" w:cs="Arial"/>
          <w:color w:val="000000"/>
          <w:sz w:val="24"/>
          <w:szCs w:val="24"/>
          <w:lang w:val="en-US"/>
        </w:rPr>
        <w:t xml:space="preserve"> Int J Pharm 138:237</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[64] Kubiak C et al </w:t>
      </w:r>
      <w:r w:rsidRPr="0065313A">
        <w:rPr>
          <w:rFonts w:ascii="Arial" w:hAnsi="Arial" w:cs="Arial"/>
          <w:b/>
          <w:color w:val="000000"/>
          <w:sz w:val="24"/>
          <w:szCs w:val="24"/>
          <w:lang w:val="en-US"/>
        </w:rPr>
        <w:t>1988</w:t>
      </w:r>
      <w:r w:rsidRPr="0065313A">
        <w:rPr>
          <w:rFonts w:ascii="Arial" w:hAnsi="Arial" w:cs="Arial"/>
          <w:color w:val="000000"/>
          <w:sz w:val="24"/>
          <w:szCs w:val="24"/>
          <w:lang w:val="en-US"/>
        </w:rPr>
        <w:t xml:space="preserve"> Int J Pharm 41:181</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[65] Grangier JL et al </w:t>
      </w:r>
      <w:r w:rsidRPr="0065313A">
        <w:rPr>
          <w:rFonts w:ascii="Arial" w:hAnsi="Arial" w:cs="Arial"/>
          <w:b/>
          <w:color w:val="000000"/>
          <w:sz w:val="24"/>
          <w:szCs w:val="24"/>
          <w:lang w:val="en-US"/>
        </w:rPr>
        <w:t>1991</w:t>
      </w:r>
      <w:r w:rsidRPr="0065313A">
        <w:rPr>
          <w:rFonts w:ascii="Arial" w:hAnsi="Arial" w:cs="Arial"/>
          <w:color w:val="000000"/>
          <w:sz w:val="24"/>
          <w:szCs w:val="24"/>
          <w:lang w:val="en-US"/>
        </w:rPr>
        <w:t xml:space="preserve"> J Control Release 15:3</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[66] Watnasirichaikul S et al </w:t>
      </w:r>
      <w:r w:rsidRPr="0065313A">
        <w:rPr>
          <w:rFonts w:ascii="Arial" w:hAnsi="Arial" w:cs="Arial"/>
          <w:b/>
          <w:color w:val="000000"/>
          <w:sz w:val="24"/>
          <w:szCs w:val="24"/>
          <w:lang w:val="en-US"/>
        </w:rPr>
        <w:t xml:space="preserve">2000 </w:t>
      </w:r>
      <w:r w:rsidRPr="0065313A">
        <w:rPr>
          <w:rFonts w:ascii="Arial" w:hAnsi="Arial" w:cs="Arial"/>
          <w:color w:val="000000"/>
          <w:sz w:val="24"/>
          <w:szCs w:val="24"/>
          <w:lang w:val="en-US"/>
        </w:rPr>
        <w:t>Pharm Res 17:684</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[67] Gursoy A et al </w:t>
      </w:r>
      <w:r w:rsidRPr="0065313A">
        <w:rPr>
          <w:rFonts w:ascii="Arial" w:hAnsi="Arial" w:cs="Arial"/>
          <w:b/>
          <w:color w:val="000000"/>
          <w:sz w:val="24"/>
          <w:szCs w:val="24"/>
          <w:lang w:val="en-US"/>
        </w:rPr>
        <w:t>1989</w:t>
      </w:r>
      <w:r w:rsidRPr="0065313A">
        <w:rPr>
          <w:rFonts w:ascii="Arial" w:hAnsi="Arial" w:cs="Arial"/>
          <w:color w:val="000000"/>
          <w:sz w:val="24"/>
          <w:szCs w:val="24"/>
          <w:lang w:val="en-US"/>
        </w:rPr>
        <w:t xml:space="preserve"> Int J Pharm 52:101</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[68] Damgé C et al </w:t>
      </w:r>
      <w:r w:rsidRPr="0065313A">
        <w:rPr>
          <w:rFonts w:ascii="Arial" w:hAnsi="Arial" w:cs="Arial"/>
          <w:b/>
          <w:color w:val="000000"/>
          <w:sz w:val="24"/>
          <w:szCs w:val="24"/>
          <w:lang w:val="en-US"/>
        </w:rPr>
        <w:t>1988</w:t>
      </w:r>
      <w:r w:rsidRPr="0065313A">
        <w:rPr>
          <w:rFonts w:ascii="Arial" w:hAnsi="Arial" w:cs="Arial"/>
          <w:color w:val="000000"/>
          <w:sz w:val="24"/>
          <w:szCs w:val="24"/>
          <w:lang w:val="en-US"/>
        </w:rPr>
        <w:t xml:space="preserve"> Diabetes 37:246</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[69] Lowe PJ et al </w:t>
      </w:r>
      <w:r w:rsidRPr="0065313A">
        <w:rPr>
          <w:rFonts w:ascii="Arial" w:hAnsi="Arial" w:cs="Arial"/>
          <w:b/>
          <w:color w:val="000000"/>
          <w:sz w:val="24"/>
          <w:szCs w:val="24"/>
          <w:lang w:val="en-US"/>
        </w:rPr>
        <w:t>1994</w:t>
      </w:r>
      <w:r w:rsidRPr="0065313A">
        <w:rPr>
          <w:rFonts w:ascii="Arial" w:hAnsi="Arial" w:cs="Arial"/>
          <w:color w:val="000000"/>
          <w:sz w:val="24"/>
          <w:szCs w:val="24"/>
          <w:lang w:val="en-US"/>
        </w:rPr>
        <w:t xml:space="preserve"> J Pharm Pharmacol 46:547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color w:val="000000"/>
          <w:sz w:val="24"/>
          <w:szCs w:val="24"/>
          <w:lang w:val="en-US"/>
        </w:rPr>
        <w:t xml:space="preserve">[70] </w:t>
      </w:r>
      <w:r w:rsidRPr="0065313A">
        <w:rPr>
          <w:rFonts w:ascii="Arial" w:hAnsi="Arial" w:cs="Arial"/>
          <w:sz w:val="24"/>
          <w:szCs w:val="24"/>
          <w:lang w:val="en-US"/>
        </w:rPr>
        <w:t xml:space="preserve">Vanderhoff JV </w:t>
      </w:r>
      <w:r w:rsidRPr="0065313A">
        <w:rPr>
          <w:rFonts w:ascii="Arial" w:hAnsi="Arial" w:cs="Arial"/>
          <w:b/>
          <w:sz w:val="24"/>
          <w:szCs w:val="24"/>
          <w:lang w:val="en-US"/>
        </w:rPr>
        <w:t xml:space="preserve">1979 </w:t>
      </w:r>
      <w:r w:rsidRPr="0065313A">
        <w:rPr>
          <w:rFonts w:ascii="Arial" w:hAnsi="Arial" w:cs="Arial"/>
          <w:sz w:val="24"/>
          <w:szCs w:val="24"/>
          <w:lang w:val="en-US"/>
        </w:rPr>
        <w:t xml:space="preserve">US patent 4 177 177 </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[71] Freitas S. et al. </w:t>
      </w:r>
      <w:r w:rsidRPr="0065313A">
        <w:rPr>
          <w:rFonts w:ascii="Arial" w:hAnsi="Arial" w:cs="Arial"/>
          <w:b/>
          <w:sz w:val="24"/>
          <w:szCs w:val="24"/>
          <w:lang w:val="en-US"/>
        </w:rPr>
        <w:t>2005</w:t>
      </w:r>
      <w:r w:rsidRPr="0065313A">
        <w:rPr>
          <w:rFonts w:ascii="Arial" w:hAnsi="Arial" w:cs="Arial"/>
          <w:sz w:val="24"/>
          <w:szCs w:val="24"/>
          <w:lang w:val="en-US"/>
        </w:rPr>
        <w:t xml:space="preserve"> J Control Release 102:313</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[72] Pinto Reis C. et al. </w:t>
      </w:r>
      <w:r w:rsidRPr="0065313A">
        <w:rPr>
          <w:rFonts w:ascii="Arial" w:hAnsi="Arial" w:cs="Arial"/>
          <w:b/>
          <w:sz w:val="24"/>
          <w:szCs w:val="24"/>
          <w:lang w:val="it-IT"/>
        </w:rPr>
        <w:t>2006</w:t>
      </w:r>
      <w:r w:rsidRPr="0065313A">
        <w:rPr>
          <w:rFonts w:ascii="Arial" w:hAnsi="Arial" w:cs="Arial"/>
          <w:sz w:val="24"/>
          <w:szCs w:val="24"/>
          <w:lang w:val="it-IT"/>
        </w:rPr>
        <w:t xml:space="preserve"> Nanomedicine 2:8</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[73] Tice TR et al </w:t>
      </w:r>
      <w:r w:rsidRPr="0065313A">
        <w:rPr>
          <w:rFonts w:ascii="Arial" w:hAnsi="Arial" w:cs="Arial"/>
          <w:b/>
          <w:sz w:val="24"/>
          <w:szCs w:val="24"/>
          <w:lang w:val="en-US"/>
        </w:rPr>
        <w:t>1985</w:t>
      </w:r>
      <w:r w:rsidRPr="0065313A">
        <w:rPr>
          <w:rFonts w:ascii="Arial" w:hAnsi="Arial" w:cs="Arial"/>
          <w:sz w:val="24"/>
          <w:szCs w:val="24"/>
          <w:lang w:val="en-US"/>
        </w:rPr>
        <w:t xml:space="preserve"> J Control Release 2:365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[74] Aftabrouchard D et al </w:t>
      </w:r>
      <w:r w:rsidRPr="0065313A">
        <w:rPr>
          <w:rFonts w:ascii="Arial" w:hAnsi="Arial" w:cs="Arial"/>
          <w:b/>
          <w:sz w:val="24"/>
          <w:szCs w:val="24"/>
          <w:lang w:val="en-US"/>
        </w:rPr>
        <w:t>1992</w:t>
      </w:r>
      <w:r w:rsidRPr="0065313A">
        <w:rPr>
          <w:rFonts w:ascii="Arial" w:hAnsi="Arial" w:cs="Arial"/>
          <w:sz w:val="24"/>
          <w:szCs w:val="24"/>
          <w:lang w:val="en-US"/>
        </w:rPr>
        <w:t xml:space="preserve"> STP Pharma Sci 2:343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[75] Gurny R et al </w:t>
      </w:r>
      <w:r w:rsidRPr="0065313A">
        <w:rPr>
          <w:rFonts w:ascii="Arial" w:hAnsi="Arial" w:cs="Arial"/>
          <w:b/>
          <w:sz w:val="24"/>
          <w:szCs w:val="24"/>
          <w:lang w:val="en-US"/>
        </w:rPr>
        <w:t xml:space="preserve">1981 </w:t>
      </w:r>
      <w:r w:rsidRPr="0065313A">
        <w:rPr>
          <w:rFonts w:ascii="Arial" w:hAnsi="Arial" w:cs="Arial"/>
          <w:sz w:val="24"/>
          <w:szCs w:val="24"/>
          <w:lang w:val="en-US"/>
        </w:rPr>
        <w:t>Drug Dev Ind pharm 7:1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[76] Kumar MVR </w:t>
      </w:r>
      <w:r w:rsidRPr="0065313A">
        <w:rPr>
          <w:rFonts w:ascii="Arial" w:hAnsi="Arial" w:cs="Arial"/>
          <w:b/>
          <w:sz w:val="24"/>
          <w:szCs w:val="24"/>
          <w:lang w:val="en-US"/>
        </w:rPr>
        <w:t xml:space="preserve">2000 </w:t>
      </w:r>
      <w:r w:rsidRPr="0065313A">
        <w:rPr>
          <w:rFonts w:ascii="Arial" w:hAnsi="Arial" w:cs="Arial"/>
          <w:sz w:val="24"/>
          <w:szCs w:val="24"/>
          <w:lang w:val="en-US"/>
        </w:rPr>
        <w:t>J Pharm Sci 3:234</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[77] Tabata J et al </w:t>
      </w:r>
      <w:r w:rsidRPr="0065313A">
        <w:rPr>
          <w:rFonts w:ascii="Arial" w:hAnsi="Arial" w:cs="Arial"/>
          <w:b/>
          <w:sz w:val="24"/>
          <w:szCs w:val="24"/>
          <w:lang w:val="en-US"/>
        </w:rPr>
        <w:t>1989</w:t>
      </w:r>
      <w:r w:rsidRPr="0065313A">
        <w:rPr>
          <w:rFonts w:ascii="Arial" w:hAnsi="Arial" w:cs="Arial"/>
          <w:sz w:val="24"/>
          <w:szCs w:val="24"/>
          <w:lang w:val="en-US"/>
        </w:rPr>
        <w:t xml:space="preserve"> Pharm Res 6:296</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[78] Bodmeier R et al </w:t>
      </w:r>
      <w:r w:rsidRPr="0065313A">
        <w:rPr>
          <w:rFonts w:ascii="Arial" w:hAnsi="Arial" w:cs="Arial"/>
          <w:b/>
          <w:sz w:val="24"/>
          <w:szCs w:val="24"/>
          <w:lang w:val="en-US"/>
        </w:rPr>
        <w:t>1990</w:t>
      </w:r>
      <w:r w:rsidRPr="0065313A">
        <w:rPr>
          <w:rFonts w:ascii="Arial" w:hAnsi="Arial" w:cs="Arial"/>
          <w:sz w:val="24"/>
          <w:szCs w:val="24"/>
          <w:lang w:val="en-US"/>
        </w:rPr>
        <w:t xml:space="preserve"> J Control Rel 12: 223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[79] Landry FB et al </w:t>
      </w:r>
      <w:r w:rsidRPr="0065313A">
        <w:rPr>
          <w:rFonts w:ascii="Arial" w:hAnsi="Arial" w:cs="Arial"/>
          <w:b/>
          <w:sz w:val="24"/>
          <w:szCs w:val="24"/>
          <w:lang w:val="en-US"/>
        </w:rPr>
        <w:t>1996</w:t>
      </w:r>
      <w:r w:rsidRPr="0065313A">
        <w:rPr>
          <w:rFonts w:ascii="Arial" w:hAnsi="Arial" w:cs="Arial"/>
          <w:sz w:val="24"/>
          <w:szCs w:val="24"/>
          <w:lang w:val="en-US"/>
        </w:rPr>
        <w:t xml:space="preserve"> STP Pharma Sci 6:195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[80] Koosha F et al </w:t>
      </w:r>
      <w:r w:rsidRPr="0065313A">
        <w:rPr>
          <w:rFonts w:ascii="Arial" w:hAnsi="Arial" w:cs="Arial"/>
          <w:b/>
          <w:sz w:val="24"/>
          <w:szCs w:val="24"/>
          <w:lang w:val="en-US"/>
        </w:rPr>
        <w:t xml:space="preserve">1989 </w:t>
      </w:r>
      <w:r w:rsidRPr="0065313A">
        <w:rPr>
          <w:rFonts w:ascii="Arial" w:hAnsi="Arial" w:cs="Arial"/>
          <w:sz w:val="24"/>
          <w:szCs w:val="24"/>
          <w:lang w:val="en-US"/>
        </w:rPr>
        <w:t>J Control release 9:149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[81] Katare Y.K. et al </w:t>
      </w:r>
      <w:r w:rsidRPr="0065313A">
        <w:rPr>
          <w:rFonts w:ascii="Arial" w:hAnsi="Arial" w:cs="Arial"/>
          <w:b/>
          <w:sz w:val="24"/>
          <w:szCs w:val="24"/>
          <w:lang w:val="en-US"/>
        </w:rPr>
        <w:t>2006</w:t>
      </w:r>
      <w:r w:rsidRPr="0065313A">
        <w:rPr>
          <w:rFonts w:ascii="Arial" w:hAnsi="Arial" w:cs="Arial"/>
          <w:sz w:val="24"/>
          <w:szCs w:val="24"/>
          <w:lang w:val="en-US"/>
        </w:rPr>
        <w:t xml:space="preserve"> Eur J Pharm Sci 28 (3):179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[82] Ruan G. et al </w:t>
      </w:r>
      <w:r w:rsidRPr="0065313A">
        <w:rPr>
          <w:rFonts w:ascii="Arial" w:hAnsi="Arial" w:cs="Arial"/>
          <w:b/>
          <w:sz w:val="24"/>
          <w:szCs w:val="24"/>
          <w:lang w:val="en-US"/>
        </w:rPr>
        <w:t>2002</w:t>
      </w:r>
      <w:r w:rsidRPr="0065313A">
        <w:rPr>
          <w:rFonts w:ascii="Arial" w:hAnsi="Arial" w:cs="Arial"/>
          <w:sz w:val="24"/>
          <w:szCs w:val="24"/>
          <w:lang w:val="en-US"/>
        </w:rPr>
        <w:t xml:space="preserve"> J Control Release 84 (3):151</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[83] Yamamoto M. et al </w:t>
      </w:r>
      <w:r w:rsidRPr="0065313A">
        <w:rPr>
          <w:rFonts w:ascii="Arial" w:hAnsi="Arial" w:cs="Arial"/>
          <w:b/>
          <w:sz w:val="24"/>
          <w:szCs w:val="24"/>
          <w:lang w:val="it-IT"/>
        </w:rPr>
        <w:t>1986</w:t>
      </w:r>
      <w:r w:rsidRPr="0065313A">
        <w:rPr>
          <w:rFonts w:ascii="Arial" w:hAnsi="Arial" w:cs="Arial"/>
          <w:sz w:val="24"/>
          <w:szCs w:val="24"/>
          <w:lang w:val="it-IT"/>
        </w:rPr>
        <w:t xml:space="preserve"> European patent 0 190 833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[84] Okada H. et al US patent </w:t>
      </w:r>
      <w:r w:rsidRPr="0065313A">
        <w:rPr>
          <w:rFonts w:ascii="Arial" w:hAnsi="Arial" w:cs="Arial"/>
          <w:b/>
          <w:sz w:val="24"/>
          <w:szCs w:val="24"/>
          <w:lang w:val="en-US"/>
        </w:rPr>
        <w:t>1987</w:t>
      </w:r>
      <w:r w:rsidRPr="0065313A">
        <w:rPr>
          <w:rFonts w:ascii="Arial" w:hAnsi="Arial" w:cs="Arial"/>
          <w:sz w:val="24"/>
          <w:szCs w:val="24"/>
          <w:lang w:val="en-US"/>
        </w:rPr>
        <w:t xml:space="preserve"> 4 652 411</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[85] Okada H. et al </w:t>
      </w:r>
      <w:r w:rsidRPr="0065313A">
        <w:rPr>
          <w:rFonts w:ascii="Arial" w:hAnsi="Arial" w:cs="Arial"/>
          <w:b/>
          <w:sz w:val="24"/>
          <w:szCs w:val="24"/>
          <w:lang w:val="it-IT"/>
        </w:rPr>
        <w:t>1989</w:t>
      </w:r>
      <w:r w:rsidRPr="0065313A">
        <w:rPr>
          <w:rFonts w:ascii="Arial" w:hAnsi="Arial" w:cs="Arial"/>
          <w:sz w:val="24"/>
          <w:szCs w:val="24"/>
          <w:lang w:val="it-IT"/>
        </w:rPr>
        <w:t xml:space="preserve"> European patent 0 145 240</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[86] Liu WR et al </w:t>
      </w:r>
      <w:r w:rsidRPr="0065313A">
        <w:rPr>
          <w:rFonts w:ascii="Arial" w:hAnsi="Arial" w:cs="Arial"/>
          <w:b/>
          <w:sz w:val="24"/>
          <w:szCs w:val="24"/>
          <w:lang w:val="en-US"/>
        </w:rPr>
        <w:t>1991</w:t>
      </w:r>
      <w:r w:rsidRPr="0065313A">
        <w:rPr>
          <w:rFonts w:ascii="Arial" w:hAnsi="Arial" w:cs="Arial"/>
          <w:sz w:val="24"/>
          <w:szCs w:val="24"/>
          <w:lang w:val="en-US"/>
        </w:rPr>
        <w:t xml:space="preserve"> Biotech Bioeng 37:177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[87] P. Couvreur at Al.</w:t>
      </w:r>
      <w:r w:rsidRPr="0065313A">
        <w:rPr>
          <w:rFonts w:ascii="Arial" w:hAnsi="Arial" w:cs="Arial"/>
          <w:b/>
          <w:sz w:val="24"/>
          <w:szCs w:val="24"/>
          <w:lang w:val="en-US"/>
        </w:rPr>
        <w:t xml:space="preserve"> 1997 </w:t>
      </w:r>
      <w:r w:rsidRPr="0065313A">
        <w:rPr>
          <w:rFonts w:ascii="Arial" w:hAnsi="Arial" w:cs="Arial"/>
          <w:sz w:val="24"/>
          <w:szCs w:val="24"/>
          <w:lang w:val="en-US"/>
        </w:rPr>
        <w:t>Adv Drug Deliv Rev 28:85</w:t>
      </w:r>
    </w:p>
    <w:p w:rsidR="00387A07" w:rsidRPr="0065313A" w:rsidRDefault="00387A07" w:rsidP="00387A07">
      <w:pPr>
        <w:spacing w:after="0" w:line="360" w:lineRule="auto"/>
        <w:jc w:val="both"/>
        <w:rPr>
          <w:rFonts w:ascii="Arial" w:hAnsi="Arial" w:cs="Arial"/>
          <w:iCs/>
          <w:sz w:val="24"/>
          <w:szCs w:val="24"/>
          <w:lang w:val="en-US"/>
        </w:rPr>
      </w:pPr>
      <w:r w:rsidRPr="0065313A">
        <w:rPr>
          <w:rFonts w:ascii="Arial" w:hAnsi="Arial" w:cs="Arial"/>
          <w:sz w:val="24"/>
          <w:szCs w:val="24"/>
          <w:lang w:val="en-US"/>
        </w:rPr>
        <w:t xml:space="preserve">[88] </w:t>
      </w:r>
      <w:r w:rsidRPr="0065313A">
        <w:rPr>
          <w:rFonts w:ascii="Arial" w:hAnsi="Arial" w:cs="Arial"/>
          <w:iCs/>
          <w:sz w:val="24"/>
          <w:szCs w:val="24"/>
          <w:lang w:val="en-US"/>
        </w:rPr>
        <w:t xml:space="preserve">M. Ye et al. </w:t>
      </w:r>
      <w:r w:rsidRPr="0065313A">
        <w:rPr>
          <w:rFonts w:ascii="Arial" w:hAnsi="Arial" w:cs="Arial"/>
          <w:b/>
          <w:iCs/>
          <w:sz w:val="24"/>
          <w:szCs w:val="24"/>
          <w:lang w:val="en-US"/>
        </w:rPr>
        <w:t>2010</w:t>
      </w:r>
      <w:r w:rsidRPr="0065313A">
        <w:rPr>
          <w:rFonts w:ascii="Arial" w:hAnsi="Arial" w:cs="Arial"/>
          <w:iCs/>
          <w:sz w:val="24"/>
          <w:szCs w:val="24"/>
          <w:lang w:val="en-US"/>
        </w:rPr>
        <w:t xml:space="preserve"> J Control Release 146:241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iCs/>
          <w:sz w:val="24"/>
          <w:szCs w:val="24"/>
          <w:lang w:val="en-US"/>
        </w:rPr>
        <w:t xml:space="preserve">[89] </w:t>
      </w:r>
      <w:r w:rsidRPr="0065313A">
        <w:rPr>
          <w:rFonts w:ascii="Arial" w:hAnsi="Arial" w:cs="Arial"/>
          <w:sz w:val="24"/>
          <w:szCs w:val="24"/>
          <w:lang w:val="en-US"/>
        </w:rPr>
        <w:t xml:space="preserve">Mainardes RM et al </w:t>
      </w:r>
      <w:r w:rsidRPr="0065313A">
        <w:rPr>
          <w:rFonts w:ascii="Arial" w:hAnsi="Arial" w:cs="Arial"/>
          <w:b/>
          <w:sz w:val="24"/>
          <w:szCs w:val="24"/>
          <w:lang w:val="en-US"/>
        </w:rPr>
        <w:t>2005</w:t>
      </w:r>
      <w:r w:rsidRPr="0065313A">
        <w:rPr>
          <w:rFonts w:ascii="Arial" w:hAnsi="Arial" w:cs="Arial"/>
          <w:sz w:val="24"/>
          <w:szCs w:val="24"/>
          <w:lang w:val="en-US"/>
        </w:rPr>
        <w:t xml:space="preserve"> J Microencapsul 22:13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[90] Song CX et al </w:t>
      </w:r>
      <w:r w:rsidRPr="0065313A">
        <w:rPr>
          <w:rFonts w:ascii="Arial" w:hAnsi="Arial" w:cs="Arial"/>
          <w:b/>
          <w:sz w:val="24"/>
          <w:szCs w:val="24"/>
          <w:lang w:val="en-US"/>
        </w:rPr>
        <w:t>1997</w:t>
      </w:r>
      <w:r w:rsidRPr="0065313A">
        <w:rPr>
          <w:rFonts w:ascii="Arial" w:hAnsi="Arial" w:cs="Arial"/>
          <w:sz w:val="24"/>
          <w:szCs w:val="24"/>
          <w:lang w:val="en-US"/>
        </w:rPr>
        <w:t xml:space="preserve"> J Control Release 43:197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[91] Lemoine D. </w:t>
      </w:r>
      <w:r w:rsidRPr="0065313A">
        <w:rPr>
          <w:rFonts w:ascii="Arial" w:hAnsi="Arial" w:cs="Arial"/>
          <w:b/>
          <w:sz w:val="24"/>
          <w:szCs w:val="24"/>
          <w:lang w:val="en-US"/>
        </w:rPr>
        <w:t>1998</w:t>
      </w:r>
      <w:r w:rsidRPr="0065313A">
        <w:rPr>
          <w:rFonts w:ascii="Arial" w:hAnsi="Arial" w:cs="Arial"/>
          <w:sz w:val="24"/>
          <w:szCs w:val="24"/>
          <w:lang w:val="en-US"/>
        </w:rPr>
        <w:t xml:space="preserve"> J Control Release54:15 </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[92] Zambaux MF et al </w:t>
      </w:r>
      <w:r w:rsidRPr="0065313A">
        <w:rPr>
          <w:rFonts w:ascii="Arial" w:hAnsi="Arial" w:cs="Arial"/>
          <w:b/>
          <w:sz w:val="24"/>
          <w:szCs w:val="24"/>
          <w:lang w:val="en-US"/>
        </w:rPr>
        <w:t>1998</w:t>
      </w:r>
      <w:r w:rsidRPr="0065313A">
        <w:rPr>
          <w:rFonts w:ascii="Arial" w:hAnsi="Arial" w:cs="Arial"/>
          <w:sz w:val="24"/>
          <w:szCs w:val="24"/>
          <w:lang w:val="en-US"/>
        </w:rPr>
        <w:t xml:space="preserve"> J Control Release 50:31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[93] Quellec P et al </w:t>
      </w:r>
      <w:r w:rsidRPr="0065313A">
        <w:rPr>
          <w:rFonts w:ascii="Arial" w:hAnsi="Arial" w:cs="Arial"/>
          <w:b/>
          <w:sz w:val="24"/>
          <w:szCs w:val="24"/>
          <w:lang w:val="en-US"/>
        </w:rPr>
        <w:t>1999</w:t>
      </w:r>
      <w:r w:rsidRPr="0065313A">
        <w:rPr>
          <w:rFonts w:ascii="Arial" w:hAnsi="Arial" w:cs="Arial"/>
          <w:sz w:val="24"/>
          <w:szCs w:val="24"/>
          <w:lang w:val="en-US"/>
        </w:rPr>
        <w:t xml:space="preserve"> J Biomed Mater Res A 47:388 </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t xml:space="preserve">[94] Musyanovyc A et al </w:t>
      </w:r>
      <w:r w:rsidRPr="0065313A">
        <w:rPr>
          <w:rFonts w:ascii="Arial" w:hAnsi="Arial" w:cs="Arial"/>
          <w:b/>
          <w:sz w:val="24"/>
          <w:szCs w:val="24"/>
          <w:lang w:val="it-IT"/>
        </w:rPr>
        <w:t>2008</w:t>
      </w:r>
      <w:r w:rsidRPr="0065313A">
        <w:rPr>
          <w:rFonts w:ascii="Arial" w:hAnsi="Arial" w:cs="Arial"/>
          <w:sz w:val="24"/>
          <w:szCs w:val="24"/>
          <w:lang w:val="it-IT"/>
        </w:rPr>
        <w:t xml:space="preserve"> Macromol Biosci 8:127</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lastRenderedPageBreak/>
        <w:t xml:space="preserve">[95] Fessi H. et al </w:t>
      </w:r>
      <w:r w:rsidRPr="0065313A">
        <w:rPr>
          <w:rFonts w:ascii="Arial" w:hAnsi="Arial" w:cs="Arial"/>
          <w:b/>
          <w:sz w:val="24"/>
          <w:szCs w:val="24"/>
          <w:lang w:val="it-IT"/>
        </w:rPr>
        <w:t>1989</w:t>
      </w:r>
      <w:r w:rsidRPr="0065313A">
        <w:rPr>
          <w:rFonts w:ascii="Arial" w:hAnsi="Arial" w:cs="Arial"/>
          <w:sz w:val="24"/>
          <w:szCs w:val="24"/>
          <w:lang w:val="it-IT"/>
        </w:rPr>
        <w:t xml:space="preserve"> Int J Pharm 55:1</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t xml:space="preserve">[96] Mishra B. et al </w:t>
      </w:r>
      <w:r w:rsidRPr="0065313A">
        <w:rPr>
          <w:rFonts w:ascii="Arial" w:hAnsi="Arial" w:cs="Arial"/>
          <w:b/>
          <w:sz w:val="24"/>
          <w:szCs w:val="24"/>
          <w:lang w:val="it-IT"/>
        </w:rPr>
        <w:t>2010</w:t>
      </w:r>
      <w:r w:rsidRPr="0065313A">
        <w:rPr>
          <w:rFonts w:ascii="Arial" w:hAnsi="Arial" w:cs="Arial"/>
          <w:sz w:val="24"/>
          <w:szCs w:val="24"/>
          <w:lang w:val="it-IT"/>
        </w:rPr>
        <w:t>Nanomedicine 6:9</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[97] Limayem I et al </w:t>
      </w:r>
      <w:r w:rsidRPr="0065313A">
        <w:rPr>
          <w:rFonts w:ascii="Arial" w:hAnsi="Arial" w:cs="Arial"/>
          <w:b/>
          <w:color w:val="000000"/>
          <w:sz w:val="24"/>
          <w:szCs w:val="24"/>
          <w:lang w:val="en-US"/>
        </w:rPr>
        <w:t>2006</w:t>
      </w:r>
      <w:r w:rsidRPr="0065313A">
        <w:rPr>
          <w:rFonts w:ascii="Arial" w:hAnsi="Arial" w:cs="Arial"/>
          <w:color w:val="000000"/>
          <w:sz w:val="24"/>
          <w:szCs w:val="24"/>
          <w:lang w:val="en-US"/>
        </w:rPr>
        <w:t xml:space="preserve"> Int J Pharm 325:124</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[98] Yallapu MM et al </w:t>
      </w:r>
      <w:r w:rsidRPr="0065313A">
        <w:rPr>
          <w:rFonts w:ascii="Arial" w:hAnsi="Arial" w:cs="Arial"/>
          <w:b/>
          <w:color w:val="000000"/>
          <w:sz w:val="24"/>
          <w:szCs w:val="24"/>
          <w:lang w:val="en-US"/>
        </w:rPr>
        <w:t>2010</w:t>
      </w:r>
      <w:r w:rsidRPr="0065313A">
        <w:rPr>
          <w:rFonts w:ascii="Arial" w:hAnsi="Arial" w:cs="Arial"/>
          <w:color w:val="000000"/>
          <w:sz w:val="24"/>
          <w:szCs w:val="24"/>
          <w:lang w:val="en-US"/>
        </w:rPr>
        <w:t xml:space="preserve"> J Colloid Interface Sci 351:19</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[99] Moinard-Checot D et al </w:t>
      </w:r>
      <w:r w:rsidRPr="0065313A">
        <w:rPr>
          <w:rFonts w:ascii="Arial" w:hAnsi="Arial" w:cs="Arial"/>
          <w:b/>
          <w:color w:val="000000"/>
          <w:sz w:val="24"/>
          <w:szCs w:val="24"/>
          <w:lang w:val="en-US"/>
        </w:rPr>
        <w:t>2008</w:t>
      </w:r>
      <w:r w:rsidRPr="0065313A">
        <w:rPr>
          <w:rFonts w:ascii="Arial" w:hAnsi="Arial" w:cs="Arial"/>
          <w:color w:val="000000"/>
          <w:sz w:val="24"/>
          <w:szCs w:val="24"/>
          <w:lang w:val="en-US"/>
        </w:rPr>
        <w:t xml:space="preserve"> J Colloid Interface Sci 317:458</w:t>
      </w:r>
    </w:p>
    <w:p w:rsidR="00387A07" w:rsidRPr="0065313A" w:rsidRDefault="00387A07" w:rsidP="00387A07">
      <w:pPr>
        <w:spacing w:after="0" w:line="360" w:lineRule="auto"/>
        <w:rPr>
          <w:rFonts w:ascii="Arial" w:hAnsi="Arial" w:cs="Arial"/>
          <w:color w:val="000000"/>
          <w:sz w:val="24"/>
          <w:szCs w:val="24"/>
          <w:lang w:val="en-US"/>
        </w:rPr>
      </w:pPr>
      <w:r w:rsidRPr="0065313A">
        <w:rPr>
          <w:rFonts w:ascii="Arial" w:hAnsi="Arial" w:cs="Arial"/>
          <w:color w:val="000000"/>
          <w:sz w:val="24"/>
          <w:szCs w:val="24"/>
          <w:lang w:val="en-US"/>
        </w:rPr>
        <w:t xml:space="preserve">[100] Stella B et al </w:t>
      </w:r>
      <w:r w:rsidRPr="0065313A">
        <w:rPr>
          <w:rFonts w:ascii="Arial" w:hAnsi="Arial" w:cs="Arial"/>
          <w:b/>
          <w:color w:val="000000"/>
          <w:sz w:val="24"/>
          <w:szCs w:val="24"/>
          <w:lang w:val="en-US"/>
        </w:rPr>
        <w:t>2007</w:t>
      </w:r>
      <w:r w:rsidRPr="0065313A">
        <w:rPr>
          <w:rFonts w:ascii="Arial" w:hAnsi="Arial" w:cs="Arial"/>
          <w:color w:val="000000"/>
          <w:sz w:val="24"/>
          <w:szCs w:val="24"/>
          <w:lang w:val="en-US"/>
        </w:rPr>
        <w:t xml:space="preserve"> Int J Pharm 344:71  </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[101] Legrand P et al </w:t>
      </w:r>
      <w:r w:rsidRPr="0065313A">
        <w:rPr>
          <w:rFonts w:ascii="Arial" w:hAnsi="Arial" w:cs="Arial"/>
          <w:b/>
          <w:sz w:val="24"/>
          <w:szCs w:val="24"/>
          <w:lang w:val="en-US"/>
        </w:rPr>
        <w:t>2007</w:t>
      </w:r>
      <w:r w:rsidRPr="0065313A">
        <w:rPr>
          <w:rFonts w:ascii="Arial" w:hAnsi="Arial" w:cs="Arial"/>
          <w:sz w:val="24"/>
          <w:szCs w:val="24"/>
          <w:lang w:val="en-US"/>
        </w:rPr>
        <w:t xml:space="preserve"> Int J Pharm 344:33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[102] Zili Z et al </w:t>
      </w:r>
      <w:r w:rsidRPr="0065313A">
        <w:rPr>
          <w:rFonts w:ascii="Arial" w:hAnsi="Arial" w:cs="Arial"/>
          <w:b/>
          <w:sz w:val="24"/>
          <w:szCs w:val="24"/>
          <w:lang w:val="en-US"/>
        </w:rPr>
        <w:t>2005</w:t>
      </w:r>
      <w:r w:rsidRPr="0065313A">
        <w:rPr>
          <w:rFonts w:ascii="Arial" w:hAnsi="Arial" w:cs="Arial"/>
          <w:sz w:val="24"/>
          <w:szCs w:val="24"/>
          <w:lang w:val="en-US"/>
        </w:rPr>
        <w:t xml:space="preserve"> Int J Pharm 294:261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[103] Seyler I et al </w:t>
      </w:r>
      <w:r w:rsidRPr="0065313A">
        <w:rPr>
          <w:rFonts w:ascii="Arial" w:hAnsi="Arial" w:cs="Arial"/>
          <w:b/>
          <w:sz w:val="24"/>
          <w:szCs w:val="24"/>
          <w:lang w:val="en-US"/>
        </w:rPr>
        <w:t xml:space="preserve">1999 </w:t>
      </w:r>
      <w:r w:rsidRPr="0065313A">
        <w:rPr>
          <w:rFonts w:ascii="Arial" w:hAnsi="Arial" w:cs="Arial"/>
          <w:sz w:val="24"/>
          <w:szCs w:val="24"/>
          <w:lang w:val="en-US"/>
        </w:rPr>
        <w:t>J Nanopart Res 1:91</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[104] Ferranti V et al </w:t>
      </w:r>
      <w:r w:rsidRPr="0065313A">
        <w:rPr>
          <w:rFonts w:ascii="Arial" w:hAnsi="Arial" w:cs="Arial"/>
          <w:b/>
          <w:sz w:val="24"/>
          <w:szCs w:val="24"/>
          <w:lang w:val="en-US"/>
        </w:rPr>
        <w:t>1999</w:t>
      </w:r>
      <w:r w:rsidRPr="0065313A">
        <w:rPr>
          <w:rFonts w:ascii="Arial" w:hAnsi="Arial" w:cs="Arial"/>
          <w:sz w:val="24"/>
          <w:szCs w:val="24"/>
          <w:lang w:val="en-US"/>
        </w:rPr>
        <w:t xml:space="preserve"> int J Pharm 193:107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[105] Alleman E et al </w:t>
      </w:r>
      <w:r w:rsidRPr="0065313A">
        <w:rPr>
          <w:rFonts w:ascii="Arial" w:hAnsi="Arial" w:cs="Arial"/>
          <w:b/>
          <w:sz w:val="24"/>
          <w:szCs w:val="24"/>
          <w:lang w:val="en-US"/>
        </w:rPr>
        <w:t>1992</w:t>
      </w:r>
      <w:r w:rsidRPr="0065313A">
        <w:rPr>
          <w:rFonts w:ascii="Arial" w:hAnsi="Arial" w:cs="Arial"/>
          <w:sz w:val="24"/>
          <w:szCs w:val="24"/>
          <w:lang w:val="en-US"/>
        </w:rPr>
        <w:t xml:space="preserve"> Int J Pharm 87:247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[106] Konan YN et al </w:t>
      </w:r>
      <w:r w:rsidRPr="0065313A">
        <w:rPr>
          <w:rFonts w:ascii="Arial" w:hAnsi="Arial" w:cs="Arial"/>
          <w:b/>
          <w:sz w:val="24"/>
          <w:szCs w:val="24"/>
          <w:lang w:val="en-US"/>
        </w:rPr>
        <w:t>2002</w:t>
      </w:r>
      <w:r w:rsidRPr="0065313A">
        <w:rPr>
          <w:rFonts w:ascii="Arial" w:hAnsi="Arial" w:cs="Arial"/>
          <w:sz w:val="24"/>
          <w:szCs w:val="24"/>
          <w:lang w:val="en-US"/>
        </w:rPr>
        <w:t xml:space="preserve"> Int J Pharm 52:233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[107] Perugini P et al </w:t>
      </w:r>
      <w:r w:rsidRPr="0065313A">
        <w:rPr>
          <w:rFonts w:ascii="Arial" w:hAnsi="Arial" w:cs="Arial"/>
          <w:b/>
          <w:sz w:val="24"/>
          <w:szCs w:val="24"/>
          <w:lang w:val="en-US"/>
        </w:rPr>
        <w:t>2002</w:t>
      </w:r>
      <w:r w:rsidRPr="0065313A">
        <w:rPr>
          <w:rFonts w:ascii="Arial" w:hAnsi="Arial" w:cs="Arial"/>
          <w:sz w:val="24"/>
          <w:szCs w:val="24"/>
          <w:lang w:val="en-US"/>
        </w:rPr>
        <w:t xml:space="preserve"> Int J Pharm 246:37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[108] Zweers MLT et al </w:t>
      </w:r>
      <w:r w:rsidRPr="0065313A">
        <w:rPr>
          <w:rFonts w:ascii="Arial" w:hAnsi="Arial" w:cs="Arial"/>
          <w:b/>
          <w:sz w:val="24"/>
          <w:szCs w:val="24"/>
          <w:lang w:val="en-US"/>
        </w:rPr>
        <w:t>2003</w:t>
      </w:r>
      <w:r w:rsidRPr="0065313A">
        <w:rPr>
          <w:rFonts w:ascii="Arial" w:hAnsi="Arial" w:cs="Arial"/>
          <w:sz w:val="24"/>
          <w:szCs w:val="24"/>
          <w:lang w:val="en-US"/>
        </w:rPr>
        <w:t xml:space="preserve"> J Biomed Mater Res B 66:559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[109] Nguyen CA et al </w:t>
      </w:r>
      <w:r w:rsidRPr="0065313A">
        <w:rPr>
          <w:rFonts w:ascii="Arial" w:hAnsi="Arial" w:cs="Arial"/>
          <w:b/>
          <w:sz w:val="24"/>
          <w:szCs w:val="24"/>
          <w:lang w:val="en-US"/>
        </w:rPr>
        <w:t>2003</w:t>
      </w:r>
      <w:r w:rsidRPr="0065313A">
        <w:rPr>
          <w:rFonts w:ascii="Arial" w:hAnsi="Arial" w:cs="Arial"/>
          <w:sz w:val="24"/>
          <w:szCs w:val="24"/>
          <w:lang w:val="en-US"/>
        </w:rPr>
        <w:t xml:space="preserve"> Eur J Pharm Sci 20:217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[110] Zweers MLT et al </w:t>
      </w:r>
      <w:r w:rsidRPr="0065313A">
        <w:rPr>
          <w:rFonts w:ascii="Arial" w:hAnsi="Arial" w:cs="Arial"/>
          <w:b/>
          <w:sz w:val="24"/>
          <w:szCs w:val="24"/>
          <w:lang w:val="en-US"/>
        </w:rPr>
        <w:t>2004</w:t>
      </w:r>
      <w:r w:rsidRPr="0065313A">
        <w:rPr>
          <w:rFonts w:ascii="Arial" w:hAnsi="Arial" w:cs="Arial"/>
          <w:sz w:val="24"/>
          <w:szCs w:val="24"/>
          <w:lang w:val="en-US"/>
        </w:rPr>
        <w:t xml:space="preserve"> J Control Release 100:347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[111] Zhang Z. et al </w:t>
      </w:r>
      <w:r w:rsidRPr="0065313A">
        <w:rPr>
          <w:rFonts w:ascii="Arial" w:hAnsi="Arial" w:cs="Arial"/>
          <w:b/>
          <w:sz w:val="24"/>
          <w:szCs w:val="24"/>
          <w:lang w:val="en-US"/>
        </w:rPr>
        <w:t xml:space="preserve">2006 </w:t>
      </w:r>
      <w:r w:rsidRPr="0065313A">
        <w:rPr>
          <w:rFonts w:ascii="Arial" w:hAnsi="Arial" w:cs="Arial"/>
          <w:sz w:val="24"/>
          <w:szCs w:val="24"/>
          <w:lang w:val="en-US"/>
        </w:rPr>
        <w:t>J Control Release 111:263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[112] Tim L.T. et al </w:t>
      </w:r>
      <w:r w:rsidRPr="0065313A">
        <w:rPr>
          <w:rFonts w:ascii="Arial" w:hAnsi="Arial" w:cs="Arial"/>
          <w:b/>
          <w:sz w:val="24"/>
          <w:szCs w:val="24"/>
          <w:lang w:val="en-US"/>
        </w:rPr>
        <w:t>2008</w:t>
      </w:r>
      <w:r w:rsidRPr="0065313A">
        <w:rPr>
          <w:rFonts w:ascii="Arial" w:hAnsi="Arial" w:cs="Arial"/>
          <w:sz w:val="24"/>
          <w:szCs w:val="24"/>
          <w:lang w:val="en-US"/>
        </w:rPr>
        <w:t xml:space="preserve"> Progress in Polymer Science 33:820</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t xml:space="preserve">[113] Auras R et al </w:t>
      </w:r>
      <w:r w:rsidRPr="0065313A">
        <w:rPr>
          <w:rFonts w:ascii="Arial" w:hAnsi="Arial" w:cs="Arial"/>
          <w:b/>
          <w:sz w:val="24"/>
          <w:szCs w:val="24"/>
          <w:lang w:val="it-IT"/>
        </w:rPr>
        <w:t>2004</w:t>
      </w:r>
      <w:r w:rsidRPr="0065313A">
        <w:rPr>
          <w:rFonts w:ascii="Arial" w:hAnsi="Arial" w:cs="Arial"/>
          <w:sz w:val="24"/>
          <w:szCs w:val="24"/>
          <w:lang w:val="it-IT"/>
        </w:rPr>
        <w:t xml:space="preserve"> Macromol Biosci 4:835</w:t>
      </w:r>
    </w:p>
    <w:p w:rsidR="00387A07" w:rsidRPr="0065313A" w:rsidRDefault="00387A07" w:rsidP="00387A07">
      <w:pPr>
        <w:spacing w:after="0" w:line="360" w:lineRule="auto"/>
        <w:rPr>
          <w:rFonts w:ascii="Arial" w:hAnsi="Arial" w:cs="Arial"/>
          <w:sz w:val="24"/>
          <w:szCs w:val="24"/>
          <w:lang w:val="it-IT"/>
        </w:rPr>
      </w:pPr>
      <w:r w:rsidRPr="0065313A">
        <w:rPr>
          <w:rFonts w:ascii="Arial" w:hAnsi="Arial" w:cs="Arial"/>
          <w:sz w:val="24"/>
          <w:szCs w:val="24"/>
          <w:lang w:val="it-IT"/>
        </w:rPr>
        <w:t xml:space="preserve">[114] Urayama H. et al  </w:t>
      </w:r>
      <w:r w:rsidRPr="0065313A">
        <w:rPr>
          <w:rFonts w:ascii="Arial" w:hAnsi="Arial" w:cs="Arial"/>
          <w:b/>
          <w:sz w:val="24"/>
          <w:szCs w:val="24"/>
          <w:lang w:val="it-IT"/>
        </w:rPr>
        <w:t>2003</w:t>
      </w:r>
      <w:r w:rsidRPr="0065313A">
        <w:rPr>
          <w:rFonts w:ascii="Arial" w:hAnsi="Arial" w:cs="Arial"/>
          <w:sz w:val="24"/>
          <w:szCs w:val="24"/>
          <w:lang w:val="it-IT"/>
        </w:rPr>
        <w:t xml:space="preserve"> Macromol Mater Eng 288:137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[115] Tsuji H. et al </w:t>
      </w:r>
      <w:r w:rsidRPr="0065313A">
        <w:rPr>
          <w:rFonts w:ascii="Arial" w:hAnsi="Arial" w:cs="Arial"/>
          <w:b/>
          <w:sz w:val="24"/>
          <w:szCs w:val="24"/>
          <w:lang w:val="en-US"/>
        </w:rPr>
        <w:t>1996</w:t>
      </w:r>
      <w:r w:rsidRPr="0065313A">
        <w:rPr>
          <w:rFonts w:ascii="Arial" w:hAnsi="Arial" w:cs="Arial"/>
          <w:sz w:val="24"/>
          <w:szCs w:val="24"/>
          <w:lang w:val="en-US"/>
        </w:rPr>
        <w:t xml:space="preserve"> Macromol Chem Phys 197:3483</w:t>
      </w:r>
    </w:p>
    <w:p w:rsidR="00387A07" w:rsidRPr="0065313A" w:rsidRDefault="00387A07" w:rsidP="00387A07">
      <w:pPr>
        <w:spacing w:after="0" w:line="360" w:lineRule="auto"/>
        <w:rPr>
          <w:lang w:val="en-US"/>
        </w:rPr>
      </w:pPr>
      <w:r w:rsidRPr="0065313A">
        <w:rPr>
          <w:rFonts w:ascii="Arial" w:hAnsi="Arial" w:cs="Arial"/>
          <w:sz w:val="24"/>
          <w:szCs w:val="24"/>
          <w:lang w:val="en-US"/>
        </w:rPr>
        <w:t xml:space="preserve">[116] </w:t>
      </w:r>
      <w:r w:rsidRPr="0065313A">
        <w:rPr>
          <w:rFonts w:ascii="Arial" w:hAnsi="Arial" w:cs="Arial"/>
          <w:iCs/>
          <w:sz w:val="24"/>
          <w:szCs w:val="24"/>
          <w:lang w:val="en-US"/>
        </w:rPr>
        <w:t>Xing J. et al. 2007 Int J BioMacromol 40:153</w:t>
      </w:r>
    </w:p>
    <w:p w:rsidR="00387A07" w:rsidRPr="0065313A" w:rsidRDefault="00387A07" w:rsidP="00387A07">
      <w:pPr>
        <w:spacing w:after="0" w:line="360" w:lineRule="auto"/>
      </w:pPr>
      <w:r w:rsidRPr="0065313A">
        <w:rPr>
          <w:rFonts w:ascii="Arial" w:hAnsi="Arial" w:cs="Arial"/>
          <w:sz w:val="24"/>
          <w:szCs w:val="24"/>
          <w:lang w:val="en-US"/>
        </w:rPr>
        <w:t xml:space="preserve">[117] </w:t>
      </w:r>
      <w:r w:rsidRPr="0065313A">
        <w:rPr>
          <w:rFonts w:ascii="Arial" w:hAnsi="Arial" w:cs="Arial"/>
          <w:color w:val="131413"/>
          <w:sz w:val="26"/>
          <w:szCs w:val="26"/>
          <w:lang w:val="en-US"/>
        </w:rPr>
        <w:t xml:space="preserve">Leo E. et Al. </w:t>
      </w:r>
      <w:r w:rsidRPr="0065313A">
        <w:rPr>
          <w:rFonts w:ascii="Arial" w:hAnsi="Arial" w:cs="Arial"/>
          <w:b/>
          <w:color w:val="131413"/>
          <w:sz w:val="26"/>
          <w:szCs w:val="26"/>
          <w:lang w:val="en-US"/>
        </w:rPr>
        <w:t>2004</w:t>
      </w:r>
      <w:r w:rsidRPr="0065313A">
        <w:rPr>
          <w:rFonts w:ascii="Arial" w:hAnsi="Arial" w:cs="Arial"/>
          <w:color w:val="131413"/>
          <w:sz w:val="26"/>
          <w:szCs w:val="26"/>
          <w:lang w:val="en-US"/>
        </w:rPr>
        <w:t xml:space="preserve"> </w:t>
      </w:r>
      <w:r w:rsidRPr="0065313A">
        <w:rPr>
          <w:rFonts w:ascii="Arial" w:hAnsi="Arial" w:cs="Arial"/>
          <w:sz w:val="26"/>
          <w:szCs w:val="26"/>
          <w:lang w:val="en-US"/>
        </w:rPr>
        <w:t>Int. J. Pharm. 278: 133</w:t>
      </w:r>
    </w:p>
    <w:p w:rsidR="00387A07" w:rsidRPr="0065313A" w:rsidRDefault="00387A07" w:rsidP="00387A07">
      <w:pPr>
        <w:spacing w:after="0" w:line="360" w:lineRule="auto"/>
      </w:pPr>
      <w:r w:rsidRPr="0065313A">
        <w:rPr>
          <w:rFonts w:ascii="Arial" w:hAnsi="Arial" w:cs="Arial"/>
          <w:sz w:val="24"/>
          <w:szCs w:val="24"/>
          <w:lang w:val="en-US"/>
        </w:rPr>
        <w:t xml:space="preserve">[118] </w:t>
      </w:r>
      <w:r w:rsidRPr="0065313A">
        <w:rPr>
          <w:rFonts w:ascii="Arial" w:hAnsi="Arial" w:cs="Arial"/>
          <w:sz w:val="24"/>
          <w:szCs w:val="24"/>
        </w:rPr>
        <w:t xml:space="preserve">Lee SH et al </w:t>
      </w:r>
      <w:r w:rsidRPr="0065313A">
        <w:rPr>
          <w:rFonts w:ascii="Arial" w:hAnsi="Arial" w:cs="Arial"/>
          <w:b/>
          <w:sz w:val="24"/>
          <w:szCs w:val="24"/>
        </w:rPr>
        <w:t>2007</w:t>
      </w:r>
      <w:r w:rsidRPr="0065313A">
        <w:rPr>
          <w:rFonts w:ascii="Arial" w:hAnsi="Arial" w:cs="Arial"/>
          <w:sz w:val="24"/>
          <w:szCs w:val="24"/>
        </w:rPr>
        <w:t xml:space="preserve"> Biomaterials 28:2041</w:t>
      </w:r>
    </w:p>
    <w:p w:rsidR="00387A07" w:rsidRPr="0065313A" w:rsidRDefault="00387A07" w:rsidP="00387A07">
      <w:pPr>
        <w:spacing w:after="0" w:line="360" w:lineRule="auto"/>
        <w:rPr>
          <w:lang w:val="en-US"/>
        </w:rPr>
      </w:pPr>
      <w:r w:rsidRPr="0065313A">
        <w:rPr>
          <w:rFonts w:ascii="Arial" w:hAnsi="Arial" w:cs="Arial"/>
          <w:sz w:val="24"/>
          <w:szCs w:val="24"/>
          <w:lang w:val="en-US"/>
        </w:rPr>
        <w:t xml:space="preserve">[119] Jean-Christophe L. et al </w:t>
      </w:r>
      <w:r w:rsidRPr="0065313A">
        <w:rPr>
          <w:rFonts w:ascii="Arial" w:hAnsi="Arial" w:cs="Arial"/>
          <w:b/>
          <w:sz w:val="24"/>
          <w:szCs w:val="24"/>
          <w:lang w:val="en-US"/>
        </w:rPr>
        <w:t>1996</w:t>
      </w:r>
      <w:r w:rsidRPr="0065313A">
        <w:rPr>
          <w:rFonts w:ascii="Arial" w:hAnsi="Arial" w:cs="Arial"/>
          <w:sz w:val="24"/>
          <w:szCs w:val="24"/>
          <w:lang w:val="en-US"/>
        </w:rPr>
        <w:t xml:space="preserve"> J Control Release 36:339</w:t>
      </w:r>
    </w:p>
    <w:p w:rsidR="00387A07" w:rsidRPr="0065313A" w:rsidRDefault="00387A07" w:rsidP="00387A07">
      <w:pPr>
        <w:spacing w:after="0" w:line="360" w:lineRule="auto"/>
      </w:pPr>
      <w:r w:rsidRPr="0065313A">
        <w:rPr>
          <w:rFonts w:ascii="Arial" w:hAnsi="Arial" w:cs="Arial"/>
          <w:sz w:val="24"/>
          <w:szCs w:val="24"/>
          <w:lang w:val="en-US"/>
        </w:rPr>
        <w:t xml:space="preserve">[120] Matsumoto J et al </w:t>
      </w:r>
      <w:r w:rsidRPr="0065313A">
        <w:rPr>
          <w:rFonts w:ascii="Arial" w:hAnsi="Arial" w:cs="Arial"/>
          <w:b/>
          <w:sz w:val="24"/>
          <w:szCs w:val="24"/>
          <w:lang w:val="en-US"/>
        </w:rPr>
        <w:t>1999</w:t>
      </w:r>
      <w:r w:rsidRPr="0065313A">
        <w:rPr>
          <w:rFonts w:ascii="Arial" w:hAnsi="Arial" w:cs="Arial"/>
          <w:sz w:val="24"/>
          <w:szCs w:val="24"/>
          <w:lang w:val="en-US"/>
        </w:rPr>
        <w:t xml:space="preserve"> Int J Pharm 185:9</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[121] Nemati F. </w:t>
      </w:r>
      <w:r w:rsidRPr="0065313A">
        <w:rPr>
          <w:rFonts w:ascii="Arial" w:hAnsi="Arial" w:cs="Arial"/>
          <w:b/>
          <w:sz w:val="24"/>
          <w:szCs w:val="24"/>
          <w:lang w:val="en-US"/>
        </w:rPr>
        <w:t>1996</w:t>
      </w:r>
      <w:r w:rsidRPr="0065313A">
        <w:rPr>
          <w:rFonts w:ascii="Arial" w:hAnsi="Arial" w:cs="Arial"/>
          <w:sz w:val="24"/>
          <w:szCs w:val="24"/>
          <w:lang w:val="en-US"/>
        </w:rPr>
        <w:t xml:space="preserve"> Int J Pharm 138:237</w:t>
      </w:r>
    </w:p>
    <w:p w:rsidR="00387A07" w:rsidRPr="0065313A" w:rsidRDefault="00387A07" w:rsidP="00387A07">
      <w:pPr>
        <w:spacing w:after="0" w:line="360" w:lineRule="auto"/>
      </w:pPr>
      <w:r w:rsidRPr="0065313A">
        <w:rPr>
          <w:rFonts w:ascii="Arial" w:hAnsi="Arial" w:cs="Arial"/>
          <w:sz w:val="24"/>
          <w:szCs w:val="24"/>
          <w:lang w:val="en-US"/>
        </w:rPr>
        <w:t xml:space="preserve">[122] </w:t>
      </w:r>
      <w:r w:rsidRPr="0065313A">
        <w:rPr>
          <w:rFonts w:ascii="Arial" w:hAnsi="Arial" w:cs="Arial"/>
          <w:iCs/>
          <w:sz w:val="24"/>
          <w:szCs w:val="24"/>
          <w:lang w:val="en-US"/>
        </w:rPr>
        <w:t xml:space="preserve">Z. Zhang at al </w:t>
      </w:r>
      <w:r w:rsidRPr="0065313A">
        <w:rPr>
          <w:rFonts w:ascii="Arial" w:hAnsi="Arial" w:cs="Arial"/>
          <w:b/>
          <w:iCs/>
          <w:sz w:val="24"/>
          <w:szCs w:val="24"/>
          <w:lang w:val="en-US"/>
        </w:rPr>
        <w:t>2006</w:t>
      </w:r>
      <w:r w:rsidRPr="0065313A">
        <w:rPr>
          <w:rFonts w:ascii="Arial" w:hAnsi="Arial" w:cs="Arial"/>
          <w:iCs/>
          <w:sz w:val="24"/>
          <w:szCs w:val="24"/>
          <w:lang w:val="en-US"/>
        </w:rPr>
        <w:t xml:space="preserve"> Biomaterials 27:262</w:t>
      </w:r>
    </w:p>
    <w:p w:rsidR="00387A07" w:rsidRPr="0065313A" w:rsidRDefault="00387A07" w:rsidP="00387A07">
      <w:pPr>
        <w:spacing w:after="0" w:line="360" w:lineRule="auto"/>
        <w:rPr>
          <w:rFonts w:ascii="Arial" w:hAnsi="Arial" w:cs="Arial"/>
          <w:iCs/>
          <w:sz w:val="24"/>
          <w:szCs w:val="24"/>
          <w:lang w:val="en-US"/>
        </w:rPr>
      </w:pPr>
      <w:r w:rsidRPr="0065313A">
        <w:rPr>
          <w:rFonts w:ascii="Arial" w:hAnsi="Arial" w:cs="Arial"/>
          <w:sz w:val="24"/>
          <w:szCs w:val="24"/>
          <w:lang w:val="en-US"/>
        </w:rPr>
        <w:t xml:space="preserve">[123] </w:t>
      </w:r>
      <w:r w:rsidRPr="0065313A">
        <w:rPr>
          <w:rFonts w:ascii="Arial" w:hAnsi="Arial" w:cs="Arial"/>
          <w:iCs/>
          <w:sz w:val="24"/>
          <w:szCs w:val="24"/>
          <w:lang w:val="en-US"/>
        </w:rPr>
        <w:t xml:space="preserve">.S. Guterres et al. </w:t>
      </w:r>
      <w:r w:rsidRPr="0065313A">
        <w:rPr>
          <w:rFonts w:ascii="Arial" w:hAnsi="Arial" w:cs="Arial"/>
          <w:b/>
          <w:iCs/>
          <w:sz w:val="24"/>
          <w:szCs w:val="24"/>
          <w:lang w:val="en-US"/>
        </w:rPr>
        <w:t>1995 I</w:t>
      </w:r>
      <w:r w:rsidRPr="0065313A">
        <w:rPr>
          <w:rFonts w:ascii="Arial" w:hAnsi="Arial" w:cs="Arial"/>
          <w:iCs/>
          <w:sz w:val="24"/>
          <w:szCs w:val="24"/>
          <w:lang w:val="en-US"/>
        </w:rPr>
        <w:t>nternational Journal of Pharmaceutics 113:57</w:t>
      </w:r>
    </w:p>
    <w:p w:rsidR="00387A07" w:rsidRPr="0065313A" w:rsidRDefault="00387A07" w:rsidP="00387A07">
      <w:pPr>
        <w:autoSpaceDE w:val="0"/>
        <w:autoSpaceDN w:val="0"/>
        <w:adjustRightInd w:val="0"/>
        <w:spacing w:after="0" w:line="360" w:lineRule="auto"/>
        <w:jc w:val="both"/>
        <w:rPr>
          <w:rFonts w:ascii="Arial" w:hAnsi="Arial" w:cs="Arial"/>
          <w:i/>
          <w:iCs/>
          <w:sz w:val="24"/>
          <w:szCs w:val="24"/>
          <w:lang w:val="en-US"/>
        </w:rPr>
      </w:pPr>
      <w:r w:rsidRPr="0065313A">
        <w:rPr>
          <w:rFonts w:ascii="Arial" w:hAnsi="Arial" w:cs="Arial"/>
          <w:iCs/>
          <w:sz w:val="24"/>
          <w:szCs w:val="24"/>
          <w:lang w:val="en-US"/>
        </w:rPr>
        <w:t xml:space="preserve">[124] </w:t>
      </w:r>
      <w:r w:rsidRPr="0065313A">
        <w:rPr>
          <w:rFonts w:ascii="Arial" w:hAnsi="Arial" w:cs="Arial"/>
          <w:sz w:val="24"/>
          <w:szCs w:val="24"/>
          <w:lang w:val="en-US"/>
        </w:rPr>
        <w:t>Witschi C</w:t>
      </w:r>
      <w:r w:rsidRPr="0065313A">
        <w:rPr>
          <w:rFonts w:ascii="Arial" w:hAnsi="Arial" w:cs="Arial"/>
          <w:iCs/>
          <w:sz w:val="24"/>
          <w:szCs w:val="24"/>
          <w:lang w:val="en-US"/>
        </w:rPr>
        <w:t xml:space="preserve"> et al </w:t>
      </w:r>
      <w:r w:rsidRPr="0065313A">
        <w:rPr>
          <w:rFonts w:ascii="Arial" w:hAnsi="Arial" w:cs="Arial"/>
          <w:b/>
          <w:iCs/>
          <w:sz w:val="24"/>
          <w:szCs w:val="24"/>
          <w:lang w:val="en-US"/>
        </w:rPr>
        <w:t>1998</w:t>
      </w:r>
      <w:r w:rsidRPr="0065313A">
        <w:rPr>
          <w:rFonts w:ascii="Arial" w:hAnsi="Arial" w:cs="Arial"/>
          <w:i/>
          <w:iCs/>
          <w:sz w:val="24"/>
          <w:szCs w:val="24"/>
          <w:lang w:val="en-US"/>
        </w:rPr>
        <w:t xml:space="preserve"> </w:t>
      </w:r>
      <w:r w:rsidRPr="0065313A">
        <w:rPr>
          <w:rFonts w:ascii="Arial" w:hAnsi="Arial" w:cs="Arial"/>
          <w:sz w:val="24"/>
          <w:szCs w:val="24"/>
          <w:lang w:val="en-US"/>
        </w:rPr>
        <w:t xml:space="preserve">J. Controlled Release </w:t>
      </w:r>
      <w:r w:rsidRPr="0065313A">
        <w:rPr>
          <w:rFonts w:ascii="Arial" w:hAnsi="Arial" w:cs="Arial"/>
          <w:bCs/>
          <w:sz w:val="24"/>
          <w:szCs w:val="24"/>
          <w:lang w:val="en-US"/>
        </w:rPr>
        <w:t>51</w:t>
      </w:r>
      <w:r w:rsidRPr="0065313A">
        <w:rPr>
          <w:rFonts w:ascii="Arial" w:hAnsi="Arial" w:cs="Arial"/>
          <w:sz w:val="24"/>
          <w:szCs w:val="24"/>
          <w:lang w:val="en-US"/>
        </w:rPr>
        <w:t>:327</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iCs/>
          <w:sz w:val="24"/>
          <w:szCs w:val="24"/>
          <w:lang w:val="en-US"/>
        </w:rPr>
        <w:t xml:space="preserve">[125] </w:t>
      </w:r>
      <w:r w:rsidRPr="0065313A">
        <w:rPr>
          <w:rFonts w:ascii="Arial" w:hAnsi="Arial" w:cs="Arial"/>
          <w:sz w:val="24"/>
          <w:szCs w:val="24"/>
          <w:lang w:val="en-US"/>
        </w:rPr>
        <w:t xml:space="preserve">Fonseca C. et al </w:t>
      </w:r>
      <w:r w:rsidRPr="0065313A">
        <w:rPr>
          <w:rFonts w:ascii="Arial" w:hAnsi="Arial" w:cs="Arial"/>
          <w:b/>
          <w:sz w:val="24"/>
          <w:szCs w:val="24"/>
          <w:lang w:val="en-US"/>
        </w:rPr>
        <w:t>2002</w:t>
      </w:r>
      <w:r w:rsidRPr="0065313A">
        <w:rPr>
          <w:rFonts w:ascii="Arial" w:hAnsi="Arial" w:cs="Arial"/>
          <w:sz w:val="24"/>
          <w:szCs w:val="24"/>
          <w:lang w:val="en-US"/>
        </w:rPr>
        <w:t xml:space="preserve"> J Control Release 83: 273</w:t>
      </w:r>
    </w:p>
    <w:p w:rsidR="00387A07" w:rsidRPr="0065313A" w:rsidRDefault="00387A07" w:rsidP="00387A07">
      <w:pPr>
        <w:spacing w:after="0" w:line="360" w:lineRule="auto"/>
        <w:rPr>
          <w:rFonts w:ascii="Arial" w:hAnsi="Arial" w:cs="Arial"/>
          <w:sz w:val="24"/>
          <w:szCs w:val="24"/>
          <w:lang w:val="en-US"/>
        </w:rPr>
      </w:pPr>
      <w:r w:rsidRPr="0065313A">
        <w:rPr>
          <w:rFonts w:ascii="Arial" w:hAnsi="Arial" w:cs="Arial"/>
          <w:sz w:val="24"/>
          <w:szCs w:val="24"/>
          <w:lang w:val="en-US"/>
        </w:rPr>
        <w:t xml:space="preserve">[126] Moreno D et al. </w:t>
      </w:r>
      <w:r w:rsidRPr="0065313A">
        <w:rPr>
          <w:rFonts w:ascii="Arial" w:hAnsi="Arial" w:cs="Arial"/>
          <w:b/>
          <w:sz w:val="24"/>
          <w:szCs w:val="24"/>
          <w:lang w:val="en-US"/>
        </w:rPr>
        <w:t>2010</w:t>
      </w:r>
      <w:r w:rsidRPr="0065313A">
        <w:rPr>
          <w:rFonts w:ascii="Arial" w:hAnsi="Arial" w:cs="Arial"/>
          <w:sz w:val="24"/>
          <w:szCs w:val="24"/>
          <w:lang w:val="en-US"/>
        </w:rPr>
        <w:t xml:space="preserve"> Eur J Pharm Biopharm 74:265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[127] Mittal G et al </w:t>
      </w:r>
      <w:r w:rsidRPr="0065313A">
        <w:rPr>
          <w:rFonts w:ascii="Arial" w:hAnsi="Arial" w:cs="Arial"/>
          <w:b/>
          <w:sz w:val="24"/>
          <w:szCs w:val="24"/>
          <w:lang w:val="en-US"/>
        </w:rPr>
        <w:t>2007</w:t>
      </w:r>
      <w:r w:rsidRPr="0065313A">
        <w:rPr>
          <w:rFonts w:ascii="Arial" w:hAnsi="Arial" w:cs="Arial"/>
          <w:sz w:val="24"/>
          <w:szCs w:val="24"/>
          <w:lang w:val="en-US"/>
        </w:rPr>
        <w:t xml:space="preserve"> J Control Release 119: 77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lastRenderedPageBreak/>
        <w:t xml:space="preserve">[128]  K. Andreas et al. </w:t>
      </w:r>
      <w:r w:rsidRPr="0065313A">
        <w:rPr>
          <w:rFonts w:ascii="Arial" w:hAnsi="Arial" w:cs="Arial"/>
          <w:b/>
          <w:sz w:val="24"/>
          <w:szCs w:val="24"/>
          <w:lang w:val="en-US"/>
        </w:rPr>
        <w:t>2011</w:t>
      </w:r>
      <w:r w:rsidRPr="0065313A">
        <w:rPr>
          <w:rFonts w:ascii="Arial" w:hAnsi="Arial" w:cs="Arial"/>
          <w:sz w:val="24"/>
          <w:szCs w:val="24"/>
          <w:lang w:val="en-US"/>
        </w:rPr>
        <w:t xml:space="preserve">  Acta Biomaterialia 7:1485</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[129]  M. Teixeira et al. </w:t>
      </w:r>
      <w:r w:rsidRPr="0065313A">
        <w:rPr>
          <w:rFonts w:ascii="Arial" w:hAnsi="Arial" w:cs="Arial"/>
          <w:b/>
          <w:sz w:val="24"/>
          <w:szCs w:val="24"/>
          <w:lang w:val="en-US"/>
        </w:rPr>
        <w:t>2005</w:t>
      </w:r>
      <w:r w:rsidRPr="0065313A">
        <w:rPr>
          <w:rFonts w:ascii="Arial" w:hAnsi="Arial" w:cs="Arial"/>
          <w:sz w:val="24"/>
          <w:szCs w:val="24"/>
          <w:lang w:val="en-US"/>
        </w:rPr>
        <w:t xml:space="preserve"> Eur J Pharm Biopharm 59:491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[130] Tewes F et al. </w:t>
      </w:r>
      <w:r w:rsidRPr="0065313A">
        <w:rPr>
          <w:rFonts w:ascii="Arial" w:hAnsi="Arial" w:cs="Arial"/>
          <w:b/>
          <w:sz w:val="24"/>
          <w:szCs w:val="24"/>
          <w:lang w:val="en-US"/>
        </w:rPr>
        <w:t>2007</w:t>
      </w:r>
      <w:r w:rsidRPr="0065313A">
        <w:rPr>
          <w:rFonts w:ascii="Arial" w:hAnsi="Arial" w:cs="Arial"/>
          <w:sz w:val="24"/>
          <w:szCs w:val="24"/>
          <w:lang w:val="en-US"/>
        </w:rPr>
        <w:t xml:space="preserve"> Eur J Pharm Biopharm 66:488</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[131] Feczkó T et al. </w:t>
      </w:r>
      <w:r w:rsidRPr="0065313A">
        <w:rPr>
          <w:rFonts w:ascii="Arial" w:hAnsi="Arial" w:cs="Arial"/>
          <w:b/>
          <w:sz w:val="24"/>
          <w:szCs w:val="24"/>
          <w:lang w:val="en-US"/>
        </w:rPr>
        <w:t>2011</w:t>
      </w:r>
      <w:r w:rsidRPr="0065313A">
        <w:rPr>
          <w:rFonts w:ascii="Arial" w:hAnsi="Arial" w:cs="Arial"/>
          <w:sz w:val="24"/>
          <w:szCs w:val="24"/>
          <w:lang w:val="en-US"/>
        </w:rPr>
        <w:t xml:space="preserve"> Chemical Engineering and Processing 50:757</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[132] Pitt CG. In: Chasin M, Langer R editors. Biodegradable polymers as drug delivery systems. New York: Marcel Dekker; 1990. p. 71–120</w:t>
      </w:r>
    </w:p>
    <w:p w:rsidR="00387A07" w:rsidRPr="0065313A" w:rsidRDefault="00387A07" w:rsidP="00387A07">
      <w:pPr>
        <w:spacing w:after="0" w:line="360" w:lineRule="auto"/>
        <w:jc w:val="both"/>
        <w:rPr>
          <w:rFonts w:ascii="Arial" w:hAnsi="Arial" w:cs="Arial"/>
          <w:b/>
          <w:sz w:val="24"/>
          <w:szCs w:val="24"/>
          <w:lang w:val="en-US"/>
        </w:rPr>
      </w:pPr>
      <w:r w:rsidRPr="0065313A">
        <w:rPr>
          <w:rFonts w:ascii="Arial" w:hAnsi="Arial" w:cs="Arial"/>
          <w:sz w:val="24"/>
          <w:szCs w:val="24"/>
          <w:lang w:val="en-US"/>
        </w:rPr>
        <w:t xml:space="preserve">[133] Sinha VR et al </w:t>
      </w:r>
      <w:r w:rsidRPr="0065313A">
        <w:rPr>
          <w:rFonts w:ascii="Arial" w:hAnsi="Arial" w:cs="Arial"/>
          <w:b/>
          <w:sz w:val="24"/>
          <w:szCs w:val="24"/>
          <w:lang w:val="en-US"/>
        </w:rPr>
        <w:t>2004</w:t>
      </w:r>
      <w:r w:rsidRPr="0065313A">
        <w:rPr>
          <w:rFonts w:ascii="Arial" w:hAnsi="Arial" w:cs="Arial"/>
          <w:sz w:val="24"/>
          <w:szCs w:val="24"/>
          <w:lang w:val="en-US"/>
        </w:rPr>
        <w:t xml:space="preserve"> Int J Pharm 278:1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[134] Chandra R, Rustgi R </w:t>
      </w:r>
      <w:r w:rsidRPr="0065313A">
        <w:rPr>
          <w:rFonts w:ascii="Arial" w:hAnsi="Arial" w:cs="Arial"/>
          <w:b/>
          <w:sz w:val="24"/>
          <w:szCs w:val="24"/>
          <w:lang w:val="en-US"/>
        </w:rPr>
        <w:t>1998</w:t>
      </w:r>
      <w:r w:rsidRPr="0065313A">
        <w:rPr>
          <w:rFonts w:ascii="Arial" w:hAnsi="Arial" w:cs="Arial"/>
          <w:sz w:val="24"/>
          <w:szCs w:val="24"/>
          <w:lang w:val="en-US"/>
        </w:rPr>
        <w:t xml:space="preserve"> Progr Polym Sci 23:1273</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[135] Nair LS, Laurencin CT. </w:t>
      </w:r>
      <w:r w:rsidRPr="0065313A">
        <w:rPr>
          <w:rFonts w:ascii="Arial" w:hAnsi="Arial" w:cs="Arial"/>
          <w:b/>
          <w:sz w:val="24"/>
          <w:szCs w:val="24"/>
          <w:lang w:val="en-US"/>
        </w:rPr>
        <w:t>2007</w:t>
      </w:r>
      <w:r w:rsidRPr="0065313A">
        <w:rPr>
          <w:rFonts w:ascii="Arial" w:hAnsi="Arial" w:cs="Arial"/>
          <w:sz w:val="24"/>
          <w:szCs w:val="24"/>
          <w:lang w:val="en-US"/>
        </w:rPr>
        <w:t xml:space="preserve"> Progr Polym Sci 32:762</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[136] Lam CXF at al </w:t>
      </w:r>
      <w:r w:rsidRPr="0065313A">
        <w:rPr>
          <w:rFonts w:ascii="Arial" w:hAnsi="Arial" w:cs="Arial"/>
          <w:b/>
          <w:sz w:val="24"/>
          <w:szCs w:val="24"/>
          <w:lang w:val="en-US"/>
        </w:rPr>
        <w:t>2008</w:t>
      </w:r>
      <w:r w:rsidRPr="0065313A">
        <w:rPr>
          <w:rFonts w:ascii="Arial" w:hAnsi="Arial" w:cs="Arial"/>
          <w:sz w:val="24"/>
          <w:szCs w:val="24"/>
          <w:lang w:val="en-US"/>
        </w:rPr>
        <w:t xml:space="preserve"> Biomed Mater 3:1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rPr>
        <w:t xml:space="preserve">[137] </w:t>
      </w:r>
      <w:r w:rsidRPr="0065313A">
        <w:rPr>
          <w:rFonts w:ascii="Arial" w:hAnsi="Arial" w:cs="Arial"/>
          <w:sz w:val="24"/>
          <w:szCs w:val="24"/>
          <w:lang w:val="en-US"/>
        </w:rPr>
        <w:t xml:space="preserve">M.A. Woodruff et al </w:t>
      </w:r>
      <w:r w:rsidRPr="0065313A">
        <w:rPr>
          <w:rFonts w:ascii="Arial" w:hAnsi="Arial" w:cs="Arial"/>
          <w:b/>
          <w:sz w:val="24"/>
          <w:szCs w:val="24"/>
          <w:lang w:val="en-US"/>
        </w:rPr>
        <w:t>2010</w:t>
      </w:r>
      <w:r w:rsidRPr="0065313A">
        <w:rPr>
          <w:rFonts w:ascii="Arial" w:hAnsi="Arial" w:cs="Arial"/>
          <w:sz w:val="24"/>
          <w:szCs w:val="24"/>
          <w:lang w:val="en-US"/>
        </w:rPr>
        <w:t xml:space="preserve"> Progress in Polymer Science 35:1217</w:t>
      </w:r>
    </w:p>
    <w:p w:rsidR="00387A07" w:rsidRPr="0065313A" w:rsidRDefault="00387A07" w:rsidP="00387A07">
      <w:pPr>
        <w:autoSpaceDE w:val="0"/>
        <w:autoSpaceDN w:val="0"/>
        <w:adjustRightInd w:val="0"/>
        <w:spacing w:after="0" w:line="360" w:lineRule="auto"/>
        <w:rPr>
          <w:rFonts w:ascii="Arial" w:hAnsi="Arial" w:cs="Arial"/>
          <w:sz w:val="24"/>
          <w:szCs w:val="24"/>
          <w:lang w:val="en-US"/>
        </w:rPr>
      </w:pPr>
      <w:r w:rsidRPr="0065313A">
        <w:rPr>
          <w:rFonts w:ascii="Arial" w:hAnsi="Arial" w:cs="Arial"/>
          <w:sz w:val="24"/>
          <w:szCs w:val="24"/>
          <w:lang w:val="en-US"/>
        </w:rPr>
        <w:t xml:space="preserve">[138] Calvo P et al </w:t>
      </w:r>
      <w:r w:rsidRPr="0065313A">
        <w:rPr>
          <w:rFonts w:ascii="Arial" w:hAnsi="Arial" w:cs="Arial"/>
          <w:b/>
          <w:sz w:val="24"/>
          <w:szCs w:val="24"/>
          <w:lang w:val="en-US"/>
        </w:rPr>
        <w:t>1996</w:t>
      </w:r>
      <w:r w:rsidRPr="0065313A">
        <w:rPr>
          <w:rFonts w:ascii="Arial" w:hAnsi="Arial" w:cs="Arial"/>
          <w:sz w:val="24"/>
          <w:szCs w:val="24"/>
          <w:lang w:val="en-US"/>
        </w:rPr>
        <w:t xml:space="preserve"> J Pharm Sci 85:530</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color w:val="000000"/>
          <w:sz w:val="24"/>
          <w:szCs w:val="24"/>
          <w:lang w:val="en-US"/>
        </w:rPr>
        <w:t xml:space="preserve">[139] Chawla JS et al </w:t>
      </w:r>
      <w:r w:rsidRPr="0065313A">
        <w:rPr>
          <w:rFonts w:ascii="Arial" w:hAnsi="Arial" w:cs="Arial"/>
          <w:b/>
          <w:color w:val="000000"/>
          <w:sz w:val="24"/>
          <w:szCs w:val="24"/>
          <w:lang w:val="en-US"/>
        </w:rPr>
        <w:t>2002</w:t>
      </w:r>
      <w:r w:rsidRPr="0065313A">
        <w:rPr>
          <w:rFonts w:ascii="Arial" w:hAnsi="Arial" w:cs="Arial"/>
          <w:color w:val="000000"/>
          <w:sz w:val="24"/>
          <w:szCs w:val="24"/>
          <w:lang w:val="en-US"/>
        </w:rPr>
        <w:t xml:space="preserve"> International Journal of Pharmaceutics 249:127</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sz w:val="24"/>
          <w:szCs w:val="24"/>
          <w:lang w:val="en-US"/>
        </w:rPr>
        <w:t xml:space="preserve">[140] Deshpande D </w:t>
      </w:r>
      <w:r w:rsidRPr="0065313A">
        <w:rPr>
          <w:rFonts w:ascii="Arial" w:hAnsi="Arial" w:cs="Arial"/>
          <w:b/>
          <w:sz w:val="24"/>
          <w:szCs w:val="24"/>
          <w:lang w:val="en-US"/>
        </w:rPr>
        <w:t>2008</w:t>
      </w:r>
      <w:r w:rsidRPr="0065313A">
        <w:rPr>
          <w:rFonts w:ascii="Arial" w:hAnsi="Arial" w:cs="Arial"/>
          <w:sz w:val="24"/>
          <w:szCs w:val="24"/>
          <w:lang w:val="en-US"/>
        </w:rPr>
        <w:t xml:space="preserve">  pharm research 25:1936</w:t>
      </w:r>
    </w:p>
    <w:p w:rsidR="00387A07" w:rsidRPr="0065313A"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65313A">
        <w:rPr>
          <w:rFonts w:ascii="Arial" w:hAnsi="Arial" w:cs="Arial"/>
          <w:color w:val="000000"/>
          <w:sz w:val="24"/>
          <w:szCs w:val="24"/>
          <w:lang w:val="en-US"/>
        </w:rPr>
        <w:t>[141] Muller CR Pharmazie 56:846.</w:t>
      </w:r>
    </w:p>
    <w:p w:rsidR="00387A07" w:rsidRPr="0065313A" w:rsidRDefault="00387A07" w:rsidP="00387A07">
      <w:pPr>
        <w:autoSpaceDE w:val="0"/>
        <w:autoSpaceDN w:val="0"/>
        <w:adjustRightInd w:val="0"/>
        <w:spacing w:after="0" w:line="360" w:lineRule="auto"/>
        <w:jc w:val="both"/>
        <w:rPr>
          <w:rFonts w:ascii="Arial" w:hAnsi="Arial" w:cs="Arial"/>
          <w:sz w:val="24"/>
          <w:szCs w:val="24"/>
          <w:lang w:val="it-IT"/>
        </w:rPr>
      </w:pPr>
      <w:r w:rsidRPr="0065313A">
        <w:rPr>
          <w:rFonts w:ascii="Arial" w:hAnsi="Arial" w:cs="Arial"/>
          <w:color w:val="000000"/>
          <w:sz w:val="24"/>
          <w:szCs w:val="24"/>
          <w:lang w:val="it-IT"/>
        </w:rPr>
        <w:t xml:space="preserve">[142] Mei L </w:t>
      </w:r>
      <w:r w:rsidRPr="0065313A">
        <w:rPr>
          <w:rFonts w:ascii="Arial" w:hAnsi="Arial" w:cs="Arial"/>
          <w:b/>
          <w:color w:val="000000"/>
          <w:sz w:val="24"/>
          <w:szCs w:val="24"/>
          <w:lang w:val="it-IT"/>
        </w:rPr>
        <w:t>2009</w:t>
      </w:r>
      <w:r w:rsidRPr="0065313A">
        <w:rPr>
          <w:rFonts w:ascii="Arial" w:hAnsi="Arial" w:cs="Arial"/>
          <w:color w:val="000000"/>
          <w:sz w:val="24"/>
          <w:szCs w:val="24"/>
          <w:lang w:val="it-IT"/>
        </w:rPr>
        <w:t xml:space="preserve"> Nanoscale Res Lett 4:1530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[143] Lacoulonche F. et al </w:t>
      </w:r>
      <w:r w:rsidRPr="0065313A">
        <w:rPr>
          <w:rFonts w:ascii="Arial" w:hAnsi="Arial" w:cs="Arial"/>
          <w:b/>
          <w:sz w:val="24"/>
          <w:szCs w:val="24"/>
          <w:lang w:val="en-US"/>
        </w:rPr>
        <w:t>1999</w:t>
      </w:r>
      <w:r w:rsidRPr="0065313A">
        <w:rPr>
          <w:rFonts w:ascii="Arial" w:hAnsi="Arial" w:cs="Arial"/>
          <w:sz w:val="24"/>
          <w:szCs w:val="24"/>
          <w:lang w:val="en-US"/>
        </w:rPr>
        <w:t xml:space="preserve"> Drug Dev Ind Pharm 25:983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[144] Gref R. et al </w:t>
      </w:r>
      <w:r w:rsidRPr="0065313A">
        <w:rPr>
          <w:rFonts w:ascii="Arial" w:hAnsi="Arial" w:cs="Arial"/>
          <w:b/>
          <w:sz w:val="24"/>
          <w:szCs w:val="24"/>
          <w:lang w:val="en-US"/>
        </w:rPr>
        <w:t>1994</w:t>
      </w:r>
      <w:r w:rsidRPr="0065313A">
        <w:rPr>
          <w:rFonts w:ascii="Arial" w:hAnsi="Arial" w:cs="Arial"/>
          <w:sz w:val="24"/>
          <w:szCs w:val="24"/>
          <w:lang w:val="en-US"/>
        </w:rPr>
        <w:t xml:space="preserve"> Science 263:1600</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[145] Frank M. et al </w:t>
      </w:r>
      <w:r w:rsidRPr="0065313A">
        <w:rPr>
          <w:rFonts w:ascii="Arial" w:hAnsi="Arial" w:cs="Arial"/>
          <w:b/>
          <w:sz w:val="24"/>
          <w:szCs w:val="24"/>
          <w:lang w:val="en-US"/>
        </w:rPr>
        <w:t>1991</w:t>
      </w:r>
      <w:r w:rsidRPr="0065313A">
        <w:rPr>
          <w:rFonts w:ascii="Arial" w:hAnsi="Arial" w:cs="Arial"/>
          <w:sz w:val="24"/>
          <w:szCs w:val="24"/>
          <w:lang w:val="en-US"/>
        </w:rPr>
        <w:t xml:space="preserve"> Immunol Today 12:322</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[146] Illum L. et al </w:t>
      </w:r>
      <w:r w:rsidRPr="0065313A">
        <w:rPr>
          <w:rFonts w:ascii="Arial" w:hAnsi="Arial" w:cs="Arial"/>
          <w:b/>
          <w:sz w:val="24"/>
          <w:szCs w:val="24"/>
          <w:lang w:val="en-US"/>
        </w:rPr>
        <w:t>1984</w:t>
      </w:r>
      <w:r w:rsidRPr="0065313A">
        <w:rPr>
          <w:rFonts w:ascii="Arial" w:hAnsi="Arial" w:cs="Arial"/>
          <w:sz w:val="24"/>
          <w:szCs w:val="24"/>
          <w:lang w:val="en-US"/>
        </w:rPr>
        <w:t xml:space="preserve"> FEBS Lett 167:79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[147] Kaul G. et al </w:t>
      </w:r>
      <w:r w:rsidRPr="0065313A">
        <w:rPr>
          <w:rFonts w:ascii="Arial" w:hAnsi="Arial" w:cs="Arial"/>
          <w:b/>
          <w:sz w:val="24"/>
          <w:szCs w:val="24"/>
          <w:lang w:val="en-US"/>
        </w:rPr>
        <w:t>2002</w:t>
      </w:r>
      <w:r w:rsidRPr="0065313A">
        <w:rPr>
          <w:rFonts w:ascii="Arial" w:hAnsi="Arial" w:cs="Arial"/>
          <w:sz w:val="24"/>
          <w:szCs w:val="24"/>
          <w:lang w:val="en-US"/>
        </w:rPr>
        <w:t xml:space="preserve"> Pharm Res 19:1061</w:t>
      </w:r>
    </w:p>
    <w:p w:rsidR="00387A07" w:rsidRPr="0065313A" w:rsidRDefault="00387A07" w:rsidP="00387A07">
      <w:pPr>
        <w:spacing w:after="0" w:line="360" w:lineRule="auto"/>
        <w:jc w:val="both"/>
        <w:rPr>
          <w:rFonts w:ascii="Arial" w:hAnsi="Arial" w:cs="Arial"/>
          <w:iCs/>
          <w:sz w:val="24"/>
          <w:szCs w:val="24"/>
          <w:lang w:val="en-US"/>
        </w:rPr>
      </w:pPr>
      <w:r w:rsidRPr="0065313A">
        <w:rPr>
          <w:rFonts w:ascii="Arial" w:hAnsi="Arial" w:cs="Arial"/>
          <w:sz w:val="24"/>
          <w:szCs w:val="24"/>
          <w:lang w:val="en-US"/>
        </w:rPr>
        <w:t xml:space="preserve">[148] </w:t>
      </w:r>
      <w:r w:rsidRPr="0065313A">
        <w:rPr>
          <w:rFonts w:ascii="Arial" w:hAnsi="Arial" w:cs="Arial"/>
          <w:iCs/>
          <w:sz w:val="24"/>
          <w:szCs w:val="24"/>
          <w:lang w:val="en-US"/>
        </w:rPr>
        <w:t xml:space="preserve">D.E. Owens III et al </w:t>
      </w:r>
      <w:r w:rsidRPr="0065313A">
        <w:rPr>
          <w:rFonts w:ascii="Arial" w:hAnsi="Arial" w:cs="Arial"/>
          <w:b/>
          <w:iCs/>
          <w:sz w:val="24"/>
          <w:szCs w:val="24"/>
          <w:lang w:val="en-US"/>
        </w:rPr>
        <w:t>2006</w:t>
      </w:r>
      <w:r w:rsidRPr="0065313A">
        <w:rPr>
          <w:rFonts w:ascii="Arial" w:hAnsi="Arial" w:cs="Arial"/>
          <w:iCs/>
          <w:sz w:val="24"/>
          <w:szCs w:val="24"/>
          <w:lang w:val="en-US"/>
        </w:rPr>
        <w:t xml:space="preserve">  Int J Pharm 307:93</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iCs/>
          <w:sz w:val="24"/>
          <w:szCs w:val="24"/>
          <w:lang w:val="it-IT"/>
        </w:rPr>
        <w:t xml:space="preserve">[149] </w:t>
      </w:r>
      <w:r w:rsidRPr="0065313A">
        <w:rPr>
          <w:rFonts w:ascii="Arial" w:hAnsi="Arial" w:cs="Arial"/>
          <w:sz w:val="24"/>
          <w:szCs w:val="24"/>
          <w:lang w:val="it-IT"/>
        </w:rPr>
        <w:t xml:space="preserve">Peracchia MT </w:t>
      </w:r>
      <w:r w:rsidRPr="0065313A">
        <w:rPr>
          <w:rFonts w:ascii="Arial" w:hAnsi="Arial" w:cs="Arial"/>
          <w:b/>
          <w:sz w:val="24"/>
          <w:szCs w:val="24"/>
          <w:lang w:val="it-IT"/>
        </w:rPr>
        <w:t>2003</w:t>
      </w:r>
      <w:r w:rsidRPr="0065313A">
        <w:rPr>
          <w:rFonts w:ascii="Arial" w:hAnsi="Arial" w:cs="Arial"/>
          <w:sz w:val="24"/>
          <w:szCs w:val="24"/>
          <w:lang w:val="it-IT"/>
        </w:rPr>
        <w:t xml:space="preserve"> S.T.P. Pharma Sci 13:155</w:t>
      </w:r>
    </w:p>
    <w:p w:rsidR="00387A07" w:rsidRPr="0065313A" w:rsidRDefault="00387A07" w:rsidP="00387A07">
      <w:pPr>
        <w:spacing w:after="0" w:line="360" w:lineRule="auto"/>
        <w:jc w:val="both"/>
        <w:rPr>
          <w:rFonts w:ascii="Arial" w:hAnsi="Arial" w:cs="Arial"/>
          <w:sz w:val="24"/>
          <w:szCs w:val="24"/>
          <w:lang w:val="it-IT"/>
        </w:rPr>
      </w:pPr>
      <w:r w:rsidRPr="0065313A">
        <w:rPr>
          <w:rFonts w:ascii="Arial" w:hAnsi="Arial" w:cs="Arial"/>
          <w:sz w:val="24"/>
          <w:szCs w:val="24"/>
          <w:lang w:val="it-IT"/>
        </w:rPr>
        <w:t xml:space="preserve">[150] Peracchia M.T. et al </w:t>
      </w:r>
      <w:r w:rsidRPr="0065313A">
        <w:rPr>
          <w:rFonts w:ascii="Arial" w:hAnsi="Arial" w:cs="Arial"/>
          <w:b/>
          <w:sz w:val="24"/>
          <w:szCs w:val="24"/>
          <w:lang w:val="it-IT"/>
        </w:rPr>
        <w:t>1997</w:t>
      </w:r>
      <w:r w:rsidRPr="0065313A">
        <w:rPr>
          <w:rFonts w:ascii="Arial" w:hAnsi="Arial" w:cs="Arial"/>
          <w:sz w:val="24"/>
          <w:szCs w:val="24"/>
          <w:lang w:val="it-IT"/>
        </w:rPr>
        <w:t xml:space="preserve"> Life Sci 61:749</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[151] Storm G et al </w:t>
      </w:r>
      <w:r w:rsidRPr="0065313A">
        <w:rPr>
          <w:rFonts w:ascii="Arial" w:hAnsi="Arial" w:cs="Arial"/>
          <w:b/>
          <w:sz w:val="24"/>
          <w:szCs w:val="24"/>
          <w:lang w:val="en-US"/>
        </w:rPr>
        <w:t>1995</w:t>
      </w:r>
      <w:r w:rsidRPr="0065313A">
        <w:rPr>
          <w:rFonts w:ascii="Arial" w:hAnsi="Arial" w:cs="Arial"/>
          <w:sz w:val="24"/>
          <w:szCs w:val="24"/>
          <w:lang w:val="en-US"/>
        </w:rPr>
        <w:t xml:space="preserve"> Adv Drug Deliv Rev 17:31</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[152] Saunders JH et al. 1962 in Polyurethanes: Chemistry and technology. Interscience, </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         New York</w:t>
      </w:r>
    </w:p>
    <w:p w:rsidR="00387A07" w:rsidRPr="0065313A" w:rsidRDefault="00387A07" w:rsidP="00387A07">
      <w:pPr>
        <w:spacing w:after="0" w:line="360" w:lineRule="auto"/>
        <w:jc w:val="both"/>
        <w:rPr>
          <w:rFonts w:ascii="Arial" w:hAnsi="Arial" w:cs="Arial"/>
          <w:sz w:val="24"/>
          <w:szCs w:val="24"/>
          <w:lang w:val="en-US"/>
        </w:rPr>
      </w:pPr>
      <w:r w:rsidRPr="0065313A">
        <w:rPr>
          <w:rFonts w:ascii="Arial" w:hAnsi="Arial" w:cs="Arial"/>
          <w:sz w:val="24"/>
          <w:szCs w:val="24"/>
          <w:lang w:val="en-US"/>
        </w:rPr>
        <w:t xml:space="preserve">[153] Zanetti-Ramos B. et al </w:t>
      </w:r>
      <w:r w:rsidRPr="0065313A">
        <w:rPr>
          <w:rFonts w:ascii="Arial" w:hAnsi="Arial" w:cs="Arial"/>
          <w:b/>
          <w:sz w:val="24"/>
          <w:szCs w:val="24"/>
          <w:lang w:val="en-US"/>
        </w:rPr>
        <w:t>2006</w:t>
      </w:r>
      <w:r w:rsidRPr="0065313A">
        <w:rPr>
          <w:rFonts w:ascii="Arial" w:hAnsi="Arial" w:cs="Arial"/>
          <w:sz w:val="24"/>
          <w:szCs w:val="24"/>
          <w:lang w:val="en-US"/>
        </w:rPr>
        <w:t xml:space="preserve"> polymer 47:8080</w:t>
      </w:r>
    </w:p>
    <w:p w:rsidR="00387A07" w:rsidRPr="0065313A" w:rsidRDefault="00387A07" w:rsidP="00387A07">
      <w:pPr>
        <w:pStyle w:val="Default"/>
        <w:spacing w:line="360" w:lineRule="auto"/>
        <w:jc w:val="both"/>
        <w:rPr>
          <w:rFonts w:ascii="Arial" w:hAnsi="Arial" w:cs="Arial"/>
          <w:color w:val="231F20"/>
          <w:lang w:val="en-US"/>
        </w:rPr>
      </w:pPr>
      <w:r w:rsidRPr="0065313A">
        <w:rPr>
          <w:rFonts w:ascii="Arial" w:hAnsi="Arial" w:cs="Arial"/>
          <w:color w:val="231F20"/>
          <w:lang w:val="en-US"/>
        </w:rPr>
        <w:t>[154]</w:t>
      </w:r>
      <w:r w:rsidRPr="0065313A">
        <w:rPr>
          <w:rFonts w:ascii="Arial" w:hAnsi="Arial" w:cs="Arial"/>
          <w:lang w:val="en-US"/>
        </w:rPr>
        <w:t xml:space="preserve"> Illum L. </w:t>
      </w:r>
      <w:r w:rsidRPr="0065313A">
        <w:rPr>
          <w:rFonts w:ascii="Arial" w:hAnsi="Arial" w:cs="Arial"/>
          <w:b/>
          <w:lang w:val="en-US"/>
        </w:rPr>
        <w:t>1998</w:t>
      </w:r>
      <w:r w:rsidRPr="0065313A">
        <w:rPr>
          <w:rFonts w:ascii="Arial" w:hAnsi="Arial" w:cs="Arial"/>
          <w:lang w:val="en-US"/>
        </w:rPr>
        <w:t xml:space="preserve"> Pharm. Res. 15: 1326</w:t>
      </w:r>
    </w:p>
    <w:p w:rsidR="00387A07" w:rsidRPr="0065313A" w:rsidRDefault="00387A07" w:rsidP="00387A07">
      <w:pPr>
        <w:pStyle w:val="Default"/>
        <w:spacing w:line="360" w:lineRule="auto"/>
        <w:jc w:val="both"/>
        <w:rPr>
          <w:rFonts w:ascii="Arial" w:hAnsi="Arial" w:cs="Arial"/>
          <w:lang w:val="en-US"/>
        </w:rPr>
      </w:pPr>
      <w:r w:rsidRPr="0065313A">
        <w:rPr>
          <w:rFonts w:ascii="Arial" w:hAnsi="Arial" w:cs="Arial"/>
          <w:color w:val="231F20"/>
          <w:lang w:val="en-US"/>
        </w:rPr>
        <w:t xml:space="preserve">[155] </w:t>
      </w:r>
      <w:r w:rsidRPr="0065313A">
        <w:rPr>
          <w:rFonts w:ascii="Arial" w:hAnsi="Arial" w:cs="Arial"/>
          <w:lang w:val="en-US"/>
        </w:rPr>
        <w:t xml:space="preserve">Muzzarelli R A A. </w:t>
      </w:r>
      <w:r w:rsidRPr="0065313A">
        <w:rPr>
          <w:rFonts w:ascii="Arial" w:hAnsi="Arial" w:cs="Arial"/>
          <w:b/>
          <w:lang w:val="en-US"/>
        </w:rPr>
        <w:t>2009</w:t>
      </w:r>
      <w:r w:rsidRPr="0065313A">
        <w:rPr>
          <w:rFonts w:ascii="Arial" w:hAnsi="Arial" w:cs="Arial"/>
          <w:lang w:val="en-US"/>
        </w:rPr>
        <w:t xml:space="preserve"> Carbohydrate Polymers 77:1</w:t>
      </w:r>
    </w:p>
    <w:p w:rsidR="00387A07" w:rsidRPr="0065313A" w:rsidRDefault="00387A07" w:rsidP="00387A07">
      <w:pPr>
        <w:pStyle w:val="Default"/>
        <w:spacing w:line="360" w:lineRule="auto"/>
        <w:jc w:val="both"/>
        <w:rPr>
          <w:rFonts w:ascii="Arial" w:hAnsi="Arial" w:cs="Arial"/>
          <w:lang w:val="en-US"/>
        </w:rPr>
      </w:pPr>
      <w:r w:rsidRPr="0065313A">
        <w:rPr>
          <w:rFonts w:ascii="Arial" w:hAnsi="Arial" w:cs="Arial"/>
          <w:color w:val="231F20"/>
          <w:lang w:val="en-US"/>
        </w:rPr>
        <w:t xml:space="preserve">[156] </w:t>
      </w:r>
      <w:r w:rsidRPr="0065313A">
        <w:rPr>
          <w:rFonts w:ascii="Arial" w:hAnsi="Arial" w:cs="Arial"/>
          <w:lang w:val="en-US"/>
        </w:rPr>
        <w:t xml:space="preserve">Wang et al. </w:t>
      </w:r>
      <w:r w:rsidRPr="0065313A">
        <w:rPr>
          <w:rFonts w:ascii="Arial" w:hAnsi="Arial" w:cs="Arial"/>
          <w:b/>
          <w:lang w:val="en-US"/>
        </w:rPr>
        <w:t>2010</w:t>
      </w:r>
      <w:r w:rsidRPr="0065313A">
        <w:rPr>
          <w:rFonts w:ascii="Arial" w:hAnsi="Arial" w:cs="Arial"/>
          <w:lang w:val="en-US"/>
        </w:rPr>
        <w:t xml:space="preserve"> biomaterials 31(14):3976</w:t>
      </w: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pPr>
        <w:rPr>
          <w:lang w:val="en-US"/>
        </w:rPr>
      </w:pPr>
    </w:p>
    <w:p w:rsidR="00387A07" w:rsidRDefault="00387A07" w:rsidP="00387A07">
      <w:pPr>
        <w:spacing w:line="360" w:lineRule="auto"/>
        <w:jc w:val="right"/>
        <w:rPr>
          <w:rFonts w:ascii="Arial" w:hAnsi="Arial" w:cs="Arial"/>
          <w:b/>
          <w:color w:val="002060"/>
          <w:sz w:val="120"/>
          <w:szCs w:val="120"/>
          <w:lang w:val="en-US"/>
        </w:rPr>
      </w:pPr>
      <w:r w:rsidRPr="007C2F2E">
        <w:rPr>
          <w:rFonts w:ascii="Arial" w:hAnsi="Arial" w:cs="Arial"/>
          <w:b/>
          <w:color w:val="002060"/>
          <w:sz w:val="120"/>
          <w:szCs w:val="120"/>
          <w:lang w:val="en-US"/>
        </w:rPr>
        <w:t>Section I</w:t>
      </w:r>
      <w:r>
        <w:rPr>
          <w:rFonts w:ascii="Arial" w:hAnsi="Arial" w:cs="Arial"/>
          <w:b/>
          <w:color w:val="002060"/>
          <w:sz w:val="120"/>
          <w:szCs w:val="120"/>
          <w:lang w:val="en-US"/>
        </w:rPr>
        <w:t>I</w:t>
      </w: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Default="00387A07" w:rsidP="00387A07">
      <w:pPr>
        <w:spacing w:line="360" w:lineRule="auto"/>
        <w:jc w:val="right"/>
        <w:rPr>
          <w:rFonts w:ascii="Arial" w:hAnsi="Arial" w:cs="Arial"/>
          <w:b/>
          <w:color w:val="002060"/>
          <w:sz w:val="120"/>
          <w:szCs w:val="120"/>
          <w:lang w:val="en-US"/>
        </w:rPr>
      </w:pPr>
    </w:p>
    <w:p w:rsidR="00387A07" w:rsidRPr="007C2F2E" w:rsidRDefault="00387A07" w:rsidP="00387A07">
      <w:pPr>
        <w:spacing w:line="360" w:lineRule="auto"/>
        <w:jc w:val="right"/>
        <w:rPr>
          <w:rFonts w:ascii="Arial" w:hAnsi="Arial" w:cs="Arial"/>
          <w:b/>
          <w:color w:val="002060"/>
          <w:sz w:val="120"/>
          <w:szCs w:val="120"/>
          <w:lang w:val="en-US"/>
        </w:rPr>
      </w:pPr>
    </w:p>
    <w:p w:rsidR="00387A07" w:rsidRDefault="00387A07" w:rsidP="00387A07"/>
    <w:p w:rsidR="00387A07" w:rsidRPr="00E17E1F" w:rsidRDefault="00387A07" w:rsidP="00387A07">
      <w:pPr>
        <w:pStyle w:val="Titolo1"/>
        <w:spacing w:line="360" w:lineRule="auto"/>
        <w:jc w:val="right"/>
        <w:rPr>
          <w:rFonts w:ascii="Arial" w:hAnsi="Arial" w:cs="Arial"/>
          <w:color w:val="002060"/>
          <w:sz w:val="124"/>
          <w:szCs w:val="124"/>
          <w:lang w:val="en-US"/>
        </w:rPr>
      </w:pPr>
      <w:r w:rsidRPr="00E17E1F">
        <w:rPr>
          <w:rFonts w:ascii="Arial" w:hAnsi="Arial" w:cs="Arial"/>
          <w:color w:val="002060"/>
          <w:sz w:val="124"/>
          <w:szCs w:val="124"/>
          <w:lang w:val="en-US"/>
        </w:rPr>
        <w:lastRenderedPageBreak/>
        <w:t>Chapter 2</w:t>
      </w:r>
    </w:p>
    <w:p w:rsidR="00387A07" w:rsidRPr="00E17E1F" w:rsidRDefault="00387A07" w:rsidP="00387A07">
      <w:pPr>
        <w:rPr>
          <w:lang w:val="en-US"/>
        </w:rPr>
      </w:pPr>
    </w:p>
    <w:p w:rsidR="00387A07" w:rsidRPr="00E17E1F" w:rsidRDefault="00387A07" w:rsidP="00387A07">
      <w:pPr>
        <w:spacing w:line="360" w:lineRule="auto"/>
        <w:jc w:val="right"/>
        <w:rPr>
          <w:rFonts w:ascii="Arial" w:hAnsi="Arial" w:cs="Arial"/>
          <w:b/>
          <w:sz w:val="50"/>
          <w:szCs w:val="50"/>
          <w:lang w:val="en-US"/>
        </w:rPr>
      </w:pPr>
      <w:r w:rsidRPr="00E17E1F">
        <w:rPr>
          <w:rFonts w:ascii="Arial" w:hAnsi="Arial" w:cs="Arial"/>
          <w:b/>
          <w:sz w:val="50"/>
          <w:szCs w:val="50"/>
          <w:lang w:val="en-US"/>
        </w:rPr>
        <w:t xml:space="preserve">Innovative biodegradable Nanoparticles </w:t>
      </w:r>
    </w:p>
    <w:p w:rsidR="00387A07" w:rsidRPr="00E17E1F" w:rsidRDefault="00387A07" w:rsidP="00387A07">
      <w:pPr>
        <w:spacing w:line="360" w:lineRule="auto"/>
        <w:jc w:val="right"/>
        <w:rPr>
          <w:rFonts w:ascii="Arial" w:hAnsi="Arial" w:cs="Arial"/>
          <w:b/>
          <w:sz w:val="50"/>
          <w:szCs w:val="50"/>
          <w:lang w:val="en-US"/>
        </w:rPr>
      </w:pPr>
      <w:r w:rsidRPr="00E17E1F">
        <w:rPr>
          <w:rFonts w:ascii="Arial" w:hAnsi="Arial" w:cs="Arial"/>
          <w:b/>
          <w:sz w:val="50"/>
          <w:szCs w:val="50"/>
          <w:lang w:val="en-US"/>
        </w:rPr>
        <w:t>for Passive Targeting of Cancer</w:t>
      </w:r>
    </w:p>
    <w:p w:rsidR="00387A07" w:rsidRPr="00E17E1F" w:rsidRDefault="00387A07" w:rsidP="00387A07">
      <w:pPr>
        <w:pStyle w:val="Testonormale"/>
        <w:spacing w:after="120" w:line="360" w:lineRule="auto"/>
        <w:jc w:val="both"/>
        <w:rPr>
          <w:rFonts w:ascii="Arial" w:hAnsi="Arial" w:cs="Arial"/>
          <w:b/>
          <w:sz w:val="28"/>
          <w:szCs w:val="28"/>
          <w:lang w:val="en-GB"/>
        </w:rPr>
      </w:pPr>
    </w:p>
    <w:p w:rsidR="00387A07" w:rsidRPr="00E17E1F" w:rsidRDefault="00387A07" w:rsidP="00387A07">
      <w:pPr>
        <w:pStyle w:val="Testonormale"/>
        <w:spacing w:before="240" w:after="240" w:line="360" w:lineRule="auto"/>
        <w:jc w:val="both"/>
        <w:rPr>
          <w:rFonts w:ascii="Arial" w:hAnsi="Arial" w:cs="Arial"/>
          <w:b/>
          <w:sz w:val="28"/>
          <w:szCs w:val="28"/>
          <w:lang w:val="en-GB"/>
        </w:rPr>
      </w:pPr>
      <w:r w:rsidRPr="00E17E1F">
        <w:rPr>
          <w:rFonts w:ascii="Arial" w:hAnsi="Arial" w:cs="Arial"/>
          <w:b/>
          <w:sz w:val="28"/>
          <w:szCs w:val="28"/>
          <w:lang w:val="en-GB"/>
        </w:rPr>
        <w:t>Abstract</w:t>
      </w:r>
    </w:p>
    <w:p w:rsidR="00387A07" w:rsidRPr="00E17E1F" w:rsidRDefault="00387A07" w:rsidP="00387A07">
      <w:pPr>
        <w:pStyle w:val="Testonormale"/>
        <w:spacing w:line="360" w:lineRule="auto"/>
        <w:jc w:val="both"/>
        <w:rPr>
          <w:rFonts w:ascii="Arial" w:hAnsi="Arial" w:cs="Arial"/>
          <w:sz w:val="24"/>
          <w:szCs w:val="24"/>
          <w:lang w:val="en-GB"/>
        </w:rPr>
      </w:pPr>
      <w:r w:rsidRPr="00E17E1F">
        <w:rPr>
          <w:rFonts w:ascii="Arial" w:hAnsi="Arial" w:cs="Arial"/>
          <w:sz w:val="24"/>
          <w:szCs w:val="24"/>
          <w:lang w:val="en-GB"/>
        </w:rPr>
        <w:t xml:space="preserve">Biodegradable polymeric nanoparticles have shown to be promising forms for the delivery of a wide array of drug formulations, such as hydrophobic or hydrophilic active principles, proteins or other bio molecules. Their ability to sustain a controlled release for a prolonged period of time at a specific site of action makes them suitable candidates for the selective delivery of chemotherapy, overcoming common problems associated with high systemic toxicity and poor bioavailability of traditional therapies. </w:t>
      </w:r>
    </w:p>
    <w:p w:rsidR="00387A07" w:rsidRPr="00E17E1F" w:rsidRDefault="00387A07" w:rsidP="00387A07">
      <w:pPr>
        <w:pStyle w:val="Testonormale"/>
        <w:spacing w:line="360" w:lineRule="auto"/>
        <w:jc w:val="both"/>
        <w:rPr>
          <w:rFonts w:ascii="Arial" w:hAnsi="Arial" w:cs="Arial"/>
          <w:sz w:val="24"/>
          <w:szCs w:val="24"/>
          <w:lang w:val="en-GB"/>
        </w:rPr>
      </w:pPr>
      <w:r w:rsidRPr="00E17E1F">
        <w:rPr>
          <w:rFonts w:ascii="Arial" w:hAnsi="Arial" w:cs="Arial"/>
          <w:sz w:val="24"/>
          <w:szCs w:val="24"/>
          <w:lang w:val="en-GB"/>
        </w:rPr>
        <w:t xml:space="preserve">In addition to the above mentioned properties, nanoparticles offer high carrier capacity, stability and the ability to passively target tumour cells through the Enhanced Permeation and Retention (EPR) Effect. </w:t>
      </w:r>
    </w:p>
    <w:p w:rsidR="00387A07" w:rsidRPr="00E17E1F" w:rsidRDefault="00387A07" w:rsidP="00387A07">
      <w:pPr>
        <w:pStyle w:val="NanotechMainText"/>
        <w:spacing w:line="360" w:lineRule="auto"/>
        <w:ind w:firstLine="0"/>
        <w:rPr>
          <w:rFonts w:ascii="Arial" w:hAnsi="Arial" w:cs="Arial"/>
          <w:sz w:val="24"/>
          <w:szCs w:val="24"/>
          <w:lang w:val="en-GB"/>
        </w:rPr>
      </w:pPr>
      <w:r w:rsidRPr="00E17E1F">
        <w:rPr>
          <w:rFonts w:ascii="Arial" w:hAnsi="Arial" w:cs="Arial"/>
          <w:sz w:val="24"/>
          <w:szCs w:val="24"/>
        </w:rPr>
        <w:t xml:space="preserve">The aim of the present chapter is to investigate the possibility of introducing a novel biodegradable polyesterurethane (PU) for the preparation of nanoparticles via the Solvent Displacement Method. </w:t>
      </w:r>
      <w:r w:rsidRPr="00E17E1F">
        <w:rPr>
          <w:rFonts w:ascii="Arial" w:hAnsi="Arial" w:cs="Arial"/>
          <w:sz w:val="24"/>
          <w:szCs w:val="24"/>
          <w:lang w:val="en-GB"/>
        </w:rPr>
        <w:t xml:space="preserve">Polyurethanes have been successfully employed as biomaterials for several decades in a variety of applications, because of their tuneable mechanical properties and good biocompatibility; nevertheless their use as particles for controlled drug release has been poorely investigated. </w:t>
      </w:r>
    </w:p>
    <w:p w:rsidR="00387A07" w:rsidRPr="00E17E1F" w:rsidRDefault="00387A07" w:rsidP="00387A07">
      <w:pPr>
        <w:pStyle w:val="Corpodeltesto2"/>
        <w:spacing w:line="360" w:lineRule="auto"/>
        <w:ind w:firstLine="0"/>
        <w:outlineLvl w:val="0"/>
        <w:rPr>
          <w:rFonts w:ascii="Arial" w:hAnsi="Arial" w:cs="Arial"/>
          <w:sz w:val="24"/>
          <w:szCs w:val="24"/>
          <w:lang w:val="en-GB"/>
        </w:rPr>
      </w:pPr>
      <w:r w:rsidRPr="00E17E1F">
        <w:rPr>
          <w:rFonts w:ascii="Arial" w:hAnsi="Arial" w:cs="Arial"/>
          <w:sz w:val="24"/>
          <w:szCs w:val="24"/>
        </w:rPr>
        <w:t xml:space="preserve">In this work </w:t>
      </w:r>
      <w:r w:rsidRPr="00E17E1F">
        <w:rPr>
          <w:rFonts w:ascii="Arial" w:hAnsi="Arial" w:cs="Arial"/>
          <w:sz w:val="24"/>
          <w:szCs w:val="24"/>
          <w:lang w:val="en-GB"/>
        </w:rPr>
        <w:t xml:space="preserve">a novel biodegradable material belonging to the polyesterurethane family (C-BC2000), containing poly(ε-caprolactone) as macrodiol,  was successfully applied for the preparation of </w:t>
      </w:r>
      <w:r w:rsidRPr="00E17E1F">
        <w:rPr>
          <w:rFonts w:ascii="Arial" w:hAnsi="Arial" w:cs="Arial"/>
          <w:sz w:val="24"/>
          <w:szCs w:val="24"/>
        </w:rPr>
        <w:t xml:space="preserve">nanospheres </w:t>
      </w:r>
      <w:r w:rsidRPr="00E17E1F">
        <w:rPr>
          <w:rFonts w:ascii="Arial" w:hAnsi="Arial" w:cs="Arial"/>
          <w:sz w:val="24"/>
          <w:szCs w:val="24"/>
          <w:lang w:val="en-GB"/>
        </w:rPr>
        <w:t>with uniform size distribution, for the controlled delivery of Paclitaxel.</w:t>
      </w:r>
    </w:p>
    <w:p w:rsidR="00387A07" w:rsidRPr="00E17E1F" w:rsidRDefault="00387A07" w:rsidP="00387A07">
      <w:pPr>
        <w:pStyle w:val="Corpodeltesto2"/>
        <w:spacing w:line="360" w:lineRule="auto"/>
        <w:ind w:firstLine="0"/>
        <w:outlineLvl w:val="0"/>
        <w:rPr>
          <w:rFonts w:ascii="Arial" w:hAnsi="Arial" w:cs="Arial"/>
          <w:sz w:val="24"/>
          <w:szCs w:val="24"/>
          <w:lang w:val="en-GB"/>
        </w:rPr>
        <w:sectPr w:rsidR="00387A07" w:rsidRPr="00E17E1F" w:rsidSect="00387A07">
          <w:footerReference w:type="default" r:id="rId24"/>
          <w:pgSz w:w="11907" w:h="16839" w:code="9"/>
          <w:pgMar w:top="1440" w:right="1134" w:bottom="1440" w:left="1134" w:header="720" w:footer="720" w:gutter="0"/>
          <w:pgNumType w:start="1"/>
          <w:cols w:space="720"/>
          <w:docGrid w:linePitch="360"/>
        </w:sectPr>
      </w:pPr>
      <w:r w:rsidRPr="00E17E1F">
        <w:rPr>
          <w:rFonts w:ascii="Arial" w:hAnsi="Arial" w:cs="Arial"/>
          <w:sz w:val="24"/>
          <w:szCs w:val="24"/>
          <w:lang w:val="en-GB"/>
        </w:rPr>
        <w:lastRenderedPageBreak/>
        <w:t>If compared to nanoparticles prepared with commercial polyesters,</w:t>
      </w:r>
      <w:r w:rsidRPr="00E17E1F">
        <w:rPr>
          <w:rFonts w:ascii="Arial" w:hAnsi="Arial" w:cs="Arial"/>
          <w:bCs/>
          <w:sz w:val="24"/>
          <w:szCs w:val="24"/>
        </w:rPr>
        <w:t xml:space="preserve"> such as </w:t>
      </w:r>
      <w:r w:rsidRPr="00E17E1F">
        <w:rPr>
          <w:rFonts w:ascii="Arial" w:hAnsi="Arial" w:cs="Arial"/>
          <w:bCs/>
          <w:sz w:val="24"/>
          <w:szCs w:val="24"/>
          <w:lang w:val="en-GB"/>
        </w:rPr>
        <w:t>Poly (</w:t>
      </w:r>
      <w:r w:rsidRPr="00E17E1F">
        <w:rPr>
          <w:rFonts w:ascii="Arial" w:hAnsi="Arial" w:cs="Arial"/>
          <w:bCs/>
          <w:sz w:val="24"/>
          <w:szCs w:val="24"/>
        </w:rPr>
        <w:t>ε-caprolactone) (PCL) and poly(D,L–Lactide) (PLA), C-BC2000 n</w:t>
      </w:r>
      <w:r w:rsidRPr="00E17E1F">
        <w:rPr>
          <w:rFonts w:ascii="Arial" w:hAnsi="Arial" w:cs="Arial"/>
          <w:sz w:val="24"/>
          <w:szCs w:val="24"/>
          <w:lang w:val="en-GB"/>
        </w:rPr>
        <w:t>anoparticles exhibit enhanced cellular internalization and optimal release properties, with the highest encapsulation efficiency, the lowest burst effect and a prolonged release over time.</w:t>
      </w:r>
    </w:p>
    <w:p w:rsidR="00387A07" w:rsidRPr="00E17E1F" w:rsidRDefault="00387A07" w:rsidP="00387A07">
      <w:pPr>
        <w:spacing w:before="240" w:after="240" w:line="360" w:lineRule="auto"/>
        <w:jc w:val="both"/>
        <w:rPr>
          <w:rFonts w:ascii="Arial" w:hAnsi="Arial" w:cs="Arial"/>
          <w:b/>
          <w:sz w:val="28"/>
          <w:szCs w:val="28"/>
          <w:lang w:val="en-US"/>
        </w:rPr>
      </w:pPr>
      <w:r w:rsidRPr="00E17E1F">
        <w:rPr>
          <w:rFonts w:ascii="Arial" w:hAnsi="Arial" w:cs="Arial"/>
          <w:b/>
          <w:sz w:val="28"/>
          <w:szCs w:val="28"/>
          <w:lang w:val="en-US"/>
        </w:rPr>
        <w:lastRenderedPageBreak/>
        <w:t xml:space="preserve">2.1 </w:t>
      </w:r>
      <w:r w:rsidRPr="00E17E1F">
        <w:rPr>
          <w:rFonts w:ascii="Arial" w:hAnsi="Arial" w:cs="Arial"/>
          <w:b/>
          <w:sz w:val="28"/>
          <w:szCs w:val="28"/>
        </w:rPr>
        <w:t>Introduction</w:t>
      </w:r>
      <w:r w:rsidRPr="00E17E1F">
        <w:rPr>
          <w:rFonts w:ascii="Arial" w:hAnsi="Arial" w:cs="Arial"/>
          <w:b/>
          <w:sz w:val="28"/>
          <w:szCs w:val="28"/>
          <w:lang w:val="en-US"/>
        </w:rPr>
        <w:t xml:space="preserve"> </w:t>
      </w:r>
    </w:p>
    <w:p w:rsidR="00387A07" w:rsidRPr="00E17E1F" w:rsidRDefault="00387A07" w:rsidP="00387A07">
      <w:pPr>
        <w:spacing w:after="0" w:line="360" w:lineRule="auto"/>
        <w:jc w:val="both"/>
        <w:rPr>
          <w:rFonts w:ascii="Arial" w:hAnsi="Arial" w:cs="Arial"/>
          <w:sz w:val="24"/>
          <w:szCs w:val="24"/>
          <w:lang w:val="en-US"/>
        </w:rPr>
      </w:pPr>
      <w:r w:rsidRPr="00E17E1F">
        <w:rPr>
          <w:rFonts w:ascii="Arial" w:hAnsi="Arial" w:cs="Arial"/>
          <w:sz w:val="24"/>
          <w:szCs w:val="24"/>
          <w:lang w:val="en-US"/>
        </w:rPr>
        <w:t xml:space="preserve">As extensively discussed in chapter 1, biodegradable polymers have been widely applied in literature as matrix forming materials for drug carriers because of their ability to be reabsorbed by the body without causing toxic reactions [1]. The most used and studied biodegradable polymers belong to the polyester family, mainly Poly(D,L-lactide) (PLA), Poly(ε-caprolactone) (PCL), Poly(D,L-Lactide-co-Glycolide) (PLGA) and their copolymers [2,3,4,5]. </w:t>
      </w:r>
    </w:p>
    <w:p w:rsidR="00387A07" w:rsidRPr="00E17E1F" w:rsidRDefault="00387A07" w:rsidP="00387A07">
      <w:pPr>
        <w:spacing w:after="0" w:line="360" w:lineRule="auto"/>
        <w:jc w:val="both"/>
        <w:rPr>
          <w:rFonts w:ascii="Arial" w:hAnsi="Arial" w:cs="Arial"/>
          <w:color w:val="000000"/>
          <w:sz w:val="24"/>
          <w:szCs w:val="24"/>
          <w:lang w:eastAsia="it-IT"/>
        </w:rPr>
      </w:pPr>
      <w:r w:rsidRPr="00E17E1F">
        <w:rPr>
          <w:rFonts w:ascii="Arial" w:hAnsi="Arial" w:cs="Arial"/>
          <w:color w:val="141413"/>
          <w:sz w:val="24"/>
          <w:szCs w:val="24"/>
          <w:lang w:eastAsia="it-IT"/>
        </w:rPr>
        <w:t>Several manufacturing techniques, including Single or Double Emulsion Solvent-Evaporation, Emulsification Diffusion, and Solvent Displacement have been proposed to produce biodegradable nanoparticles for the controlled release of various drugs [6,7,8,9]</w:t>
      </w:r>
      <w:r w:rsidRPr="00E17E1F">
        <w:rPr>
          <w:rFonts w:ascii="Arial" w:hAnsi="Arial" w:cs="Arial"/>
          <w:color w:val="000000"/>
          <w:sz w:val="24"/>
          <w:szCs w:val="24"/>
          <w:lang w:eastAsia="it-IT"/>
        </w:rPr>
        <w:t xml:space="preserve">.  Among these, the Solvent Displacement Method (SD), </w:t>
      </w:r>
      <w:r w:rsidRPr="00E17E1F">
        <w:rPr>
          <w:rFonts w:ascii="Arial" w:hAnsi="Arial" w:cs="Arial"/>
          <w:sz w:val="24"/>
          <w:szCs w:val="24"/>
          <w:lang w:val="en-US"/>
        </w:rPr>
        <w:t>first developed and patented by Fessi and co-workers [10]</w:t>
      </w:r>
      <w:r w:rsidRPr="00E17E1F">
        <w:rPr>
          <w:rFonts w:ascii="Arial" w:hAnsi="Arial" w:cs="Arial"/>
          <w:color w:val="000000"/>
          <w:sz w:val="24"/>
          <w:szCs w:val="24"/>
          <w:lang w:eastAsia="it-IT"/>
        </w:rPr>
        <w:t xml:space="preserve"> is a fast, highly reproducible</w:t>
      </w:r>
      <w:r w:rsidRPr="00E17E1F">
        <w:rPr>
          <w:rFonts w:ascii="Arial" w:hAnsi="Arial" w:cs="Arial"/>
          <w:color w:val="141413"/>
          <w:sz w:val="24"/>
          <w:szCs w:val="24"/>
          <w:lang w:eastAsia="it-IT"/>
        </w:rPr>
        <w:t xml:space="preserve"> one-step manufacturing process for the preparation of mono-disperse polymeric nanoparticles with a size range of approximately 50–300 nm [11]</w:t>
      </w:r>
      <w:r w:rsidRPr="00E17E1F">
        <w:rPr>
          <w:rFonts w:ascii="Arial" w:hAnsi="Arial" w:cs="Arial"/>
          <w:color w:val="000000"/>
          <w:sz w:val="24"/>
          <w:szCs w:val="24"/>
          <w:lang w:eastAsia="it-IT"/>
        </w:rPr>
        <w:t xml:space="preserve">. </w:t>
      </w:r>
    </w:p>
    <w:p w:rsidR="00387A07" w:rsidRPr="00E17E1F" w:rsidRDefault="00387A07" w:rsidP="00387A07">
      <w:pPr>
        <w:spacing w:after="0" w:line="360" w:lineRule="auto"/>
        <w:jc w:val="both"/>
        <w:rPr>
          <w:rFonts w:ascii="Arial" w:hAnsi="Arial" w:cs="Arial"/>
          <w:sz w:val="24"/>
          <w:szCs w:val="24"/>
          <w:lang w:val="en-US"/>
        </w:rPr>
      </w:pPr>
      <w:r w:rsidRPr="00E17E1F">
        <w:rPr>
          <w:rFonts w:ascii="Arial" w:hAnsi="Arial" w:cs="Arial"/>
          <w:sz w:val="24"/>
          <w:szCs w:val="24"/>
          <w:lang w:val="en-US"/>
        </w:rPr>
        <w:t>The method applies two miscible solvents, generally acetone and water. Both the polymer and the drug must dissolve in the first solvent but not in the second system (the non-solvent). The addition of the first solution to the second one leads to immediate precipitation of the polymer and to rapid drug entrapment. The fast nanoparticle formation is governed by the so-called Marangoni effect, which is due to interfacial turbulences that take place at the interface between the solvent and the non-solvent.</w:t>
      </w:r>
    </w:p>
    <w:p w:rsidR="00387A07" w:rsidRPr="00E17E1F" w:rsidRDefault="00387A07" w:rsidP="00387A07">
      <w:pPr>
        <w:autoSpaceDE w:val="0"/>
        <w:autoSpaceDN w:val="0"/>
        <w:adjustRightInd w:val="0"/>
        <w:spacing w:after="0" w:line="360" w:lineRule="auto"/>
        <w:jc w:val="both"/>
        <w:rPr>
          <w:rFonts w:ascii="Arial" w:hAnsi="Arial" w:cs="Arial"/>
          <w:color w:val="141413"/>
          <w:sz w:val="24"/>
          <w:szCs w:val="24"/>
          <w:lang w:eastAsia="it-IT"/>
        </w:rPr>
      </w:pPr>
      <w:r w:rsidRPr="00E17E1F">
        <w:rPr>
          <w:rFonts w:ascii="Arial" w:hAnsi="Arial" w:cs="Arial"/>
          <w:color w:val="000000"/>
          <w:sz w:val="24"/>
          <w:szCs w:val="24"/>
          <w:lang w:eastAsia="it-IT"/>
        </w:rPr>
        <w:t>Other interesting features of this tech</w:t>
      </w:r>
      <w:r w:rsidRPr="00E17E1F">
        <w:rPr>
          <w:rFonts w:ascii="Arial" w:hAnsi="Arial" w:cs="Arial"/>
          <w:color w:val="141413"/>
          <w:sz w:val="24"/>
          <w:szCs w:val="24"/>
          <w:lang w:eastAsia="it-IT"/>
        </w:rPr>
        <w:t>nique include the use of non-toxic, completely water-miscible organic solvents and the absence of applied shear stresses or high temperatures during the process, which may cause drug leakage and particles breakdown.</w:t>
      </w:r>
    </w:p>
    <w:p w:rsidR="00387A07" w:rsidRPr="00E17E1F" w:rsidRDefault="00387A07" w:rsidP="00387A07">
      <w:pPr>
        <w:autoSpaceDE w:val="0"/>
        <w:autoSpaceDN w:val="0"/>
        <w:adjustRightInd w:val="0"/>
        <w:spacing w:after="0" w:line="360" w:lineRule="auto"/>
        <w:jc w:val="both"/>
        <w:rPr>
          <w:rFonts w:ascii="Arial" w:hAnsi="Arial" w:cs="Arial"/>
          <w:color w:val="141413"/>
          <w:sz w:val="24"/>
          <w:szCs w:val="24"/>
          <w:lang w:eastAsia="it-IT"/>
        </w:rPr>
      </w:pPr>
      <w:r w:rsidRPr="00E17E1F">
        <w:rPr>
          <w:rFonts w:ascii="Arial" w:hAnsi="Arial" w:cs="Arial"/>
          <w:color w:val="141413"/>
          <w:sz w:val="24"/>
          <w:szCs w:val="24"/>
          <w:lang w:eastAsia="it-IT"/>
        </w:rPr>
        <w:t xml:space="preserve">The Solvent Displacement Method has been extensively applied for the preparation of nanoparticles with different biodegradable polyesters for the release of various drug formulations. In most cases rapid release profiles were reported. </w:t>
      </w:r>
      <w:r w:rsidRPr="00E17E1F">
        <w:rPr>
          <w:rFonts w:ascii="Arial" w:hAnsi="Arial" w:cs="Arial"/>
          <w:sz w:val="24"/>
          <w:szCs w:val="24"/>
          <w:lang w:val="en-US"/>
        </w:rPr>
        <w:t>Chawla et Al [12] proposed PCL nanoparticles for the controlled release of Tamoxifen, an estrogen receptor modulator applied in the treatment of breast cancer. They reported a loading efficiency of 60% and a rapid release profile, with nearly all the encapsulated drug released within the first 20 hours of incubation in deionized water.</w:t>
      </w:r>
      <w:r w:rsidRPr="00E17E1F">
        <w:rPr>
          <w:rFonts w:ascii="Arial" w:hAnsi="Arial" w:cs="Arial"/>
          <w:color w:val="141413"/>
          <w:sz w:val="24"/>
          <w:szCs w:val="24"/>
          <w:lang w:eastAsia="it-IT"/>
        </w:rPr>
        <w:t xml:space="preserve"> Leo and co-workers [13] reported similar profiles for the </w:t>
      </w:r>
      <w:r w:rsidRPr="00E17E1F">
        <w:rPr>
          <w:rFonts w:ascii="Arial" w:hAnsi="Arial" w:cs="Arial"/>
          <w:sz w:val="24"/>
          <w:szCs w:val="24"/>
          <w:lang w:val="en-US"/>
        </w:rPr>
        <w:t xml:space="preserve">anti-ischemic drug Cloricromene Acid (AD6-Acid) from PLA nanoparticles.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lastRenderedPageBreak/>
        <w:t>The aim of the present work was to investigate the possibility of introducing novel materials, i.e. biodegradable Polyesterurethanes (PUs) based on Poly(ε-caprolactone), for the preparation of nanoparticles with improved degradation properties and release profiles by the Solvent Displacement Method.</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For this reason a novel biodegradable material (in the following referred to as C-BC2000)  was synthesised  according to a two-step synthesis procedure, using PCL as macrodiol.</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The proposed polymer belongs to the Polyester-urethane family, and showed good biocompatibility as well as biodegradability. Polyurethanes are an interesting group of polymers with versatile characteristics, such as tuneable mechanical properties and good biocompatibility, depending on the molecular composition. Changes in the molecular weight or chemical structure of their soft and hard segments allow for optimization of mechanical and chemical properties of these materials based on the desired application. Polyurethanes have been successfully employed as biomaterials for several decades [14]; nevertheless little is reported in literature concerning their use as particles for controlled drug release. Zanetti-Ramos and co-workers [15,16] successfully prepared PU nanoparticles by the emulsion polymerization method, which involves </w:t>
      </w:r>
      <w:r w:rsidRPr="00E17E1F">
        <w:rPr>
          <w:rFonts w:ascii="Arial" w:hAnsi="Arial" w:cs="Arial"/>
          <w:i/>
          <w:sz w:val="24"/>
          <w:szCs w:val="24"/>
        </w:rPr>
        <w:t>in situ</w:t>
      </w:r>
      <w:r w:rsidRPr="00E17E1F">
        <w:rPr>
          <w:rFonts w:ascii="Arial" w:hAnsi="Arial" w:cs="Arial"/>
          <w:sz w:val="24"/>
          <w:szCs w:val="24"/>
        </w:rPr>
        <w:t xml:space="preserve"> polymerization.</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In the present section, the preparation of nanoparticles by the Solvent displacement method with a proprietary biodegradable polyester-urethane (C-BC2000) is proposed for the first time. Two commercial polyesters (PCL and PLA) were used to prepare control nanoparticles. Paclitaxel one of the most potent anti-neoplastic drugs, which is known to </w:t>
      </w:r>
      <w:r w:rsidRPr="00E17E1F">
        <w:rPr>
          <w:rFonts w:ascii="Arial" w:eastAsia="AdvTimes" w:hAnsi="Arial" w:cs="Arial"/>
          <w:sz w:val="24"/>
          <w:szCs w:val="24"/>
          <w:lang w:val="en-US"/>
        </w:rPr>
        <w:t>show excellent therapeutic efficacy against a wide spectrum of cancers [17,18] was encapsulated inside the carriers.</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Particles prepared with the three polymers were analyzed in terms of morphology, size distribution and zeta potential; their degradation properties as well as their cellular uptake behaviour were  also investigated and compared.</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The protocol for particles’ preparation was optimized by selecting the appropriate polymer and surfactant concentrations in order to obtain nanoparticles with a mean size below 250 nm to be used for the passive targeting of cancer through the Enhanced Permeation and Retention (EPR) Effect [19].</w:t>
      </w:r>
    </w:p>
    <w:p w:rsidR="00387A07" w:rsidRPr="00E17E1F" w:rsidRDefault="00387A07" w:rsidP="00387A07">
      <w:pPr>
        <w:spacing w:after="240" w:line="360" w:lineRule="auto"/>
        <w:jc w:val="both"/>
        <w:rPr>
          <w:rFonts w:ascii="Arial" w:hAnsi="Arial" w:cs="Arial"/>
          <w:sz w:val="24"/>
          <w:szCs w:val="24"/>
        </w:rPr>
      </w:pPr>
      <w:r w:rsidRPr="00E17E1F">
        <w:rPr>
          <w:rFonts w:ascii="Arial" w:hAnsi="Arial" w:cs="Arial"/>
          <w:sz w:val="24"/>
          <w:szCs w:val="24"/>
        </w:rPr>
        <w:t xml:space="preserve">The EPR effect is characteristic of fast-growing tissues, like tumours, which need an extensive supply of oxygen to proliferate and therefore possess more permeable and fenestrated vessels compared to normal tissues [20]. The pore cut-off size of several tumour models has been reported ranging between 380 and 780nm [21]. Nanoparticles or </w:t>
      </w:r>
      <w:r w:rsidRPr="00E17E1F">
        <w:rPr>
          <w:rFonts w:ascii="Arial" w:hAnsi="Arial" w:cs="Arial"/>
          <w:sz w:val="24"/>
          <w:szCs w:val="24"/>
        </w:rPr>
        <w:lastRenderedPageBreak/>
        <w:t xml:space="preserve">macromolecules larger than 40KDa selectively leak out from tumour vessels and accumulate in tumour tissues, a feature that is not observed for healthy tissues and can therefore be exploited for selective targeting of cancer cells. Moreover, tumours lack of an efficient lymphatic systems and are not able to efficiently eliminate the particles, once they penetrate inside the tissue. </w:t>
      </w:r>
    </w:p>
    <w:p w:rsidR="00387A07" w:rsidRPr="00E17E1F" w:rsidRDefault="00387A07" w:rsidP="00387A07">
      <w:pPr>
        <w:spacing w:before="240" w:after="240" w:line="360" w:lineRule="auto"/>
        <w:jc w:val="both"/>
        <w:rPr>
          <w:rFonts w:ascii="Arial" w:hAnsi="Arial" w:cs="Arial"/>
          <w:b/>
          <w:sz w:val="28"/>
          <w:szCs w:val="28"/>
        </w:rPr>
      </w:pPr>
      <w:r w:rsidRPr="00E17E1F">
        <w:rPr>
          <w:rFonts w:ascii="Arial" w:hAnsi="Arial" w:cs="Arial"/>
          <w:b/>
          <w:sz w:val="28"/>
          <w:szCs w:val="28"/>
        </w:rPr>
        <w:t>2.2 Materials &amp; methods</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2.2.1 Materials</w:t>
      </w:r>
    </w:p>
    <w:p w:rsidR="00387A07" w:rsidRPr="00E17E1F" w:rsidRDefault="00387A07" w:rsidP="00387A07">
      <w:pPr>
        <w:pStyle w:val="Default"/>
        <w:spacing w:line="360" w:lineRule="auto"/>
        <w:jc w:val="both"/>
        <w:rPr>
          <w:rFonts w:ascii="Arial" w:hAnsi="Arial" w:cs="Arial"/>
          <w:lang w:val="en-US"/>
        </w:rPr>
      </w:pPr>
      <w:r w:rsidRPr="00E17E1F">
        <w:rPr>
          <w:rFonts w:ascii="Arial" w:hAnsi="Arial" w:cs="Arial"/>
          <w:lang w:val="en-US"/>
        </w:rPr>
        <w:t>The two commercial polymers used in this study i.e. PCL (M</w:t>
      </w:r>
      <w:r w:rsidRPr="00E17E1F">
        <w:rPr>
          <w:rFonts w:ascii="Arial" w:hAnsi="Arial" w:cs="Arial"/>
          <w:vertAlign w:val="subscript"/>
          <w:lang w:val="en-US"/>
        </w:rPr>
        <w:t>W</w:t>
      </w:r>
      <w:r w:rsidRPr="00E17E1F">
        <w:rPr>
          <w:rFonts w:ascii="Arial" w:hAnsi="Arial" w:cs="Arial"/>
          <w:lang w:val="en-US"/>
        </w:rPr>
        <w:t xml:space="preserve"> = 50000 g/mol) and PLA (M</w:t>
      </w:r>
      <w:r w:rsidRPr="00E17E1F">
        <w:rPr>
          <w:rFonts w:ascii="Arial" w:hAnsi="Arial" w:cs="Arial"/>
          <w:vertAlign w:val="subscript"/>
          <w:lang w:val="en-US"/>
        </w:rPr>
        <w:t xml:space="preserve">w </w:t>
      </w:r>
      <w:r w:rsidRPr="00E17E1F">
        <w:rPr>
          <w:rFonts w:ascii="Arial" w:hAnsi="Arial" w:cs="Arial"/>
          <w:lang w:val="en-US"/>
        </w:rPr>
        <w:t xml:space="preserve">= 20000-30000 g/mol) were purchased from Polysciences Inc. </w:t>
      </w:r>
    </w:p>
    <w:p w:rsidR="00387A07" w:rsidRPr="00E17E1F" w:rsidRDefault="00387A07" w:rsidP="00387A07">
      <w:pPr>
        <w:pStyle w:val="Titolo1"/>
        <w:spacing w:before="0" w:line="360" w:lineRule="auto"/>
        <w:jc w:val="both"/>
        <w:textAlignment w:val="baseline"/>
        <w:rPr>
          <w:rFonts w:ascii="Arial" w:hAnsi="Arial" w:cs="Arial"/>
          <w:b w:val="0"/>
          <w:color w:val="auto"/>
          <w:sz w:val="24"/>
          <w:szCs w:val="24"/>
          <w:lang w:val="en-US"/>
        </w:rPr>
      </w:pPr>
      <w:r w:rsidRPr="00E17E1F">
        <w:rPr>
          <w:rFonts w:ascii="Arial" w:hAnsi="Arial" w:cs="Arial"/>
          <w:b w:val="0"/>
          <w:color w:val="auto"/>
          <w:sz w:val="24"/>
          <w:szCs w:val="24"/>
          <w:lang w:val="en-US"/>
        </w:rPr>
        <w:t xml:space="preserve">Tween 80, Trehalose, Rhodamine, Phosphate Buffer Saline (PBS) and </w:t>
      </w:r>
      <w:r w:rsidRPr="00E17E1F">
        <w:rPr>
          <w:rFonts w:ascii="Arial" w:hAnsi="Arial" w:cs="Arial"/>
          <w:b w:val="0"/>
          <w:color w:val="auto"/>
          <w:sz w:val="24"/>
          <w:szCs w:val="24"/>
          <w:shd w:val="clear" w:color="auto" w:fill="FFFFFF"/>
          <w:lang w:val="en-US"/>
        </w:rPr>
        <w:t>Dulbecco's Modified Eagle Medium (</w:t>
      </w:r>
      <w:r w:rsidRPr="00E17E1F">
        <w:rPr>
          <w:rFonts w:ascii="Arial" w:hAnsi="Arial" w:cs="Arial"/>
          <w:b w:val="0"/>
          <w:color w:val="auto"/>
          <w:sz w:val="24"/>
          <w:szCs w:val="24"/>
          <w:lang w:val="en-US"/>
        </w:rPr>
        <w:t xml:space="preserve">DMEM) were purchased from Sigma Aldrich-Italy. </w:t>
      </w:r>
    </w:p>
    <w:p w:rsidR="00387A07" w:rsidRPr="00E17E1F" w:rsidRDefault="00387A07" w:rsidP="00387A07">
      <w:pPr>
        <w:pStyle w:val="Titolo1"/>
        <w:spacing w:before="0" w:line="360" w:lineRule="auto"/>
        <w:jc w:val="both"/>
        <w:textAlignment w:val="baseline"/>
        <w:rPr>
          <w:rFonts w:ascii="Arial" w:hAnsi="Arial" w:cs="Arial"/>
          <w:b w:val="0"/>
          <w:color w:val="auto"/>
          <w:sz w:val="24"/>
          <w:szCs w:val="24"/>
          <w:lang w:val="en-US"/>
        </w:rPr>
      </w:pPr>
      <w:r w:rsidRPr="00E17E1F">
        <w:rPr>
          <w:rFonts w:ascii="Arial" w:hAnsi="Arial" w:cs="Arial"/>
          <w:b w:val="0"/>
          <w:color w:val="auto"/>
          <w:sz w:val="24"/>
          <w:szCs w:val="24"/>
          <w:lang w:val="en-US"/>
        </w:rPr>
        <w:t>Paclitaxel was donated by Sorin Biomedica.</w:t>
      </w:r>
    </w:p>
    <w:p w:rsidR="00387A07" w:rsidRPr="00E17E1F" w:rsidRDefault="00387A07" w:rsidP="00387A07">
      <w:pPr>
        <w:spacing w:after="0" w:line="360" w:lineRule="auto"/>
        <w:jc w:val="both"/>
        <w:rPr>
          <w:rFonts w:ascii="Arial" w:hAnsi="Arial" w:cs="Arial"/>
          <w:sz w:val="24"/>
          <w:szCs w:val="24"/>
          <w:lang w:eastAsia="it-IT"/>
        </w:rPr>
      </w:pPr>
      <w:r w:rsidRPr="00E17E1F">
        <w:rPr>
          <w:rFonts w:ascii="Arial" w:hAnsi="Arial" w:cs="Arial"/>
          <w:sz w:val="24"/>
          <w:szCs w:val="24"/>
          <w:lang w:eastAsia="it-IT"/>
        </w:rPr>
        <w:t xml:space="preserve">Milli-Q and deionised water were produced by a Millipore water purification system (Millipore Corporation). </w:t>
      </w:r>
      <w:r w:rsidRPr="00E17E1F">
        <w:rPr>
          <w:rFonts w:ascii="Arial" w:hAnsi="Arial" w:cs="Arial"/>
          <w:sz w:val="24"/>
          <w:szCs w:val="24"/>
        </w:rPr>
        <w:t>All solvents were of analytical grade.</w:t>
      </w:r>
    </w:p>
    <w:p w:rsidR="00387A07" w:rsidRPr="00E17E1F" w:rsidRDefault="00387A07" w:rsidP="00387A07">
      <w:pPr>
        <w:pStyle w:val="Default"/>
        <w:spacing w:line="360" w:lineRule="auto"/>
        <w:jc w:val="both"/>
        <w:rPr>
          <w:rFonts w:ascii="Arial" w:hAnsi="Arial" w:cs="Arial"/>
          <w:lang w:val="en-US"/>
        </w:rPr>
      </w:pPr>
      <w:r w:rsidRPr="00E17E1F">
        <w:rPr>
          <w:rStyle w:val="MacchinadascrivereHTML"/>
          <w:rFonts w:ascii="Arial" w:eastAsiaTheme="minorHAnsi" w:hAnsi="Arial" w:cs="Arial"/>
          <w:sz w:val="24"/>
          <w:szCs w:val="24"/>
          <w:lang w:val="en-US"/>
        </w:rPr>
        <w:t>For the synthesis of the polyurethane C-BC2000, Poly(</w:t>
      </w:r>
      <w:r w:rsidRPr="00E17E1F">
        <w:rPr>
          <w:rStyle w:val="MacchinadascrivereHTML"/>
          <w:rFonts w:ascii="Arial" w:eastAsiaTheme="minorHAnsi" w:hAnsi="Arial" w:cs="Arial"/>
          <w:sz w:val="24"/>
          <w:szCs w:val="24"/>
        </w:rPr>
        <w:t>ε</w:t>
      </w:r>
      <w:r w:rsidRPr="00E17E1F">
        <w:rPr>
          <w:rStyle w:val="MacchinadascrivereHTML"/>
          <w:rFonts w:ascii="Arial" w:eastAsiaTheme="minorHAnsi" w:hAnsi="Arial" w:cs="Arial"/>
          <w:sz w:val="24"/>
          <w:szCs w:val="24"/>
          <w:lang w:val="en-US"/>
        </w:rPr>
        <w:t>-caprolactone) diol (M</w:t>
      </w:r>
      <w:r w:rsidRPr="00E17E1F">
        <w:rPr>
          <w:rStyle w:val="MacchinadascrivereHTML"/>
          <w:rFonts w:ascii="Arial" w:eastAsiaTheme="minorHAnsi" w:hAnsi="Arial" w:cs="Arial"/>
          <w:sz w:val="24"/>
          <w:szCs w:val="24"/>
          <w:vertAlign w:val="subscript"/>
          <w:lang w:val="en-US"/>
        </w:rPr>
        <w:t>n</w:t>
      </w:r>
      <w:r w:rsidRPr="00E17E1F">
        <w:rPr>
          <w:rStyle w:val="MacchinadascrivereHTML"/>
          <w:rFonts w:ascii="Arial" w:eastAsiaTheme="minorHAnsi" w:hAnsi="Arial" w:cs="Arial"/>
          <w:sz w:val="24"/>
          <w:szCs w:val="24"/>
          <w:lang w:val="en-US"/>
        </w:rPr>
        <w:t>=2000 g/mol), 1,4 butanediisocyanate (BDI) and 1,4-cyclohexane dimethanol (CDM, mixture cis and trans) were purchased from Sigma Aldrich-Italy and used as macrodiol, diisocyanate and chain extender respectively. 1,4 butanediisocyanate was distilled before use. Dibutyltin dilaurate (</w:t>
      </w:r>
      <w:r w:rsidRPr="00E17E1F">
        <w:rPr>
          <w:rFonts w:ascii="Arial" w:hAnsi="Arial" w:cs="Arial"/>
          <w:lang w:val="en-US"/>
        </w:rPr>
        <w:t>DBTDL, Sigma Aldrich-Italy) was used as catalyst during the pre-polymerization reaction.</w:t>
      </w:r>
    </w:p>
    <w:p w:rsidR="00387A07" w:rsidRPr="00E17E1F" w:rsidRDefault="00387A07" w:rsidP="00387A07">
      <w:pPr>
        <w:spacing w:before="240" w:after="240" w:line="360" w:lineRule="auto"/>
        <w:jc w:val="both"/>
        <w:rPr>
          <w:rFonts w:ascii="Arial" w:hAnsi="Arial" w:cs="Arial"/>
          <w:b/>
          <w:color w:val="000000"/>
          <w:sz w:val="24"/>
          <w:szCs w:val="24"/>
          <w:lang w:eastAsia="it-IT"/>
        </w:rPr>
      </w:pPr>
      <w:r w:rsidRPr="00E17E1F">
        <w:rPr>
          <w:rFonts w:ascii="Arial" w:hAnsi="Arial" w:cs="Arial"/>
          <w:b/>
          <w:color w:val="000000"/>
          <w:sz w:val="24"/>
          <w:szCs w:val="24"/>
          <w:lang w:eastAsia="it-IT"/>
        </w:rPr>
        <w:t>2.2.2 Polymer Synthesis</w:t>
      </w:r>
    </w:p>
    <w:p w:rsidR="00387A07" w:rsidRPr="00E17E1F" w:rsidRDefault="00387A07" w:rsidP="00387A07">
      <w:pPr>
        <w:spacing w:after="0" w:line="360" w:lineRule="auto"/>
        <w:jc w:val="both"/>
        <w:rPr>
          <w:rStyle w:val="Enfasicorsivo"/>
          <w:rFonts w:ascii="Arial" w:hAnsi="Arial" w:cs="Arial"/>
          <w:bCs/>
          <w:i w:val="0"/>
          <w:color w:val="000000"/>
          <w:sz w:val="24"/>
          <w:szCs w:val="24"/>
          <w:shd w:val="clear" w:color="auto" w:fill="FFFFFF"/>
        </w:rPr>
      </w:pPr>
      <w:r w:rsidRPr="00E17E1F">
        <w:rPr>
          <w:rFonts w:ascii="Arial" w:hAnsi="Arial" w:cs="Arial"/>
          <w:sz w:val="24"/>
          <w:szCs w:val="24"/>
        </w:rPr>
        <w:t xml:space="preserve">The Polyester-urethane used in this study (C-BC2000) was synthesised following a two steps synthesis procedure in inert atmosphere [22,23].  Briefly, the macrodiol, </w:t>
      </w:r>
      <w:r w:rsidRPr="00E17E1F">
        <w:rPr>
          <w:rStyle w:val="MacchinadascrivereHTML"/>
          <w:rFonts w:ascii="Arial" w:eastAsiaTheme="minorHAnsi" w:hAnsi="Arial" w:cs="Arial"/>
          <w:sz w:val="24"/>
          <w:szCs w:val="24"/>
        </w:rPr>
        <w:t xml:space="preserve">Poly(ε-caprolactone) diol was dissolved in 1,2-dichloroethane (DCE) and the obtained solution dried azeotropically for at least 8 hours. The diisocyanate, BDI, was then added to the solution (2:1 molar ratio with respect to the macrodiol, DBTDL as catalyst) and reacted with the macrodiol at 85°C in anhydrous DCE for 150 minutes in order to form a pre-polymer. At the end of the pre-polymerization reaction the solution was concentrated and the chain extender CDM, previously dried azeotropically in DCE, was added at 1:1 molar ratio with respect to the macrodiol at room temperature. The chain extension reaction was </w:t>
      </w:r>
      <w:r w:rsidRPr="00E17E1F">
        <w:rPr>
          <w:rStyle w:val="MacchinadascrivereHTML"/>
          <w:rFonts w:ascii="Arial" w:eastAsiaTheme="minorHAnsi" w:hAnsi="Arial" w:cs="Arial"/>
          <w:sz w:val="24"/>
          <w:szCs w:val="24"/>
        </w:rPr>
        <w:lastRenderedPageBreak/>
        <w:t>stopped after 18 hours by addition of methanol. The polymer solution was precipitated in petroleum ether. The polymer was then re-dissolved in d</w:t>
      </w:r>
      <w:r w:rsidRPr="00E17E1F">
        <w:rPr>
          <w:rStyle w:val="Enfasicorsivo"/>
          <w:rFonts w:ascii="Arial" w:hAnsi="Arial" w:cs="Arial"/>
          <w:color w:val="000000"/>
          <w:sz w:val="24"/>
          <w:szCs w:val="24"/>
          <w:shd w:val="clear" w:color="auto" w:fill="FFFFFF"/>
        </w:rPr>
        <w:t>imethylformamide (DMF) and precipitated in methanol in order to remove low molecular weight impurities and residual catalyst. The polymer was finally collected by decantation and centrifugation</w:t>
      </w:r>
      <w:r w:rsidRPr="00E17E1F">
        <w:rPr>
          <w:rStyle w:val="MacchinadascrivereHTML"/>
          <w:rFonts w:ascii="Arial" w:eastAsiaTheme="minorHAnsi" w:hAnsi="Arial" w:cs="Arial"/>
          <w:i/>
          <w:sz w:val="24"/>
          <w:szCs w:val="24"/>
        </w:rPr>
        <w:t xml:space="preserve"> </w:t>
      </w:r>
      <w:r w:rsidRPr="00E17E1F">
        <w:rPr>
          <w:rStyle w:val="Enfasicorsivo"/>
          <w:rFonts w:ascii="Arial" w:hAnsi="Arial" w:cs="Arial"/>
          <w:color w:val="000000"/>
          <w:sz w:val="24"/>
          <w:szCs w:val="24"/>
          <w:shd w:val="clear" w:color="auto" w:fill="FFFFFF"/>
        </w:rPr>
        <w:t xml:space="preserve">(Hettich MIRKO 220R, 5500 rpm, 20°C) and dried at 40°C under vacuum for 24 hours. </w:t>
      </w:r>
    </w:p>
    <w:p w:rsidR="00387A07" w:rsidRPr="00E17E1F" w:rsidRDefault="00387A07" w:rsidP="00387A07">
      <w:pPr>
        <w:spacing w:line="360" w:lineRule="auto"/>
        <w:jc w:val="both"/>
        <w:rPr>
          <w:rFonts w:ascii="Arial" w:hAnsi="Arial" w:cs="Arial"/>
          <w:color w:val="000000"/>
          <w:sz w:val="24"/>
          <w:szCs w:val="24"/>
          <w:lang w:eastAsia="it-IT"/>
        </w:rPr>
      </w:pPr>
      <w:r w:rsidRPr="00E17E1F">
        <w:rPr>
          <w:rStyle w:val="MacchinadascrivereHTML"/>
          <w:rFonts w:ascii="Arial" w:eastAsiaTheme="minorHAnsi" w:hAnsi="Arial" w:cs="Arial"/>
          <w:sz w:val="24"/>
          <w:szCs w:val="24"/>
          <w:lang w:val="en-US"/>
        </w:rPr>
        <w:t xml:space="preserve">The polyurethane acronym C-BC2000 is based on the nature of the constituent segments, as follows: the first letter C indicates the chain extender CDM, the letter B corresponds to the </w:t>
      </w:r>
      <w:r w:rsidRPr="00E17E1F">
        <w:rPr>
          <w:rStyle w:val="MacchinadascrivereHTML"/>
          <w:rFonts w:ascii="Arial" w:eastAsiaTheme="minorHAnsi" w:hAnsi="Arial" w:cs="Arial"/>
          <w:sz w:val="24"/>
          <w:szCs w:val="24"/>
        </w:rPr>
        <w:t>diisocyanate</w:t>
      </w:r>
      <w:r w:rsidRPr="00E17E1F">
        <w:rPr>
          <w:rStyle w:val="MacchinadascrivereHTML"/>
          <w:rFonts w:ascii="Arial" w:eastAsiaTheme="minorHAnsi" w:hAnsi="Arial" w:cs="Arial"/>
          <w:sz w:val="24"/>
          <w:szCs w:val="24"/>
          <w:lang w:val="en-US"/>
        </w:rPr>
        <w:t xml:space="preserve"> BDI, while C2000 corresponds to </w:t>
      </w:r>
      <w:r w:rsidRPr="00E17E1F">
        <w:rPr>
          <w:rStyle w:val="MacchinadascrivereHTML"/>
          <w:rFonts w:ascii="Arial" w:eastAsiaTheme="minorHAnsi" w:hAnsi="Arial" w:cs="Arial"/>
          <w:sz w:val="24"/>
          <w:szCs w:val="24"/>
        </w:rPr>
        <w:t>Poly(ε-caprolactone)</w:t>
      </w:r>
      <w:r w:rsidRPr="00E17E1F">
        <w:rPr>
          <w:rStyle w:val="MacchinadascrivereHTML"/>
          <w:rFonts w:ascii="Arial" w:eastAsiaTheme="minorHAnsi" w:hAnsi="Arial" w:cs="Arial"/>
          <w:sz w:val="24"/>
          <w:szCs w:val="24"/>
          <w:lang w:val="en-US"/>
        </w:rPr>
        <w:t xml:space="preserve"> diol with average number molecular weight M</w:t>
      </w:r>
      <w:r w:rsidRPr="00E17E1F">
        <w:rPr>
          <w:rStyle w:val="MacchinadascrivereHTML"/>
          <w:rFonts w:ascii="Arial" w:eastAsiaTheme="minorHAnsi" w:hAnsi="Arial" w:cs="Arial"/>
          <w:sz w:val="24"/>
          <w:szCs w:val="24"/>
          <w:vertAlign w:val="subscript"/>
          <w:lang w:val="en-US"/>
        </w:rPr>
        <w:t>n</w:t>
      </w:r>
      <w:r w:rsidRPr="00E17E1F">
        <w:rPr>
          <w:rStyle w:val="MacchinadascrivereHTML"/>
          <w:rFonts w:ascii="Arial" w:eastAsiaTheme="minorHAnsi" w:hAnsi="Arial" w:cs="Arial"/>
          <w:sz w:val="24"/>
          <w:szCs w:val="24"/>
          <w:lang w:val="en-US"/>
        </w:rPr>
        <w:t xml:space="preserve"> = 2000g/mol.</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2.2.3 Polymer characterization</w:t>
      </w:r>
    </w:p>
    <w:p w:rsidR="00387A07" w:rsidRPr="00E17E1F" w:rsidRDefault="00387A07" w:rsidP="00387A07">
      <w:pPr>
        <w:spacing w:before="240" w:after="240" w:line="360" w:lineRule="auto"/>
        <w:jc w:val="both"/>
        <w:rPr>
          <w:rFonts w:ascii="Arial" w:hAnsi="Arial" w:cs="Arial"/>
          <w:b/>
          <w:i/>
          <w:sz w:val="24"/>
          <w:szCs w:val="24"/>
          <w:lang w:val="en-US"/>
        </w:rPr>
      </w:pPr>
      <w:r w:rsidRPr="00E17E1F">
        <w:rPr>
          <w:rFonts w:ascii="Arial" w:hAnsi="Arial" w:cs="Arial"/>
          <w:b/>
          <w:i/>
          <w:sz w:val="24"/>
          <w:szCs w:val="24"/>
          <w:lang w:val="en-US"/>
        </w:rPr>
        <w:t>2.2.3.1 FTIR Analysis</w:t>
      </w:r>
    </w:p>
    <w:p w:rsidR="00387A07" w:rsidRPr="00E17E1F" w:rsidRDefault="00387A07" w:rsidP="00387A07">
      <w:pPr>
        <w:spacing w:line="360" w:lineRule="auto"/>
        <w:jc w:val="both"/>
        <w:rPr>
          <w:rFonts w:ascii="Arial" w:hAnsi="Arial" w:cs="Arial"/>
          <w:sz w:val="24"/>
          <w:szCs w:val="24"/>
        </w:rPr>
      </w:pPr>
      <w:r w:rsidRPr="00E17E1F">
        <w:rPr>
          <w:rFonts w:ascii="Arial" w:hAnsi="Arial" w:cs="Arial"/>
          <w:sz w:val="24"/>
          <w:szCs w:val="24"/>
        </w:rPr>
        <w:t>Attenuated Total Reflectance Fourier Transform Infrared Spectrum (ATR-FT-IR) of the synthesised polyurethane was obtained at room temperature in the spectral range from 4000 to 450 cm</w:t>
      </w:r>
      <w:r w:rsidRPr="00E17E1F">
        <w:rPr>
          <w:rFonts w:ascii="Arial" w:hAnsi="Arial" w:cs="Arial"/>
          <w:sz w:val="24"/>
          <w:szCs w:val="24"/>
          <w:vertAlign w:val="superscript"/>
        </w:rPr>
        <w:t>-1</w:t>
      </w:r>
      <w:r w:rsidRPr="00E17E1F">
        <w:rPr>
          <w:rFonts w:ascii="Arial" w:hAnsi="Arial" w:cs="Arial"/>
          <w:sz w:val="24"/>
          <w:szCs w:val="24"/>
        </w:rPr>
        <w:t xml:space="preserve"> using a Perkin Elmer Spectrum 100 equipped with an ATR accessory (UATR KRS5) with diamond crystal. The spectrum, obtained as a result of 16 scans with a resolution of 4 cm</w:t>
      </w:r>
      <w:r w:rsidRPr="00E17E1F">
        <w:rPr>
          <w:rFonts w:ascii="Arial" w:hAnsi="Arial" w:cs="Arial"/>
          <w:sz w:val="24"/>
          <w:szCs w:val="24"/>
          <w:vertAlign w:val="superscript"/>
        </w:rPr>
        <w:t>-1</w:t>
      </w:r>
      <w:r w:rsidRPr="00E17E1F">
        <w:rPr>
          <w:rFonts w:ascii="Arial" w:hAnsi="Arial" w:cs="Arial"/>
          <w:sz w:val="24"/>
          <w:szCs w:val="24"/>
        </w:rPr>
        <w:t>, was analyzed with the</w:t>
      </w:r>
      <w:r w:rsidRPr="00E17E1F">
        <w:rPr>
          <w:rFonts w:ascii="Arial" w:hAnsi="Arial" w:cs="Arial"/>
          <w:sz w:val="24"/>
          <w:szCs w:val="24"/>
          <w:vertAlign w:val="superscript"/>
        </w:rPr>
        <w:t xml:space="preserve"> </w:t>
      </w:r>
      <w:r w:rsidRPr="00E17E1F">
        <w:rPr>
          <w:rFonts w:ascii="Arial" w:hAnsi="Arial" w:cs="Arial"/>
          <w:sz w:val="24"/>
          <w:szCs w:val="24"/>
        </w:rPr>
        <w:t>Perkin Elmer Spectrum software. For ATR-FT-IR analysis the sample was prepared as a film, by using conventional solvent-casting techniques with chloroform as a solvent at a concentration of 3 %w/v.</w:t>
      </w:r>
    </w:p>
    <w:p w:rsidR="00387A07" w:rsidRPr="00E17E1F" w:rsidRDefault="00387A07" w:rsidP="00387A07">
      <w:pPr>
        <w:spacing w:before="240" w:after="240" w:line="360" w:lineRule="auto"/>
        <w:jc w:val="both"/>
        <w:rPr>
          <w:rFonts w:ascii="Arial" w:hAnsi="Arial" w:cs="Arial"/>
          <w:b/>
          <w:i/>
          <w:sz w:val="24"/>
          <w:szCs w:val="24"/>
          <w:lang w:val="en-US"/>
        </w:rPr>
      </w:pPr>
      <w:r w:rsidRPr="00E17E1F">
        <w:rPr>
          <w:rFonts w:ascii="Arial" w:hAnsi="Arial" w:cs="Arial"/>
          <w:b/>
          <w:i/>
          <w:sz w:val="24"/>
          <w:szCs w:val="24"/>
          <w:lang w:val="en-US"/>
        </w:rPr>
        <w:t>2.2.3.2 GPC Analysis</w:t>
      </w:r>
    </w:p>
    <w:p w:rsidR="00387A07" w:rsidRDefault="00387A07" w:rsidP="00387A07">
      <w:pPr>
        <w:autoSpaceDE w:val="0"/>
        <w:autoSpaceDN w:val="0"/>
        <w:adjustRightInd w:val="0"/>
        <w:spacing w:line="360" w:lineRule="auto"/>
        <w:jc w:val="both"/>
        <w:rPr>
          <w:rFonts w:ascii="Arial" w:eastAsia="AdvTimes" w:hAnsi="Arial" w:cs="Arial"/>
          <w:sz w:val="24"/>
          <w:szCs w:val="24"/>
          <w:lang w:val="en-US"/>
        </w:rPr>
      </w:pPr>
      <w:r w:rsidRPr="00E17E1F">
        <w:rPr>
          <w:rFonts w:ascii="Arial" w:hAnsi="Arial" w:cs="Arial"/>
          <w:sz w:val="24"/>
          <w:szCs w:val="24"/>
          <w:lang w:val="en-US"/>
        </w:rPr>
        <w:t>The number average molecular weight (</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oMath>
      <w:r w:rsidRPr="00E17E1F">
        <w:rPr>
          <w:rFonts w:ascii="Arial" w:hAnsi="Arial" w:cs="Arial"/>
          <w:sz w:val="24"/>
          <w:szCs w:val="24"/>
          <w:vertAlign w:val="subscript"/>
          <w:lang w:val="en-US"/>
        </w:rPr>
        <w:t>n</w:t>
      </w:r>
      <w:r w:rsidRPr="00E17E1F">
        <w:rPr>
          <w:rFonts w:ascii="Arial" w:hAnsi="Arial" w:cs="Arial"/>
          <w:sz w:val="24"/>
          <w:szCs w:val="24"/>
          <w:lang w:val="en-US"/>
        </w:rPr>
        <w:t xml:space="preserve">) </w:t>
      </w:r>
      <w:r w:rsidRPr="00E17E1F">
        <w:rPr>
          <w:rStyle w:val="Enfasicorsivo"/>
          <w:rFonts w:ascii="Arial" w:hAnsi="Arial" w:cs="Arial"/>
          <w:color w:val="000000"/>
          <w:sz w:val="24"/>
          <w:szCs w:val="24"/>
          <w:shd w:val="clear" w:color="auto" w:fill="FFFFFF"/>
        </w:rPr>
        <w:t xml:space="preserve">and molecular weight distribution </w:t>
      </w:r>
      <w:r w:rsidRPr="00E17E1F">
        <w:rPr>
          <w:rFonts w:ascii="Arial" w:hAnsi="Arial" w:cs="Arial"/>
          <w:sz w:val="24"/>
          <w:szCs w:val="24"/>
          <w:lang w:val="en-US"/>
        </w:rPr>
        <w:t xml:space="preserve">of the new polyester-urethane C-BC2000 were characterized by </w:t>
      </w:r>
      <w:r w:rsidRPr="00E17E1F">
        <w:rPr>
          <w:rStyle w:val="MacchinadascrivereHTML"/>
          <w:rFonts w:ascii="Arial" w:eastAsiaTheme="minorHAnsi" w:hAnsi="Arial" w:cs="Arial"/>
          <w:sz w:val="24"/>
          <w:szCs w:val="24"/>
        </w:rPr>
        <w:t>Size Exclusion Chromatography (SEC, Agilent 1200 series)</w:t>
      </w:r>
      <w:r w:rsidRPr="00E17E1F">
        <w:rPr>
          <w:rFonts w:ascii="Arial" w:hAnsi="Arial" w:cs="Arial"/>
          <w:sz w:val="24"/>
          <w:szCs w:val="24"/>
          <w:lang w:val="en-US"/>
        </w:rPr>
        <w:t>, using</w:t>
      </w:r>
      <w:r w:rsidRPr="00E17E1F">
        <w:rPr>
          <w:rFonts w:ascii="Arial" w:eastAsia="AdvTimes" w:hAnsi="Arial" w:cs="Arial"/>
          <w:sz w:val="24"/>
          <w:szCs w:val="24"/>
          <w:lang w:val="en-US"/>
        </w:rPr>
        <w:t xml:space="preserve"> a Waters Styragel HT2 and HT4 series of columns with </w:t>
      </w:r>
      <w:r w:rsidRPr="00E17E1F">
        <w:rPr>
          <w:rFonts w:ascii="Arial" w:hAnsi="Arial" w:cs="Arial"/>
          <w:sz w:val="24"/>
          <w:szCs w:val="24"/>
          <w:lang w:val="en-US"/>
        </w:rPr>
        <w:t>Tetrahydrofuran  (THF)</w:t>
      </w:r>
      <w:r w:rsidRPr="00E17E1F">
        <w:rPr>
          <w:rFonts w:ascii="Arial" w:eastAsia="AdvTimes" w:hAnsi="Arial" w:cs="Arial"/>
          <w:sz w:val="24"/>
          <w:szCs w:val="24"/>
          <w:lang w:val="en-US"/>
        </w:rPr>
        <w:t xml:space="preserve"> as eluent at 50°C. A</w:t>
      </w:r>
      <w:r w:rsidRPr="00E17E1F">
        <w:rPr>
          <w:rStyle w:val="Enfasicorsivo"/>
          <w:rFonts w:ascii="Arial" w:hAnsi="Arial" w:cs="Arial"/>
          <w:color w:val="000000"/>
          <w:sz w:val="24"/>
          <w:szCs w:val="24"/>
          <w:shd w:val="clear" w:color="auto" w:fill="FFFFFF"/>
        </w:rPr>
        <w:t xml:space="preserve"> flow rate of 0.5 ml/min and an injection volume of 20μl were selected.</w:t>
      </w:r>
      <w:r w:rsidRPr="00E17E1F">
        <w:rPr>
          <w:rFonts w:ascii="Arial" w:eastAsia="AdvTimes" w:hAnsi="Arial" w:cs="Arial"/>
          <w:sz w:val="24"/>
          <w:szCs w:val="24"/>
          <w:lang w:val="en-US"/>
        </w:rPr>
        <w:t xml:space="preserve"> The weight-average molecular weight (</w:t>
      </w:r>
      <m:oMath>
        <m:bar>
          <m:barPr>
            <m:pos m:val="top"/>
            <m:ctrlPr>
              <w:rPr>
                <w:rFonts w:ascii="Cambria Math" w:eastAsia="AdvTimes" w:hAnsi="Cambria Math" w:cs="Arial"/>
                <w:i/>
                <w:sz w:val="24"/>
                <w:szCs w:val="24"/>
                <w:lang w:val="en-US"/>
              </w:rPr>
            </m:ctrlPr>
          </m:barPr>
          <m:e>
            <m:r>
              <w:rPr>
                <w:rFonts w:ascii="Cambria Math" w:eastAsia="AdvTimes" w:hAnsi="Cambria Math" w:cs="Arial"/>
                <w:sz w:val="24"/>
                <w:szCs w:val="24"/>
                <w:lang w:val="en-US"/>
              </w:rPr>
              <m:t>M</m:t>
            </m:r>
          </m:e>
        </m:bar>
      </m:oMath>
      <w:r w:rsidRPr="00E17E1F">
        <w:rPr>
          <w:rFonts w:ascii="Arial" w:eastAsia="AdvTimes" w:hAnsi="Arial" w:cs="Arial"/>
          <w:sz w:val="24"/>
          <w:szCs w:val="24"/>
          <w:vertAlign w:val="subscript"/>
          <w:lang w:val="en-US"/>
        </w:rPr>
        <w:t>w</w:t>
      </w:r>
      <w:r w:rsidRPr="00E17E1F">
        <w:rPr>
          <w:rFonts w:ascii="Arial" w:eastAsia="AdvTimes" w:hAnsi="Arial" w:cs="Arial"/>
          <w:sz w:val="24"/>
          <w:szCs w:val="24"/>
          <w:lang w:val="en-US"/>
        </w:rPr>
        <w:t>), average number molecular weight (</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oMath>
      <w:r w:rsidRPr="00E17E1F">
        <w:rPr>
          <w:rFonts w:ascii="Arial" w:hAnsi="Arial" w:cs="Arial"/>
          <w:sz w:val="24"/>
          <w:szCs w:val="24"/>
          <w:vertAlign w:val="subscript"/>
          <w:lang w:val="en-US"/>
        </w:rPr>
        <w:t>n</w:t>
      </w:r>
      <w:r w:rsidRPr="00E17E1F">
        <w:rPr>
          <w:rStyle w:val="Enfasicorsivo"/>
          <w:rFonts w:ascii="Arial" w:hAnsi="Arial" w:cs="Arial"/>
          <w:color w:val="000000"/>
          <w:sz w:val="24"/>
          <w:szCs w:val="24"/>
          <w:shd w:val="clear" w:color="auto" w:fill="FFFFFF"/>
        </w:rPr>
        <w:t>) and polydispersity (</w:t>
      </w:r>
      <m:oMath>
        <m:r>
          <w:rPr>
            <w:rStyle w:val="Enfasicorsivo"/>
            <w:rFonts w:ascii="Cambria Math" w:hAnsi="Cambria Math" w:cs="Arial"/>
            <w:color w:val="000000"/>
            <w:sz w:val="24"/>
            <w:szCs w:val="24"/>
            <w:shd w:val="clear" w:color="auto" w:fill="FFFFFF"/>
          </w:rPr>
          <m:t>M</m:t>
        </m:r>
      </m:oMath>
      <w:r w:rsidRPr="00E17E1F">
        <w:rPr>
          <w:rStyle w:val="Enfasicorsivo"/>
          <w:rFonts w:ascii="Arial" w:hAnsi="Arial" w:cs="Arial"/>
          <w:color w:val="000000"/>
          <w:sz w:val="24"/>
          <w:szCs w:val="24"/>
          <w:shd w:val="clear" w:color="auto" w:fill="FFFFFF"/>
          <w:vertAlign w:val="subscript"/>
        </w:rPr>
        <w:t>w</w:t>
      </w:r>
      <w:r w:rsidRPr="00E17E1F">
        <w:rPr>
          <w:rStyle w:val="Enfasicorsivo"/>
          <w:rFonts w:ascii="Arial" w:hAnsi="Arial" w:cs="Arial"/>
          <w:color w:val="000000"/>
          <w:sz w:val="24"/>
          <w:szCs w:val="24"/>
          <w:shd w:val="clear" w:color="auto" w:fill="FFFFFF"/>
        </w:rPr>
        <w:t>/</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oMath>
      <w:r w:rsidRPr="00E17E1F">
        <w:rPr>
          <w:rFonts w:ascii="Arial" w:hAnsi="Arial" w:cs="Arial"/>
          <w:sz w:val="24"/>
          <w:szCs w:val="24"/>
          <w:vertAlign w:val="subscript"/>
          <w:lang w:val="en-US"/>
        </w:rPr>
        <w:t>n</w:t>
      </w:r>
      <w:r w:rsidRPr="00E17E1F">
        <w:rPr>
          <w:rStyle w:val="Enfasicorsivo"/>
          <w:rFonts w:ascii="Arial" w:hAnsi="Arial" w:cs="Arial"/>
          <w:color w:val="000000"/>
          <w:sz w:val="24"/>
          <w:szCs w:val="24"/>
          <w:shd w:val="clear" w:color="auto" w:fill="FFFFFF"/>
        </w:rPr>
        <w:t xml:space="preserve">) were determined from the retention time data using the Agilent ChemStation software, </w:t>
      </w:r>
      <w:r w:rsidRPr="00E17E1F">
        <w:rPr>
          <w:rFonts w:ascii="Arial" w:eastAsia="AdvTimes" w:hAnsi="Arial" w:cs="Arial"/>
          <w:sz w:val="24"/>
          <w:szCs w:val="24"/>
          <w:lang w:val="en-US"/>
        </w:rPr>
        <w:t>after calibration with polystyrene standard.</w:t>
      </w:r>
    </w:p>
    <w:p w:rsidR="005F30E0" w:rsidRDefault="005F30E0" w:rsidP="00387A07">
      <w:pPr>
        <w:autoSpaceDE w:val="0"/>
        <w:autoSpaceDN w:val="0"/>
        <w:adjustRightInd w:val="0"/>
        <w:spacing w:line="360" w:lineRule="auto"/>
        <w:jc w:val="both"/>
        <w:rPr>
          <w:rFonts w:ascii="Arial" w:eastAsia="AdvTimes" w:hAnsi="Arial" w:cs="Arial"/>
          <w:sz w:val="24"/>
          <w:szCs w:val="24"/>
          <w:lang w:val="en-US"/>
        </w:rPr>
      </w:pPr>
    </w:p>
    <w:p w:rsidR="005F30E0" w:rsidRPr="00E17E1F" w:rsidRDefault="005F30E0" w:rsidP="00387A07">
      <w:pPr>
        <w:autoSpaceDE w:val="0"/>
        <w:autoSpaceDN w:val="0"/>
        <w:adjustRightInd w:val="0"/>
        <w:spacing w:line="360" w:lineRule="auto"/>
        <w:jc w:val="both"/>
        <w:rPr>
          <w:rFonts w:ascii="Arial" w:eastAsia="AdvTimes" w:hAnsi="Arial" w:cs="Arial"/>
          <w:sz w:val="24"/>
          <w:szCs w:val="24"/>
          <w:lang w:val="en-US"/>
        </w:rPr>
      </w:pPr>
    </w:p>
    <w:p w:rsidR="00387A07" w:rsidRPr="00E17E1F" w:rsidRDefault="00387A07" w:rsidP="00387A07">
      <w:pPr>
        <w:spacing w:before="240" w:after="240" w:line="360" w:lineRule="auto"/>
        <w:jc w:val="both"/>
        <w:rPr>
          <w:rFonts w:ascii="Arial" w:hAnsi="Arial" w:cs="Arial"/>
          <w:b/>
          <w:i/>
          <w:sz w:val="24"/>
          <w:szCs w:val="24"/>
          <w:lang w:val="en-US"/>
        </w:rPr>
      </w:pPr>
      <w:r w:rsidRPr="00E17E1F">
        <w:rPr>
          <w:rFonts w:ascii="Arial" w:hAnsi="Arial" w:cs="Arial"/>
          <w:b/>
          <w:i/>
          <w:sz w:val="24"/>
          <w:szCs w:val="24"/>
          <w:lang w:val="en-US"/>
        </w:rPr>
        <w:lastRenderedPageBreak/>
        <w:t>2.2.3.3 DSC analysis</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Thermal properties were studied using Differential Scanning Calorimetry (DSC) (TA Instruments DSC Q20). Approximately 5 mg of the sample were encapsulated in hermetic aluminium pans and cooled from room temperature to -20°C. The pan was then heated from -20°C to 200°C at 10 °C/min, isothermally maintained at 200°C for 3 minutes, quenched to -20°C at 10°C/min and reheated from -20°C to 200°C at 10°C/min under nitrogen atmosphere. All Thermograms were analyzed using the TA Universal Analysis software. Melting temperature (T</w:t>
      </w:r>
      <w:r w:rsidRPr="00E17E1F">
        <w:rPr>
          <w:rFonts w:ascii="Arial" w:hAnsi="Arial" w:cs="Arial"/>
          <w:sz w:val="24"/>
          <w:szCs w:val="24"/>
          <w:vertAlign w:val="subscript"/>
        </w:rPr>
        <w:t>m</w:t>
      </w:r>
      <w:r w:rsidRPr="00E17E1F">
        <w:rPr>
          <w:rFonts w:ascii="Arial" w:hAnsi="Arial" w:cs="Arial"/>
          <w:sz w:val="24"/>
          <w:szCs w:val="24"/>
        </w:rPr>
        <w:t>) was taken at the summit of the melting peak and the melting enthalpy (ΔH</w:t>
      </w:r>
      <w:r w:rsidRPr="00E17E1F">
        <w:rPr>
          <w:rFonts w:ascii="Arial" w:hAnsi="Arial" w:cs="Arial"/>
          <w:sz w:val="24"/>
          <w:szCs w:val="24"/>
          <w:vertAlign w:val="subscript"/>
        </w:rPr>
        <w:t>m</w:t>
      </w:r>
      <w:r w:rsidRPr="00E17E1F">
        <w:rPr>
          <w:rFonts w:ascii="Arial" w:hAnsi="Arial" w:cs="Arial"/>
          <w:sz w:val="24"/>
          <w:szCs w:val="24"/>
        </w:rPr>
        <w:t xml:space="preserve">) was calculated through linear integration of the endothermic peak. </w:t>
      </w:r>
    </w:p>
    <w:p w:rsidR="00387A07" w:rsidRPr="00E17E1F" w:rsidRDefault="00387A07" w:rsidP="00387A07">
      <w:pPr>
        <w:spacing w:after="120" w:line="360" w:lineRule="auto"/>
        <w:jc w:val="both"/>
        <w:outlineLvl w:val="0"/>
        <w:rPr>
          <w:rStyle w:val="MacchinadascrivereHTML"/>
          <w:rFonts w:ascii="Arial" w:eastAsiaTheme="minorHAnsi" w:hAnsi="Arial" w:cs="Arial"/>
          <w:sz w:val="24"/>
          <w:szCs w:val="24"/>
        </w:rPr>
      </w:pPr>
      <w:r w:rsidRPr="00E17E1F">
        <w:rPr>
          <w:rFonts w:ascii="Arial" w:hAnsi="Arial" w:cs="Arial"/>
          <w:sz w:val="24"/>
          <w:szCs w:val="24"/>
        </w:rPr>
        <w:t xml:space="preserve">C-BC2000 crystallinity was calculated with respect to the content of </w:t>
      </w:r>
      <w:r w:rsidRPr="00E17E1F">
        <w:rPr>
          <w:rStyle w:val="MacchinadascrivereHTML"/>
          <w:rFonts w:ascii="Arial" w:eastAsiaTheme="minorHAnsi" w:hAnsi="Arial" w:cs="Arial"/>
          <w:sz w:val="24"/>
          <w:szCs w:val="24"/>
        </w:rPr>
        <w:t>poly(ε-caprolactone) diol, the reagent responsible for the crystalline domains in the polyurethane structure [24]. Crystallinity was therefore calculated according to the following equation [25]</w:t>
      </w:r>
    </w:p>
    <w:p w:rsidR="00387A07" w:rsidRPr="00E17E1F" w:rsidRDefault="00860AC7" w:rsidP="00387A07">
      <w:pPr>
        <w:spacing w:line="360" w:lineRule="auto"/>
        <w:jc w:val="both"/>
        <w:outlineLvl w:val="0"/>
        <w:rPr>
          <w:rStyle w:val="MacchinadascrivereHTML"/>
          <w:rFonts w:ascii="Arial" w:eastAsiaTheme="majorEastAsia" w:hAnsi="Arial" w:cs="Arial"/>
          <w:sz w:val="24"/>
          <w:szCs w:val="24"/>
        </w:rPr>
      </w:pPr>
      <m:oMathPara>
        <m:oMath>
          <m:sSub>
            <m:sSubPr>
              <m:ctrlPr>
                <w:rPr>
                  <w:rStyle w:val="MacchinadascrivereHTML"/>
                  <w:rFonts w:ascii="Cambria Math" w:eastAsiaTheme="majorEastAsia" w:hAnsi="Cambria Math" w:cs="Arial"/>
                  <w:i/>
                  <w:sz w:val="24"/>
                  <w:szCs w:val="24"/>
                </w:rPr>
              </m:ctrlPr>
            </m:sSubPr>
            <m:e>
              <m:r>
                <m:rPr>
                  <m:sty m:val="p"/>
                </m:rPr>
                <w:rPr>
                  <w:rStyle w:val="MacchinadascrivereHTML"/>
                  <w:rFonts w:ascii="Cambria Math" w:eastAsiaTheme="majorEastAsia" w:hAnsi="Cambria Math" w:cs="Arial"/>
                  <w:sz w:val="24"/>
                  <w:szCs w:val="24"/>
                </w:rPr>
                <m:t>X</m:t>
              </m:r>
            </m:e>
            <m:sub>
              <m:r>
                <m:rPr>
                  <m:sty m:val="p"/>
                </m:rPr>
                <w:rPr>
                  <w:rStyle w:val="MacchinadascrivereHTML"/>
                  <w:rFonts w:ascii="Cambria Math" w:eastAsiaTheme="majorEastAsia" w:hAnsi="Cambria Math" w:cs="Arial"/>
                  <w:sz w:val="24"/>
                  <w:szCs w:val="24"/>
                </w:rPr>
                <m:t>c</m:t>
              </m:r>
            </m:sub>
          </m:sSub>
          <m:r>
            <m:rPr>
              <m:sty m:val="p"/>
            </m:rPr>
            <w:rPr>
              <w:rStyle w:val="MacchinadascrivereHTML"/>
              <w:rFonts w:ascii="Cambria Math" w:eastAsiaTheme="majorEastAsia" w:hAnsi="Cambria Math" w:cs="Arial"/>
              <w:sz w:val="24"/>
              <w:szCs w:val="24"/>
            </w:rPr>
            <m:t>%=</m:t>
          </m:r>
          <m:f>
            <m:fPr>
              <m:ctrlPr>
                <w:rPr>
                  <w:rStyle w:val="MacchinadascrivereHTML"/>
                  <w:rFonts w:ascii="Cambria Math" w:eastAsiaTheme="majorEastAsia" w:hAnsi="Cambria Math" w:cs="Arial"/>
                  <w:i/>
                  <w:sz w:val="24"/>
                  <w:szCs w:val="24"/>
                </w:rPr>
              </m:ctrlPr>
            </m:fPr>
            <m:num>
              <m:d>
                <m:dPr>
                  <m:ctrlPr>
                    <w:rPr>
                      <w:rStyle w:val="MacchinadascrivereHTML"/>
                      <w:rFonts w:ascii="Cambria Math" w:eastAsiaTheme="majorEastAsia" w:hAnsi="Cambria Math" w:cs="Arial"/>
                      <w:i/>
                      <w:sz w:val="24"/>
                      <w:szCs w:val="24"/>
                    </w:rPr>
                  </m:ctrlPr>
                </m:dPr>
                <m:e>
                  <m:sSub>
                    <m:sSubPr>
                      <m:ctrlPr>
                        <w:rPr>
                          <w:rStyle w:val="MacchinadascrivereHTML"/>
                          <w:rFonts w:ascii="Cambria Math" w:eastAsiaTheme="majorEastAsia" w:hAnsi="Cambria Math" w:cs="Arial"/>
                          <w:i/>
                          <w:sz w:val="24"/>
                          <w:szCs w:val="24"/>
                        </w:rPr>
                      </m:ctrlPr>
                    </m:sSubPr>
                    <m:e>
                      <m:r>
                        <m:rPr>
                          <m:sty m:val="p"/>
                        </m:rPr>
                        <w:rPr>
                          <w:rStyle w:val="MacchinadascrivereHTML"/>
                          <w:rFonts w:ascii="Cambria Math" w:eastAsiaTheme="majorEastAsia" w:hAnsi="Cambria Math" w:cs="Arial"/>
                          <w:sz w:val="24"/>
                          <w:szCs w:val="24"/>
                        </w:rPr>
                        <m:t>ΔH</m:t>
                      </m:r>
                    </m:e>
                    <m:sub>
                      <m:r>
                        <m:rPr>
                          <m:sty m:val="p"/>
                        </m:rPr>
                        <w:rPr>
                          <w:rStyle w:val="MacchinadascrivereHTML"/>
                          <w:rFonts w:ascii="Cambria Math" w:eastAsiaTheme="majorEastAsia" w:hAnsi="Cambria Math" w:cs="Arial"/>
                          <w:sz w:val="24"/>
                          <w:szCs w:val="24"/>
                        </w:rPr>
                        <m:t>m</m:t>
                      </m:r>
                    </m:sub>
                  </m:sSub>
                  <m:r>
                    <m:rPr>
                      <m:sty m:val="p"/>
                    </m:rPr>
                    <w:rPr>
                      <w:rStyle w:val="MacchinadascrivereHTML"/>
                      <w:rFonts w:ascii="Cambria Math" w:eastAsiaTheme="majorEastAsia" w:hAnsi="Cambria Math" w:cs="Arial"/>
                      <w:sz w:val="24"/>
                      <w:szCs w:val="24"/>
                    </w:rPr>
                    <m:t>∙100</m:t>
                  </m:r>
                </m:e>
              </m:d>
            </m:num>
            <m:den>
              <m:d>
                <m:dPr>
                  <m:begChr m:val="["/>
                  <m:endChr m:val="]"/>
                  <m:ctrlPr>
                    <w:rPr>
                      <w:rStyle w:val="MacchinadascrivereHTML"/>
                      <w:rFonts w:ascii="Cambria Math" w:eastAsiaTheme="majorEastAsia" w:hAnsi="Cambria Math" w:cs="Arial"/>
                      <w:i/>
                      <w:sz w:val="24"/>
                      <w:szCs w:val="24"/>
                    </w:rPr>
                  </m:ctrlPr>
                </m:dPr>
                <m:e>
                  <m:d>
                    <m:dPr>
                      <m:ctrlPr>
                        <w:rPr>
                          <w:rStyle w:val="MacchinadascrivereHTML"/>
                          <w:rFonts w:ascii="Cambria Math" w:eastAsiaTheme="majorEastAsia" w:hAnsi="Cambria Math" w:cs="Arial"/>
                          <w:i/>
                          <w:sz w:val="24"/>
                          <w:szCs w:val="24"/>
                        </w:rPr>
                      </m:ctrlPr>
                    </m:dPr>
                    <m:e>
                      <m:f>
                        <m:fPr>
                          <m:type m:val="lin"/>
                          <m:ctrlPr>
                            <w:rPr>
                              <w:rStyle w:val="MacchinadascrivereHTML"/>
                              <w:rFonts w:ascii="Cambria Math" w:eastAsiaTheme="majorEastAsia" w:hAnsi="Cambria Math" w:cs="Arial"/>
                              <w:i/>
                              <w:sz w:val="24"/>
                              <w:szCs w:val="24"/>
                            </w:rPr>
                          </m:ctrlPr>
                        </m:fPr>
                        <m:num>
                          <m:r>
                            <m:rPr>
                              <m:sty m:val="p"/>
                            </m:rPr>
                            <w:rPr>
                              <w:rStyle w:val="MacchinadascrivereHTML"/>
                              <w:rFonts w:ascii="Cambria Math" w:eastAsiaTheme="majorEastAsia" w:hAnsi="Cambria Math" w:cs="Arial"/>
                              <w:sz w:val="24"/>
                              <w:szCs w:val="24"/>
                            </w:rPr>
                            <m:t>ω</m:t>
                          </m:r>
                        </m:num>
                        <m:den>
                          <m:r>
                            <m:rPr>
                              <m:sty m:val="p"/>
                            </m:rPr>
                            <w:rPr>
                              <w:rStyle w:val="MacchinadascrivereHTML"/>
                              <w:rFonts w:ascii="Cambria Math" w:eastAsiaTheme="majorEastAsia" w:hAnsi="Cambria Math" w:cs="Arial"/>
                              <w:sz w:val="24"/>
                              <w:szCs w:val="24"/>
                            </w:rPr>
                            <m:t>100</m:t>
                          </m:r>
                        </m:den>
                      </m:f>
                    </m:e>
                  </m:d>
                  <m:r>
                    <m:rPr>
                      <m:sty m:val="p"/>
                    </m:rPr>
                    <w:rPr>
                      <w:rStyle w:val="MacchinadascrivereHTML"/>
                      <w:rFonts w:ascii="Cambria Math" w:eastAsiaTheme="majorEastAsia" w:hAnsi="Cambria Math" w:cs="Arial"/>
                      <w:sz w:val="24"/>
                      <w:szCs w:val="24"/>
                    </w:rPr>
                    <m:t>∙</m:t>
                  </m:r>
                  <m:sSubSup>
                    <m:sSubSupPr>
                      <m:ctrlPr>
                        <w:rPr>
                          <w:rStyle w:val="MacchinadascrivereHTML"/>
                          <w:rFonts w:ascii="Cambria Math" w:eastAsiaTheme="majorEastAsia" w:hAnsi="Cambria Math" w:cs="Arial"/>
                          <w:i/>
                          <w:sz w:val="24"/>
                          <w:szCs w:val="24"/>
                        </w:rPr>
                      </m:ctrlPr>
                    </m:sSubSupPr>
                    <m:e>
                      <m:r>
                        <m:rPr>
                          <m:sty m:val="p"/>
                        </m:rPr>
                        <w:rPr>
                          <w:rStyle w:val="MacchinadascrivereHTML"/>
                          <w:rFonts w:ascii="Cambria Math" w:eastAsiaTheme="majorEastAsia" w:hAnsi="Cambria Math" w:cs="Arial"/>
                          <w:sz w:val="24"/>
                          <w:szCs w:val="24"/>
                        </w:rPr>
                        <m:t>ΔH</m:t>
                      </m:r>
                    </m:e>
                    <m:sub>
                      <m:r>
                        <m:rPr>
                          <m:sty m:val="p"/>
                        </m:rPr>
                        <w:rPr>
                          <w:rStyle w:val="MacchinadascrivereHTML"/>
                          <w:rFonts w:ascii="Cambria Math" w:eastAsiaTheme="majorEastAsia" w:hAnsi="Cambria Math" w:cs="Arial"/>
                          <w:sz w:val="24"/>
                          <w:szCs w:val="24"/>
                        </w:rPr>
                        <m:t>m</m:t>
                      </m:r>
                    </m:sub>
                    <m:sup>
                      <m:r>
                        <m:rPr>
                          <m:sty m:val="p"/>
                        </m:rPr>
                        <w:rPr>
                          <w:rStyle w:val="MacchinadascrivereHTML"/>
                          <w:rFonts w:ascii="Cambria Math" w:eastAsiaTheme="majorEastAsia" w:hAnsi="Cambria Math" w:cs="Arial"/>
                          <w:sz w:val="24"/>
                          <w:szCs w:val="24"/>
                        </w:rPr>
                        <m:t>0</m:t>
                      </m:r>
                    </m:sup>
                  </m:sSubSup>
                </m:e>
              </m:d>
            </m:den>
          </m:f>
          <m:r>
            <m:rPr>
              <m:sty m:val="p"/>
            </m:rPr>
            <w:rPr>
              <w:rStyle w:val="MacchinadascrivereHTML"/>
              <w:rFonts w:ascii="Cambria Math" w:eastAsiaTheme="majorEastAsia" w:hAnsi="Cambria Math" w:cs="Arial"/>
              <w:sz w:val="24"/>
              <w:szCs w:val="24"/>
            </w:rPr>
            <m:t xml:space="preserve">       </m:t>
          </m:r>
          <m:d>
            <m:dPr>
              <m:ctrlPr>
                <w:rPr>
                  <w:rStyle w:val="MacchinadascrivereHTML"/>
                  <w:rFonts w:ascii="Cambria Math" w:eastAsiaTheme="majorEastAsia" w:hAnsi="Cambria Math" w:cs="Arial"/>
                  <w:i/>
                  <w:sz w:val="24"/>
                  <w:szCs w:val="24"/>
                </w:rPr>
              </m:ctrlPr>
            </m:dPr>
            <m:e>
              <m:r>
                <m:rPr>
                  <m:sty m:val="p"/>
                </m:rPr>
                <w:rPr>
                  <w:rStyle w:val="MacchinadascrivereHTML"/>
                  <w:rFonts w:ascii="Cambria Math" w:eastAsiaTheme="majorEastAsia" w:hAnsi="Cambria Math" w:cs="Arial"/>
                  <w:sz w:val="24"/>
                  <w:szCs w:val="24"/>
                </w:rPr>
                <m:t>Eq.2.1</m:t>
              </m:r>
            </m:e>
          </m:d>
        </m:oMath>
      </m:oMathPara>
    </w:p>
    <w:p w:rsidR="00387A07" w:rsidRPr="00E17E1F" w:rsidRDefault="00387A07" w:rsidP="00387A07">
      <w:pPr>
        <w:spacing w:before="120" w:after="0" w:line="360" w:lineRule="auto"/>
        <w:jc w:val="both"/>
        <w:outlineLvl w:val="0"/>
        <w:rPr>
          <w:rStyle w:val="MacchinadascrivereHTML"/>
          <w:rFonts w:ascii="Arial" w:eastAsiaTheme="minorHAnsi" w:hAnsi="Arial" w:cs="Arial"/>
          <w:sz w:val="24"/>
          <w:szCs w:val="24"/>
        </w:rPr>
      </w:pPr>
      <w:r w:rsidRPr="00E17E1F">
        <w:rPr>
          <w:rStyle w:val="MacchinadascrivereHTML"/>
          <w:rFonts w:ascii="Arial" w:eastAsiaTheme="minorHAnsi" w:hAnsi="Arial" w:cs="Arial"/>
          <w:sz w:val="24"/>
          <w:szCs w:val="24"/>
        </w:rPr>
        <w:t>where ΔH</w:t>
      </w:r>
      <w:r w:rsidRPr="00E17E1F">
        <w:rPr>
          <w:rStyle w:val="MacchinadascrivereHTML"/>
          <w:rFonts w:ascii="Arial" w:eastAsiaTheme="minorHAnsi" w:hAnsi="Arial" w:cs="Arial"/>
          <w:sz w:val="24"/>
          <w:szCs w:val="24"/>
          <w:vertAlign w:val="subscript"/>
        </w:rPr>
        <w:t>m</w:t>
      </w:r>
      <w:r w:rsidRPr="00E17E1F">
        <w:rPr>
          <w:rStyle w:val="MacchinadascrivereHTML"/>
          <w:rFonts w:ascii="Arial" w:eastAsiaTheme="minorHAnsi" w:hAnsi="Arial" w:cs="Arial"/>
          <w:sz w:val="24"/>
          <w:szCs w:val="24"/>
        </w:rPr>
        <w:t xml:space="preserve"> (J/g) is the heat of fusion of the sample calculated using the TA Universal Analysis software through linear integration of the endothermic peak of fusion, ω (%) is the weight percent of poly(ε-caprolactone) diol within the polymer, ΔH</w:t>
      </w:r>
      <w:r w:rsidRPr="00E17E1F">
        <w:rPr>
          <w:rStyle w:val="MacchinadascrivereHTML"/>
          <w:rFonts w:ascii="Arial" w:eastAsiaTheme="minorHAnsi" w:hAnsi="Arial" w:cs="Arial"/>
          <w:sz w:val="24"/>
          <w:szCs w:val="24"/>
          <w:vertAlign w:val="subscript"/>
        </w:rPr>
        <w:t>m</w:t>
      </w:r>
      <w:r w:rsidRPr="00E17E1F">
        <w:rPr>
          <w:rStyle w:val="MacchinadascrivereHTML"/>
          <w:rFonts w:ascii="Arial" w:eastAsiaTheme="minorHAnsi" w:hAnsi="Arial" w:cs="Arial"/>
          <w:sz w:val="24"/>
          <w:szCs w:val="24"/>
          <w:vertAlign w:val="superscript"/>
        </w:rPr>
        <w:t>0</w:t>
      </w:r>
      <w:r w:rsidRPr="00E17E1F">
        <w:rPr>
          <w:rStyle w:val="MacchinadascrivereHTML"/>
          <w:rFonts w:ascii="Arial" w:eastAsiaTheme="minorHAnsi" w:hAnsi="Arial" w:cs="Arial"/>
          <w:sz w:val="24"/>
          <w:szCs w:val="24"/>
        </w:rPr>
        <w:t xml:space="preserve"> (J/g) is the heat of fusion of a completely crystalline poly(ε-caprolactone) diol (135.44 J/g) [26].</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2.2.3.4 DMTA Analysis</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Since the glass transition temperature (T</w:t>
      </w:r>
      <w:r w:rsidRPr="00E17E1F">
        <w:rPr>
          <w:rFonts w:ascii="Arial" w:hAnsi="Arial" w:cs="Arial"/>
          <w:sz w:val="24"/>
          <w:szCs w:val="24"/>
          <w:vertAlign w:val="subscript"/>
        </w:rPr>
        <w:t>g</w:t>
      </w:r>
      <w:r w:rsidRPr="00E17E1F">
        <w:rPr>
          <w:rFonts w:ascii="Arial" w:hAnsi="Arial" w:cs="Arial"/>
          <w:sz w:val="24"/>
          <w:szCs w:val="24"/>
        </w:rPr>
        <w:t>) of the sample was out of the temperature range for DSC analysis, Dynamic Mechanical Thermal Analysis (DMTA</w:t>
      </w:r>
      <w:r w:rsidRPr="00E17E1F">
        <w:t xml:space="preserve"> </w:t>
      </w:r>
      <w:r w:rsidRPr="00E17E1F">
        <w:rPr>
          <w:rFonts w:ascii="Arial" w:hAnsi="Arial" w:cs="Arial"/>
          <w:sz w:val="24"/>
          <w:szCs w:val="24"/>
        </w:rPr>
        <w:t>TA Instruments DMA Q800) was used. Glass transition temperature (T</w:t>
      </w:r>
      <w:r w:rsidRPr="00E17E1F">
        <w:rPr>
          <w:rFonts w:ascii="Arial" w:hAnsi="Arial" w:cs="Arial"/>
          <w:sz w:val="24"/>
          <w:szCs w:val="24"/>
          <w:vertAlign w:val="subscript"/>
        </w:rPr>
        <w:t>g</w:t>
      </w:r>
      <w:r w:rsidRPr="00E17E1F">
        <w:rPr>
          <w:rFonts w:ascii="Arial" w:hAnsi="Arial" w:cs="Arial"/>
          <w:sz w:val="24"/>
          <w:szCs w:val="24"/>
        </w:rPr>
        <w:t>) was defined as a change in the heat capacity as the polymer goes from the glass state to the rubber state.</w:t>
      </w:r>
    </w:p>
    <w:p w:rsidR="00387A07"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Rectangular samples measuring 25 mm in length, approximately 0.5 mm in thickness and 7 mm in width were obtained by means of hot pressing at 115°C. Films were cooled at -70 °C and then uniaxially deformed in the linear viscoelastic region in tension mode at 1 Hz oscillating frequency in a nitrogen atmosphere. The samples were heated from -70°C to 50°C at a rate of 3°C/min. Glass transition temperature was defined as the location of the peak in tan(δ) curve. </w:t>
      </w:r>
    </w:p>
    <w:p w:rsidR="005F30E0" w:rsidRDefault="005F30E0" w:rsidP="00387A07">
      <w:pPr>
        <w:spacing w:after="0" w:line="360" w:lineRule="auto"/>
        <w:jc w:val="both"/>
        <w:rPr>
          <w:rFonts w:ascii="Arial" w:hAnsi="Arial" w:cs="Arial"/>
          <w:sz w:val="24"/>
          <w:szCs w:val="24"/>
        </w:rPr>
      </w:pPr>
    </w:p>
    <w:p w:rsidR="005F30E0" w:rsidRPr="00E17E1F" w:rsidRDefault="005F30E0" w:rsidP="00387A07">
      <w:pPr>
        <w:spacing w:after="0" w:line="360" w:lineRule="auto"/>
        <w:jc w:val="both"/>
        <w:rPr>
          <w:rFonts w:ascii="Arial" w:hAnsi="Arial" w:cs="Arial"/>
          <w:sz w:val="24"/>
          <w:szCs w:val="24"/>
        </w:rPr>
      </w:pPr>
    </w:p>
    <w:p w:rsidR="00387A07" w:rsidRPr="00E17E1F" w:rsidRDefault="00387A07" w:rsidP="00387A07">
      <w:pPr>
        <w:spacing w:before="240" w:after="240" w:line="360" w:lineRule="auto"/>
        <w:jc w:val="both"/>
        <w:rPr>
          <w:rFonts w:ascii="Arial" w:hAnsi="Arial" w:cs="Arial"/>
          <w:b/>
          <w:sz w:val="24"/>
          <w:szCs w:val="24"/>
          <w:lang w:val="en-US"/>
        </w:rPr>
      </w:pPr>
      <w:r w:rsidRPr="00E17E1F">
        <w:rPr>
          <w:rFonts w:ascii="Arial" w:hAnsi="Arial" w:cs="Arial"/>
          <w:b/>
          <w:sz w:val="24"/>
          <w:szCs w:val="24"/>
          <w:lang w:val="en-US"/>
        </w:rPr>
        <w:lastRenderedPageBreak/>
        <w:t xml:space="preserve">2.2.4 Contact Angle measurements </w:t>
      </w:r>
    </w:p>
    <w:p w:rsidR="00387A07" w:rsidRPr="00E17E1F" w:rsidRDefault="00387A07" w:rsidP="00387A07">
      <w:pPr>
        <w:autoSpaceDE w:val="0"/>
        <w:autoSpaceDN w:val="0"/>
        <w:adjustRightInd w:val="0"/>
        <w:spacing w:line="360" w:lineRule="auto"/>
        <w:jc w:val="both"/>
        <w:rPr>
          <w:rFonts w:ascii="Arial" w:hAnsi="Arial" w:cs="Arial"/>
          <w:b/>
          <w:bCs/>
          <w:sz w:val="24"/>
          <w:szCs w:val="24"/>
        </w:rPr>
      </w:pPr>
      <w:r w:rsidRPr="00E17E1F">
        <w:rPr>
          <w:rFonts w:ascii="Arial" w:hAnsi="Arial" w:cs="Arial"/>
          <w:sz w:val="24"/>
          <w:szCs w:val="24"/>
        </w:rPr>
        <w:t>The water contact angle was measured by means of a Contact Angle Measure instrument (</w:t>
      </w:r>
      <w:r w:rsidRPr="00E17E1F">
        <w:rPr>
          <w:rFonts w:ascii="Arial" w:hAnsi="Arial" w:cs="Arial"/>
          <w:sz w:val="24"/>
          <w:szCs w:val="24"/>
          <w:lang w:val="en-US"/>
        </w:rPr>
        <w:t>KSV Instrument CAM 200</w:t>
      </w:r>
      <w:r w:rsidRPr="00E17E1F">
        <w:rPr>
          <w:rFonts w:ascii="Arial" w:hAnsi="Arial" w:cs="Arial"/>
          <w:sz w:val="24"/>
          <w:szCs w:val="24"/>
        </w:rPr>
        <w:t xml:space="preserve">) using a sessile drop method. Samples were prepared by spin coating a 2 %w/v polymer solution in chloroform over a rectangular glass slide. A 5μl drop of distilled water was gently deposited onto the surface of the sample, images were recorded within a time-frame of 5s (1 image/s) and analyzed by using the </w:t>
      </w:r>
      <w:r w:rsidRPr="00E17E1F">
        <w:rPr>
          <w:rFonts w:ascii="Arial" w:hAnsi="Arial" w:cs="Arial"/>
          <w:i/>
          <w:sz w:val="24"/>
          <w:szCs w:val="24"/>
        </w:rPr>
        <w:t>Attension Theta</w:t>
      </w:r>
      <w:r w:rsidRPr="00E17E1F">
        <w:rPr>
          <w:rFonts w:ascii="Arial" w:hAnsi="Arial" w:cs="Arial"/>
          <w:sz w:val="24"/>
          <w:szCs w:val="24"/>
        </w:rPr>
        <w:t xml:space="preserve"> software that allows an automatic c</w:t>
      </w:r>
      <w:r w:rsidRPr="00E17E1F">
        <w:rPr>
          <w:rStyle w:val="apple-style-span"/>
          <w:rFonts w:ascii="Arial" w:hAnsi="Arial" w:cs="Arial"/>
          <w:bCs/>
          <w:color w:val="000000"/>
          <w:sz w:val="24"/>
          <w:szCs w:val="24"/>
        </w:rPr>
        <w:t>urve fitting of the drop profile based on the Young &amp; Laplace equation</w:t>
      </w:r>
      <w:r w:rsidRPr="00E17E1F">
        <w:rPr>
          <w:rFonts w:ascii="Arial" w:hAnsi="Arial" w:cs="Arial"/>
          <w:sz w:val="24"/>
          <w:szCs w:val="24"/>
        </w:rPr>
        <w:t xml:space="preserve">. Four different runs were recorded for each sample, and results were expressed as mean ± standard deviation. </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2.2.5 Preparation of nanoparticles</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2.2.5.1 Optimization of the protocol</w:t>
      </w:r>
    </w:p>
    <w:p w:rsidR="00387A07" w:rsidRPr="00E17E1F" w:rsidRDefault="00387A07" w:rsidP="00387A07">
      <w:pPr>
        <w:spacing w:line="360" w:lineRule="auto"/>
        <w:jc w:val="both"/>
        <w:rPr>
          <w:rFonts w:ascii="Arial" w:hAnsi="Arial" w:cs="Arial"/>
          <w:sz w:val="24"/>
          <w:szCs w:val="24"/>
        </w:rPr>
      </w:pPr>
      <w:r w:rsidRPr="00E17E1F">
        <w:rPr>
          <w:rFonts w:ascii="Arial" w:hAnsi="Arial" w:cs="Arial"/>
          <w:sz w:val="24"/>
          <w:szCs w:val="24"/>
        </w:rPr>
        <w:t>Nanoparticles were prepared by the Solvent Displacement Technique using PCL, PLA or the newly synthesised low molecular weight Polyesterurethane C-BC2000 as matrix-forming materials and TWEEN 80 as emulsifier [10]. Two parameters were independently modified in order to obtain particles with the appropriate size distribution:</w:t>
      </w:r>
    </w:p>
    <w:p w:rsidR="00387A07" w:rsidRPr="00E17E1F" w:rsidRDefault="00387A07" w:rsidP="00387A07">
      <w:pPr>
        <w:pStyle w:val="Paragrafoelenco"/>
        <w:numPr>
          <w:ilvl w:val="0"/>
          <w:numId w:val="5"/>
        </w:numPr>
        <w:spacing w:after="0" w:line="360" w:lineRule="auto"/>
        <w:jc w:val="both"/>
        <w:rPr>
          <w:rFonts w:ascii="Arial" w:hAnsi="Arial" w:cs="Arial"/>
          <w:sz w:val="24"/>
          <w:szCs w:val="24"/>
        </w:rPr>
      </w:pPr>
      <w:r w:rsidRPr="00E17E1F">
        <w:rPr>
          <w:rFonts w:ascii="Arial" w:hAnsi="Arial" w:cs="Arial"/>
          <w:sz w:val="24"/>
          <w:szCs w:val="24"/>
        </w:rPr>
        <w:t xml:space="preserve">The ratio between the polymer and the surfactant (w/w). </w:t>
      </w:r>
    </w:p>
    <w:p w:rsidR="00387A07" w:rsidRPr="00E17E1F" w:rsidRDefault="00387A07" w:rsidP="00387A07">
      <w:pPr>
        <w:pStyle w:val="Paragrafoelenco"/>
        <w:numPr>
          <w:ilvl w:val="0"/>
          <w:numId w:val="5"/>
        </w:numPr>
        <w:spacing w:after="120" w:line="360" w:lineRule="auto"/>
        <w:ind w:left="777" w:hanging="357"/>
        <w:jc w:val="both"/>
        <w:rPr>
          <w:rFonts w:ascii="Arial" w:hAnsi="Arial" w:cs="Arial"/>
          <w:sz w:val="24"/>
          <w:szCs w:val="24"/>
        </w:rPr>
      </w:pPr>
      <w:r w:rsidRPr="00E17E1F">
        <w:rPr>
          <w:rFonts w:ascii="Arial" w:hAnsi="Arial" w:cs="Arial"/>
          <w:sz w:val="24"/>
          <w:szCs w:val="24"/>
        </w:rPr>
        <w:t>The polymer concentration in acetone (w/v).</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Two different ratios (R) between the polymer and the emulsifier were tested (R=1 and R=0.5), as well as four different polymer concentrations (0.4%; 0.6%; 0.9% and 1.2% w/v) at a fixed polymer/surfactant ratio (R=1).</w:t>
      </w:r>
    </w:p>
    <w:p w:rsidR="00387A07" w:rsidRDefault="00387A07" w:rsidP="00387A07">
      <w:pPr>
        <w:spacing w:line="360" w:lineRule="auto"/>
        <w:jc w:val="both"/>
        <w:rPr>
          <w:rFonts w:ascii="Arial" w:hAnsi="Arial" w:cs="Arial"/>
          <w:sz w:val="24"/>
          <w:szCs w:val="24"/>
        </w:rPr>
      </w:pPr>
      <w:r w:rsidRPr="00E17E1F">
        <w:rPr>
          <w:rFonts w:ascii="Arial" w:hAnsi="Arial" w:cs="Arial"/>
          <w:sz w:val="24"/>
          <w:szCs w:val="24"/>
        </w:rPr>
        <w:t xml:space="preserve">For particles preparation, the polymer was dissolved in 10 ml acetone and then slowly added drop wise into 20 ml of water containing the emulsifier under moderate magnetic stirring. Particles formed instantaneously for the fast diffusion of the solvent from the core of the droplets towards the water phase. Acetone was removed from the colloidal suspension </w:t>
      </w:r>
      <w:r w:rsidRPr="00E17E1F">
        <w:rPr>
          <w:rFonts w:ascii="Arial" w:eastAsia="AdvTimes" w:hAnsi="Arial" w:cs="Arial"/>
          <w:color w:val="000000"/>
          <w:sz w:val="24"/>
          <w:szCs w:val="24"/>
        </w:rPr>
        <w:t xml:space="preserve">under reduced </w:t>
      </w:r>
      <w:r w:rsidRPr="00E17E1F">
        <w:rPr>
          <w:rFonts w:ascii="Arial" w:eastAsia="AdvTimes" w:hAnsi="Arial" w:cs="Arial"/>
          <w:color w:val="000000"/>
          <w:sz w:val="24"/>
          <w:szCs w:val="24"/>
          <w:lang w:val="en-US"/>
        </w:rPr>
        <w:t>pressure</w:t>
      </w:r>
      <w:r w:rsidRPr="00E17E1F">
        <w:rPr>
          <w:rFonts w:ascii="Arial" w:eastAsia="AdvTimes" w:hAnsi="Arial" w:cs="Arial"/>
          <w:color w:val="000000"/>
          <w:sz w:val="24"/>
          <w:szCs w:val="24"/>
        </w:rPr>
        <w:t>,</w:t>
      </w:r>
      <w:r w:rsidRPr="00E17E1F">
        <w:rPr>
          <w:rFonts w:ascii="Arial" w:hAnsi="Arial" w:cs="Arial"/>
          <w:sz w:val="24"/>
          <w:szCs w:val="24"/>
        </w:rPr>
        <w:t xml:space="preserve"> by </w:t>
      </w:r>
      <w:r w:rsidRPr="00E17E1F">
        <w:rPr>
          <w:rFonts w:ascii="Arial" w:eastAsia="AdvTimes" w:hAnsi="Arial" w:cs="Arial"/>
          <w:color w:val="000000"/>
          <w:sz w:val="24"/>
          <w:szCs w:val="24"/>
          <w:lang w:val="en-US"/>
        </w:rPr>
        <w:t>using a ro</w:t>
      </w:r>
      <w:r w:rsidRPr="00E17E1F">
        <w:rPr>
          <w:rFonts w:ascii="Arial" w:eastAsia="AdvTimes" w:hAnsi="Arial" w:cs="Arial"/>
          <w:color w:val="000000"/>
          <w:sz w:val="24"/>
          <w:szCs w:val="24"/>
        </w:rPr>
        <w:t>tary evaporator (Buchi).</w:t>
      </w:r>
      <w:r w:rsidRPr="00E17E1F">
        <w:rPr>
          <w:rFonts w:ascii="Arial" w:eastAsia="AdvTimes" w:hAnsi="Arial" w:cs="Arial"/>
          <w:color w:val="000000"/>
          <w:sz w:val="24"/>
          <w:szCs w:val="24"/>
          <w:lang w:val="en-US"/>
        </w:rPr>
        <w:t xml:space="preserve"> </w:t>
      </w:r>
      <w:r w:rsidRPr="00E17E1F">
        <w:rPr>
          <w:rFonts w:ascii="Arial" w:hAnsi="Arial" w:cs="Arial"/>
          <w:sz w:val="24"/>
          <w:szCs w:val="24"/>
        </w:rPr>
        <w:t xml:space="preserve">After dialysis (24h) against distilled water, particles were collected by centrifugation, frozen at -80°C and freeze-dried in the presence of Trehalose as cryo-preserving agent [27]. </w:t>
      </w:r>
    </w:p>
    <w:p w:rsidR="005F30E0" w:rsidRDefault="005F30E0" w:rsidP="00387A07">
      <w:pPr>
        <w:spacing w:line="360" w:lineRule="auto"/>
        <w:jc w:val="both"/>
        <w:rPr>
          <w:rFonts w:ascii="Arial" w:hAnsi="Arial" w:cs="Arial"/>
          <w:sz w:val="24"/>
          <w:szCs w:val="24"/>
        </w:rPr>
      </w:pPr>
    </w:p>
    <w:p w:rsidR="005F30E0" w:rsidRPr="00B03900" w:rsidRDefault="005F30E0" w:rsidP="00387A07">
      <w:pPr>
        <w:spacing w:line="360" w:lineRule="auto"/>
        <w:jc w:val="both"/>
        <w:rPr>
          <w:rFonts w:ascii="Arial" w:hAnsi="Arial" w:cs="Arial"/>
          <w:sz w:val="24"/>
          <w:szCs w:val="24"/>
        </w:rPr>
      </w:pPr>
    </w:p>
    <w:p w:rsidR="00387A07" w:rsidRPr="00E17E1F" w:rsidRDefault="00387A07" w:rsidP="00387A07">
      <w:pPr>
        <w:autoSpaceDE w:val="0"/>
        <w:autoSpaceDN w:val="0"/>
        <w:adjustRightInd w:val="0"/>
        <w:spacing w:before="240" w:after="240" w:line="360" w:lineRule="auto"/>
        <w:rPr>
          <w:rFonts w:ascii="Arial" w:hAnsi="Arial" w:cs="Arial"/>
          <w:b/>
          <w:i/>
          <w:color w:val="000000"/>
          <w:sz w:val="24"/>
          <w:szCs w:val="24"/>
          <w:lang w:val="en-US"/>
        </w:rPr>
      </w:pPr>
      <w:r w:rsidRPr="00E17E1F">
        <w:rPr>
          <w:rFonts w:ascii="Arial" w:hAnsi="Arial" w:cs="Arial"/>
          <w:b/>
          <w:i/>
          <w:color w:val="000000"/>
          <w:sz w:val="24"/>
          <w:szCs w:val="24"/>
          <w:lang w:val="en-US"/>
        </w:rPr>
        <w:lastRenderedPageBreak/>
        <w:t>2.2.5.2 Preparation of Paclitaxel-loaded nanoparticles</w:t>
      </w:r>
    </w:p>
    <w:p w:rsidR="00387A07" w:rsidRPr="00E17E1F" w:rsidRDefault="00387A07" w:rsidP="00387A07">
      <w:pPr>
        <w:spacing w:line="360" w:lineRule="auto"/>
        <w:jc w:val="both"/>
        <w:rPr>
          <w:rFonts w:ascii="Arial" w:hAnsi="Arial" w:cs="Arial"/>
          <w:sz w:val="24"/>
          <w:szCs w:val="24"/>
        </w:rPr>
      </w:pPr>
      <w:r w:rsidRPr="00E17E1F">
        <w:rPr>
          <w:rFonts w:ascii="Arial" w:hAnsi="Arial" w:cs="Arial"/>
          <w:sz w:val="24"/>
          <w:szCs w:val="24"/>
        </w:rPr>
        <w:t xml:space="preserve">PX-loaded nanoparticles (3% w/w with respect to the polymer weight) were prepared as described above, at an optimized polymer concentration of 0.6% w/v and at a polymer/surfactant ratio R=1. </w:t>
      </w:r>
    </w:p>
    <w:p w:rsidR="00387A07" w:rsidRPr="00E17E1F" w:rsidRDefault="00387A07" w:rsidP="00387A07">
      <w:pPr>
        <w:autoSpaceDE w:val="0"/>
        <w:autoSpaceDN w:val="0"/>
        <w:adjustRightInd w:val="0"/>
        <w:spacing w:before="240" w:after="240" w:line="360" w:lineRule="auto"/>
        <w:jc w:val="both"/>
        <w:rPr>
          <w:rFonts w:ascii="Arial" w:hAnsi="Arial" w:cs="Arial"/>
          <w:b/>
          <w:color w:val="000000"/>
          <w:sz w:val="24"/>
          <w:szCs w:val="24"/>
          <w:lang w:val="en-US"/>
        </w:rPr>
      </w:pPr>
      <w:r w:rsidRPr="00E17E1F">
        <w:rPr>
          <w:rFonts w:ascii="Arial" w:hAnsi="Arial" w:cs="Arial"/>
          <w:b/>
          <w:color w:val="000000"/>
          <w:sz w:val="24"/>
          <w:szCs w:val="24"/>
          <w:lang w:val="en-US"/>
        </w:rPr>
        <w:t>2.2.6 Characterization of nanoparticles</w:t>
      </w:r>
    </w:p>
    <w:p w:rsidR="00387A07" w:rsidRPr="00E17E1F" w:rsidRDefault="00387A07" w:rsidP="00387A07">
      <w:pPr>
        <w:autoSpaceDE w:val="0"/>
        <w:autoSpaceDN w:val="0"/>
        <w:adjustRightInd w:val="0"/>
        <w:spacing w:before="240" w:after="240" w:line="360" w:lineRule="auto"/>
        <w:jc w:val="both"/>
        <w:rPr>
          <w:rFonts w:ascii="Arial" w:hAnsi="Arial" w:cs="Arial"/>
          <w:b/>
          <w:i/>
          <w:color w:val="000000"/>
          <w:sz w:val="24"/>
          <w:szCs w:val="24"/>
          <w:lang w:val="en-US"/>
        </w:rPr>
      </w:pPr>
      <w:r w:rsidRPr="00E17E1F">
        <w:rPr>
          <w:rFonts w:ascii="Arial" w:hAnsi="Arial" w:cs="Arial"/>
          <w:b/>
          <w:i/>
          <w:color w:val="000000"/>
          <w:sz w:val="24"/>
          <w:szCs w:val="24"/>
          <w:lang w:val="en-US"/>
        </w:rPr>
        <w:t>2.2.6.1 P</w:t>
      </w:r>
      <w:r w:rsidRPr="00E17E1F">
        <w:rPr>
          <w:rFonts w:ascii="Arial" w:hAnsi="Arial" w:cs="Arial"/>
          <w:b/>
          <w:i/>
          <w:color w:val="000000"/>
          <w:sz w:val="24"/>
          <w:szCs w:val="24"/>
        </w:rPr>
        <w:t xml:space="preserve">article size and size </w:t>
      </w:r>
      <w:r w:rsidRPr="00E17E1F">
        <w:rPr>
          <w:rFonts w:ascii="Arial" w:hAnsi="Arial" w:cs="Arial"/>
          <w:b/>
          <w:i/>
          <w:color w:val="000000"/>
          <w:sz w:val="24"/>
          <w:szCs w:val="24"/>
          <w:lang w:val="en-US"/>
        </w:rPr>
        <w:t xml:space="preserve">distribution. </w:t>
      </w:r>
    </w:p>
    <w:p w:rsidR="00387A07" w:rsidRPr="00E17E1F" w:rsidRDefault="00387A07" w:rsidP="00387A07">
      <w:pPr>
        <w:autoSpaceDE w:val="0"/>
        <w:autoSpaceDN w:val="0"/>
        <w:adjustRightInd w:val="0"/>
        <w:spacing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lang w:val="en-US"/>
        </w:rPr>
        <w:t>The particle</w:t>
      </w:r>
      <w:r w:rsidRPr="00E17E1F">
        <w:rPr>
          <w:rFonts w:ascii="Arial" w:eastAsia="AdvTimes" w:hAnsi="Arial" w:cs="Arial"/>
          <w:color w:val="000000"/>
          <w:sz w:val="24"/>
          <w:szCs w:val="24"/>
        </w:rPr>
        <w:t xml:space="preserve"> size, size distribution and Polydispersity index (PDI), which is an indicator of the width of the size distribution, were determined</w:t>
      </w:r>
      <w:r w:rsidRPr="00E17E1F">
        <w:rPr>
          <w:rFonts w:ascii="Arial" w:eastAsia="AdvTimes" w:hAnsi="Arial" w:cs="Arial"/>
          <w:color w:val="000000"/>
          <w:sz w:val="24"/>
          <w:szCs w:val="24"/>
          <w:lang w:val="en-US"/>
        </w:rPr>
        <w:t xml:space="preserve"> using a Dynamic Laser</w:t>
      </w:r>
      <w:r w:rsidRPr="00E17E1F">
        <w:rPr>
          <w:rFonts w:ascii="Arial" w:eastAsia="AdvTimes" w:hAnsi="Arial" w:cs="Arial"/>
          <w:color w:val="000000"/>
          <w:sz w:val="24"/>
          <w:szCs w:val="24"/>
        </w:rPr>
        <w:t xml:space="preserve"> Light Scattering Technology (Malvern Instruments, Zetasizer Nano S90). The dispersion of NPs was diluted with ultrapure water and completely sonicated before analysis. The measured values were averaged by five runs.</w:t>
      </w:r>
    </w:p>
    <w:p w:rsidR="00387A07" w:rsidRPr="00E17E1F" w:rsidRDefault="00387A07" w:rsidP="00387A07">
      <w:pPr>
        <w:autoSpaceDE w:val="0"/>
        <w:autoSpaceDN w:val="0"/>
        <w:adjustRightInd w:val="0"/>
        <w:spacing w:before="240" w:after="240" w:line="360" w:lineRule="auto"/>
        <w:jc w:val="both"/>
        <w:rPr>
          <w:rFonts w:ascii="Arial" w:eastAsia="AdvTimes" w:hAnsi="Arial" w:cs="Arial"/>
          <w:b/>
          <w:i/>
          <w:color w:val="000000"/>
          <w:sz w:val="24"/>
          <w:szCs w:val="24"/>
        </w:rPr>
      </w:pPr>
      <w:r w:rsidRPr="00E17E1F">
        <w:rPr>
          <w:rFonts w:ascii="Arial" w:eastAsia="AdvTimes" w:hAnsi="Arial" w:cs="Arial"/>
          <w:b/>
          <w:i/>
          <w:color w:val="000000"/>
          <w:sz w:val="24"/>
          <w:szCs w:val="24"/>
        </w:rPr>
        <w:t>2.2.6.2 Surface charge</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hAnsi="Arial" w:cs="Arial"/>
          <w:bCs/>
          <w:sz w:val="24"/>
          <w:szCs w:val="24"/>
        </w:rPr>
        <w:t>The zeta potential value, which is a measure of the surface charge of nanoparticles, is an indicator of their stability in suspension.</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Surface charge was determined by Zetasizer Nano ZS Zeta Potential Analyzer (Malvern Instruments) at room temperature in ultrapure water.</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 xml:space="preserve">The measurements were taken as an average of five runs. </w:t>
      </w:r>
    </w:p>
    <w:p w:rsidR="00387A07" w:rsidRPr="00E17E1F" w:rsidRDefault="00387A07" w:rsidP="00387A07">
      <w:pPr>
        <w:autoSpaceDE w:val="0"/>
        <w:autoSpaceDN w:val="0"/>
        <w:adjustRightInd w:val="0"/>
        <w:spacing w:before="240" w:after="240" w:line="360" w:lineRule="auto"/>
        <w:jc w:val="both"/>
        <w:rPr>
          <w:rFonts w:ascii="Arial" w:eastAsia="AdvTimes" w:hAnsi="Arial" w:cs="Arial"/>
          <w:b/>
          <w:i/>
          <w:color w:val="000000"/>
          <w:sz w:val="24"/>
          <w:szCs w:val="24"/>
        </w:rPr>
      </w:pPr>
      <w:r w:rsidRPr="00E17E1F">
        <w:rPr>
          <w:rFonts w:ascii="Arial" w:eastAsia="AdvTimes" w:hAnsi="Arial" w:cs="Arial"/>
          <w:b/>
          <w:i/>
          <w:color w:val="000000"/>
          <w:sz w:val="24"/>
          <w:szCs w:val="24"/>
        </w:rPr>
        <w:t>2.2.6.3 Particle morphology</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 xml:space="preserve">NPs Morphology was examined by Scanning Electron Microscopy (SEM Leo Instruments) and by Atomic Force microscopy (AFM </w:t>
      </w:r>
      <w:r w:rsidRPr="00E17E1F">
        <w:rPr>
          <w:rStyle w:val="MacchinadascrivereHTML"/>
          <w:rFonts w:ascii="Arial" w:eastAsiaTheme="majorEastAsia" w:hAnsi="Arial" w:cs="Arial"/>
          <w:sz w:val="24"/>
          <w:szCs w:val="24"/>
        </w:rPr>
        <w:t>NanoWizard II, JPK Instruments,</w:t>
      </w:r>
      <w:r w:rsidRPr="00E17E1F">
        <w:rPr>
          <w:rFonts w:ascii="Arial" w:hAnsi="Arial" w:cs="Arial"/>
          <w:sz w:val="24"/>
          <w:szCs w:val="24"/>
        </w:rPr>
        <w:br/>
      </w:r>
      <w:r w:rsidRPr="00E17E1F">
        <w:rPr>
          <w:rStyle w:val="MacchinadascrivereHTML"/>
          <w:rFonts w:ascii="Arial" w:eastAsiaTheme="majorEastAsia" w:hAnsi="Arial" w:cs="Arial"/>
          <w:sz w:val="24"/>
          <w:szCs w:val="24"/>
        </w:rPr>
        <w:t>Berlin, Germany). For SEM analysis,</w:t>
      </w:r>
      <w:r w:rsidRPr="00E17E1F">
        <w:rPr>
          <w:rFonts w:ascii="Arial" w:eastAsia="AdvTimes" w:hAnsi="Arial" w:cs="Arial"/>
          <w:color w:val="000000"/>
          <w:sz w:val="24"/>
          <w:szCs w:val="24"/>
        </w:rPr>
        <w:t xml:space="preserve"> particles were mounted on aluminium stabs and coated with gold, by using an Agar Auto Sputter Coater. The analysis was performed at a working distance of 10mm and a voltage of  20kV.  </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 xml:space="preserve">For AFM, </w:t>
      </w:r>
      <w:r w:rsidRPr="00E17E1F">
        <w:rPr>
          <w:rStyle w:val="MacchinadascrivereHTML"/>
          <w:rFonts w:ascii="Arial" w:eastAsiaTheme="majorEastAsia" w:hAnsi="Arial" w:cs="Arial"/>
          <w:sz w:val="24"/>
          <w:szCs w:val="24"/>
        </w:rPr>
        <w:t>Intermittent-contact mode was used to obtain height and phase data.</w:t>
      </w:r>
      <w:r w:rsidRPr="00E17E1F">
        <w:rPr>
          <w:rFonts w:ascii="Arial" w:hAnsi="Arial" w:cs="Arial"/>
          <w:sz w:val="24"/>
          <w:szCs w:val="24"/>
        </w:rPr>
        <w:br/>
      </w:r>
      <w:r w:rsidRPr="00E17E1F">
        <w:rPr>
          <w:rStyle w:val="MacchinadascrivereHTML"/>
          <w:rFonts w:ascii="Arial" w:eastAsiaTheme="majorEastAsia" w:hAnsi="Arial" w:cs="Arial"/>
          <w:sz w:val="24"/>
          <w:szCs w:val="24"/>
        </w:rPr>
        <w:t>Microfabricated Silicon cantilevers with force constants around 40N/m</w:t>
      </w:r>
      <w:r w:rsidRPr="00E17E1F">
        <w:rPr>
          <w:rFonts w:ascii="Arial" w:hAnsi="Arial" w:cs="Arial"/>
          <w:sz w:val="24"/>
          <w:szCs w:val="24"/>
        </w:rPr>
        <w:br/>
      </w:r>
      <w:r w:rsidRPr="00E17E1F">
        <w:rPr>
          <w:rStyle w:val="MacchinadascrivereHTML"/>
          <w:rFonts w:ascii="Arial" w:eastAsiaTheme="majorEastAsia" w:hAnsi="Arial" w:cs="Arial"/>
          <w:sz w:val="24"/>
          <w:szCs w:val="24"/>
        </w:rPr>
        <w:t>and fundamental frequencies of 300±10KHz were used. The frequency</w:t>
      </w:r>
      <w:r w:rsidRPr="00E17E1F">
        <w:rPr>
          <w:rFonts w:ascii="Arial" w:hAnsi="Arial" w:cs="Arial"/>
          <w:sz w:val="24"/>
          <w:szCs w:val="24"/>
        </w:rPr>
        <w:br/>
      </w:r>
      <w:r w:rsidRPr="00E17E1F">
        <w:rPr>
          <w:rStyle w:val="MacchinadascrivereHTML"/>
          <w:rFonts w:ascii="Arial" w:eastAsiaTheme="majorEastAsia" w:hAnsi="Arial" w:cs="Arial"/>
          <w:sz w:val="24"/>
          <w:szCs w:val="24"/>
        </w:rPr>
        <w:t>of vibration of the cantilever was fixed near the resonance on the</w:t>
      </w:r>
      <w:r w:rsidRPr="00E17E1F">
        <w:rPr>
          <w:rFonts w:ascii="Arial" w:hAnsi="Arial" w:cs="Arial"/>
          <w:sz w:val="24"/>
          <w:szCs w:val="24"/>
        </w:rPr>
        <w:br/>
      </w:r>
      <w:r w:rsidRPr="00E17E1F">
        <w:rPr>
          <w:rStyle w:val="MacchinadascrivereHTML"/>
          <w:rFonts w:ascii="Arial" w:eastAsiaTheme="majorEastAsia" w:hAnsi="Arial" w:cs="Arial"/>
          <w:sz w:val="24"/>
          <w:szCs w:val="24"/>
        </w:rPr>
        <w:t>low-side.</w:t>
      </w:r>
      <w:r w:rsidRPr="00E17E1F">
        <w:rPr>
          <w:rFonts w:ascii="Arial" w:hAnsi="Arial" w:cs="Arial"/>
          <w:sz w:val="24"/>
          <w:szCs w:val="24"/>
        </w:rPr>
        <w:t xml:space="preserve"> </w:t>
      </w:r>
    </w:p>
    <w:p w:rsidR="00387A07" w:rsidRPr="00E17E1F" w:rsidRDefault="00387A07" w:rsidP="00387A07">
      <w:pPr>
        <w:autoSpaceDE w:val="0"/>
        <w:autoSpaceDN w:val="0"/>
        <w:adjustRightInd w:val="0"/>
        <w:spacing w:before="240" w:after="240" w:line="360" w:lineRule="auto"/>
        <w:jc w:val="both"/>
        <w:rPr>
          <w:rFonts w:ascii="Arial" w:hAnsi="Arial" w:cs="Arial"/>
          <w:b/>
          <w:i/>
          <w:color w:val="000000"/>
          <w:sz w:val="24"/>
          <w:szCs w:val="24"/>
        </w:rPr>
      </w:pPr>
      <w:r w:rsidRPr="00E17E1F">
        <w:rPr>
          <w:rFonts w:ascii="Arial" w:hAnsi="Arial" w:cs="Arial"/>
          <w:b/>
          <w:i/>
          <w:color w:val="000000"/>
          <w:sz w:val="24"/>
          <w:szCs w:val="24"/>
          <w:lang w:val="en-US"/>
        </w:rPr>
        <w:lastRenderedPageBreak/>
        <w:t xml:space="preserve">2.2.6.4 Determination of </w:t>
      </w:r>
      <w:r w:rsidRPr="00E17E1F">
        <w:rPr>
          <w:rFonts w:ascii="Arial" w:hAnsi="Arial" w:cs="Arial"/>
          <w:b/>
          <w:i/>
          <w:color w:val="000000"/>
          <w:sz w:val="24"/>
          <w:szCs w:val="24"/>
        </w:rPr>
        <w:t>Paclitaxel loading and release profiles</w:t>
      </w:r>
    </w:p>
    <w:p w:rsidR="00387A07" w:rsidRPr="00E17E1F" w:rsidRDefault="00387A07" w:rsidP="00387A07">
      <w:pPr>
        <w:autoSpaceDE w:val="0"/>
        <w:autoSpaceDN w:val="0"/>
        <w:adjustRightInd w:val="0"/>
        <w:spacing w:after="120" w:line="360" w:lineRule="auto"/>
        <w:jc w:val="both"/>
        <w:rPr>
          <w:rFonts w:ascii="Arial" w:hAnsi="Arial" w:cs="Arial"/>
          <w:color w:val="000000"/>
          <w:sz w:val="24"/>
          <w:szCs w:val="24"/>
        </w:rPr>
      </w:pPr>
      <w:r w:rsidRPr="00E17E1F">
        <w:rPr>
          <w:rFonts w:ascii="Arial" w:hAnsi="Arial" w:cs="Arial"/>
          <w:color w:val="000000"/>
          <w:sz w:val="24"/>
          <w:szCs w:val="24"/>
        </w:rPr>
        <w:t>The amount of encapsulated PX was quantified by using UV spectrophotometer (Perkin Elmer Lamba25) at an absorbance wavelength of 221nm. For drug loading measurements, 10mg of freeze dried nanoparticles were accurately weighted and dissolved in acetone. After solvent evaporation the encapsulated drug was extracted with ethanol and distilled water (3:1) and its concentration analyzed. Encapsulation efficiency (EE) was determined as follows:</w:t>
      </w:r>
    </w:p>
    <w:p w:rsidR="00387A07" w:rsidRPr="00E17E1F" w:rsidRDefault="00387A07" w:rsidP="00387A07">
      <w:pPr>
        <w:autoSpaceDE w:val="0"/>
        <w:autoSpaceDN w:val="0"/>
        <w:adjustRightInd w:val="0"/>
        <w:spacing w:line="360" w:lineRule="auto"/>
        <w:jc w:val="both"/>
        <w:rPr>
          <w:rFonts w:ascii="Arial" w:hAnsi="Arial" w:cs="Arial"/>
          <w:color w:val="000000"/>
          <w:sz w:val="24"/>
          <w:szCs w:val="24"/>
        </w:rPr>
      </w:pPr>
      <m:oMathPara>
        <m:oMath>
          <m:r>
            <w:rPr>
              <w:rFonts w:ascii="Cambria Math" w:hAnsi="Cambria Math" w:cs="Arial"/>
              <w:color w:val="000000"/>
              <w:sz w:val="24"/>
              <w:szCs w:val="24"/>
            </w:rPr>
            <m:t>EE</m:t>
          </m:r>
          <m:r>
            <w:rPr>
              <w:rFonts w:ascii="Cambria Math" w:hAnsi="Arial" w:cs="Arial"/>
              <w:color w:val="000000"/>
              <w:sz w:val="24"/>
              <w:szCs w:val="24"/>
            </w:rPr>
            <m:t>%=</m:t>
          </m:r>
          <m:d>
            <m:dPr>
              <m:ctrlPr>
                <w:rPr>
                  <w:rFonts w:ascii="Cambria Math" w:hAnsi="Arial" w:cs="Arial"/>
                  <w:i/>
                  <w:color w:val="000000"/>
                  <w:sz w:val="24"/>
                  <w:szCs w:val="24"/>
                </w:rPr>
              </m:ctrlPr>
            </m:dPr>
            <m:e>
              <m:f>
                <m:fPr>
                  <m:ctrlPr>
                    <w:rPr>
                      <w:rFonts w:ascii="Cambria Math" w:hAnsi="Arial" w:cs="Arial"/>
                      <w:i/>
                      <w:color w:val="000000"/>
                      <w:sz w:val="24"/>
                      <w:szCs w:val="24"/>
                    </w:rPr>
                  </m:ctrlPr>
                </m:fPr>
                <m:num>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PXd</m:t>
                      </m:r>
                    </m:sub>
                  </m:sSub>
                </m:num>
                <m:den>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PXt</m:t>
                      </m:r>
                    </m:sub>
                  </m:sSub>
                </m:den>
              </m:f>
            </m:e>
          </m:d>
          <m:r>
            <w:rPr>
              <w:rFonts w:ascii="Cambria Math" w:hAnsi="Arial" w:cs="Arial"/>
              <w:color w:val="000000"/>
              <w:sz w:val="24"/>
              <w:szCs w:val="24"/>
            </w:rPr>
            <m:t>×</m:t>
          </m:r>
          <m:r>
            <w:rPr>
              <w:rFonts w:ascii="Cambria Math" w:hAnsi="Arial" w:cs="Arial"/>
              <w:color w:val="000000"/>
              <w:sz w:val="24"/>
              <w:szCs w:val="24"/>
            </w:rPr>
            <m:t>100         (Eq. 2.2)</m:t>
          </m:r>
        </m:oMath>
      </m:oMathPara>
    </w:p>
    <w:p w:rsidR="00387A07" w:rsidRPr="00E17E1F" w:rsidRDefault="00387A07" w:rsidP="00387A07">
      <w:pPr>
        <w:autoSpaceDE w:val="0"/>
        <w:autoSpaceDN w:val="0"/>
        <w:adjustRightInd w:val="0"/>
        <w:spacing w:before="120" w:after="0" w:line="360" w:lineRule="auto"/>
        <w:jc w:val="both"/>
        <w:rPr>
          <w:rFonts w:ascii="Arial" w:hAnsi="Arial" w:cs="Arial"/>
          <w:color w:val="000000"/>
          <w:sz w:val="24"/>
          <w:szCs w:val="24"/>
        </w:rPr>
      </w:pPr>
      <w:r w:rsidRPr="00E17E1F">
        <w:rPr>
          <w:rFonts w:ascii="Arial" w:hAnsi="Arial" w:cs="Arial"/>
          <w:color w:val="000000"/>
          <w:sz w:val="24"/>
          <w:szCs w:val="24"/>
        </w:rPr>
        <w:t>where, W</w:t>
      </w:r>
      <w:r w:rsidRPr="00E17E1F">
        <w:rPr>
          <w:rFonts w:ascii="Arial" w:hAnsi="Arial" w:cs="Arial"/>
          <w:color w:val="000000"/>
          <w:sz w:val="24"/>
          <w:szCs w:val="24"/>
          <w:vertAlign w:val="subscript"/>
        </w:rPr>
        <w:t xml:space="preserve">PXd </w:t>
      </w:r>
      <w:r w:rsidRPr="00E17E1F">
        <w:rPr>
          <w:rFonts w:ascii="Arial" w:hAnsi="Arial" w:cs="Arial"/>
          <w:color w:val="000000"/>
          <w:sz w:val="24"/>
          <w:szCs w:val="24"/>
        </w:rPr>
        <w:t>is the weight (mg) of drug detected by UV spectroscopy and W</w:t>
      </w:r>
      <w:r w:rsidRPr="00E17E1F">
        <w:rPr>
          <w:rFonts w:ascii="Arial" w:hAnsi="Arial" w:cs="Arial"/>
          <w:color w:val="000000"/>
          <w:sz w:val="24"/>
          <w:szCs w:val="24"/>
          <w:vertAlign w:val="subscript"/>
        </w:rPr>
        <w:t xml:space="preserve">PXt </w:t>
      </w:r>
      <w:r w:rsidRPr="00E17E1F">
        <w:rPr>
          <w:rFonts w:ascii="Arial" w:hAnsi="Arial" w:cs="Arial"/>
          <w:color w:val="000000"/>
          <w:sz w:val="24"/>
          <w:szCs w:val="24"/>
        </w:rPr>
        <w:t>is the theoretical amount of drug expected in 10mg of nanoparticles.</w:t>
      </w:r>
    </w:p>
    <w:p w:rsidR="00387A07" w:rsidRPr="00E17E1F" w:rsidRDefault="00387A07" w:rsidP="00387A07">
      <w:pPr>
        <w:autoSpaceDE w:val="0"/>
        <w:autoSpaceDN w:val="0"/>
        <w:adjustRightInd w:val="0"/>
        <w:spacing w:after="0" w:line="360" w:lineRule="auto"/>
        <w:jc w:val="both"/>
        <w:rPr>
          <w:rFonts w:ascii="Arial" w:hAnsi="Arial" w:cs="Arial"/>
          <w:color w:val="000000"/>
          <w:sz w:val="24"/>
          <w:szCs w:val="24"/>
        </w:rPr>
      </w:pPr>
      <w:r w:rsidRPr="00E17E1F">
        <w:rPr>
          <w:rFonts w:ascii="Arial" w:hAnsi="Arial" w:cs="Arial"/>
          <w:color w:val="000000"/>
          <w:sz w:val="24"/>
          <w:szCs w:val="24"/>
        </w:rPr>
        <w:t>For the determination of PX release profiles, 10mg of nanoparticles were accurately weighted, dispersed in 1.5 ml distilled water and incubated at 37°C under constant shaking in a IKA KS-4000</w:t>
      </w:r>
      <w:r w:rsidRPr="00E17E1F">
        <w:rPr>
          <w:color w:val="000000"/>
        </w:rPr>
        <w:t xml:space="preserve"> </w:t>
      </w:r>
      <w:r w:rsidRPr="00E17E1F">
        <w:rPr>
          <w:rFonts w:ascii="Arial" w:hAnsi="Arial" w:cs="Arial"/>
          <w:color w:val="000000"/>
          <w:sz w:val="24"/>
          <w:szCs w:val="24"/>
        </w:rPr>
        <w:t>incubator for up to five days. The amount of drug released was measured daily. In order to characterize the initial burst effect, the measurement was taken after 1 and 6 hours soaking during the first day of incubation. At the predetermined time points, the release medium was replaced with fresh water, the old solution was diluted with proper volumes of ethanol and analyzed by UV spectroscopy to determine the amount of drug released over time.</w:t>
      </w:r>
    </w:p>
    <w:p w:rsidR="00387A07" w:rsidRPr="00E17E1F" w:rsidRDefault="00387A07" w:rsidP="00387A07">
      <w:pPr>
        <w:autoSpaceDE w:val="0"/>
        <w:autoSpaceDN w:val="0"/>
        <w:adjustRightInd w:val="0"/>
        <w:spacing w:before="240" w:after="240" w:line="360" w:lineRule="auto"/>
        <w:jc w:val="both"/>
        <w:rPr>
          <w:rFonts w:ascii="Arial" w:eastAsia="AdvTimes" w:hAnsi="Arial" w:cs="Arial"/>
          <w:b/>
          <w:color w:val="000000"/>
          <w:sz w:val="24"/>
          <w:szCs w:val="24"/>
        </w:rPr>
      </w:pPr>
      <w:r w:rsidRPr="00E17E1F">
        <w:rPr>
          <w:rFonts w:ascii="Arial" w:eastAsia="AdvTimes" w:hAnsi="Arial" w:cs="Arial"/>
          <w:b/>
          <w:color w:val="000000"/>
          <w:sz w:val="24"/>
          <w:szCs w:val="24"/>
        </w:rPr>
        <w:t>2.2.7  Hydrolytic degradation studies</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 xml:space="preserve">Hydrolytic degradation studies were performed on the three materials in the form of nanoparticles and films. </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PCL, PLA and C-BC2000 films were prepared by solvent casting, using chloroform as a solvent. Polymer films were prepared by solvent casting and then cut into slices (10mm x 10mm) which were used for further analysis.</w:t>
      </w:r>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Degradation was studied by detecting changes in the average molecular weight of samples by Size Exclusion Chromatography (SEC).</w:t>
      </w:r>
    </w:p>
    <w:p w:rsidR="00387A07" w:rsidRPr="00E17E1F" w:rsidRDefault="00387A07" w:rsidP="00387A07">
      <w:pPr>
        <w:autoSpaceDE w:val="0"/>
        <w:autoSpaceDN w:val="0"/>
        <w:adjustRightInd w:val="0"/>
        <w:spacing w:after="12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t>Molecular weight loss was expressed according to the following equation [28]:</w:t>
      </w:r>
    </w:p>
    <w:p w:rsidR="00387A07" w:rsidRPr="00E17E1F" w:rsidRDefault="00387A07" w:rsidP="00387A07">
      <w:pPr>
        <w:autoSpaceDE w:val="0"/>
        <w:autoSpaceDN w:val="0"/>
        <w:adjustRightInd w:val="0"/>
        <w:spacing w:line="360" w:lineRule="auto"/>
        <w:jc w:val="both"/>
        <w:rPr>
          <w:rFonts w:ascii="Arial" w:eastAsia="AdvTimes" w:hAnsi="Arial" w:cs="Arial"/>
          <w:color w:val="000000"/>
          <w:sz w:val="24"/>
          <w:szCs w:val="24"/>
        </w:rPr>
      </w:pPr>
      <m:oMathPara>
        <m:oMath>
          <m:r>
            <m:rPr>
              <m:sty m:val="p"/>
            </m:rPr>
            <w:rPr>
              <w:rFonts w:ascii="Cambria Math" w:eastAsia="AdvTimes" w:hAnsi="Cambria Math" w:cs="Arial"/>
              <w:color w:val="000000"/>
              <w:sz w:val="24"/>
              <w:szCs w:val="24"/>
            </w:rPr>
            <m:t>Δ</m:t>
          </m:r>
          <m:sSub>
            <m:sSubPr>
              <m:ctrlPr>
                <w:rPr>
                  <w:rFonts w:ascii="Cambria Math" w:eastAsia="AdvTimes" w:hAnsi="Cambria Math" w:cs="Arial"/>
                  <w:i/>
                  <w:color w:val="000000"/>
                  <w:sz w:val="24"/>
                  <w:szCs w:val="24"/>
                </w:rPr>
              </m:ctrlPr>
            </m:sSubPr>
            <m:e>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e>
            <m:sub>
              <m:r>
                <w:rPr>
                  <w:rFonts w:ascii="Cambria Math" w:eastAsia="AdvTimes" w:hAnsi="Cambria Math" w:cs="Arial"/>
                  <w:color w:val="000000"/>
                  <w:sz w:val="24"/>
                  <w:szCs w:val="24"/>
                </w:rPr>
                <m:t>n</m:t>
              </m:r>
            </m:sub>
          </m:sSub>
          <m:r>
            <w:rPr>
              <w:rFonts w:ascii="Cambria Math" w:eastAsia="AdvTimes" w:hAnsi="Cambria Math" w:cs="Arial"/>
              <w:color w:val="000000"/>
              <w:sz w:val="24"/>
              <w:szCs w:val="24"/>
            </w:rPr>
            <m:t>=</m:t>
          </m:r>
          <m:d>
            <m:dPr>
              <m:ctrlPr>
                <w:rPr>
                  <w:rFonts w:ascii="Cambria Math" w:eastAsia="AdvTimes" w:hAnsi="Cambria Math" w:cs="Arial"/>
                  <w:i/>
                  <w:color w:val="000000"/>
                  <w:sz w:val="24"/>
                  <w:szCs w:val="24"/>
                </w:rPr>
              </m:ctrlPr>
            </m:dPr>
            <m:e>
              <m:f>
                <m:fPr>
                  <m:ctrlPr>
                    <w:rPr>
                      <w:rFonts w:ascii="Cambria Math" w:eastAsia="AdvTimes" w:hAnsi="Cambria Math" w:cs="Arial"/>
                      <w:i/>
                      <w:color w:val="000000"/>
                      <w:sz w:val="24"/>
                      <w:szCs w:val="24"/>
                    </w:rPr>
                  </m:ctrlPr>
                </m:fPr>
                <m:num>
                  <m:sSub>
                    <m:sSubPr>
                      <m:ctrlPr>
                        <w:rPr>
                          <w:rFonts w:ascii="Cambria Math" w:eastAsia="AdvTimes" w:hAnsi="Cambria Math" w:cs="Arial"/>
                          <w:i/>
                          <w:color w:val="000000"/>
                          <w:sz w:val="24"/>
                          <w:szCs w:val="24"/>
                        </w:rPr>
                      </m:ctrlPr>
                    </m:sSubPr>
                    <m:e>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e>
                    <m:sub>
                      <m:r>
                        <w:rPr>
                          <w:rFonts w:ascii="Cambria Math" w:eastAsia="AdvTimes" w:hAnsi="Cambria Math" w:cs="Arial"/>
                          <w:color w:val="000000"/>
                          <w:sz w:val="24"/>
                          <w:szCs w:val="24"/>
                        </w:rPr>
                        <m:t>n0</m:t>
                      </m:r>
                    </m:sub>
                  </m:sSub>
                  <m:r>
                    <w:rPr>
                      <w:rFonts w:ascii="Cambria Math" w:eastAsia="AdvTimes" w:hAnsi="Cambria Math" w:cs="Arial"/>
                      <w:color w:val="000000"/>
                      <w:sz w:val="24"/>
                      <w:szCs w:val="24"/>
                    </w:rPr>
                    <m:t>-</m:t>
                  </m:r>
                  <m:sSub>
                    <m:sSubPr>
                      <m:ctrlPr>
                        <w:rPr>
                          <w:rFonts w:ascii="Cambria Math" w:eastAsia="AdvTimes" w:hAnsi="Cambria Math" w:cs="Arial"/>
                          <w:i/>
                          <w:color w:val="000000"/>
                          <w:sz w:val="24"/>
                          <w:szCs w:val="24"/>
                        </w:rPr>
                      </m:ctrlPr>
                    </m:sSubPr>
                    <m:e>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e>
                    <m:sub>
                      <m:r>
                        <w:rPr>
                          <w:rFonts w:ascii="Cambria Math" w:eastAsia="AdvTimes" w:hAnsi="Cambria Math" w:cs="Arial"/>
                          <w:color w:val="000000"/>
                          <w:sz w:val="24"/>
                          <w:szCs w:val="24"/>
                        </w:rPr>
                        <m:t>nt</m:t>
                      </m:r>
                    </m:sub>
                  </m:sSub>
                </m:num>
                <m:den>
                  <m:sSub>
                    <m:sSubPr>
                      <m:ctrlPr>
                        <w:rPr>
                          <w:rFonts w:ascii="Cambria Math" w:eastAsia="AdvTimes" w:hAnsi="Cambria Math" w:cs="Arial"/>
                          <w:i/>
                          <w:color w:val="000000"/>
                          <w:sz w:val="24"/>
                          <w:szCs w:val="24"/>
                        </w:rPr>
                      </m:ctrlPr>
                    </m:sSubPr>
                    <m:e>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e>
                    <m:sub>
                      <m:r>
                        <w:rPr>
                          <w:rFonts w:ascii="Cambria Math" w:eastAsia="AdvTimes" w:hAnsi="Cambria Math" w:cs="Arial"/>
                          <w:color w:val="000000"/>
                          <w:sz w:val="24"/>
                          <w:szCs w:val="24"/>
                        </w:rPr>
                        <m:t>n0</m:t>
                      </m:r>
                    </m:sub>
                  </m:sSub>
                </m:den>
              </m:f>
            </m:e>
          </m:d>
          <m:r>
            <w:rPr>
              <w:rFonts w:ascii="Cambria Math" w:eastAsia="AdvTimes" w:hAnsi="Cambria Math" w:cs="Arial"/>
              <w:color w:val="000000"/>
              <w:sz w:val="24"/>
              <w:szCs w:val="24"/>
            </w:rPr>
            <m:t>×100   (Eq.2.3)</m:t>
          </m:r>
        </m:oMath>
      </m:oMathPara>
    </w:p>
    <w:p w:rsidR="00387A07" w:rsidRPr="00E17E1F"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E17E1F">
        <w:rPr>
          <w:rFonts w:ascii="Arial" w:eastAsia="AdvTimes" w:hAnsi="Arial" w:cs="Arial"/>
          <w:color w:val="000000"/>
          <w:sz w:val="24"/>
          <w:szCs w:val="24"/>
        </w:rPr>
        <w:lastRenderedPageBreak/>
        <w:t xml:space="preserve">Where </w:t>
      </w:r>
      <m:oMath>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oMath>
      <w:r w:rsidRPr="00E17E1F">
        <w:rPr>
          <w:rFonts w:ascii="Arial" w:eastAsia="AdvTimes" w:hAnsi="Arial" w:cs="Arial"/>
          <w:i/>
          <w:color w:val="000000"/>
          <w:sz w:val="24"/>
          <w:szCs w:val="24"/>
          <w:vertAlign w:val="subscript"/>
        </w:rPr>
        <w:t>n0</w:t>
      </w:r>
      <w:r w:rsidRPr="00E17E1F">
        <w:rPr>
          <w:rFonts w:ascii="Arial" w:eastAsia="AdvTimes" w:hAnsi="Arial" w:cs="Arial"/>
          <w:color w:val="000000"/>
          <w:sz w:val="24"/>
          <w:szCs w:val="24"/>
          <w:vertAlign w:val="subscript"/>
        </w:rPr>
        <w:t xml:space="preserve"> </w:t>
      </w:r>
      <w:r w:rsidRPr="00E17E1F">
        <w:rPr>
          <w:rFonts w:ascii="Arial" w:eastAsia="AdvTimes" w:hAnsi="Arial" w:cs="Arial"/>
          <w:color w:val="000000"/>
          <w:sz w:val="24"/>
          <w:szCs w:val="24"/>
        </w:rPr>
        <w:t xml:space="preserve">is the initial molecular weight and </w:t>
      </w:r>
      <m:oMath>
        <m:bar>
          <m:barPr>
            <m:pos m:val="top"/>
            <m:ctrlPr>
              <w:rPr>
                <w:rFonts w:ascii="Cambria Math" w:eastAsia="AdvTimes" w:hAnsi="Cambria Math" w:cs="Arial"/>
                <w:i/>
                <w:color w:val="000000"/>
                <w:sz w:val="24"/>
                <w:szCs w:val="24"/>
              </w:rPr>
            </m:ctrlPr>
          </m:barPr>
          <m:e>
            <m:r>
              <w:rPr>
                <w:rFonts w:ascii="Cambria Math" w:eastAsia="AdvTimes" w:hAnsi="Cambria Math" w:cs="Arial"/>
                <w:color w:val="000000"/>
                <w:sz w:val="24"/>
                <w:szCs w:val="24"/>
              </w:rPr>
              <m:t>M</m:t>
            </m:r>
          </m:e>
        </m:bar>
      </m:oMath>
      <w:r w:rsidRPr="00E17E1F">
        <w:rPr>
          <w:rFonts w:ascii="Arial" w:eastAsia="AdvTimes" w:hAnsi="Arial" w:cs="Arial"/>
          <w:i/>
          <w:color w:val="000000"/>
          <w:sz w:val="24"/>
          <w:szCs w:val="24"/>
          <w:vertAlign w:val="subscript"/>
        </w:rPr>
        <w:t>nt</w:t>
      </w:r>
      <w:r w:rsidRPr="00E17E1F">
        <w:rPr>
          <w:rFonts w:ascii="Arial" w:eastAsia="AdvTimes" w:hAnsi="Arial" w:cs="Arial"/>
          <w:color w:val="000000"/>
          <w:sz w:val="24"/>
          <w:szCs w:val="24"/>
          <w:vertAlign w:val="subscript"/>
        </w:rPr>
        <w:t xml:space="preserve"> </w:t>
      </w:r>
      <w:r w:rsidRPr="00E17E1F">
        <w:rPr>
          <w:rFonts w:ascii="Arial" w:eastAsia="AdvTimes" w:hAnsi="Arial" w:cs="Arial"/>
          <w:color w:val="000000"/>
          <w:sz w:val="24"/>
          <w:szCs w:val="24"/>
        </w:rPr>
        <w:t>is the molecular weight after each degradation step.</w:t>
      </w:r>
    </w:p>
    <w:p w:rsidR="00387A07" w:rsidRPr="00E17E1F" w:rsidRDefault="00387A07" w:rsidP="00387A07">
      <w:pPr>
        <w:spacing w:after="0" w:line="360" w:lineRule="auto"/>
        <w:jc w:val="both"/>
        <w:rPr>
          <w:rFonts w:ascii="Arial" w:eastAsia="AdvTimes" w:hAnsi="Arial" w:cs="Arial"/>
          <w:sz w:val="24"/>
          <w:szCs w:val="24"/>
          <w:lang w:val="en-US"/>
        </w:rPr>
      </w:pPr>
      <w:r w:rsidRPr="00E17E1F">
        <w:rPr>
          <w:rFonts w:ascii="Arial" w:eastAsia="AdvTimes" w:hAnsi="Arial" w:cs="Arial"/>
          <w:color w:val="000000"/>
          <w:sz w:val="24"/>
          <w:szCs w:val="24"/>
        </w:rPr>
        <w:t xml:space="preserve">To assess the biodegradation behaviour in contact with physiological fluids, nanoparticles (10mg) and films were immersed in PBS pH 7.5 (0.1ml/mg of polymer) at 37°C in a shaking incubator, for up to four weeks. The buffer medium was changed every 3 days. After predetermined </w:t>
      </w:r>
      <w:r w:rsidRPr="00E17E1F">
        <w:rPr>
          <w:rFonts w:ascii="Arial" w:eastAsia="AdvTimes" w:hAnsi="Arial" w:cs="Arial"/>
          <w:sz w:val="24"/>
          <w:szCs w:val="24"/>
          <w:lang w:val="en-US"/>
        </w:rPr>
        <w:t xml:space="preserve">periods of time, three samples for each polymer were removed from the solution, washed with distilled water, dried under vacuum at room temperature for 24 hours and their average number molecular weight was determined. </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2.2.8 In vitro cell viability.</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To assess the toxicity of nanoparticles, the calcein-am assay was used. This viability test uses the lypophilic, non-fluorescent calcein-acetoxymethylester (Cal-AM) which </w:t>
      </w:r>
      <w:r w:rsidRPr="00E17E1F">
        <w:rPr>
          <w:rFonts w:ascii="Arial" w:hAnsi="Arial" w:cs="Arial"/>
          <w:sz w:val="24"/>
          <w:szCs w:val="24"/>
        </w:rPr>
        <w:t xml:space="preserve">can be transported through the cellular membrane of living cells </w:t>
      </w:r>
      <w:r w:rsidRPr="00E17E1F">
        <w:rPr>
          <w:rFonts w:ascii="Arial" w:hAnsi="Arial" w:cs="Arial"/>
          <w:color w:val="000000"/>
          <w:sz w:val="24"/>
          <w:szCs w:val="24"/>
        </w:rPr>
        <w:t xml:space="preserve">and then cleaved by intracellular esterases by </w:t>
      </w:r>
      <w:r w:rsidRPr="00E17E1F">
        <w:rPr>
          <w:rFonts w:ascii="Arial" w:hAnsi="Arial" w:cs="Arial"/>
          <w:sz w:val="24"/>
          <w:szCs w:val="24"/>
        </w:rPr>
        <w:t>acetomethoxy group</w:t>
      </w:r>
      <w:r w:rsidRPr="00E17E1F">
        <w:rPr>
          <w:rFonts w:ascii="Arial" w:hAnsi="Arial" w:cs="Arial"/>
          <w:color w:val="000000"/>
          <w:sz w:val="24"/>
          <w:szCs w:val="24"/>
        </w:rPr>
        <w:t xml:space="preserve"> removal [29].</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sz w:val="24"/>
          <w:szCs w:val="24"/>
        </w:rPr>
        <w:t>The molecule gets trapped inside living cells and gives out a strong green fluorescence. As dead cells lack active esterases, only live cells can be labelled.</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A431 human epithelial carcinoma cells were selected and cultured in DMEM supplemented with 10% foetal bovine serum and 1% antibiotic mixture.</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Cells were then incubated for 24 hours in the presence of nanoparticles at three different concentrations ( 2, 1 and 0.5 mg/ml). </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For cell viability assessment, cells were washed with sterile PBS and then incubated for 30 min at 37°C with a solution of 2.5 µM Calcein-am in PBS. Plates were read with a fluorescence reader (Infinite Pro200, Tecan, Wien, Austria) by using 485-nm excitation and 535-nm emission filters. </w:t>
      </w:r>
    </w:p>
    <w:p w:rsidR="00387A07" w:rsidRPr="00E17E1F" w:rsidRDefault="00387A07" w:rsidP="00387A07">
      <w:pPr>
        <w:spacing w:after="0" w:line="360" w:lineRule="auto"/>
        <w:jc w:val="both"/>
        <w:rPr>
          <w:rFonts w:ascii="Arial" w:hAnsi="Arial" w:cs="Arial"/>
          <w:b/>
          <w:i/>
          <w:sz w:val="24"/>
          <w:szCs w:val="24"/>
        </w:rPr>
      </w:pPr>
      <w:r w:rsidRPr="00E17E1F">
        <w:rPr>
          <w:rFonts w:ascii="Arial" w:hAnsi="Arial" w:cs="Arial"/>
          <w:color w:val="000000"/>
          <w:sz w:val="24"/>
          <w:szCs w:val="24"/>
        </w:rPr>
        <w:t>All experiments were run in triplicate and non treated cells were used as positive controls.</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2.2.9  In vitro cellular uptake.</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To assess the ability of nanoparticles to penetrate cells membrane, Rhodamine-loaded nanoparticles were prepared according to the protocol described in section 2.2.5.1, by adding the dye (0.5% w/w with respect to the polymer weight) to the polymer-acetone solution. </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Cells were cultured in 24-well plates until they reached 80% confluence. The medium was then removed and replaced with Rhodamine-loaded particles solution (1mg/ml) and cells </w:t>
      </w:r>
      <w:r w:rsidRPr="00E17E1F">
        <w:rPr>
          <w:rFonts w:ascii="Arial" w:hAnsi="Arial" w:cs="Arial"/>
          <w:color w:val="000000"/>
          <w:sz w:val="24"/>
          <w:szCs w:val="24"/>
        </w:rPr>
        <w:lastRenderedPageBreak/>
        <w:t>were incubated for 2 hours. After incubation, the NPs suspension was removed and cells were washed three times with sterile PBS to remove nanoparticles that were not internalized by the cells.</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Microplate reader was used to measure the fluorescence intensity from dye-loaded nanoparticles with an excitation wavelength of 485 nm and emission wavelength at 535 nm.</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The cellular uptake efficiency was expressed as the fluorescence of the test well divided by that of the positive control wells.</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For fluorescent microscopy, cells were cultured in 24-well plates at a cell density of 50000 cells/well and incubated for 2 hours with Rhodamin-loaded particles solution (1mg/ml).</w:t>
      </w:r>
    </w:p>
    <w:p w:rsidR="00387A07" w:rsidRPr="00E17E1F" w:rsidRDefault="00387A07" w:rsidP="00387A07">
      <w:pPr>
        <w:spacing w:after="0" w:line="360" w:lineRule="auto"/>
        <w:jc w:val="both"/>
        <w:rPr>
          <w:rFonts w:ascii="Arial" w:hAnsi="Arial" w:cs="Arial"/>
          <w:color w:val="000000"/>
          <w:sz w:val="24"/>
          <w:szCs w:val="24"/>
        </w:rPr>
      </w:pPr>
      <w:r w:rsidRPr="00E17E1F">
        <w:rPr>
          <w:rFonts w:ascii="Arial" w:hAnsi="Arial" w:cs="Arial"/>
          <w:color w:val="000000"/>
          <w:sz w:val="24"/>
          <w:szCs w:val="24"/>
        </w:rPr>
        <w:t xml:space="preserve">After incubation, the medium was removed, cells were washed thrice with sterile PBS and fixed with 3.7% paraformaldehyde, permeabilized with 0.1% Triton X-100. The nuclei were stained with </w:t>
      </w:r>
      <w:r w:rsidRPr="00E17E1F">
        <w:rPr>
          <w:rFonts w:ascii="Arial" w:hAnsi="Arial" w:cs="Arial"/>
          <w:sz w:val="24"/>
          <w:szCs w:val="24"/>
        </w:rPr>
        <w:t>Hoechst</w:t>
      </w:r>
      <w:r w:rsidRPr="00E17E1F">
        <w:rPr>
          <w:rFonts w:ascii="Arial" w:hAnsi="Arial" w:cs="Arial"/>
          <w:color w:val="000000"/>
          <w:sz w:val="24"/>
          <w:szCs w:val="24"/>
        </w:rPr>
        <w:t xml:space="preserve"> blue. Cells were observed with a Zeiss LSM 510 confocal system interfaced with a Zeiss Axiovert 100 M microscope (Zeiss, Oberkochen, Germany).</w:t>
      </w:r>
    </w:p>
    <w:p w:rsidR="00387A07" w:rsidRPr="00E17E1F" w:rsidRDefault="00387A07" w:rsidP="00387A07">
      <w:pPr>
        <w:spacing w:before="240" w:after="240" w:line="360" w:lineRule="auto"/>
        <w:jc w:val="both"/>
        <w:rPr>
          <w:rFonts w:ascii="Arial" w:hAnsi="Arial" w:cs="Arial"/>
          <w:b/>
          <w:sz w:val="28"/>
          <w:szCs w:val="28"/>
        </w:rPr>
      </w:pPr>
      <w:r w:rsidRPr="00E17E1F">
        <w:rPr>
          <w:rFonts w:ascii="Arial" w:hAnsi="Arial" w:cs="Arial"/>
          <w:b/>
          <w:sz w:val="28"/>
          <w:szCs w:val="28"/>
        </w:rPr>
        <w:t>2.3 Results &amp; Discussion</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 xml:space="preserve">2.3.1 Polymer synthesis and characterization </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2.3.1.1 ATR-FT-IR Analysis</w:t>
      </w:r>
    </w:p>
    <w:p w:rsidR="00387A07" w:rsidRPr="00E17E1F" w:rsidRDefault="00387A07" w:rsidP="00387A07">
      <w:pPr>
        <w:autoSpaceDE w:val="0"/>
        <w:autoSpaceDN w:val="0"/>
        <w:adjustRightInd w:val="0"/>
        <w:spacing w:after="120" w:line="360" w:lineRule="auto"/>
        <w:jc w:val="both"/>
        <w:rPr>
          <w:rFonts w:ascii="Arial" w:hAnsi="Arial" w:cs="Arial"/>
          <w:sz w:val="24"/>
          <w:szCs w:val="24"/>
          <w:lang w:val="en-US"/>
        </w:rPr>
      </w:pPr>
      <w:r w:rsidRPr="00E17E1F">
        <w:rPr>
          <w:rFonts w:ascii="Arial" w:hAnsi="Arial" w:cs="Arial"/>
          <w:bCs/>
          <w:sz w:val="24"/>
          <w:szCs w:val="24"/>
        </w:rPr>
        <w:t>A Polyurethane with the desired structure was successfully synthesized</w:t>
      </w:r>
      <w:r w:rsidRPr="00E17E1F">
        <w:rPr>
          <w:rFonts w:ascii="Arial" w:hAnsi="Arial" w:cs="Arial"/>
          <w:b/>
          <w:bCs/>
          <w:sz w:val="24"/>
          <w:szCs w:val="24"/>
        </w:rPr>
        <w:t xml:space="preserve"> </w:t>
      </w:r>
      <w:r w:rsidRPr="00E17E1F">
        <w:rPr>
          <w:rFonts w:ascii="Arial" w:hAnsi="Arial" w:cs="Arial"/>
          <w:bCs/>
          <w:sz w:val="24"/>
          <w:szCs w:val="24"/>
        </w:rPr>
        <w:t xml:space="preserve">as confirmed by </w:t>
      </w:r>
      <w:r w:rsidRPr="00E17E1F">
        <w:rPr>
          <w:rFonts w:ascii="Arial" w:hAnsi="Arial" w:cs="Arial"/>
          <w:sz w:val="24"/>
          <w:szCs w:val="24"/>
          <w:lang w:val="en-US"/>
        </w:rPr>
        <w:t>Attenuated Total Reflectance Fourier Transform Infrared Spectroscopy</w:t>
      </w:r>
      <w:r w:rsidRPr="00E17E1F">
        <w:rPr>
          <w:rFonts w:ascii="Arial" w:hAnsi="Arial" w:cs="Arial"/>
          <w:bCs/>
          <w:sz w:val="24"/>
          <w:szCs w:val="24"/>
        </w:rPr>
        <w:t xml:space="preserve"> (</w:t>
      </w:r>
      <w:r w:rsidRPr="00E17E1F">
        <w:rPr>
          <w:rFonts w:ascii="Arial" w:hAnsi="Arial" w:cs="Arial"/>
          <w:sz w:val="24"/>
          <w:szCs w:val="24"/>
          <w:lang w:val="en-US"/>
        </w:rPr>
        <w:t>ATR-FT-IR -Perkin Elmer Spectrum 100 UATR KRS5), reported in figure 2.1. ATR-FT-IR shows the presence of the characteristic peaks at 1720 cm</w:t>
      </w:r>
      <w:r w:rsidRPr="00E17E1F">
        <w:rPr>
          <w:rFonts w:ascii="Arial" w:hAnsi="Arial" w:cs="Arial"/>
          <w:sz w:val="24"/>
          <w:szCs w:val="24"/>
          <w:vertAlign w:val="superscript"/>
          <w:lang w:val="en-US"/>
        </w:rPr>
        <w:t>-1</w:t>
      </w:r>
      <w:r w:rsidRPr="00E17E1F">
        <w:rPr>
          <w:rFonts w:ascii="Arial" w:hAnsi="Arial" w:cs="Arial"/>
          <w:sz w:val="24"/>
          <w:szCs w:val="24"/>
          <w:lang w:val="en-US"/>
        </w:rPr>
        <w:t>, 3330 cm</w:t>
      </w:r>
      <w:r w:rsidRPr="00E17E1F">
        <w:rPr>
          <w:rFonts w:ascii="Arial" w:hAnsi="Arial" w:cs="Arial"/>
          <w:sz w:val="24"/>
          <w:szCs w:val="24"/>
          <w:vertAlign w:val="superscript"/>
          <w:lang w:val="en-US"/>
        </w:rPr>
        <w:t>-1</w:t>
      </w:r>
      <w:r w:rsidRPr="00E17E1F">
        <w:rPr>
          <w:rFonts w:ascii="Arial" w:hAnsi="Arial" w:cs="Arial"/>
          <w:sz w:val="24"/>
          <w:szCs w:val="24"/>
          <w:lang w:val="en-US"/>
        </w:rPr>
        <w:t>, 1680 cm</w:t>
      </w:r>
      <w:r w:rsidRPr="00E17E1F">
        <w:rPr>
          <w:rFonts w:ascii="Arial" w:hAnsi="Arial" w:cs="Arial"/>
          <w:sz w:val="24"/>
          <w:szCs w:val="24"/>
          <w:vertAlign w:val="superscript"/>
          <w:lang w:val="en-US"/>
        </w:rPr>
        <w:t>-1</w:t>
      </w:r>
      <w:r w:rsidRPr="00E17E1F">
        <w:rPr>
          <w:rFonts w:ascii="Arial" w:hAnsi="Arial" w:cs="Arial"/>
          <w:sz w:val="24"/>
          <w:szCs w:val="24"/>
          <w:lang w:val="en-US"/>
        </w:rPr>
        <w:t xml:space="preserve"> and 1530 cm</w:t>
      </w:r>
      <w:r w:rsidRPr="00E17E1F">
        <w:rPr>
          <w:rFonts w:ascii="Arial" w:hAnsi="Arial" w:cs="Arial"/>
          <w:sz w:val="24"/>
          <w:szCs w:val="24"/>
          <w:vertAlign w:val="superscript"/>
          <w:lang w:val="en-US"/>
        </w:rPr>
        <w:t>-1</w:t>
      </w:r>
      <w:r w:rsidRPr="00E17E1F">
        <w:rPr>
          <w:rFonts w:ascii="Arial" w:hAnsi="Arial" w:cs="Arial"/>
          <w:sz w:val="24"/>
          <w:szCs w:val="24"/>
          <w:lang w:val="en-US"/>
        </w:rPr>
        <w:t>, associated with the absorption of the carbonyl of the ester groups, the urethane group and amide I and II respectively. The absorbance at 1160 cm</w:t>
      </w:r>
      <w:r w:rsidRPr="00E17E1F">
        <w:rPr>
          <w:rFonts w:ascii="Arial" w:hAnsi="Arial" w:cs="Arial"/>
          <w:sz w:val="24"/>
          <w:szCs w:val="24"/>
          <w:vertAlign w:val="superscript"/>
          <w:lang w:val="en-US"/>
        </w:rPr>
        <w:t>-1</w:t>
      </w:r>
      <w:r w:rsidRPr="00E17E1F">
        <w:rPr>
          <w:rFonts w:ascii="Arial" w:hAnsi="Arial" w:cs="Arial"/>
          <w:sz w:val="24"/>
          <w:szCs w:val="24"/>
          <w:lang w:val="en-US"/>
        </w:rPr>
        <w:t xml:space="preserve"> was attributed to C-O stretching in PCL. The conversion of the isocyanate groups was quantitative as no peaks were detected at 2200 cm</w:t>
      </w:r>
      <w:r w:rsidRPr="00E17E1F">
        <w:rPr>
          <w:rFonts w:ascii="Arial" w:hAnsi="Arial" w:cs="Arial"/>
          <w:sz w:val="24"/>
          <w:szCs w:val="24"/>
          <w:vertAlign w:val="superscript"/>
          <w:lang w:val="en-US"/>
        </w:rPr>
        <w:t>-1</w:t>
      </w:r>
      <w:r w:rsidRPr="00E17E1F">
        <w:rPr>
          <w:rFonts w:ascii="Arial" w:hAnsi="Arial" w:cs="Arial"/>
          <w:sz w:val="24"/>
          <w:szCs w:val="24"/>
          <w:lang w:val="en-US"/>
        </w:rPr>
        <w:t xml:space="preserve">. </w:t>
      </w:r>
    </w:p>
    <w:p w:rsidR="00387A07" w:rsidRPr="00E17E1F" w:rsidRDefault="00387A07" w:rsidP="00387A07">
      <w:pPr>
        <w:spacing w:after="120" w:line="360" w:lineRule="auto"/>
        <w:jc w:val="both"/>
        <w:rPr>
          <w:rFonts w:ascii="Arial" w:hAnsi="Arial" w:cs="Arial"/>
          <w:b/>
          <w:sz w:val="24"/>
          <w:szCs w:val="24"/>
        </w:rPr>
      </w:pPr>
      <w:r w:rsidRPr="00E17E1F">
        <w:rPr>
          <w:rFonts w:ascii="Arial" w:hAnsi="Arial" w:cs="Arial"/>
          <w:b/>
          <w:noProof/>
          <w:sz w:val="24"/>
          <w:szCs w:val="24"/>
          <w:lang w:val="it-IT" w:eastAsia="it-IT"/>
        </w:rPr>
        <w:lastRenderedPageBreak/>
        <w:drawing>
          <wp:inline distT="0" distB="0" distL="0" distR="0">
            <wp:extent cx="5495925" cy="2914650"/>
            <wp:effectExtent l="0" t="0" r="0" b="0"/>
            <wp:docPr id="131" name="Immagine 20" descr="ftir cbc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descr="ftir cbc2000.png"/>
                    <pic:cNvPicPr>
                      <a:picLocks noChangeAspect="1" noChangeArrowheads="1"/>
                    </pic:cNvPicPr>
                  </pic:nvPicPr>
                  <pic:blipFill>
                    <a:blip r:embed="rId25"/>
                    <a:srcRect/>
                    <a:stretch>
                      <a:fillRect/>
                    </a:stretch>
                  </pic:blipFill>
                  <pic:spPr bwMode="auto">
                    <a:xfrm>
                      <a:off x="0" y="0"/>
                      <a:ext cx="5495925" cy="2914650"/>
                    </a:xfrm>
                    <a:prstGeom prst="rect">
                      <a:avLst/>
                    </a:prstGeom>
                    <a:noFill/>
                    <a:ln w="9525">
                      <a:noFill/>
                      <a:miter lim="800000"/>
                      <a:headEnd/>
                      <a:tailEnd/>
                    </a:ln>
                  </pic:spPr>
                </pic:pic>
              </a:graphicData>
            </a:graphic>
          </wp:inline>
        </w:drawing>
      </w:r>
    </w:p>
    <w:p w:rsidR="00387A07" w:rsidRPr="00E17E1F" w:rsidRDefault="00387A07" w:rsidP="00387A07">
      <w:pPr>
        <w:pStyle w:val="Didascalia"/>
        <w:spacing w:after="240"/>
      </w:pPr>
      <w:r w:rsidRPr="00E17E1F">
        <w:t xml:space="preserve">Figure 2. 1 ATR-FT-IR Analysis of the polyurethane C-BC2000. The characteristic peaks identified are labelled in red. </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2.3.1.2 GPC analysis</w:t>
      </w:r>
    </w:p>
    <w:p w:rsidR="00387A07" w:rsidRPr="00E17E1F" w:rsidRDefault="00387A07" w:rsidP="00387A07">
      <w:pPr>
        <w:autoSpaceDE w:val="0"/>
        <w:autoSpaceDN w:val="0"/>
        <w:adjustRightInd w:val="0"/>
        <w:spacing w:after="0" w:line="360" w:lineRule="auto"/>
        <w:jc w:val="both"/>
        <w:rPr>
          <w:rFonts w:ascii="Arial" w:hAnsi="Arial" w:cs="Arial"/>
          <w:sz w:val="24"/>
          <w:szCs w:val="24"/>
          <w:lang w:val="en-US"/>
        </w:rPr>
      </w:pPr>
      <w:r w:rsidRPr="00E17E1F">
        <w:rPr>
          <w:rFonts w:ascii="Arial" w:hAnsi="Arial" w:cs="Arial"/>
          <w:sz w:val="24"/>
          <w:szCs w:val="24"/>
          <w:lang w:val="en-US"/>
        </w:rPr>
        <w:t>Polyurethane average number molecular weight (</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r>
          <w:rPr>
            <w:rFonts w:ascii="Cambria Math" w:hAnsi="Cambria Math" w:cs="Arial"/>
            <w:sz w:val="24"/>
            <w:szCs w:val="24"/>
            <w:vertAlign w:val="subscript"/>
            <w:lang w:val="en-US"/>
          </w:rPr>
          <m:t>n</m:t>
        </m:r>
      </m:oMath>
      <w:r w:rsidRPr="00E17E1F">
        <w:rPr>
          <w:rFonts w:ascii="Arial" w:hAnsi="Arial" w:cs="Arial"/>
          <w:sz w:val="24"/>
          <w:szCs w:val="24"/>
          <w:lang w:val="en-US"/>
        </w:rPr>
        <w:t>), assessed by SEC, is 10500 g/mol with a polidispersity (</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r>
          <w:rPr>
            <w:rFonts w:ascii="Cambria Math" w:hAnsi="Cambria Math" w:cs="Arial"/>
            <w:sz w:val="24"/>
            <w:szCs w:val="24"/>
            <w:vertAlign w:val="subscript"/>
            <w:lang w:val="en-US"/>
          </w:rPr>
          <m:t>w</m:t>
        </m:r>
        <m:r>
          <w:rPr>
            <w:rFonts w:ascii="Cambria Math" w:hAnsi="Cambria Math" w:cs="Arial"/>
            <w:sz w:val="24"/>
            <w:szCs w:val="24"/>
            <w:lang w:val="en-US"/>
          </w:rPr>
          <m:t>/</m:t>
        </m:r>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r>
          <w:rPr>
            <w:rFonts w:ascii="Cambria Math" w:hAnsi="Cambria Math" w:cs="Arial"/>
            <w:sz w:val="24"/>
            <w:szCs w:val="24"/>
            <w:vertAlign w:val="subscript"/>
            <w:lang w:val="en-US"/>
          </w:rPr>
          <m:t>n</m:t>
        </m:r>
      </m:oMath>
      <w:r w:rsidRPr="00E17E1F">
        <w:rPr>
          <w:rFonts w:ascii="Arial" w:hAnsi="Arial" w:cs="Arial"/>
          <w:sz w:val="24"/>
          <w:szCs w:val="24"/>
          <w:lang w:val="en-US"/>
        </w:rPr>
        <w:t>) of 1.6. The weight average molecular weight (</w:t>
      </w:r>
      <m:oMath>
        <m:bar>
          <m:barPr>
            <m:pos m:val="top"/>
            <m:ctrlPr>
              <w:rPr>
                <w:rFonts w:ascii="Cambria Math" w:hAnsi="Cambria Math" w:cs="Arial"/>
                <w:i/>
                <w:sz w:val="24"/>
                <w:szCs w:val="24"/>
                <w:lang w:val="en-US"/>
              </w:rPr>
            </m:ctrlPr>
          </m:barPr>
          <m:e>
            <m:r>
              <w:rPr>
                <w:rFonts w:ascii="Cambria Math" w:hAnsi="Cambria Math" w:cs="Arial"/>
                <w:sz w:val="24"/>
                <w:szCs w:val="24"/>
                <w:lang w:val="en-US"/>
              </w:rPr>
              <m:t>M</m:t>
            </m:r>
          </m:e>
        </m:bar>
        <m:r>
          <w:rPr>
            <w:rFonts w:ascii="Cambria Math" w:hAnsi="Cambria Math" w:cs="Arial"/>
            <w:sz w:val="24"/>
            <w:szCs w:val="24"/>
            <w:vertAlign w:val="subscript"/>
            <w:lang w:val="en-US"/>
          </w:rPr>
          <m:t>w</m:t>
        </m:r>
        <m:r>
          <w:rPr>
            <w:rFonts w:ascii="Cambria Math" w:hAnsi="Cambria Math" w:cs="Arial"/>
            <w:sz w:val="24"/>
            <w:szCs w:val="24"/>
            <w:lang w:val="en-US"/>
          </w:rPr>
          <m:t>)</m:t>
        </m:r>
      </m:oMath>
      <w:r w:rsidRPr="00E17E1F">
        <w:rPr>
          <w:rFonts w:ascii="Arial" w:hAnsi="Arial" w:cs="Arial"/>
          <w:sz w:val="24"/>
          <w:szCs w:val="24"/>
          <w:lang w:val="en-US"/>
        </w:rPr>
        <w:t xml:space="preserve"> is 17000 g/mol.</w:t>
      </w:r>
    </w:p>
    <w:p w:rsidR="00387A07" w:rsidRPr="00E17E1F" w:rsidRDefault="00387A07" w:rsidP="00387A07">
      <w:pPr>
        <w:autoSpaceDE w:val="0"/>
        <w:autoSpaceDN w:val="0"/>
        <w:adjustRightInd w:val="0"/>
        <w:spacing w:after="120" w:line="360" w:lineRule="auto"/>
        <w:jc w:val="both"/>
        <w:rPr>
          <w:rFonts w:ascii="Arial" w:hAnsi="Arial" w:cs="Arial"/>
          <w:sz w:val="24"/>
          <w:szCs w:val="24"/>
          <w:lang w:val="en-US"/>
        </w:rPr>
      </w:pPr>
      <w:r w:rsidRPr="00E17E1F">
        <w:rPr>
          <w:rFonts w:ascii="Arial" w:hAnsi="Arial" w:cs="Arial"/>
          <w:sz w:val="24"/>
          <w:szCs w:val="24"/>
          <w:lang w:val="en-US"/>
        </w:rPr>
        <w:t xml:space="preserve">Figure 2.2 shows the molecular weight distribution obtained for C-BC2000 </w:t>
      </w:r>
    </w:p>
    <w:p w:rsidR="00387A07" w:rsidRPr="00E17E1F" w:rsidRDefault="00387A07" w:rsidP="00387A07">
      <w:pPr>
        <w:spacing w:line="360" w:lineRule="auto"/>
        <w:jc w:val="center"/>
        <w:rPr>
          <w:rFonts w:ascii="Arial" w:hAnsi="Arial" w:cs="Arial"/>
          <w:b/>
          <w:i/>
          <w:sz w:val="24"/>
          <w:szCs w:val="24"/>
        </w:rPr>
      </w:pPr>
      <w:r w:rsidRPr="00E17E1F">
        <w:rPr>
          <w:rFonts w:ascii="Arial" w:hAnsi="Arial" w:cs="Arial"/>
          <w:b/>
          <w:i/>
          <w:noProof/>
          <w:sz w:val="24"/>
          <w:szCs w:val="24"/>
          <w:lang w:val="it-IT" w:eastAsia="it-IT"/>
        </w:rPr>
        <w:drawing>
          <wp:inline distT="0" distB="0" distL="0" distR="0">
            <wp:extent cx="2609850" cy="1695450"/>
            <wp:effectExtent l="19050" t="0" r="0" b="0"/>
            <wp:docPr id="132" name="Immagine 21" descr="GPC C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1" descr="GPC CBC.png"/>
                    <pic:cNvPicPr>
                      <a:picLocks noChangeAspect="1" noChangeArrowheads="1"/>
                    </pic:cNvPicPr>
                  </pic:nvPicPr>
                  <pic:blipFill>
                    <a:blip r:embed="rId26"/>
                    <a:srcRect/>
                    <a:stretch>
                      <a:fillRect/>
                    </a:stretch>
                  </pic:blipFill>
                  <pic:spPr bwMode="auto">
                    <a:xfrm>
                      <a:off x="0" y="0"/>
                      <a:ext cx="2609850" cy="1695450"/>
                    </a:xfrm>
                    <a:prstGeom prst="rect">
                      <a:avLst/>
                    </a:prstGeom>
                    <a:noFill/>
                    <a:ln w="9525">
                      <a:noFill/>
                      <a:miter lim="800000"/>
                      <a:headEnd/>
                      <a:tailEnd/>
                    </a:ln>
                  </pic:spPr>
                </pic:pic>
              </a:graphicData>
            </a:graphic>
          </wp:inline>
        </w:drawing>
      </w:r>
    </w:p>
    <w:p w:rsidR="00387A07" w:rsidRPr="00E17E1F" w:rsidRDefault="00387A07" w:rsidP="00387A07">
      <w:pPr>
        <w:pStyle w:val="Didascalia"/>
        <w:spacing w:before="120"/>
        <w:rPr>
          <w:rFonts w:ascii="Arial" w:hAnsi="Arial" w:cs="Arial"/>
          <w:b w:val="0"/>
          <w:i/>
          <w:sz w:val="24"/>
          <w:szCs w:val="24"/>
        </w:rPr>
      </w:pPr>
      <w:r w:rsidRPr="00E17E1F">
        <w:t>Figure 2. 2  Molar mass distribution of C-BC2000.</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2.3.1.3 DSC and DMTA Analysis</w:t>
      </w:r>
    </w:p>
    <w:p w:rsidR="00387A07" w:rsidRPr="00E17E1F" w:rsidRDefault="00387A07" w:rsidP="00387A07">
      <w:pPr>
        <w:spacing w:after="120" w:line="360" w:lineRule="auto"/>
        <w:jc w:val="both"/>
        <w:outlineLvl w:val="0"/>
        <w:rPr>
          <w:rFonts w:ascii="Arial" w:hAnsi="Arial" w:cs="Arial"/>
          <w:sz w:val="24"/>
          <w:szCs w:val="24"/>
        </w:rPr>
      </w:pPr>
      <w:r w:rsidRPr="00E17E1F">
        <w:rPr>
          <w:rFonts w:ascii="Arial" w:hAnsi="Arial" w:cs="Arial"/>
          <w:sz w:val="24"/>
          <w:szCs w:val="24"/>
        </w:rPr>
        <w:t>Polymer thermal properties were studied by DSC and DMTA</w:t>
      </w:r>
      <w:r w:rsidRPr="00E17E1F">
        <w:rPr>
          <w:rFonts w:ascii="Arial" w:hAnsi="Arial" w:cs="Arial"/>
          <w:color w:val="FF0000"/>
          <w:sz w:val="24"/>
          <w:szCs w:val="24"/>
        </w:rPr>
        <w:t>.</w:t>
      </w:r>
      <w:r w:rsidRPr="00E17E1F">
        <w:rPr>
          <w:rFonts w:ascii="Arial" w:hAnsi="Arial" w:cs="Arial"/>
          <w:sz w:val="24"/>
          <w:szCs w:val="24"/>
        </w:rPr>
        <w:t xml:space="preserve"> Figure 2.3 shows the three cycles of the DSC thermograms for C-BC2000.</w:t>
      </w:r>
    </w:p>
    <w:p w:rsidR="00387A07" w:rsidRPr="00E17E1F" w:rsidRDefault="00387A07" w:rsidP="00387A07">
      <w:pPr>
        <w:spacing w:after="120" w:line="360" w:lineRule="auto"/>
        <w:jc w:val="center"/>
        <w:outlineLvl w:val="0"/>
        <w:rPr>
          <w:rFonts w:ascii="Arial" w:hAnsi="Arial" w:cs="Arial"/>
          <w:sz w:val="24"/>
          <w:szCs w:val="24"/>
        </w:rPr>
      </w:pPr>
      <w:r w:rsidRPr="00E17E1F">
        <w:rPr>
          <w:rFonts w:ascii="Arial" w:hAnsi="Arial" w:cs="Arial"/>
          <w:noProof/>
          <w:sz w:val="24"/>
          <w:szCs w:val="24"/>
          <w:lang w:val="it-IT" w:eastAsia="it-IT"/>
        </w:rPr>
        <w:lastRenderedPageBreak/>
        <w:drawing>
          <wp:inline distT="0" distB="0" distL="0" distR="0">
            <wp:extent cx="5019675" cy="3676650"/>
            <wp:effectExtent l="19050" t="0" r="9525" b="0"/>
            <wp:docPr id="133" name="Immagine 22" descr="DSC C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descr="DSC CBC.png"/>
                    <pic:cNvPicPr>
                      <a:picLocks noChangeAspect="1" noChangeArrowheads="1"/>
                    </pic:cNvPicPr>
                  </pic:nvPicPr>
                  <pic:blipFill>
                    <a:blip r:embed="rId27"/>
                    <a:srcRect/>
                    <a:stretch>
                      <a:fillRect/>
                    </a:stretch>
                  </pic:blipFill>
                  <pic:spPr bwMode="auto">
                    <a:xfrm>
                      <a:off x="0" y="0"/>
                      <a:ext cx="5019675" cy="3676650"/>
                    </a:xfrm>
                    <a:prstGeom prst="rect">
                      <a:avLst/>
                    </a:prstGeom>
                    <a:noFill/>
                    <a:ln w="9525">
                      <a:noFill/>
                      <a:miter lim="800000"/>
                      <a:headEnd/>
                      <a:tailEnd/>
                    </a:ln>
                  </pic:spPr>
                </pic:pic>
              </a:graphicData>
            </a:graphic>
          </wp:inline>
        </w:drawing>
      </w:r>
    </w:p>
    <w:p w:rsidR="00387A07" w:rsidRPr="00E17E1F" w:rsidRDefault="00387A07" w:rsidP="00387A07">
      <w:pPr>
        <w:pStyle w:val="Didascalia"/>
        <w:spacing w:before="120"/>
      </w:pPr>
      <w:r w:rsidRPr="00E17E1F">
        <w:t>Figure 2. 3  DSC Thermogram of C-BC2000, showing 3 heating cycles.</w:t>
      </w:r>
    </w:p>
    <w:p w:rsidR="00387A07" w:rsidRPr="00E17E1F" w:rsidRDefault="00387A07" w:rsidP="00387A07">
      <w:pPr>
        <w:spacing w:after="0" w:line="360" w:lineRule="auto"/>
        <w:jc w:val="both"/>
        <w:outlineLvl w:val="0"/>
        <w:rPr>
          <w:rFonts w:ascii="Arial" w:hAnsi="Arial" w:cs="Arial"/>
          <w:sz w:val="24"/>
          <w:szCs w:val="24"/>
          <w:lang w:val="en-US"/>
        </w:rPr>
      </w:pPr>
      <w:r w:rsidRPr="00E17E1F">
        <w:rPr>
          <w:rStyle w:val="MacchinadascrivereHTML"/>
          <w:rFonts w:ascii="Arial" w:eastAsiaTheme="minorHAnsi" w:hAnsi="Arial" w:cs="Arial"/>
          <w:sz w:val="24"/>
          <w:szCs w:val="24"/>
          <w:lang w:val="en-US"/>
        </w:rPr>
        <w:t xml:space="preserve">A reduction of the enthalpy of fusion and consequently of the crystallinity can be observed by comparing the first and the second heating cycle. This behavior can be ascribed to the slow crystallization process typical of polyurethanes, which partially crystallize during the cooling cycle at 10°C/min. </w:t>
      </w:r>
    </w:p>
    <w:p w:rsidR="00387A07" w:rsidRPr="00E17E1F" w:rsidRDefault="00387A07" w:rsidP="00387A07">
      <w:pPr>
        <w:spacing w:after="120" w:line="360" w:lineRule="auto"/>
        <w:jc w:val="both"/>
        <w:outlineLvl w:val="0"/>
        <w:rPr>
          <w:rFonts w:ascii="Arial" w:hAnsi="Arial" w:cs="Arial"/>
          <w:sz w:val="24"/>
          <w:szCs w:val="24"/>
        </w:rPr>
      </w:pPr>
      <w:r w:rsidRPr="00E17E1F">
        <w:rPr>
          <w:rFonts w:ascii="Arial" w:hAnsi="Arial" w:cs="Arial"/>
          <w:sz w:val="24"/>
          <w:szCs w:val="24"/>
        </w:rPr>
        <w:t>All DSC and DMTA data, i.e. glass transition temperature (T</w:t>
      </w:r>
      <w:r w:rsidRPr="00E17E1F">
        <w:rPr>
          <w:rFonts w:ascii="Arial" w:hAnsi="Arial" w:cs="Arial"/>
          <w:sz w:val="24"/>
          <w:szCs w:val="24"/>
          <w:vertAlign w:val="subscript"/>
        </w:rPr>
        <w:t>g</w:t>
      </w:r>
      <w:r w:rsidRPr="00E17E1F">
        <w:rPr>
          <w:rFonts w:ascii="Arial" w:hAnsi="Arial" w:cs="Arial"/>
          <w:sz w:val="24"/>
          <w:szCs w:val="24"/>
        </w:rPr>
        <w:t>), melting temperature (T</w:t>
      </w:r>
      <w:r w:rsidRPr="00E17E1F">
        <w:rPr>
          <w:rFonts w:ascii="Arial" w:hAnsi="Arial" w:cs="Arial"/>
          <w:sz w:val="24"/>
          <w:szCs w:val="24"/>
          <w:vertAlign w:val="subscript"/>
        </w:rPr>
        <w:t>m</w:t>
      </w:r>
      <w:r w:rsidRPr="00E17E1F">
        <w:rPr>
          <w:rFonts w:ascii="Arial" w:hAnsi="Arial" w:cs="Arial"/>
          <w:sz w:val="24"/>
          <w:szCs w:val="24"/>
        </w:rPr>
        <w:t>), melting enthalpy (ΔH</w:t>
      </w:r>
      <w:r w:rsidRPr="00E17E1F">
        <w:rPr>
          <w:rFonts w:ascii="Arial" w:hAnsi="Arial" w:cs="Arial"/>
          <w:sz w:val="24"/>
          <w:szCs w:val="24"/>
          <w:vertAlign w:val="subscript"/>
        </w:rPr>
        <w:t>m</w:t>
      </w:r>
      <w:r w:rsidRPr="00E17E1F">
        <w:rPr>
          <w:rFonts w:ascii="Arial" w:hAnsi="Arial" w:cs="Arial"/>
          <w:sz w:val="24"/>
          <w:szCs w:val="24"/>
        </w:rPr>
        <w:t>) and cristallinity (X</w:t>
      </w:r>
      <w:r w:rsidRPr="00E17E1F">
        <w:rPr>
          <w:rFonts w:ascii="Arial" w:hAnsi="Arial" w:cs="Arial"/>
          <w:sz w:val="24"/>
          <w:szCs w:val="24"/>
          <w:vertAlign w:val="subscript"/>
        </w:rPr>
        <w:t>c</w:t>
      </w:r>
      <w:r w:rsidRPr="00E17E1F">
        <w:rPr>
          <w:rFonts w:ascii="Arial" w:hAnsi="Arial" w:cs="Arial"/>
          <w:sz w:val="24"/>
          <w:szCs w:val="24"/>
        </w:rPr>
        <w:t>%) are reported in table 2.1.</w:t>
      </w:r>
    </w:p>
    <w:tbl>
      <w:tblPr>
        <w:tblW w:w="0" w:type="auto"/>
        <w:jc w:val="center"/>
        <w:tblBorders>
          <w:top w:val="single" w:sz="4" w:space="0" w:color="auto"/>
          <w:bottom w:val="single" w:sz="4" w:space="0" w:color="auto"/>
          <w:insideV w:val="single" w:sz="4" w:space="0" w:color="auto"/>
        </w:tblBorders>
        <w:tblLook w:val="00A0"/>
      </w:tblPr>
      <w:tblGrid>
        <w:gridCol w:w="1384"/>
        <w:gridCol w:w="1418"/>
      </w:tblGrid>
      <w:tr w:rsidR="00387A07" w:rsidRPr="00E17E1F" w:rsidTr="00387A07">
        <w:trPr>
          <w:trHeight w:val="113"/>
          <w:jc w:val="center"/>
        </w:trPr>
        <w:tc>
          <w:tcPr>
            <w:tcW w:w="2802" w:type="dxa"/>
            <w:gridSpan w:val="2"/>
            <w:tcBorders>
              <w:top w:val="single" w:sz="4" w:space="0" w:color="auto"/>
              <w:left w:val="single" w:sz="4" w:space="0" w:color="auto"/>
              <w:bottom w:val="single" w:sz="4" w:space="0" w:color="auto"/>
              <w:right w:val="single" w:sz="4" w:space="0" w:color="auto"/>
            </w:tcBorders>
            <w:shd w:val="clear" w:color="auto" w:fill="EEECE1"/>
            <w:vAlign w:val="center"/>
          </w:tcPr>
          <w:p w:rsidR="00387A07" w:rsidRPr="00E17E1F" w:rsidRDefault="00387A07" w:rsidP="00387A07">
            <w:pPr>
              <w:spacing w:after="0"/>
              <w:jc w:val="center"/>
              <w:rPr>
                <w:rFonts w:cs="Calibri"/>
                <w:b/>
                <w:sz w:val="24"/>
                <w:szCs w:val="24"/>
                <w:lang w:val="en-US"/>
              </w:rPr>
            </w:pPr>
            <w:r w:rsidRPr="00E17E1F">
              <w:rPr>
                <w:rFonts w:cs="Calibri"/>
                <w:b/>
                <w:sz w:val="24"/>
                <w:szCs w:val="24"/>
              </w:rPr>
              <w:t>DSC analysis of C-BC2000</w:t>
            </w:r>
          </w:p>
        </w:tc>
      </w:tr>
      <w:tr w:rsidR="00387A07" w:rsidRPr="00E17E1F" w:rsidTr="00387A07">
        <w:trPr>
          <w:trHeight w:val="113"/>
          <w:jc w:val="center"/>
        </w:trPr>
        <w:tc>
          <w:tcPr>
            <w:tcW w:w="1384" w:type="dxa"/>
            <w:tcBorders>
              <w:top w:val="single" w:sz="4" w:space="0" w:color="auto"/>
              <w:left w:val="single" w:sz="4" w:space="0" w:color="auto"/>
              <w:bottom w:val="nil"/>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T</w:t>
            </w:r>
            <w:r w:rsidRPr="00E17E1F">
              <w:rPr>
                <w:rFonts w:cs="Calibri"/>
                <w:sz w:val="24"/>
                <w:szCs w:val="24"/>
                <w:vertAlign w:val="subscript"/>
              </w:rPr>
              <w:t xml:space="preserve">g </w:t>
            </w:r>
            <w:r w:rsidRPr="00E17E1F">
              <w:rPr>
                <w:rFonts w:cs="Calibri"/>
                <w:sz w:val="24"/>
                <w:szCs w:val="24"/>
              </w:rPr>
              <w:t>[°C</w:t>
            </w:r>
          </w:p>
        </w:tc>
        <w:tc>
          <w:tcPr>
            <w:tcW w:w="1418" w:type="dxa"/>
            <w:tcBorders>
              <w:top w:val="single" w:sz="4" w:space="0" w:color="auto"/>
              <w:bottom w:val="nil"/>
              <w:right w:val="single" w:sz="4" w:space="0" w:color="auto"/>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-34.2</w:t>
            </w:r>
          </w:p>
        </w:tc>
      </w:tr>
      <w:tr w:rsidR="00387A07" w:rsidRPr="00E17E1F" w:rsidTr="00387A07">
        <w:trPr>
          <w:trHeight w:val="113"/>
          <w:jc w:val="center"/>
        </w:trPr>
        <w:tc>
          <w:tcPr>
            <w:tcW w:w="1384" w:type="dxa"/>
            <w:tcBorders>
              <w:top w:val="nil"/>
              <w:left w:val="single" w:sz="4" w:space="0" w:color="auto"/>
              <w:bottom w:val="nil"/>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T</w:t>
            </w:r>
            <w:r w:rsidRPr="00E17E1F">
              <w:rPr>
                <w:rFonts w:cs="Calibri"/>
                <w:sz w:val="24"/>
                <w:szCs w:val="24"/>
                <w:vertAlign w:val="subscript"/>
              </w:rPr>
              <w:t xml:space="preserve">m  </w:t>
            </w:r>
            <w:r w:rsidRPr="00E17E1F">
              <w:rPr>
                <w:rFonts w:cs="Calibri"/>
                <w:sz w:val="24"/>
                <w:szCs w:val="24"/>
              </w:rPr>
              <w:t>[°C]</w:t>
            </w:r>
          </w:p>
        </w:tc>
        <w:tc>
          <w:tcPr>
            <w:tcW w:w="1418" w:type="dxa"/>
            <w:tcBorders>
              <w:top w:val="nil"/>
              <w:bottom w:val="nil"/>
              <w:right w:val="single" w:sz="4" w:space="0" w:color="auto"/>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44.1</w:t>
            </w:r>
          </w:p>
        </w:tc>
      </w:tr>
      <w:tr w:rsidR="00387A07" w:rsidRPr="00E17E1F" w:rsidTr="00387A07">
        <w:trPr>
          <w:trHeight w:val="113"/>
          <w:jc w:val="center"/>
        </w:trPr>
        <w:tc>
          <w:tcPr>
            <w:tcW w:w="1384" w:type="dxa"/>
            <w:tcBorders>
              <w:top w:val="nil"/>
              <w:left w:val="single" w:sz="4" w:space="0" w:color="auto"/>
              <w:bottom w:val="nil"/>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ΔH</w:t>
            </w:r>
            <w:r w:rsidRPr="00E17E1F">
              <w:rPr>
                <w:rFonts w:cs="Calibri"/>
                <w:sz w:val="24"/>
                <w:szCs w:val="24"/>
                <w:vertAlign w:val="subscript"/>
              </w:rPr>
              <w:t xml:space="preserve">m </w:t>
            </w:r>
            <w:r w:rsidRPr="00E17E1F">
              <w:rPr>
                <w:rFonts w:cs="Calibri"/>
                <w:sz w:val="24"/>
                <w:szCs w:val="24"/>
              </w:rPr>
              <w:t>[J/g]</w:t>
            </w:r>
          </w:p>
        </w:tc>
        <w:tc>
          <w:tcPr>
            <w:tcW w:w="1418" w:type="dxa"/>
            <w:tcBorders>
              <w:top w:val="nil"/>
              <w:bottom w:val="nil"/>
              <w:right w:val="single" w:sz="4" w:space="0" w:color="auto"/>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34.8</w:t>
            </w:r>
          </w:p>
        </w:tc>
      </w:tr>
      <w:tr w:rsidR="00387A07" w:rsidRPr="00E17E1F" w:rsidTr="00387A07">
        <w:trPr>
          <w:trHeight w:val="113"/>
          <w:jc w:val="center"/>
        </w:trPr>
        <w:tc>
          <w:tcPr>
            <w:tcW w:w="1384" w:type="dxa"/>
            <w:tcBorders>
              <w:top w:val="nil"/>
              <w:left w:val="single" w:sz="4" w:space="0" w:color="auto"/>
              <w:bottom w:val="single" w:sz="4" w:space="0" w:color="auto"/>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X</w:t>
            </w:r>
            <w:r w:rsidRPr="00E17E1F">
              <w:rPr>
                <w:rFonts w:cs="Calibri"/>
                <w:sz w:val="24"/>
                <w:szCs w:val="24"/>
                <w:vertAlign w:val="subscript"/>
              </w:rPr>
              <w:t>c</w:t>
            </w:r>
            <w:r w:rsidRPr="00E17E1F">
              <w:rPr>
                <w:rFonts w:cs="Calibri"/>
                <w:sz w:val="24"/>
                <w:szCs w:val="24"/>
              </w:rPr>
              <w:t xml:space="preserve">% </w:t>
            </w:r>
            <w:r w:rsidRPr="00E17E1F">
              <w:rPr>
                <w:rFonts w:cs="Calibri"/>
                <w:sz w:val="24"/>
                <w:szCs w:val="24"/>
                <w:vertAlign w:val="subscript"/>
              </w:rPr>
              <w:t xml:space="preserve"> </w:t>
            </w:r>
            <w:r w:rsidRPr="00E17E1F">
              <w:rPr>
                <w:rFonts w:cs="Calibri"/>
                <w:sz w:val="24"/>
                <w:szCs w:val="24"/>
              </w:rPr>
              <w:t>[%]</w:t>
            </w:r>
          </w:p>
        </w:tc>
        <w:tc>
          <w:tcPr>
            <w:tcW w:w="1418" w:type="dxa"/>
            <w:tcBorders>
              <w:top w:val="nil"/>
              <w:bottom w:val="single" w:sz="4" w:space="0" w:color="auto"/>
              <w:right w:val="single" w:sz="4" w:space="0" w:color="auto"/>
            </w:tcBorders>
            <w:shd w:val="clear" w:color="auto" w:fill="EEECE1"/>
            <w:vAlign w:val="center"/>
          </w:tcPr>
          <w:p w:rsidR="00387A07" w:rsidRPr="00E17E1F" w:rsidRDefault="00387A07" w:rsidP="00387A07">
            <w:pPr>
              <w:spacing w:after="0"/>
              <w:jc w:val="center"/>
              <w:rPr>
                <w:rFonts w:cs="Calibri"/>
                <w:sz w:val="24"/>
                <w:szCs w:val="24"/>
              </w:rPr>
            </w:pPr>
            <w:r w:rsidRPr="00E17E1F">
              <w:rPr>
                <w:rFonts w:cs="Calibri"/>
                <w:sz w:val="24"/>
                <w:szCs w:val="24"/>
              </w:rPr>
              <w:t>31.1</w:t>
            </w:r>
          </w:p>
        </w:tc>
      </w:tr>
    </w:tbl>
    <w:p w:rsidR="00387A07" w:rsidRPr="00E17E1F" w:rsidRDefault="00387A07" w:rsidP="00387A07">
      <w:pPr>
        <w:pStyle w:val="Didascalia"/>
        <w:spacing w:before="120"/>
        <w:rPr>
          <w:rStyle w:val="MacchinadascrivereHTML"/>
          <w:rFonts w:ascii="Arial" w:eastAsiaTheme="minorHAnsi" w:hAnsi="Arial" w:cs="Arial"/>
          <w:sz w:val="24"/>
          <w:szCs w:val="24"/>
        </w:rPr>
      </w:pPr>
      <w:r w:rsidRPr="00E17E1F">
        <w:t xml:space="preserve">Table 2. </w:t>
      </w:r>
      <w:fldSimple w:instr=" SEQ Table_2. \* ARABIC ">
        <w:r w:rsidRPr="00E17E1F">
          <w:rPr>
            <w:noProof/>
          </w:rPr>
          <w:t>1</w:t>
        </w:r>
      </w:fldSimple>
      <w:r w:rsidRPr="00E17E1F">
        <w:t xml:space="preserve"> Thermal properties of C-BC 20000</w:t>
      </w:r>
    </w:p>
    <w:p w:rsidR="00387A07" w:rsidRPr="00E17E1F" w:rsidRDefault="00387A07" w:rsidP="00387A07">
      <w:pPr>
        <w:spacing w:line="360" w:lineRule="auto"/>
        <w:jc w:val="both"/>
        <w:outlineLvl w:val="0"/>
        <w:rPr>
          <w:rFonts w:ascii="Arial" w:hAnsi="Arial" w:cs="Arial"/>
          <w:sz w:val="24"/>
          <w:szCs w:val="24"/>
          <w:lang w:val="en-US"/>
        </w:rPr>
      </w:pPr>
      <w:r w:rsidRPr="00E17E1F">
        <w:rPr>
          <w:rStyle w:val="MacchinadascrivereHTML"/>
          <w:rFonts w:ascii="Arial" w:eastAsiaTheme="minorHAnsi" w:hAnsi="Arial" w:cs="Arial"/>
          <w:sz w:val="24"/>
          <w:szCs w:val="24"/>
          <w:lang w:val="en-US"/>
        </w:rPr>
        <w:t>C-BC2000 shows a melting point above the physiological temperature (T</w:t>
      </w:r>
      <w:r w:rsidRPr="00E17E1F">
        <w:rPr>
          <w:rStyle w:val="MacchinadascrivereHTML"/>
          <w:rFonts w:ascii="Arial" w:eastAsiaTheme="minorHAnsi" w:hAnsi="Arial" w:cs="Arial"/>
          <w:sz w:val="24"/>
          <w:szCs w:val="24"/>
          <w:vertAlign w:val="subscript"/>
          <w:lang w:val="en-US"/>
        </w:rPr>
        <w:t>m</w:t>
      </w:r>
      <w:r w:rsidRPr="00E17E1F">
        <w:rPr>
          <w:rStyle w:val="MacchinadascrivereHTML"/>
          <w:rFonts w:ascii="Arial" w:eastAsiaTheme="minorHAnsi" w:hAnsi="Arial" w:cs="Arial"/>
          <w:sz w:val="24"/>
          <w:szCs w:val="24"/>
          <w:lang w:val="en-US"/>
        </w:rPr>
        <w:t xml:space="preserve"> 44°C) which makes it suitable for biological applications.</w:t>
      </w:r>
    </w:p>
    <w:p w:rsidR="00387A07" w:rsidRPr="00E17E1F" w:rsidRDefault="00387A07" w:rsidP="00387A07">
      <w:pPr>
        <w:spacing w:before="240" w:after="240" w:line="360" w:lineRule="auto"/>
        <w:jc w:val="both"/>
        <w:outlineLvl w:val="0"/>
        <w:rPr>
          <w:rFonts w:ascii="Arial" w:hAnsi="Arial" w:cs="Arial"/>
          <w:sz w:val="24"/>
          <w:szCs w:val="24"/>
          <w:lang w:val="en-US"/>
        </w:rPr>
      </w:pPr>
      <w:r w:rsidRPr="00E17E1F">
        <w:rPr>
          <w:rFonts w:ascii="Arial" w:hAnsi="Arial" w:cs="Arial"/>
          <w:b/>
          <w:sz w:val="24"/>
          <w:szCs w:val="24"/>
        </w:rPr>
        <w:t>2.3.2 Contact Angle Analysis</w:t>
      </w:r>
    </w:p>
    <w:p w:rsidR="00387A07" w:rsidRPr="00E17E1F" w:rsidRDefault="00387A07" w:rsidP="00387A07">
      <w:pPr>
        <w:spacing w:after="120" w:line="360" w:lineRule="auto"/>
        <w:jc w:val="both"/>
        <w:rPr>
          <w:rFonts w:ascii="Arial" w:hAnsi="Arial" w:cs="Arial"/>
          <w:sz w:val="24"/>
          <w:szCs w:val="24"/>
        </w:rPr>
      </w:pPr>
      <w:r w:rsidRPr="00E17E1F">
        <w:rPr>
          <w:rFonts w:ascii="Arial" w:hAnsi="Arial" w:cs="Arial"/>
          <w:sz w:val="24"/>
          <w:szCs w:val="24"/>
        </w:rPr>
        <w:t>Results from contact angle measurements are reported in table 2.2 and figure 2.4.</w:t>
      </w:r>
    </w:p>
    <w:p w:rsidR="00387A07" w:rsidRPr="00E17E1F" w:rsidRDefault="00387A07" w:rsidP="00387A07">
      <w:pPr>
        <w:spacing w:line="360" w:lineRule="auto"/>
        <w:jc w:val="center"/>
        <w:rPr>
          <w:rFonts w:ascii="Arial" w:hAnsi="Arial" w:cs="Arial"/>
          <w:b/>
          <w:sz w:val="24"/>
          <w:szCs w:val="24"/>
        </w:rPr>
      </w:pPr>
      <w:r w:rsidRPr="00E17E1F">
        <w:rPr>
          <w:rFonts w:ascii="Arial" w:hAnsi="Arial" w:cs="Arial"/>
          <w:b/>
          <w:noProof/>
          <w:sz w:val="24"/>
          <w:szCs w:val="24"/>
          <w:lang w:val="it-IT" w:eastAsia="it-IT"/>
        </w:rPr>
        <w:lastRenderedPageBreak/>
        <w:drawing>
          <wp:inline distT="0" distB="0" distL="0" distR="0">
            <wp:extent cx="3857625" cy="3521805"/>
            <wp:effectExtent l="19050" t="0" r="9525" b="0"/>
            <wp:docPr id="134" name="Immagine 23" descr="ANGOLO DI CONTAT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descr="ANGOLO DI CONTATTO.png"/>
                    <pic:cNvPicPr>
                      <a:picLocks noChangeAspect="1" noChangeArrowheads="1"/>
                    </pic:cNvPicPr>
                  </pic:nvPicPr>
                  <pic:blipFill>
                    <a:blip r:embed="rId28"/>
                    <a:srcRect/>
                    <a:stretch>
                      <a:fillRect/>
                    </a:stretch>
                  </pic:blipFill>
                  <pic:spPr bwMode="auto">
                    <a:xfrm>
                      <a:off x="0" y="0"/>
                      <a:ext cx="3862336" cy="3526106"/>
                    </a:xfrm>
                    <a:prstGeom prst="rect">
                      <a:avLst/>
                    </a:prstGeom>
                    <a:noFill/>
                    <a:ln w="9525">
                      <a:noFill/>
                      <a:miter lim="800000"/>
                      <a:headEnd/>
                      <a:tailEnd/>
                    </a:ln>
                  </pic:spPr>
                </pic:pic>
              </a:graphicData>
            </a:graphic>
          </wp:inline>
        </w:drawing>
      </w:r>
    </w:p>
    <w:p w:rsidR="00387A07" w:rsidRPr="00E17E1F" w:rsidRDefault="00387A07" w:rsidP="00387A07">
      <w:pPr>
        <w:pStyle w:val="Didascalia"/>
        <w:spacing w:before="120"/>
        <w:rPr>
          <w:rFonts w:ascii="Arial" w:hAnsi="Arial" w:cs="Arial"/>
          <w:b w:val="0"/>
          <w:sz w:val="24"/>
          <w:szCs w:val="24"/>
        </w:rPr>
      </w:pPr>
      <w:r w:rsidRPr="00E17E1F">
        <w:t>Figure 2. 4 Contact angle measurements after 1s (left) and 5s (right) for PCL (A and B), PLA (C and D) and C-BC2000 (E and F) films.</w:t>
      </w:r>
    </w:p>
    <w:tbl>
      <w:tblPr>
        <w:tblW w:w="0" w:type="auto"/>
        <w:jc w:val="center"/>
        <w:tblBorders>
          <w:top w:val="single" w:sz="4" w:space="0" w:color="auto"/>
          <w:left w:val="single" w:sz="4" w:space="0" w:color="auto"/>
          <w:bottom w:val="single" w:sz="4" w:space="0" w:color="auto"/>
          <w:right w:val="single" w:sz="4" w:space="0" w:color="auto"/>
        </w:tblBorders>
        <w:shd w:val="clear" w:color="auto" w:fill="D9D9D9" w:themeFill="background1" w:themeFillShade="D9"/>
        <w:tblLook w:val="00A0"/>
      </w:tblPr>
      <w:tblGrid>
        <w:gridCol w:w="1167"/>
        <w:gridCol w:w="2438"/>
      </w:tblGrid>
      <w:tr w:rsidR="00387A07" w:rsidRPr="00E17E1F" w:rsidTr="00387A07">
        <w:trPr>
          <w:trHeight w:val="283"/>
          <w:jc w:val="center"/>
        </w:trPr>
        <w:tc>
          <w:tcPr>
            <w:tcW w:w="1167" w:type="dxa"/>
            <w:tcBorders>
              <w:top w:val="single" w:sz="4" w:space="0" w:color="auto"/>
              <w:left w:val="nil"/>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
              </w:rPr>
            </w:pPr>
            <w:r w:rsidRPr="00E17E1F">
              <w:rPr>
                <w:rFonts w:cs="Calibri"/>
                <w:b/>
              </w:rPr>
              <w:t>MATERIAL</w:t>
            </w:r>
          </w:p>
        </w:tc>
        <w:tc>
          <w:tcPr>
            <w:tcW w:w="2438" w:type="dxa"/>
            <w:tcBorders>
              <w:top w:val="single" w:sz="4" w:space="0" w:color="auto"/>
              <w:bottom w:val="single" w:sz="4" w:space="0" w:color="auto"/>
              <w:right w:val="nil"/>
            </w:tcBorders>
            <w:shd w:val="clear" w:color="auto" w:fill="D9D9D9" w:themeFill="background1" w:themeFillShade="D9"/>
            <w:vAlign w:val="center"/>
          </w:tcPr>
          <w:p w:rsidR="00387A07" w:rsidRPr="00E17E1F" w:rsidRDefault="00387A07" w:rsidP="00387A07">
            <w:pPr>
              <w:spacing w:after="0"/>
              <w:jc w:val="center"/>
              <w:rPr>
                <w:rFonts w:cs="Calibri"/>
                <w:b/>
              </w:rPr>
            </w:pPr>
            <w:r w:rsidRPr="00E17E1F">
              <w:rPr>
                <w:rFonts w:cs="Calibri"/>
                <w:b/>
              </w:rPr>
              <w:t xml:space="preserve">Contact Angle(°) </w:t>
            </w:r>
          </w:p>
        </w:tc>
      </w:tr>
      <w:tr w:rsidR="00387A07" w:rsidRPr="00E17E1F" w:rsidTr="00387A07">
        <w:trPr>
          <w:trHeight w:val="283"/>
          <w:jc w:val="center"/>
        </w:trPr>
        <w:tc>
          <w:tcPr>
            <w:tcW w:w="1167" w:type="dxa"/>
            <w:tcBorders>
              <w:top w:val="single" w:sz="4" w:space="0" w:color="auto"/>
              <w:left w:val="nil"/>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PLA</w:t>
            </w:r>
          </w:p>
        </w:tc>
        <w:tc>
          <w:tcPr>
            <w:tcW w:w="2438" w:type="dxa"/>
            <w:tcBorders>
              <w:top w:val="single" w:sz="4" w:space="0" w:color="auto"/>
              <w:right w:val="nil"/>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82.0 ± 0.7</w:t>
            </w:r>
          </w:p>
        </w:tc>
      </w:tr>
      <w:tr w:rsidR="00387A07" w:rsidRPr="00E17E1F" w:rsidTr="00387A07">
        <w:trPr>
          <w:trHeight w:val="283"/>
          <w:jc w:val="center"/>
        </w:trPr>
        <w:tc>
          <w:tcPr>
            <w:tcW w:w="1167" w:type="dxa"/>
            <w:tcBorders>
              <w:left w:val="nil"/>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PCL</w:t>
            </w:r>
          </w:p>
        </w:tc>
        <w:tc>
          <w:tcPr>
            <w:tcW w:w="2438" w:type="dxa"/>
            <w:tcBorders>
              <w:right w:val="nil"/>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86.0 ± 0.3</w:t>
            </w:r>
          </w:p>
        </w:tc>
      </w:tr>
      <w:tr w:rsidR="00387A07" w:rsidRPr="00E17E1F" w:rsidTr="00387A07">
        <w:trPr>
          <w:trHeight w:val="283"/>
          <w:jc w:val="center"/>
        </w:trPr>
        <w:tc>
          <w:tcPr>
            <w:tcW w:w="1167" w:type="dxa"/>
            <w:tcBorders>
              <w:left w:val="nil"/>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C-BC2000</w:t>
            </w:r>
          </w:p>
        </w:tc>
        <w:tc>
          <w:tcPr>
            <w:tcW w:w="2438" w:type="dxa"/>
            <w:tcBorders>
              <w:bottom w:val="single" w:sz="4" w:space="0" w:color="auto"/>
              <w:right w:val="nil"/>
            </w:tcBorders>
            <w:shd w:val="clear" w:color="auto" w:fill="D9D9D9" w:themeFill="background1" w:themeFillShade="D9"/>
            <w:vAlign w:val="center"/>
          </w:tcPr>
          <w:p w:rsidR="00387A07" w:rsidRPr="00E17E1F" w:rsidRDefault="00387A07" w:rsidP="00387A07">
            <w:pPr>
              <w:spacing w:after="0"/>
              <w:jc w:val="center"/>
              <w:rPr>
                <w:rFonts w:cs="Calibri"/>
              </w:rPr>
            </w:pPr>
            <w:r w:rsidRPr="00E17E1F">
              <w:rPr>
                <w:rFonts w:cs="Calibri"/>
              </w:rPr>
              <w:t>90.5 ± 0.9</w:t>
            </w:r>
          </w:p>
        </w:tc>
      </w:tr>
    </w:tbl>
    <w:p w:rsidR="00387A07" w:rsidRPr="00E17E1F" w:rsidRDefault="00387A07" w:rsidP="00387A07">
      <w:pPr>
        <w:pStyle w:val="Didascalia"/>
        <w:spacing w:before="120"/>
        <w:rPr>
          <w:rFonts w:ascii="Arial" w:hAnsi="Arial" w:cs="Arial"/>
          <w:sz w:val="24"/>
          <w:szCs w:val="24"/>
        </w:rPr>
      </w:pPr>
      <w:r w:rsidRPr="00E17E1F">
        <w:t xml:space="preserve">Table 2. </w:t>
      </w:r>
      <w:fldSimple w:instr=" SEQ Table_2. \* ARABIC ">
        <w:r w:rsidRPr="00E17E1F">
          <w:rPr>
            <w:noProof/>
          </w:rPr>
          <w:t>2</w:t>
        </w:r>
      </w:fldSimple>
      <w:r w:rsidRPr="00E17E1F">
        <w:t xml:space="preserve"> Contact Angle measurements of the three materials. Results are expressed as mean </w:t>
      </w:r>
      <w:r w:rsidRPr="00E17E1F">
        <w:rPr>
          <w:rFonts w:cstheme="minorHAnsi"/>
        </w:rPr>
        <w:t>±</w:t>
      </w:r>
      <w:r w:rsidRPr="00E17E1F">
        <w:t xml:space="preserve"> SD</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As expected all the three polymers are hydrophobic, and are therefore suitable for the encapsulation of poorly water soluble drugs such as Paclitaxel.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PLA shows the lowest contact angle, indicating a slightly higher affinity for water if compared to the other two polymers, PCL and C-BC2000, which show a contact angle of 86° and 90° respectively. </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2.3.3 Preparation &amp; characterization of Nanoparticles</w:t>
      </w:r>
    </w:p>
    <w:p w:rsidR="00387A07" w:rsidRPr="00E17E1F" w:rsidRDefault="00387A07" w:rsidP="00387A07">
      <w:pPr>
        <w:spacing w:before="240" w:after="240" w:line="360" w:lineRule="auto"/>
        <w:jc w:val="both"/>
        <w:rPr>
          <w:rFonts w:ascii="Arial" w:hAnsi="Arial" w:cs="Arial"/>
          <w:b/>
          <w:i/>
          <w:sz w:val="24"/>
          <w:szCs w:val="24"/>
        </w:rPr>
      </w:pPr>
      <w:r w:rsidRPr="00E17E1F">
        <w:rPr>
          <w:rFonts w:ascii="Arial" w:hAnsi="Arial" w:cs="Arial"/>
          <w:b/>
          <w:i/>
          <w:sz w:val="24"/>
          <w:szCs w:val="24"/>
        </w:rPr>
        <w:t xml:space="preserve">2.3.3.1 Optimization of the protocol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In order to optimize the protocol for the preparation of nanoparticles with an appropriate size range for passive targeting, the influence of polymer concentration and of the polymer/surfactant ratio on the mean particle’s size was analyzed.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lastRenderedPageBreak/>
        <w:t xml:space="preserve">The concentration of the polymer in acetone is one important parameter affecting nanoparticles size [30]. For this reason this parameter was firstly optimized for the three polymers at a fixed polymer/surfactant ratio R=1.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Results are reported in figure 2.5 and in table 2.3, which show that an increase in the concentration of the polymer solution leads to a linear increase in nanoparticles size, in agreement with results reported by other authors [31] [32].</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This result could be explained by the higher viscosity of the polymer solution which reduces the rate of solvent diffusion, thus leading to a slower precipitation and to larger diameters.</w:t>
      </w:r>
    </w:p>
    <w:p w:rsidR="00387A07" w:rsidRPr="00E17E1F" w:rsidRDefault="00387A07" w:rsidP="00387A07">
      <w:pPr>
        <w:spacing w:after="120" w:line="360" w:lineRule="auto"/>
        <w:jc w:val="both"/>
        <w:rPr>
          <w:rFonts w:ascii="Arial" w:hAnsi="Arial" w:cs="Arial"/>
          <w:sz w:val="24"/>
          <w:szCs w:val="24"/>
        </w:rPr>
      </w:pPr>
      <w:r w:rsidRPr="00E17E1F">
        <w:rPr>
          <w:rFonts w:ascii="Arial" w:hAnsi="Arial" w:cs="Arial"/>
          <w:sz w:val="24"/>
          <w:szCs w:val="24"/>
        </w:rPr>
        <w:t xml:space="preserve">At similar conditions, PLA nanoparticles exhibit smaller size when compared to nanoparticles prepared with the other two polymers. This behaviour could probably be ascribed to the lower molecular weight of this polymer [33]. </w:t>
      </w:r>
    </w:p>
    <w:p w:rsidR="00387A07" w:rsidRPr="00E17E1F" w:rsidRDefault="00387A07" w:rsidP="00387A07">
      <w:pPr>
        <w:spacing w:after="0" w:line="360" w:lineRule="auto"/>
        <w:jc w:val="center"/>
        <w:rPr>
          <w:rFonts w:ascii="Arial" w:hAnsi="Arial" w:cs="Arial"/>
          <w:sz w:val="24"/>
          <w:szCs w:val="24"/>
        </w:rPr>
      </w:pPr>
      <w:r w:rsidRPr="00E17E1F">
        <w:rPr>
          <w:rFonts w:ascii="Arial" w:hAnsi="Arial" w:cs="Arial"/>
          <w:noProof/>
          <w:sz w:val="24"/>
          <w:szCs w:val="24"/>
          <w:lang w:val="it-IT" w:eastAsia="it-IT"/>
        </w:rPr>
        <w:drawing>
          <wp:inline distT="0" distB="0" distL="0" distR="0">
            <wp:extent cx="4533900" cy="2752725"/>
            <wp:effectExtent l="0" t="0" r="0" b="0"/>
            <wp:docPr id="135" name="Immagine 24" descr="effect of polymer concen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 descr="effect of polymer concentration.png"/>
                    <pic:cNvPicPr>
                      <a:picLocks noChangeAspect="1" noChangeArrowheads="1"/>
                    </pic:cNvPicPr>
                  </pic:nvPicPr>
                  <pic:blipFill>
                    <a:blip r:embed="rId29"/>
                    <a:srcRect/>
                    <a:stretch>
                      <a:fillRect/>
                    </a:stretch>
                  </pic:blipFill>
                  <pic:spPr bwMode="auto">
                    <a:xfrm>
                      <a:off x="0" y="0"/>
                      <a:ext cx="4533900" cy="2752725"/>
                    </a:xfrm>
                    <a:prstGeom prst="rect">
                      <a:avLst/>
                    </a:prstGeom>
                    <a:noFill/>
                    <a:ln w="9525">
                      <a:noFill/>
                      <a:miter lim="800000"/>
                      <a:headEnd/>
                      <a:tailEnd/>
                    </a:ln>
                  </pic:spPr>
                </pic:pic>
              </a:graphicData>
            </a:graphic>
          </wp:inline>
        </w:drawing>
      </w:r>
    </w:p>
    <w:p w:rsidR="00387A07" w:rsidRPr="00E17E1F" w:rsidRDefault="00387A07" w:rsidP="00387A07">
      <w:pPr>
        <w:pStyle w:val="Didascalia"/>
      </w:pPr>
      <w:r w:rsidRPr="00E17E1F">
        <w:t>Figure 2. 5 Effect of polymer concentration on Particles’ mean size.</w:t>
      </w:r>
    </w:p>
    <w:tbl>
      <w:tblPr>
        <w:tblW w:w="9370" w:type="dxa"/>
        <w:jc w:val="center"/>
        <w:tblInd w:w="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000"/>
      </w:tblPr>
      <w:tblGrid>
        <w:gridCol w:w="1570"/>
        <w:gridCol w:w="1298"/>
        <w:gridCol w:w="1304"/>
        <w:gridCol w:w="1298"/>
        <w:gridCol w:w="1302"/>
        <w:gridCol w:w="1298"/>
        <w:gridCol w:w="1300"/>
      </w:tblGrid>
      <w:tr w:rsidR="00387A07" w:rsidRPr="00E17E1F" w:rsidTr="00387A07">
        <w:trPr>
          <w:trHeight w:val="413"/>
          <w:jc w:val="center"/>
        </w:trPr>
        <w:tc>
          <w:tcPr>
            <w:tcW w:w="1570" w:type="dxa"/>
            <w:vMerge w:val="restart"/>
            <w:tcBorders>
              <w:left w:val="nil"/>
              <w:bottom w:val="nil"/>
              <w:right w:val="nil"/>
            </w:tcBorders>
            <w:shd w:val="clear" w:color="auto" w:fill="D9D9D9" w:themeFill="background1" w:themeFillShade="D9"/>
            <w:vAlign w:val="center"/>
          </w:tcPr>
          <w:p w:rsidR="00387A07" w:rsidRPr="00E17E1F" w:rsidRDefault="00387A07" w:rsidP="00387A07">
            <w:pPr>
              <w:spacing w:after="0" w:line="240" w:lineRule="auto"/>
              <w:jc w:val="center"/>
              <w:rPr>
                <w:rFonts w:cs="Calibri"/>
                <w:b/>
              </w:rPr>
            </w:pPr>
            <w:r w:rsidRPr="00E17E1F">
              <w:rPr>
                <w:rFonts w:cs="Calibri"/>
                <w:b/>
              </w:rPr>
              <w:t>Polymer concentration (w/V)</w:t>
            </w:r>
          </w:p>
        </w:tc>
        <w:tc>
          <w:tcPr>
            <w:tcW w:w="2599" w:type="dxa"/>
            <w:gridSpan w:val="2"/>
            <w:tcBorders>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PLA</w:t>
            </w:r>
          </w:p>
        </w:tc>
        <w:tc>
          <w:tcPr>
            <w:tcW w:w="2600" w:type="dxa"/>
            <w:gridSpan w:val="2"/>
            <w:tcBorders>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PCL</w:t>
            </w:r>
          </w:p>
        </w:tc>
        <w:tc>
          <w:tcPr>
            <w:tcW w:w="2598" w:type="dxa"/>
            <w:gridSpan w:val="2"/>
            <w:tcBorders>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C-BC2000</w:t>
            </w:r>
          </w:p>
        </w:tc>
      </w:tr>
      <w:tr w:rsidR="00387A07" w:rsidRPr="00E17E1F" w:rsidTr="00387A07">
        <w:trPr>
          <w:trHeight w:val="275"/>
          <w:jc w:val="center"/>
        </w:trPr>
        <w:tc>
          <w:tcPr>
            <w:tcW w:w="1570" w:type="dxa"/>
            <w:vMerge/>
            <w:tcBorders>
              <w:top w:val="nil"/>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rPr>
            </w:pPr>
          </w:p>
        </w:tc>
        <w:tc>
          <w:tcPr>
            <w:tcW w:w="1298"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rPr>
                <w:rFonts w:cs="Calibri"/>
                <w:b/>
              </w:rPr>
            </w:pPr>
            <w:r w:rsidRPr="00E17E1F">
              <w:rPr>
                <w:rFonts w:cs="Calibri"/>
                <w:b/>
              </w:rPr>
              <w:t>Size [nm]</w:t>
            </w:r>
          </w:p>
        </w:tc>
        <w:tc>
          <w:tcPr>
            <w:tcW w:w="1304"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 xml:space="preserve">PDI </w:t>
            </w:r>
          </w:p>
        </w:tc>
        <w:tc>
          <w:tcPr>
            <w:tcW w:w="1298"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rPr>
                <w:rFonts w:cs="Calibri"/>
                <w:b/>
              </w:rPr>
            </w:pPr>
            <w:r w:rsidRPr="00E17E1F">
              <w:rPr>
                <w:rFonts w:cs="Calibri"/>
                <w:b/>
              </w:rPr>
              <w:t>Size [nm]</w:t>
            </w:r>
          </w:p>
        </w:tc>
        <w:tc>
          <w:tcPr>
            <w:tcW w:w="1302"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 xml:space="preserve">PDI </w:t>
            </w:r>
          </w:p>
        </w:tc>
        <w:tc>
          <w:tcPr>
            <w:tcW w:w="1298"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rPr>
                <w:rFonts w:cs="Calibri"/>
                <w:b/>
              </w:rPr>
            </w:pPr>
            <w:r w:rsidRPr="00E17E1F">
              <w:rPr>
                <w:rFonts w:cs="Calibri"/>
                <w:b/>
              </w:rPr>
              <w:t>Size [nm]</w:t>
            </w:r>
          </w:p>
        </w:tc>
        <w:tc>
          <w:tcPr>
            <w:tcW w:w="1300"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line="360" w:lineRule="auto"/>
              <w:jc w:val="center"/>
              <w:rPr>
                <w:rFonts w:cs="Calibri"/>
                <w:b/>
              </w:rPr>
            </w:pPr>
            <w:r w:rsidRPr="00E17E1F">
              <w:rPr>
                <w:rFonts w:cs="Calibri"/>
                <w:b/>
              </w:rPr>
              <w:t xml:space="preserve">PDI </w:t>
            </w:r>
          </w:p>
        </w:tc>
      </w:tr>
      <w:tr w:rsidR="00387A07" w:rsidRPr="00E17E1F" w:rsidTr="00387A07">
        <w:trPr>
          <w:trHeight w:val="329"/>
          <w:jc w:val="center"/>
        </w:trPr>
        <w:tc>
          <w:tcPr>
            <w:tcW w:w="1570"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bCs/>
                <w:color w:val="000000"/>
              </w:rPr>
            </w:pPr>
            <w:r w:rsidRPr="00E17E1F">
              <w:rPr>
                <w:rFonts w:cs="Calibri"/>
                <w:bCs/>
                <w:color w:val="000000"/>
              </w:rPr>
              <w:t>0,4</w:t>
            </w:r>
          </w:p>
        </w:tc>
        <w:tc>
          <w:tcPr>
            <w:tcW w:w="1298"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148 ± 3</w:t>
            </w:r>
          </w:p>
        </w:tc>
        <w:tc>
          <w:tcPr>
            <w:tcW w:w="1304"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0.11 ± 0.03</w:t>
            </w:r>
          </w:p>
        </w:tc>
        <w:tc>
          <w:tcPr>
            <w:tcW w:w="1298"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217 ± 4</w:t>
            </w:r>
          </w:p>
        </w:tc>
        <w:tc>
          <w:tcPr>
            <w:tcW w:w="1302"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0.15 ± 0.02</w:t>
            </w:r>
          </w:p>
        </w:tc>
        <w:tc>
          <w:tcPr>
            <w:tcW w:w="1298"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203 ± 2</w:t>
            </w:r>
          </w:p>
        </w:tc>
        <w:tc>
          <w:tcPr>
            <w:tcW w:w="1300" w:type="dxa"/>
            <w:tcBorders>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0.19 ± 0.04</w:t>
            </w:r>
          </w:p>
        </w:tc>
      </w:tr>
      <w:tr w:rsidR="00387A07" w:rsidRPr="00E17E1F" w:rsidTr="00387A07">
        <w:trPr>
          <w:trHeight w:val="329"/>
          <w:jc w:val="center"/>
        </w:trPr>
        <w:tc>
          <w:tcPr>
            <w:tcW w:w="1570"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bCs/>
                <w:color w:val="000000"/>
              </w:rPr>
            </w:pPr>
            <w:r w:rsidRPr="00E17E1F">
              <w:rPr>
                <w:rFonts w:cs="Calibri"/>
                <w:bCs/>
                <w:color w:val="000000"/>
              </w:rPr>
              <w:t>0,6</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213 ± 28</w:t>
            </w:r>
          </w:p>
        </w:tc>
        <w:tc>
          <w:tcPr>
            <w:tcW w:w="1304"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lang w:val="en-US"/>
              </w:rPr>
              <w:t>0.09 ± 0.02</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211 ± 36</w:t>
            </w:r>
          </w:p>
        </w:tc>
        <w:tc>
          <w:tcPr>
            <w:tcW w:w="1302"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lang w:val="en-US"/>
              </w:rPr>
              <w:t>0.12 ± 0.06</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226 ± 13</w:t>
            </w:r>
          </w:p>
        </w:tc>
        <w:tc>
          <w:tcPr>
            <w:tcW w:w="1300"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lang w:val="en-US"/>
              </w:rPr>
              <w:t>0.1 ± 0.01</w:t>
            </w:r>
          </w:p>
        </w:tc>
      </w:tr>
      <w:tr w:rsidR="00387A07" w:rsidRPr="00E17E1F" w:rsidTr="00387A07">
        <w:trPr>
          <w:trHeight w:val="329"/>
          <w:jc w:val="center"/>
        </w:trPr>
        <w:tc>
          <w:tcPr>
            <w:tcW w:w="1570"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bCs/>
                <w:color w:val="000000"/>
              </w:rPr>
            </w:pPr>
            <w:r w:rsidRPr="00E17E1F">
              <w:rPr>
                <w:rFonts w:cs="Calibri"/>
                <w:bCs/>
                <w:color w:val="000000"/>
              </w:rPr>
              <w:t>0,9</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229 ± 15</w:t>
            </w:r>
          </w:p>
        </w:tc>
        <w:tc>
          <w:tcPr>
            <w:tcW w:w="1304"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0.14 ± 0.03</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281 ± 8</w:t>
            </w:r>
          </w:p>
        </w:tc>
        <w:tc>
          <w:tcPr>
            <w:tcW w:w="1302"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0.21 ± 0.01</w:t>
            </w:r>
          </w:p>
        </w:tc>
        <w:tc>
          <w:tcPr>
            <w:tcW w:w="1298"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300 ± 15</w:t>
            </w:r>
          </w:p>
        </w:tc>
        <w:tc>
          <w:tcPr>
            <w:tcW w:w="1300" w:type="dxa"/>
            <w:tcBorders>
              <w:top w:val="nil"/>
              <w:left w:val="nil"/>
              <w:bottom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0.13 ± 0.01</w:t>
            </w:r>
          </w:p>
        </w:tc>
      </w:tr>
      <w:tr w:rsidR="00387A07" w:rsidRPr="00E17E1F" w:rsidTr="00387A07">
        <w:trPr>
          <w:trHeight w:val="329"/>
          <w:jc w:val="center"/>
        </w:trPr>
        <w:tc>
          <w:tcPr>
            <w:tcW w:w="1570"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bCs/>
                <w:color w:val="000000"/>
              </w:rPr>
            </w:pPr>
            <w:r w:rsidRPr="00E17E1F">
              <w:rPr>
                <w:rFonts w:cs="Calibri"/>
                <w:bCs/>
                <w:color w:val="000000"/>
              </w:rPr>
              <w:t>1,2</w:t>
            </w:r>
          </w:p>
        </w:tc>
        <w:tc>
          <w:tcPr>
            <w:tcW w:w="1298"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272 ± 11</w:t>
            </w:r>
          </w:p>
        </w:tc>
        <w:tc>
          <w:tcPr>
            <w:tcW w:w="1304"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0.12 ± 0.01</w:t>
            </w:r>
          </w:p>
        </w:tc>
        <w:tc>
          <w:tcPr>
            <w:tcW w:w="1298"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320 ± 7</w:t>
            </w:r>
          </w:p>
        </w:tc>
        <w:tc>
          <w:tcPr>
            <w:tcW w:w="130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0.11 ± 0.04</w:t>
            </w:r>
          </w:p>
        </w:tc>
        <w:tc>
          <w:tcPr>
            <w:tcW w:w="1298"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320 ± 32</w:t>
            </w:r>
          </w:p>
        </w:tc>
        <w:tc>
          <w:tcPr>
            <w:tcW w:w="1300"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rPr>
            </w:pPr>
            <w:r w:rsidRPr="00E17E1F">
              <w:rPr>
                <w:rFonts w:cs="Calibri"/>
                <w:color w:val="000000"/>
              </w:rPr>
              <w:t>0.21 ± 0.03</w:t>
            </w:r>
          </w:p>
        </w:tc>
      </w:tr>
    </w:tbl>
    <w:p w:rsidR="00387A07" w:rsidRPr="00E17E1F" w:rsidRDefault="00387A07" w:rsidP="00387A07">
      <w:pPr>
        <w:pStyle w:val="Didascalia"/>
        <w:spacing w:before="120"/>
        <w:rPr>
          <w:rFonts w:ascii="Arial" w:hAnsi="Arial" w:cs="Arial"/>
          <w:sz w:val="24"/>
          <w:szCs w:val="24"/>
        </w:rPr>
      </w:pPr>
      <w:r w:rsidRPr="00E17E1F">
        <w:t xml:space="preserve">Table 2. </w:t>
      </w:r>
      <w:fldSimple w:instr=" SEQ Table_2. \* ARABIC ">
        <w:r w:rsidRPr="00E17E1F">
          <w:rPr>
            <w:noProof/>
          </w:rPr>
          <w:t>3</w:t>
        </w:r>
      </w:fldSimple>
      <w:r w:rsidRPr="00E17E1F">
        <w:t xml:space="preserve"> Size and PDI  of nanoparticles prepared with different polymer concentrations. Results are reported as mean ± standard deviation (n=5).</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Based on these results, a polymer concentration of 0.6% w/v was selected as optimal concentration since it leads to similar nanoparticles size for all the three polymers, ranging </w:t>
      </w:r>
      <w:r w:rsidRPr="00E17E1F">
        <w:rPr>
          <w:rFonts w:ascii="Arial" w:hAnsi="Arial" w:cs="Arial"/>
          <w:sz w:val="24"/>
          <w:szCs w:val="24"/>
        </w:rPr>
        <w:lastRenderedPageBreak/>
        <w:t>from 213nm for PLA nanoparticles to 226nm for C-BC2000 ones. The size range obtained is in all cases lower than 250nm, leading to possible cellular internalization through the EPR effect.</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At the optimal polymer concentration of 0.6%w/v, the effect of the polymer/surfactant ratio (R) was assessed. In particular the ratio R was reduced to 0.5.</w:t>
      </w:r>
    </w:p>
    <w:p w:rsidR="00387A07" w:rsidRPr="00E17E1F" w:rsidRDefault="00387A07" w:rsidP="00387A07">
      <w:pPr>
        <w:spacing w:after="120" w:line="360" w:lineRule="auto"/>
        <w:jc w:val="both"/>
        <w:rPr>
          <w:rFonts w:ascii="Arial" w:hAnsi="Arial" w:cs="Arial"/>
          <w:sz w:val="24"/>
          <w:szCs w:val="24"/>
        </w:rPr>
      </w:pPr>
      <w:r w:rsidRPr="00E17E1F">
        <w:rPr>
          <w:rFonts w:ascii="Arial" w:hAnsi="Arial" w:cs="Arial"/>
          <w:sz w:val="24"/>
          <w:szCs w:val="24"/>
        </w:rPr>
        <w:t>Results, reported in figure 2.6 and in table 2.4, clearly show that a decrease in the amount of surfactant with respect to the amount of polymer leads to an evident increase in particles’ size for both PCL and C-BC2000 nanoparticles, while a decrease in diameter is observed for PLA nanoparticles. This different behaviour is due to the different molecular weight and cristallinity of the polymers [34]: PLA is easily soluble in acetone and is therefore more likely to form less viscous solutions in which the tendency of the particles to form aggregates is reduced even at low surfactant concentrations. A similar behaviour is not observed for PCL and C-BC2000 which form more viscous solutions thus needing a higher amount of surfactant to avoid aggregation.</w:t>
      </w:r>
    </w:p>
    <w:p w:rsidR="00387A07" w:rsidRPr="00E17E1F" w:rsidRDefault="00387A07" w:rsidP="00387A07">
      <w:pPr>
        <w:spacing w:after="0" w:line="360" w:lineRule="auto"/>
        <w:jc w:val="center"/>
        <w:rPr>
          <w:rFonts w:ascii="Arial" w:hAnsi="Arial" w:cs="Arial"/>
          <w:sz w:val="24"/>
          <w:szCs w:val="24"/>
        </w:rPr>
      </w:pPr>
      <w:r w:rsidRPr="00E17E1F">
        <w:rPr>
          <w:rFonts w:ascii="Arial" w:hAnsi="Arial" w:cs="Arial"/>
          <w:noProof/>
          <w:sz w:val="24"/>
          <w:szCs w:val="24"/>
          <w:lang w:val="it-IT" w:eastAsia="it-IT"/>
        </w:rPr>
        <w:drawing>
          <wp:inline distT="0" distB="0" distL="0" distR="0">
            <wp:extent cx="3762375" cy="2257425"/>
            <wp:effectExtent l="0" t="0" r="0" b="0"/>
            <wp:docPr id="136" name="Immagine 25" descr="effect of polymer-surfactant 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descr="effect of polymer-surfactant ratio.png"/>
                    <pic:cNvPicPr>
                      <a:picLocks noChangeAspect="1" noChangeArrowheads="1"/>
                    </pic:cNvPicPr>
                  </pic:nvPicPr>
                  <pic:blipFill>
                    <a:blip r:embed="rId30"/>
                    <a:srcRect/>
                    <a:stretch>
                      <a:fillRect/>
                    </a:stretch>
                  </pic:blipFill>
                  <pic:spPr bwMode="auto">
                    <a:xfrm>
                      <a:off x="0" y="0"/>
                      <a:ext cx="3762375" cy="2257425"/>
                    </a:xfrm>
                    <a:prstGeom prst="rect">
                      <a:avLst/>
                    </a:prstGeom>
                    <a:noFill/>
                    <a:ln w="9525">
                      <a:noFill/>
                      <a:miter lim="800000"/>
                      <a:headEnd/>
                      <a:tailEnd/>
                    </a:ln>
                  </pic:spPr>
                </pic:pic>
              </a:graphicData>
            </a:graphic>
          </wp:inline>
        </w:drawing>
      </w:r>
    </w:p>
    <w:p w:rsidR="00387A07" w:rsidRPr="00E17E1F" w:rsidRDefault="00387A07" w:rsidP="00387A07">
      <w:pPr>
        <w:pStyle w:val="Didascalia"/>
        <w:spacing w:after="0"/>
      </w:pPr>
      <w:r w:rsidRPr="00E17E1F">
        <w:t>Figure 2. 6 Effect of Polymer/surfactant ratio (R) on the mean particles’ size.</w:t>
      </w:r>
    </w:p>
    <w:p w:rsidR="00387A07" w:rsidRPr="00E17E1F" w:rsidRDefault="00387A07" w:rsidP="00387A07"/>
    <w:tbl>
      <w:tblPr>
        <w:tblpPr w:leftFromText="141" w:rightFromText="141" w:vertAnchor="text" w:horzAnchor="margin" w:tblpXSpec="center" w:tblpY="-32"/>
        <w:tblW w:w="0" w:type="auto"/>
        <w:tblBorders>
          <w:top w:val="single" w:sz="4" w:space="0" w:color="auto"/>
          <w:left w:val="single" w:sz="4" w:space="0" w:color="auto"/>
          <w:bottom w:val="single" w:sz="4" w:space="0" w:color="auto"/>
          <w:right w:val="single" w:sz="4" w:space="0" w:color="auto"/>
        </w:tblBorders>
        <w:shd w:val="clear" w:color="auto" w:fill="D9D9D9" w:themeFill="background1" w:themeFillShade="D9"/>
        <w:tblLayout w:type="fixed"/>
        <w:tblLook w:val="0000"/>
      </w:tblPr>
      <w:tblGrid>
        <w:gridCol w:w="820"/>
        <w:gridCol w:w="1134"/>
        <w:gridCol w:w="1304"/>
        <w:gridCol w:w="1134"/>
        <w:gridCol w:w="1304"/>
        <w:gridCol w:w="1134"/>
        <w:gridCol w:w="1304"/>
      </w:tblGrid>
      <w:tr w:rsidR="00387A07" w:rsidRPr="00E17E1F" w:rsidTr="00387A07">
        <w:trPr>
          <w:trHeight w:val="397"/>
        </w:trPr>
        <w:tc>
          <w:tcPr>
            <w:tcW w:w="820" w:type="dxa"/>
            <w:vMerge w:val="restart"/>
            <w:tcBorders>
              <w:top w:val="single" w:sz="4" w:space="0" w:color="auto"/>
              <w:left w:val="nil"/>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R</w:t>
            </w:r>
          </w:p>
        </w:tc>
        <w:tc>
          <w:tcPr>
            <w:tcW w:w="2438" w:type="dxa"/>
            <w:gridSpan w:val="2"/>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PLA</w:t>
            </w:r>
          </w:p>
        </w:tc>
        <w:tc>
          <w:tcPr>
            <w:tcW w:w="2438" w:type="dxa"/>
            <w:gridSpan w:val="2"/>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PCL</w:t>
            </w:r>
          </w:p>
        </w:tc>
        <w:tc>
          <w:tcPr>
            <w:tcW w:w="2438" w:type="dxa"/>
            <w:gridSpan w:val="2"/>
            <w:tcBorders>
              <w:top w:val="single" w:sz="4" w:space="0" w:color="auto"/>
              <w:bottom w:val="single" w:sz="4" w:space="0" w:color="auto"/>
              <w:right w:val="nil"/>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C-BC2000</w:t>
            </w:r>
          </w:p>
        </w:tc>
      </w:tr>
      <w:tr w:rsidR="00387A07" w:rsidRPr="00E17E1F" w:rsidTr="00387A07">
        <w:trPr>
          <w:trHeight w:val="283"/>
        </w:trPr>
        <w:tc>
          <w:tcPr>
            <w:tcW w:w="820" w:type="dxa"/>
            <w:vMerge/>
            <w:tcBorders>
              <w:left w:val="nil"/>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rPr>
            </w:pPr>
          </w:p>
        </w:tc>
        <w:tc>
          <w:tcPr>
            <w:tcW w:w="113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Size [nm]</w:t>
            </w:r>
          </w:p>
        </w:tc>
        <w:tc>
          <w:tcPr>
            <w:tcW w:w="130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PDI</w:t>
            </w:r>
          </w:p>
        </w:tc>
        <w:tc>
          <w:tcPr>
            <w:tcW w:w="113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Size [nm]</w:t>
            </w:r>
          </w:p>
        </w:tc>
        <w:tc>
          <w:tcPr>
            <w:tcW w:w="130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PDI</w:t>
            </w:r>
          </w:p>
        </w:tc>
        <w:tc>
          <w:tcPr>
            <w:tcW w:w="113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Size [nm]</w:t>
            </w:r>
          </w:p>
        </w:tc>
        <w:tc>
          <w:tcPr>
            <w:tcW w:w="1304" w:type="dxa"/>
            <w:tcBorders>
              <w:top w:val="single" w:sz="4" w:space="0" w:color="auto"/>
              <w:bottom w:val="single" w:sz="4" w:space="0" w:color="auto"/>
              <w:right w:val="nil"/>
            </w:tcBorders>
            <w:shd w:val="clear" w:color="auto" w:fill="D9D9D9" w:themeFill="background1" w:themeFillShade="D9"/>
            <w:vAlign w:val="center"/>
          </w:tcPr>
          <w:p w:rsidR="00387A07" w:rsidRPr="00E17E1F" w:rsidRDefault="00387A07" w:rsidP="00387A07">
            <w:pPr>
              <w:spacing w:after="0" w:line="360" w:lineRule="auto"/>
              <w:jc w:val="center"/>
              <w:rPr>
                <w:rFonts w:cs="Calibri"/>
                <w:b/>
              </w:rPr>
            </w:pPr>
            <w:r w:rsidRPr="00E17E1F">
              <w:rPr>
                <w:rFonts w:cs="Calibri"/>
                <w:b/>
              </w:rPr>
              <w:t>PDI</w:t>
            </w:r>
          </w:p>
        </w:tc>
      </w:tr>
      <w:tr w:rsidR="00387A07" w:rsidRPr="00E17E1F" w:rsidTr="00387A07">
        <w:trPr>
          <w:trHeight w:val="329"/>
        </w:trPr>
        <w:tc>
          <w:tcPr>
            <w:tcW w:w="820" w:type="dxa"/>
            <w:tcBorders>
              <w:top w:val="single" w:sz="4" w:space="0" w:color="auto"/>
              <w:left w:val="nil"/>
            </w:tcBorders>
            <w:shd w:val="clear" w:color="auto" w:fill="D9D9D9" w:themeFill="background1" w:themeFillShade="D9"/>
            <w:vAlign w:val="center"/>
          </w:tcPr>
          <w:p w:rsidR="00387A07" w:rsidRPr="00E17E1F" w:rsidRDefault="00387A07" w:rsidP="00387A07">
            <w:pPr>
              <w:spacing w:after="0"/>
              <w:jc w:val="center"/>
              <w:rPr>
                <w:rFonts w:cs="Calibri"/>
                <w:bCs/>
                <w:color w:val="000000"/>
              </w:rPr>
            </w:pPr>
            <w:r w:rsidRPr="00E17E1F">
              <w:rPr>
                <w:rFonts w:cs="Calibri"/>
                <w:bCs/>
                <w:color w:val="000000"/>
              </w:rPr>
              <w:t>0,5</w:t>
            </w:r>
          </w:p>
        </w:tc>
        <w:tc>
          <w:tcPr>
            <w:tcW w:w="1134" w:type="dxa"/>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151 ± 1</w:t>
            </w:r>
          </w:p>
        </w:tc>
        <w:tc>
          <w:tcPr>
            <w:tcW w:w="1304" w:type="dxa"/>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0.15 ± 0.03</w:t>
            </w:r>
          </w:p>
        </w:tc>
        <w:tc>
          <w:tcPr>
            <w:tcW w:w="1134" w:type="dxa"/>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310 ± 3</w:t>
            </w:r>
          </w:p>
        </w:tc>
        <w:tc>
          <w:tcPr>
            <w:tcW w:w="1304" w:type="dxa"/>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0.05 ± 0.03</w:t>
            </w:r>
          </w:p>
        </w:tc>
        <w:tc>
          <w:tcPr>
            <w:tcW w:w="1134" w:type="dxa"/>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315 ± 6</w:t>
            </w:r>
          </w:p>
        </w:tc>
        <w:tc>
          <w:tcPr>
            <w:tcW w:w="1304" w:type="dxa"/>
            <w:tcBorders>
              <w:top w:val="single" w:sz="4" w:space="0" w:color="auto"/>
              <w:right w:val="nil"/>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0.23 ± 0.03</w:t>
            </w:r>
          </w:p>
        </w:tc>
      </w:tr>
      <w:tr w:rsidR="00387A07" w:rsidRPr="00E17E1F" w:rsidTr="00387A07">
        <w:trPr>
          <w:trHeight w:val="329"/>
        </w:trPr>
        <w:tc>
          <w:tcPr>
            <w:tcW w:w="820" w:type="dxa"/>
            <w:tcBorders>
              <w:left w:val="nil"/>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Cs/>
                <w:color w:val="000000"/>
              </w:rPr>
            </w:pPr>
            <w:r w:rsidRPr="00E17E1F">
              <w:rPr>
                <w:rFonts w:cs="Calibri"/>
                <w:bCs/>
                <w:color w:val="000000"/>
              </w:rPr>
              <w:t>1</w:t>
            </w:r>
          </w:p>
        </w:tc>
        <w:tc>
          <w:tcPr>
            <w:tcW w:w="1134" w:type="dxa"/>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213 ± 28</w:t>
            </w:r>
          </w:p>
        </w:tc>
        <w:tc>
          <w:tcPr>
            <w:tcW w:w="1304" w:type="dxa"/>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lang w:val="en-US"/>
              </w:rPr>
              <w:t>0.09 ± 0.02</w:t>
            </w:r>
          </w:p>
        </w:tc>
        <w:tc>
          <w:tcPr>
            <w:tcW w:w="1134" w:type="dxa"/>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211 ± 36</w:t>
            </w:r>
          </w:p>
        </w:tc>
        <w:tc>
          <w:tcPr>
            <w:tcW w:w="1304" w:type="dxa"/>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lang w:val="en-US"/>
              </w:rPr>
              <w:t>0.12 ± 0.06</w:t>
            </w:r>
          </w:p>
        </w:tc>
        <w:tc>
          <w:tcPr>
            <w:tcW w:w="1134" w:type="dxa"/>
            <w:tcBorders>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color w:val="000000"/>
              </w:rPr>
              <w:t>226 ± 13</w:t>
            </w:r>
          </w:p>
        </w:tc>
        <w:tc>
          <w:tcPr>
            <w:tcW w:w="1304" w:type="dxa"/>
            <w:tcBorders>
              <w:bottom w:val="single" w:sz="4" w:space="0" w:color="auto"/>
              <w:right w:val="nil"/>
            </w:tcBorders>
            <w:shd w:val="clear" w:color="auto" w:fill="D9D9D9" w:themeFill="background1" w:themeFillShade="D9"/>
            <w:vAlign w:val="center"/>
          </w:tcPr>
          <w:p w:rsidR="00387A07" w:rsidRPr="00E17E1F" w:rsidRDefault="00387A07" w:rsidP="00387A07">
            <w:pPr>
              <w:spacing w:after="0"/>
              <w:jc w:val="center"/>
              <w:rPr>
                <w:rFonts w:cs="Calibri"/>
                <w:color w:val="000000"/>
              </w:rPr>
            </w:pPr>
            <w:r w:rsidRPr="00E17E1F">
              <w:rPr>
                <w:rFonts w:cs="Calibri"/>
                <w:lang w:val="en-US"/>
              </w:rPr>
              <w:t>0.10 ± 0.01</w:t>
            </w:r>
          </w:p>
        </w:tc>
      </w:tr>
    </w:tbl>
    <w:p w:rsidR="00387A07" w:rsidRPr="00E17E1F" w:rsidRDefault="00387A07" w:rsidP="00387A07"/>
    <w:p w:rsidR="00387A07" w:rsidRPr="00E17E1F" w:rsidRDefault="00387A07" w:rsidP="00387A07"/>
    <w:p w:rsidR="00387A07" w:rsidRPr="00E17E1F" w:rsidRDefault="00387A07" w:rsidP="00387A07"/>
    <w:p w:rsidR="00387A07" w:rsidRPr="00E17E1F" w:rsidRDefault="00387A07" w:rsidP="00387A07">
      <w:pPr>
        <w:pStyle w:val="Didascalia"/>
        <w:spacing w:before="120"/>
        <w:rPr>
          <w:rFonts w:ascii="Arial" w:hAnsi="Arial" w:cs="Arial"/>
          <w:bCs w:val="0"/>
          <w:sz w:val="24"/>
          <w:szCs w:val="24"/>
        </w:rPr>
      </w:pPr>
      <w:r w:rsidRPr="00E17E1F">
        <w:t xml:space="preserve">Table 2. </w:t>
      </w:r>
      <w:fldSimple w:instr=" SEQ Table_2. \* ARABIC ">
        <w:r w:rsidRPr="00E17E1F">
          <w:rPr>
            <w:noProof/>
          </w:rPr>
          <w:t>4</w:t>
        </w:r>
      </w:fldSimple>
      <w:r w:rsidRPr="00E17E1F">
        <w:t xml:space="preserve"> Size and PDI of nanoparticles prepared at different polymer/surfactant ratio. Results are reported as mean ± standard deviation (n=5).</w:t>
      </w:r>
    </w:p>
    <w:p w:rsidR="00387A07"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A polymer/surfactant ratio of 1 was selected for Paclitaxel encapsulation and for cellular tests, since it leads to a similar size distribution for all the three polymers.</w:t>
      </w:r>
    </w:p>
    <w:p w:rsidR="005F30E0" w:rsidRPr="00B03900" w:rsidRDefault="005F30E0" w:rsidP="00387A07">
      <w:pPr>
        <w:spacing w:after="0" w:line="360" w:lineRule="auto"/>
        <w:jc w:val="both"/>
        <w:rPr>
          <w:rFonts w:ascii="Arial" w:hAnsi="Arial" w:cs="Arial"/>
          <w:bCs/>
          <w:sz w:val="24"/>
          <w:szCs w:val="24"/>
        </w:rPr>
      </w:pPr>
    </w:p>
    <w:p w:rsidR="00387A07" w:rsidRPr="00E17E1F" w:rsidRDefault="00387A07" w:rsidP="00387A07">
      <w:pPr>
        <w:spacing w:before="240" w:after="240" w:line="360" w:lineRule="auto"/>
        <w:jc w:val="both"/>
        <w:rPr>
          <w:rFonts w:ascii="Arial" w:hAnsi="Arial" w:cs="Arial"/>
          <w:b/>
          <w:bCs/>
          <w:i/>
          <w:sz w:val="24"/>
          <w:szCs w:val="24"/>
        </w:rPr>
      </w:pPr>
      <w:r w:rsidRPr="00E17E1F">
        <w:rPr>
          <w:rFonts w:ascii="Arial" w:hAnsi="Arial" w:cs="Arial"/>
          <w:b/>
          <w:bCs/>
          <w:i/>
          <w:sz w:val="24"/>
          <w:szCs w:val="24"/>
        </w:rPr>
        <w:lastRenderedPageBreak/>
        <w:t>2.3.3.2 Preparation &amp; characterization of Paclitaxel-loaded Nanoparticles.</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 xml:space="preserve">As stated in the previous section, the optimal conditions for all the three polymers are achieved when a polymer/surfactant ratio R=1 and a polymer concentration of 0.6% w/v are selected.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In these conditions, Paclitaxel loaded nanoparticles were prepared at a theoretical drug/polymer ratio of 3% w/w.</w:t>
      </w:r>
    </w:p>
    <w:p w:rsidR="00550A30" w:rsidRPr="00E17E1F" w:rsidRDefault="00387A07" w:rsidP="00387A07">
      <w:pPr>
        <w:spacing w:after="120" w:line="360" w:lineRule="auto"/>
        <w:jc w:val="both"/>
        <w:rPr>
          <w:rFonts w:ascii="Arial" w:hAnsi="Arial" w:cs="Arial"/>
          <w:bCs/>
          <w:sz w:val="24"/>
          <w:szCs w:val="24"/>
        </w:rPr>
      </w:pPr>
      <w:r w:rsidRPr="00E17E1F">
        <w:rPr>
          <w:rFonts w:ascii="Arial" w:hAnsi="Arial" w:cs="Arial"/>
          <w:bCs/>
          <w:sz w:val="24"/>
          <w:szCs w:val="24"/>
        </w:rPr>
        <w:t>The mean particles size, Polydispersity index (PDI) and Zeta potential of nanoparticles were measured on plain as well as on drug loaded particles. These results are summarized in table 2.5 as mean ± standard deviation, calculated as the average of five runs.</w:t>
      </w:r>
    </w:p>
    <w:tbl>
      <w:tblPr>
        <w:tblpPr w:leftFromText="141" w:rightFromText="141" w:vertAnchor="text" w:horzAnchor="margin" w:tblpXSpec="center" w:tblpY="179"/>
        <w:tblW w:w="0" w:type="auto"/>
        <w:tblBorders>
          <w:top w:val="single" w:sz="4" w:space="0" w:color="000000"/>
          <w:left w:val="single" w:sz="4" w:space="0" w:color="000000"/>
          <w:bottom w:val="single" w:sz="4" w:space="0" w:color="000000"/>
          <w:right w:val="single" w:sz="4" w:space="0" w:color="000000"/>
          <w:insideV w:val="single" w:sz="4" w:space="0" w:color="000000"/>
        </w:tblBorders>
        <w:shd w:val="clear" w:color="auto" w:fill="D9D9D9" w:themeFill="background1" w:themeFillShade="D9"/>
        <w:tblLook w:val="00A0"/>
      </w:tblPr>
      <w:tblGrid>
        <w:gridCol w:w="1390"/>
        <w:gridCol w:w="1191"/>
        <w:gridCol w:w="1502"/>
        <w:gridCol w:w="1304"/>
        <w:gridCol w:w="1191"/>
        <w:gridCol w:w="1502"/>
        <w:gridCol w:w="1304"/>
      </w:tblGrid>
      <w:tr w:rsidR="00387A07" w:rsidRPr="00E17E1F" w:rsidTr="00387A07">
        <w:trPr>
          <w:trHeight w:val="135"/>
        </w:trPr>
        <w:tc>
          <w:tcPr>
            <w:tcW w:w="1390" w:type="dxa"/>
            <w:vMerge w:val="restart"/>
            <w:tcBorders>
              <w:top w:val="single" w:sz="4" w:space="0" w:color="000000"/>
              <w:left w:val="nil"/>
              <w:right w:val="nil"/>
            </w:tcBorders>
            <w:shd w:val="clear" w:color="auto" w:fill="D9D9D9" w:themeFill="background1" w:themeFillShade="D9"/>
            <w:vAlign w:val="center"/>
          </w:tcPr>
          <w:p w:rsidR="00387A07" w:rsidRPr="00E17E1F" w:rsidRDefault="00387A07" w:rsidP="00387A07">
            <w:pPr>
              <w:spacing w:after="0"/>
              <w:jc w:val="center"/>
              <w:rPr>
                <w:rFonts w:cs="Calibri"/>
                <w:b/>
                <w:lang w:val="en-US"/>
              </w:rPr>
            </w:pPr>
            <w:r w:rsidRPr="00E17E1F">
              <w:rPr>
                <w:rFonts w:cs="Calibri"/>
                <w:b/>
                <w:lang w:val="en-US"/>
              </w:rPr>
              <w:t>Material</w:t>
            </w:r>
          </w:p>
        </w:tc>
        <w:tc>
          <w:tcPr>
            <w:tcW w:w="3997" w:type="dxa"/>
            <w:gridSpan w:val="3"/>
            <w:tcBorders>
              <w:top w:val="single" w:sz="4" w:space="0" w:color="000000"/>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PLAIN PARTICLES</w:t>
            </w:r>
          </w:p>
        </w:tc>
        <w:tc>
          <w:tcPr>
            <w:tcW w:w="3997" w:type="dxa"/>
            <w:gridSpan w:val="3"/>
            <w:tcBorders>
              <w:top w:val="single" w:sz="4" w:space="0" w:color="000000"/>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PX-LOADED PARTICLES</w:t>
            </w:r>
          </w:p>
        </w:tc>
      </w:tr>
      <w:tr w:rsidR="00387A07" w:rsidRPr="00E17E1F" w:rsidTr="00387A07">
        <w:trPr>
          <w:trHeight w:val="135"/>
        </w:trPr>
        <w:tc>
          <w:tcPr>
            <w:tcW w:w="1390" w:type="dxa"/>
            <w:vMerge/>
            <w:tcBorders>
              <w:left w:val="nil"/>
              <w:bottom w:val="single" w:sz="4" w:space="0" w:color="auto"/>
              <w:right w:val="nil"/>
            </w:tcBorders>
            <w:shd w:val="clear" w:color="auto" w:fill="D9D9D9" w:themeFill="background1" w:themeFillShade="D9"/>
          </w:tcPr>
          <w:p w:rsidR="00387A07" w:rsidRPr="00E17E1F" w:rsidRDefault="00387A07" w:rsidP="00387A07">
            <w:pPr>
              <w:spacing w:after="0"/>
              <w:rPr>
                <w:rFonts w:cs="Calibri"/>
                <w:b/>
                <w:lang w:val="en-US"/>
              </w:rPr>
            </w:pPr>
          </w:p>
        </w:tc>
        <w:tc>
          <w:tcPr>
            <w:tcW w:w="1191"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Size (nm)</w:t>
            </w:r>
          </w:p>
        </w:tc>
        <w:tc>
          <w:tcPr>
            <w:tcW w:w="1502"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Zeta Potential</w:t>
            </w:r>
          </w:p>
        </w:tc>
        <w:tc>
          <w:tcPr>
            <w:tcW w:w="1304"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PDI</w:t>
            </w:r>
          </w:p>
        </w:tc>
        <w:tc>
          <w:tcPr>
            <w:tcW w:w="1191"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Size (nm)</w:t>
            </w:r>
          </w:p>
        </w:tc>
        <w:tc>
          <w:tcPr>
            <w:tcW w:w="1502"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Zeta Potential</w:t>
            </w:r>
          </w:p>
        </w:tc>
        <w:tc>
          <w:tcPr>
            <w:tcW w:w="1304" w:type="dxa"/>
            <w:tcBorders>
              <w:top w:val="single" w:sz="4" w:space="0" w:color="auto"/>
              <w:left w:val="nil"/>
              <w:bottom w:val="single" w:sz="4" w:space="0" w:color="auto"/>
              <w:right w:val="nil"/>
            </w:tcBorders>
            <w:shd w:val="clear" w:color="auto" w:fill="D9D9D9" w:themeFill="background1" w:themeFillShade="D9"/>
          </w:tcPr>
          <w:p w:rsidR="00387A07" w:rsidRPr="00E17E1F" w:rsidRDefault="00387A07" w:rsidP="00387A07">
            <w:pPr>
              <w:spacing w:after="0"/>
              <w:jc w:val="center"/>
              <w:rPr>
                <w:rFonts w:cs="Calibri"/>
                <w:b/>
                <w:lang w:val="en-US"/>
              </w:rPr>
            </w:pPr>
            <w:r w:rsidRPr="00E17E1F">
              <w:rPr>
                <w:rFonts w:cs="Calibri"/>
                <w:b/>
                <w:lang w:val="en-US"/>
              </w:rPr>
              <w:t>PDI</w:t>
            </w:r>
          </w:p>
        </w:tc>
      </w:tr>
      <w:tr w:rsidR="00387A07" w:rsidRPr="00E17E1F" w:rsidTr="00387A07">
        <w:tc>
          <w:tcPr>
            <w:tcW w:w="1390" w:type="dxa"/>
            <w:tcBorders>
              <w:top w:val="single" w:sz="4" w:space="0" w:color="auto"/>
              <w:left w:val="nil"/>
              <w:right w:val="nil"/>
            </w:tcBorders>
            <w:shd w:val="clear" w:color="auto" w:fill="D9D9D9" w:themeFill="background1" w:themeFillShade="D9"/>
          </w:tcPr>
          <w:p w:rsidR="00387A07" w:rsidRPr="00E17E1F" w:rsidRDefault="00387A07" w:rsidP="00387A07">
            <w:pPr>
              <w:spacing w:after="0"/>
              <w:jc w:val="center"/>
              <w:rPr>
                <w:rFonts w:cs="Calibri"/>
                <w:lang w:val="en-US"/>
              </w:rPr>
            </w:pPr>
            <w:r w:rsidRPr="00E17E1F">
              <w:rPr>
                <w:rFonts w:cs="Calibri"/>
                <w:lang w:val="en-US"/>
              </w:rPr>
              <w:t>PCL</w:t>
            </w:r>
          </w:p>
        </w:tc>
        <w:tc>
          <w:tcPr>
            <w:tcW w:w="1191"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211 ± 36</w:t>
            </w:r>
          </w:p>
        </w:tc>
        <w:tc>
          <w:tcPr>
            <w:tcW w:w="1502"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-28.6 ± 0.50</w:t>
            </w:r>
          </w:p>
        </w:tc>
        <w:tc>
          <w:tcPr>
            <w:tcW w:w="1304"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0.12 ± 0.06</w:t>
            </w:r>
          </w:p>
        </w:tc>
        <w:tc>
          <w:tcPr>
            <w:tcW w:w="1191"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color w:val="FF0000"/>
                <w:lang w:val="en-US"/>
              </w:rPr>
            </w:pPr>
            <w:r w:rsidRPr="00E17E1F">
              <w:rPr>
                <w:rFonts w:cs="Calibri"/>
              </w:rPr>
              <w:t>233 ± 2</w:t>
            </w:r>
          </w:p>
        </w:tc>
        <w:tc>
          <w:tcPr>
            <w:tcW w:w="1502"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-21.2 ± 1.1</w:t>
            </w:r>
          </w:p>
        </w:tc>
        <w:tc>
          <w:tcPr>
            <w:tcW w:w="1304" w:type="dxa"/>
            <w:tcBorders>
              <w:top w:val="single" w:sz="4" w:space="0" w:color="auto"/>
              <w:left w:val="nil"/>
              <w:bottom w:val="nil"/>
              <w:right w:val="nil"/>
            </w:tcBorders>
            <w:shd w:val="clear" w:color="auto" w:fill="D9D9D9" w:themeFill="background1" w:themeFillShade="D9"/>
          </w:tcPr>
          <w:p w:rsidR="00387A07" w:rsidRPr="00E17E1F" w:rsidRDefault="00387A07" w:rsidP="00387A07">
            <w:pPr>
              <w:spacing w:after="0"/>
              <w:rPr>
                <w:rFonts w:cs="Calibri"/>
                <w:color w:val="FF0000"/>
                <w:lang w:val="en-US"/>
              </w:rPr>
            </w:pPr>
            <w:r w:rsidRPr="00E17E1F">
              <w:rPr>
                <w:rFonts w:cs="Calibri"/>
              </w:rPr>
              <w:t>0.25 ± 0.01</w:t>
            </w:r>
          </w:p>
        </w:tc>
      </w:tr>
      <w:tr w:rsidR="00387A07" w:rsidRPr="00E17E1F" w:rsidTr="00387A07">
        <w:tc>
          <w:tcPr>
            <w:tcW w:w="1390" w:type="dxa"/>
            <w:tcBorders>
              <w:left w:val="nil"/>
              <w:right w:val="nil"/>
            </w:tcBorders>
            <w:shd w:val="clear" w:color="auto" w:fill="D9D9D9" w:themeFill="background1" w:themeFillShade="D9"/>
          </w:tcPr>
          <w:p w:rsidR="00387A07" w:rsidRPr="00E17E1F" w:rsidRDefault="00387A07" w:rsidP="00387A07">
            <w:pPr>
              <w:spacing w:after="0"/>
              <w:jc w:val="center"/>
              <w:rPr>
                <w:rFonts w:cs="Calibri"/>
                <w:lang w:val="en-US"/>
              </w:rPr>
            </w:pPr>
            <w:r w:rsidRPr="00E17E1F">
              <w:rPr>
                <w:rFonts w:cs="Calibri"/>
                <w:lang w:val="en-US"/>
              </w:rPr>
              <w:t>PLA</w:t>
            </w:r>
          </w:p>
        </w:tc>
        <w:tc>
          <w:tcPr>
            <w:tcW w:w="1191"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213 ± 28</w:t>
            </w:r>
          </w:p>
        </w:tc>
        <w:tc>
          <w:tcPr>
            <w:tcW w:w="1502"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-28.7 ± 0.88</w:t>
            </w:r>
          </w:p>
        </w:tc>
        <w:tc>
          <w:tcPr>
            <w:tcW w:w="1304"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0.09 ± 0.02</w:t>
            </w:r>
          </w:p>
        </w:tc>
        <w:tc>
          <w:tcPr>
            <w:tcW w:w="1191"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218 ± 12</w:t>
            </w:r>
          </w:p>
        </w:tc>
        <w:tc>
          <w:tcPr>
            <w:tcW w:w="1502"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-19.8 ± 3.2</w:t>
            </w:r>
          </w:p>
        </w:tc>
        <w:tc>
          <w:tcPr>
            <w:tcW w:w="1304" w:type="dxa"/>
            <w:tcBorders>
              <w:top w:val="nil"/>
              <w:left w:val="nil"/>
              <w:bottom w:val="nil"/>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0.12 ± 0.04</w:t>
            </w:r>
          </w:p>
        </w:tc>
      </w:tr>
      <w:tr w:rsidR="00387A07" w:rsidRPr="00E17E1F" w:rsidTr="00387A07">
        <w:tc>
          <w:tcPr>
            <w:tcW w:w="1390" w:type="dxa"/>
            <w:tcBorders>
              <w:left w:val="nil"/>
              <w:bottom w:val="single" w:sz="4" w:space="0" w:color="000000"/>
              <w:right w:val="nil"/>
            </w:tcBorders>
            <w:shd w:val="clear" w:color="auto" w:fill="D9D9D9" w:themeFill="background1" w:themeFillShade="D9"/>
          </w:tcPr>
          <w:p w:rsidR="00387A07" w:rsidRPr="00E17E1F" w:rsidRDefault="00387A07" w:rsidP="00387A07">
            <w:pPr>
              <w:spacing w:after="0"/>
              <w:jc w:val="center"/>
              <w:rPr>
                <w:rFonts w:cs="Calibri"/>
                <w:lang w:val="en-US"/>
              </w:rPr>
            </w:pPr>
            <w:r w:rsidRPr="00E17E1F">
              <w:rPr>
                <w:rFonts w:cs="Calibri"/>
                <w:lang w:val="en-US"/>
              </w:rPr>
              <w:t>C-BC2000</w:t>
            </w:r>
          </w:p>
        </w:tc>
        <w:tc>
          <w:tcPr>
            <w:tcW w:w="1191"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226 ± 13</w:t>
            </w:r>
          </w:p>
        </w:tc>
        <w:tc>
          <w:tcPr>
            <w:tcW w:w="1502"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-28.9 ± 0.33</w:t>
            </w:r>
          </w:p>
        </w:tc>
        <w:tc>
          <w:tcPr>
            <w:tcW w:w="1304"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0.10 ± 0.01</w:t>
            </w:r>
          </w:p>
        </w:tc>
        <w:tc>
          <w:tcPr>
            <w:tcW w:w="1191"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color w:val="FF0000"/>
                <w:lang w:val="en-US"/>
              </w:rPr>
            </w:pPr>
            <w:r w:rsidRPr="00E17E1F">
              <w:rPr>
                <w:rFonts w:cs="Calibri"/>
              </w:rPr>
              <w:t>162 ± 4</w:t>
            </w:r>
          </w:p>
        </w:tc>
        <w:tc>
          <w:tcPr>
            <w:tcW w:w="1502"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lang w:val="en-US"/>
              </w:rPr>
            </w:pPr>
            <w:r w:rsidRPr="00E17E1F">
              <w:rPr>
                <w:rFonts w:cs="Calibri"/>
                <w:lang w:val="en-US"/>
              </w:rPr>
              <w:t>-21.3 ± 1.5</w:t>
            </w:r>
          </w:p>
        </w:tc>
        <w:tc>
          <w:tcPr>
            <w:tcW w:w="1304" w:type="dxa"/>
            <w:tcBorders>
              <w:top w:val="nil"/>
              <w:left w:val="nil"/>
              <w:bottom w:val="single" w:sz="4" w:space="0" w:color="000000"/>
              <w:right w:val="nil"/>
            </w:tcBorders>
            <w:shd w:val="clear" w:color="auto" w:fill="D9D9D9" w:themeFill="background1" w:themeFillShade="D9"/>
          </w:tcPr>
          <w:p w:rsidR="00387A07" w:rsidRPr="00E17E1F" w:rsidRDefault="00387A07" w:rsidP="00387A07">
            <w:pPr>
              <w:spacing w:after="0"/>
              <w:rPr>
                <w:rFonts w:cs="Calibri"/>
                <w:color w:val="FF0000"/>
                <w:lang w:val="en-US"/>
              </w:rPr>
            </w:pPr>
            <w:r w:rsidRPr="00E17E1F">
              <w:rPr>
                <w:rFonts w:cs="Calibri"/>
              </w:rPr>
              <w:t>0.15 ± 0.01</w:t>
            </w:r>
          </w:p>
        </w:tc>
      </w:tr>
    </w:tbl>
    <w:p w:rsidR="00387A07" w:rsidRPr="00E17E1F" w:rsidRDefault="00387A07" w:rsidP="00387A07">
      <w:pPr>
        <w:pStyle w:val="Didascalia"/>
        <w:spacing w:before="120"/>
      </w:pPr>
      <w:r w:rsidRPr="00E17E1F">
        <w:t xml:space="preserve">Table 2. </w:t>
      </w:r>
      <w:fldSimple w:instr=" SEQ Table_2. \* ARABIC ">
        <w:r w:rsidRPr="00E17E1F">
          <w:rPr>
            <w:noProof/>
          </w:rPr>
          <w:t>5</w:t>
        </w:r>
      </w:fldSimple>
      <w:r w:rsidRPr="00E17E1F">
        <w:t xml:space="preserve"> Mean size, zeta potential and PDI of nanoparticles prepared with different polymers, before and after drug loading.</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The encapsulation of the drug did not affect the mean size or the size distribution of nanoparticles.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sz w:val="24"/>
          <w:szCs w:val="24"/>
        </w:rPr>
        <w:t>All particles exhibit</w:t>
      </w:r>
      <w:r w:rsidRPr="00E17E1F">
        <w:rPr>
          <w:rFonts w:ascii="Arial" w:hAnsi="Arial" w:cs="Arial"/>
          <w:bCs/>
          <w:sz w:val="24"/>
          <w:szCs w:val="24"/>
        </w:rPr>
        <w:t xml:space="preserve"> a low polydispersity index</w:t>
      </w:r>
      <w:r w:rsidRPr="00E17E1F">
        <w:rPr>
          <w:rFonts w:ascii="Arial" w:hAnsi="Arial" w:cs="Arial"/>
          <w:sz w:val="24"/>
          <w:szCs w:val="24"/>
        </w:rPr>
        <w:t xml:space="preserve"> and a highly negative surface charge, which </w:t>
      </w:r>
      <w:r w:rsidRPr="00E17E1F">
        <w:rPr>
          <w:rFonts w:ascii="Arial" w:hAnsi="Arial" w:cs="Arial"/>
          <w:color w:val="000000"/>
          <w:sz w:val="24"/>
          <w:szCs w:val="24"/>
          <w:lang w:val="en-US"/>
        </w:rPr>
        <w:t>provides extra stability in water</w:t>
      </w:r>
      <w:r w:rsidRPr="00E17E1F">
        <w:rPr>
          <w:rFonts w:ascii="Arial" w:hAnsi="Arial" w:cs="Arial"/>
          <w:sz w:val="24"/>
          <w:szCs w:val="24"/>
        </w:rPr>
        <w:t xml:space="preserve"> by preventing aggregation.</w:t>
      </w:r>
      <w:r w:rsidRPr="00E17E1F">
        <w:rPr>
          <w:rFonts w:ascii="Arial" w:hAnsi="Arial" w:cs="Arial"/>
          <w:bCs/>
          <w:sz w:val="24"/>
          <w:szCs w:val="24"/>
        </w:rPr>
        <w:t xml:space="preserve">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 xml:space="preserve">Results from SEM analysis on plain and Paclitaxel-loaded nanoparticles are reported in figure 2.7.2. </w:t>
      </w:r>
    </w:p>
    <w:p w:rsidR="00387A07" w:rsidRPr="00E17E1F" w:rsidRDefault="00387A07" w:rsidP="00387A07">
      <w:pPr>
        <w:spacing w:after="0" w:line="360" w:lineRule="auto"/>
        <w:jc w:val="both"/>
        <w:rPr>
          <w:rFonts w:ascii="Arial" w:hAnsi="Arial" w:cs="Arial"/>
          <w:bCs/>
          <w:sz w:val="24"/>
          <w:szCs w:val="24"/>
        </w:rPr>
      </w:pPr>
      <w:r w:rsidRPr="00E17E1F">
        <w:rPr>
          <w:noProof/>
          <w:lang w:val="en-US" w:eastAsia="it-IT"/>
        </w:rPr>
        <w:t xml:space="preserve"> </w:t>
      </w:r>
      <w:r w:rsidRPr="00E17E1F">
        <w:rPr>
          <w:rFonts w:ascii="Arial" w:hAnsi="Arial" w:cs="Arial"/>
          <w:bCs/>
          <w:sz w:val="24"/>
          <w:szCs w:val="24"/>
        </w:rPr>
        <w:t xml:space="preserve">Nanoparticles with regular spherical morphology were successfully obtained with the Solvent Displacement Method with both commercial polyesters and the new Polyestherurethane C-BC2000.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SEM micrographs confirm the results from particles size analysis, in fact all particles exhibit nanosized dimensions with a distinct and well-defined spherical shape. Little or none coalescence is observed in any case.</w:t>
      </w:r>
    </w:p>
    <w:p w:rsidR="00387A07" w:rsidRPr="00E17E1F" w:rsidRDefault="00387A07" w:rsidP="00387A07">
      <w:pPr>
        <w:spacing w:after="120" w:line="360" w:lineRule="auto"/>
        <w:jc w:val="both"/>
        <w:rPr>
          <w:rFonts w:ascii="Arial" w:hAnsi="Arial" w:cs="Arial"/>
          <w:bCs/>
          <w:sz w:val="24"/>
          <w:szCs w:val="24"/>
        </w:rPr>
      </w:pPr>
      <w:r w:rsidRPr="00E17E1F">
        <w:rPr>
          <w:rFonts w:ascii="Arial" w:hAnsi="Arial" w:cs="Arial"/>
          <w:bCs/>
          <w:sz w:val="24"/>
          <w:szCs w:val="24"/>
        </w:rPr>
        <w:t>AFM analysis, performed on plain nanoparticles, further confirms these results, as reported in figure 2.7.1</w:t>
      </w:r>
    </w:p>
    <w:p w:rsidR="00387A07" w:rsidRPr="00E17E1F" w:rsidRDefault="00387A07" w:rsidP="00387A07">
      <w:pPr>
        <w:spacing w:after="120" w:line="360" w:lineRule="auto"/>
        <w:jc w:val="both"/>
        <w:rPr>
          <w:rFonts w:ascii="Arial" w:hAnsi="Arial" w:cs="Arial"/>
          <w:bCs/>
          <w:sz w:val="24"/>
          <w:szCs w:val="24"/>
        </w:rPr>
      </w:pPr>
      <w:r w:rsidRPr="00E17E1F">
        <w:rPr>
          <w:rFonts w:ascii="Arial" w:hAnsi="Arial" w:cs="Arial"/>
          <w:bCs/>
          <w:noProof/>
          <w:sz w:val="24"/>
          <w:szCs w:val="24"/>
          <w:lang w:val="it-IT" w:eastAsia="it-IT"/>
        </w:rPr>
        <w:lastRenderedPageBreak/>
        <w:drawing>
          <wp:inline distT="0" distB="0" distL="0" distR="0">
            <wp:extent cx="6120765" cy="1873250"/>
            <wp:effectExtent l="19050" t="0" r="0" b="0"/>
            <wp:docPr id="128" name="Immagine 62" descr="AFM C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M CAP 2.png"/>
                    <pic:cNvPicPr/>
                  </pic:nvPicPr>
                  <pic:blipFill>
                    <a:blip r:embed="rId31" cstate="print"/>
                    <a:stretch>
                      <a:fillRect/>
                    </a:stretch>
                  </pic:blipFill>
                  <pic:spPr>
                    <a:xfrm>
                      <a:off x="0" y="0"/>
                      <a:ext cx="6120765" cy="1873250"/>
                    </a:xfrm>
                    <a:prstGeom prst="rect">
                      <a:avLst/>
                    </a:prstGeom>
                  </pic:spPr>
                </pic:pic>
              </a:graphicData>
            </a:graphic>
          </wp:inline>
        </w:drawing>
      </w:r>
    </w:p>
    <w:p w:rsidR="00387A07" w:rsidRPr="00E17E1F" w:rsidRDefault="00387A07" w:rsidP="00387A07">
      <w:pPr>
        <w:pStyle w:val="Didascalia"/>
        <w:rPr>
          <w:rFonts w:ascii="Arial" w:hAnsi="Arial" w:cs="Arial"/>
          <w:bCs w:val="0"/>
          <w:sz w:val="24"/>
          <w:szCs w:val="24"/>
        </w:rPr>
      </w:pPr>
      <w:r w:rsidRPr="00E17E1F">
        <w:t xml:space="preserve">figure 3.7. </w:t>
      </w:r>
      <w:fldSimple w:instr=" SEQ figure_3.7. \* ARABIC ">
        <w:r w:rsidRPr="00E17E1F">
          <w:rPr>
            <w:noProof/>
          </w:rPr>
          <w:t>1</w:t>
        </w:r>
      </w:fldSimple>
      <w:r w:rsidRPr="00E17E1F">
        <w:t xml:space="preserve"> AFM images of PCL (left), C-BC2000 (middle) and PLA (right) nanoparticles.</w:t>
      </w:r>
    </w:p>
    <w:p w:rsidR="00387A07" w:rsidRPr="00E17E1F" w:rsidRDefault="00387A07" w:rsidP="00387A07">
      <w:pPr>
        <w:spacing w:before="120" w:after="0" w:line="360" w:lineRule="auto"/>
        <w:jc w:val="center"/>
        <w:rPr>
          <w:rFonts w:ascii="Arial" w:hAnsi="Arial" w:cs="Arial"/>
          <w:bCs/>
          <w:sz w:val="24"/>
          <w:szCs w:val="24"/>
        </w:rPr>
      </w:pPr>
      <w:r w:rsidRPr="00E17E1F">
        <w:rPr>
          <w:rFonts w:ascii="Arial" w:hAnsi="Arial" w:cs="Arial"/>
          <w:bCs/>
          <w:noProof/>
          <w:sz w:val="24"/>
          <w:szCs w:val="24"/>
          <w:lang w:val="it-IT" w:eastAsia="it-IT"/>
        </w:rPr>
        <w:drawing>
          <wp:inline distT="0" distB="0" distL="0" distR="0">
            <wp:extent cx="4114800" cy="4641693"/>
            <wp:effectExtent l="19050" t="0" r="0" b="0"/>
            <wp:docPr id="62" name="Immagine 61" descr="sem c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cap 2.png"/>
                    <pic:cNvPicPr/>
                  </pic:nvPicPr>
                  <pic:blipFill>
                    <a:blip r:embed="rId32"/>
                    <a:stretch>
                      <a:fillRect/>
                    </a:stretch>
                  </pic:blipFill>
                  <pic:spPr>
                    <a:xfrm>
                      <a:off x="0" y="0"/>
                      <a:ext cx="4118875" cy="4646290"/>
                    </a:xfrm>
                    <a:prstGeom prst="rect">
                      <a:avLst/>
                    </a:prstGeom>
                  </pic:spPr>
                </pic:pic>
              </a:graphicData>
            </a:graphic>
          </wp:inline>
        </w:drawing>
      </w:r>
    </w:p>
    <w:p w:rsidR="00387A07" w:rsidRPr="00E17E1F" w:rsidRDefault="00387A07" w:rsidP="00387A07">
      <w:pPr>
        <w:pStyle w:val="Didascalia"/>
      </w:pPr>
      <w:r w:rsidRPr="00E17E1F">
        <w:t>Figure 2. 7.2 SEM micrographs of plain (left) and Paclitaxel-loaded (right) nanoparticles prepared with different polymers: PCL (A and B), PLA (C and D) and C-BC2000 (E and F).</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Drug encapsulation efficiency was calculated in triplicate according to equation 2.1 for all particles. Results are reported in table 2.6 expressed as mean ± standard deviation.</w:t>
      </w:r>
    </w:p>
    <w:p w:rsidR="00387A07" w:rsidRPr="00E17E1F" w:rsidRDefault="00387A07" w:rsidP="00387A07">
      <w:pPr>
        <w:spacing w:after="120" w:line="360" w:lineRule="auto"/>
        <w:jc w:val="both"/>
        <w:rPr>
          <w:rFonts w:ascii="Arial" w:hAnsi="Arial" w:cs="Arial"/>
          <w:bCs/>
          <w:sz w:val="24"/>
          <w:szCs w:val="24"/>
        </w:rPr>
      </w:pPr>
      <w:r w:rsidRPr="00E17E1F">
        <w:rPr>
          <w:rFonts w:ascii="Arial" w:hAnsi="Arial" w:cs="Arial"/>
          <w:bCs/>
          <w:sz w:val="24"/>
          <w:szCs w:val="24"/>
        </w:rPr>
        <w:t xml:space="preserve">The polyurethane C-BC2000 shows a significantly higher drug loading efficiency (89%) when compared to the two commercial polyesters </w:t>
      </w:r>
      <w:r w:rsidRPr="00E17E1F">
        <w:rPr>
          <w:rFonts w:ascii="Arial" w:hAnsi="Arial" w:cs="Arial"/>
          <w:sz w:val="24"/>
          <w:szCs w:val="24"/>
        </w:rPr>
        <w:t>(18% and 24% for PCL and PLA respectively)</w:t>
      </w:r>
      <w:r w:rsidRPr="00E17E1F">
        <w:rPr>
          <w:rFonts w:ascii="Arial" w:hAnsi="Arial" w:cs="Arial"/>
          <w:bCs/>
          <w:sz w:val="24"/>
          <w:szCs w:val="24"/>
        </w:rPr>
        <w:t xml:space="preserve">. </w:t>
      </w:r>
    </w:p>
    <w:tbl>
      <w:tblPr>
        <w:tblW w:w="4593" w:type="dxa"/>
        <w:jc w:val="center"/>
        <w:tblInd w:w="1929" w:type="dxa"/>
        <w:tblBorders>
          <w:top w:val="single" w:sz="4" w:space="0" w:color="auto"/>
          <w:bottom w:val="single" w:sz="4" w:space="0" w:color="000000"/>
        </w:tblBorders>
        <w:shd w:val="clear" w:color="auto" w:fill="D9D9D9" w:themeFill="background1" w:themeFillShade="D9"/>
        <w:tblLook w:val="00A0"/>
      </w:tblPr>
      <w:tblGrid>
        <w:gridCol w:w="1304"/>
        <w:gridCol w:w="1247"/>
        <w:gridCol w:w="2042"/>
      </w:tblGrid>
      <w:tr w:rsidR="00387A07" w:rsidRPr="00E17E1F" w:rsidTr="00387A07">
        <w:trPr>
          <w:trHeight w:val="170"/>
          <w:jc w:val="center"/>
        </w:trPr>
        <w:tc>
          <w:tcPr>
            <w:tcW w:w="1304"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
              </w:rPr>
            </w:pPr>
            <w:r w:rsidRPr="00E17E1F">
              <w:rPr>
                <w:rFonts w:cs="Calibri"/>
                <w:b/>
              </w:rPr>
              <w:lastRenderedPageBreak/>
              <w:t>Material</w:t>
            </w:r>
          </w:p>
        </w:tc>
        <w:tc>
          <w:tcPr>
            <w:tcW w:w="1247"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
              </w:rPr>
            </w:pPr>
            <w:r w:rsidRPr="00E17E1F">
              <w:rPr>
                <w:rFonts w:cs="Calibri"/>
                <w:b/>
              </w:rPr>
              <w:t>EE (%)</w:t>
            </w:r>
          </w:p>
        </w:tc>
        <w:tc>
          <w:tcPr>
            <w:tcW w:w="2042" w:type="dxa"/>
            <w:tcBorders>
              <w:top w:val="single" w:sz="4" w:space="0" w:color="auto"/>
              <w:bottom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
              </w:rPr>
            </w:pPr>
            <w:r w:rsidRPr="00E17E1F">
              <w:rPr>
                <w:rFonts w:cs="Calibri"/>
                <w:b/>
              </w:rPr>
              <w:t>Encapsulated drug (µg)</w:t>
            </w:r>
          </w:p>
        </w:tc>
      </w:tr>
      <w:tr w:rsidR="00387A07" w:rsidRPr="00E17E1F" w:rsidTr="00387A07">
        <w:trPr>
          <w:trHeight w:val="270"/>
          <w:jc w:val="center"/>
        </w:trPr>
        <w:tc>
          <w:tcPr>
            <w:tcW w:w="1304" w:type="dxa"/>
            <w:tcBorders>
              <w:top w:val="single" w:sz="4" w:space="0" w:color="auto"/>
            </w:tcBorders>
            <w:shd w:val="clear" w:color="auto" w:fill="D9D9D9" w:themeFill="background1" w:themeFillShade="D9"/>
          </w:tcPr>
          <w:p w:rsidR="00387A07" w:rsidRPr="00E17E1F" w:rsidRDefault="00387A07" w:rsidP="00387A07">
            <w:pPr>
              <w:spacing w:after="0"/>
              <w:jc w:val="center"/>
              <w:rPr>
                <w:rFonts w:cs="Calibri"/>
              </w:rPr>
            </w:pPr>
            <w:r w:rsidRPr="00E17E1F">
              <w:rPr>
                <w:rFonts w:cs="Calibri"/>
              </w:rPr>
              <w:t>PCL</w:t>
            </w:r>
          </w:p>
        </w:tc>
        <w:tc>
          <w:tcPr>
            <w:tcW w:w="1247" w:type="dxa"/>
            <w:tcBorders>
              <w:top w:val="single" w:sz="4" w:space="0" w:color="auto"/>
            </w:tcBorders>
            <w:shd w:val="clear" w:color="auto" w:fill="D9D9D9" w:themeFill="background1" w:themeFillShade="D9"/>
          </w:tcPr>
          <w:p w:rsidR="00387A07" w:rsidRPr="00E17E1F" w:rsidRDefault="00387A07" w:rsidP="00387A07">
            <w:pPr>
              <w:spacing w:after="0"/>
              <w:jc w:val="center"/>
              <w:rPr>
                <w:rFonts w:cs="Calibri"/>
              </w:rPr>
            </w:pPr>
            <w:r w:rsidRPr="00E17E1F">
              <w:rPr>
                <w:rFonts w:cs="Calibri"/>
              </w:rPr>
              <w:t>18 ± 8</w:t>
            </w:r>
          </w:p>
        </w:tc>
        <w:tc>
          <w:tcPr>
            <w:tcW w:w="2042" w:type="dxa"/>
            <w:tcBorders>
              <w:top w:val="single" w:sz="4" w:space="0" w:color="auto"/>
            </w:tcBorders>
            <w:shd w:val="clear" w:color="auto" w:fill="D9D9D9" w:themeFill="background1" w:themeFillShade="D9"/>
          </w:tcPr>
          <w:p w:rsidR="00387A07" w:rsidRPr="00E17E1F" w:rsidRDefault="00387A07" w:rsidP="00387A07">
            <w:pPr>
              <w:spacing w:after="0"/>
              <w:jc w:val="center"/>
              <w:rPr>
                <w:rFonts w:cs="Calibri"/>
                <w:color w:val="000000"/>
              </w:rPr>
            </w:pPr>
            <w:r w:rsidRPr="00E17E1F">
              <w:rPr>
                <w:rFonts w:cs="Calibri"/>
                <w:color w:val="000000"/>
              </w:rPr>
              <w:t>53.3 ± 25.2</w:t>
            </w:r>
          </w:p>
        </w:tc>
      </w:tr>
      <w:tr w:rsidR="00387A07" w:rsidRPr="00E17E1F" w:rsidTr="00387A07">
        <w:trPr>
          <w:trHeight w:val="253"/>
          <w:jc w:val="center"/>
        </w:trPr>
        <w:tc>
          <w:tcPr>
            <w:tcW w:w="1304" w:type="dxa"/>
            <w:shd w:val="clear" w:color="auto" w:fill="D9D9D9" w:themeFill="background1" w:themeFillShade="D9"/>
          </w:tcPr>
          <w:p w:rsidR="00387A07" w:rsidRPr="00E17E1F" w:rsidRDefault="00387A07" w:rsidP="00387A07">
            <w:pPr>
              <w:spacing w:after="0"/>
              <w:jc w:val="center"/>
              <w:rPr>
                <w:rFonts w:cs="Calibri"/>
              </w:rPr>
            </w:pPr>
            <w:r w:rsidRPr="00E17E1F">
              <w:rPr>
                <w:rFonts w:cs="Calibri"/>
              </w:rPr>
              <w:t>PLA</w:t>
            </w:r>
          </w:p>
        </w:tc>
        <w:tc>
          <w:tcPr>
            <w:tcW w:w="1247" w:type="dxa"/>
            <w:shd w:val="clear" w:color="auto" w:fill="D9D9D9" w:themeFill="background1" w:themeFillShade="D9"/>
          </w:tcPr>
          <w:p w:rsidR="00387A07" w:rsidRPr="00E17E1F" w:rsidRDefault="00387A07" w:rsidP="00387A07">
            <w:pPr>
              <w:spacing w:after="0"/>
              <w:jc w:val="center"/>
              <w:rPr>
                <w:rFonts w:cs="Calibri"/>
              </w:rPr>
            </w:pPr>
            <w:r w:rsidRPr="00E17E1F">
              <w:rPr>
                <w:rFonts w:cs="Calibri"/>
              </w:rPr>
              <w:t>24 ± 7</w:t>
            </w:r>
          </w:p>
        </w:tc>
        <w:tc>
          <w:tcPr>
            <w:tcW w:w="2042" w:type="dxa"/>
            <w:shd w:val="clear" w:color="auto" w:fill="D9D9D9" w:themeFill="background1" w:themeFillShade="D9"/>
          </w:tcPr>
          <w:p w:rsidR="00387A07" w:rsidRPr="00E17E1F" w:rsidRDefault="00387A07" w:rsidP="00387A07">
            <w:pPr>
              <w:spacing w:after="0"/>
              <w:jc w:val="center"/>
              <w:rPr>
                <w:rFonts w:cs="Calibri"/>
                <w:color w:val="000000"/>
              </w:rPr>
            </w:pPr>
            <w:r w:rsidRPr="00E17E1F">
              <w:rPr>
                <w:rFonts w:cs="Calibri"/>
                <w:color w:val="000000"/>
              </w:rPr>
              <w:t>73.3 ± 20.8</w:t>
            </w:r>
          </w:p>
        </w:tc>
      </w:tr>
      <w:tr w:rsidR="00387A07" w:rsidRPr="00E17E1F" w:rsidTr="00387A07">
        <w:trPr>
          <w:trHeight w:val="253"/>
          <w:jc w:val="center"/>
        </w:trPr>
        <w:tc>
          <w:tcPr>
            <w:tcW w:w="1304" w:type="dxa"/>
            <w:shd w:val="clear" w:color="auto" w:fill="D9D9D9" w:themeFill="background1" w:themeFillShade="D9"/>
          </w:tcPr>
          <w:p w:rsidR="00387A07" w:rsidRPr="00E17E1F" w:rsidRDefault="00387A07" w:rsidP="00387A07">
            <w:pPr>
              <w:spacing w:after="0"/>
              <w:jc w:val="center"/>
              <w:rPr>
                <w:rFonts w:cs="Calibri"/>
              </w:rPr>
            </w:pPr>
            <w:r w:rsidRPr="00E17E1F">
              <w:rPr>
                <w:rFonts w:cs="Calibri"/>
              </w:rPr>
              <w:t>C-BC2000</w:t>
            </w:r>
          </w:p>
        </w:tc>
        <w:tc>
          <w:tcPr>
            <w:tcW w:w="1247" w:type="dxa"/>
            <w:shd w:val="clear" w:color="auto" w:fill="D9D9D9" w:themeFill="background1" w:themeFillShade="D9"/>
          </w:tcPr>
          <w:p w:rsidR="00387A07" w:rsidRPr="00E17E1F" w:rsidRDefault="00387A07" w:rsidP="00387A07">
            <w:pPr>
              <w:spacing w:after="0"/>
              <w:jc w:val="center"/>
              <w:rPr>
                <w:rFonts w:cs="Calibri"/>
              </w:rPr>
            </w:pPr>
            <w:r w:rsidRPr="00E17E1F">
              <w:rPr>
                <w:rFonts w:cs="Calibri"/>
              </w:rPr>
              <w:t>89 ± 2</w:t>
            </w:r>
          </w:p>
        </w:tc>
        <w:tc>
          <w:tcPr>
            <w:tcW w:w="2042" w:type="dxa"/>
            <w:shd w:val="clear" w:color="auto" w:fill="D9D9D9" w:themeFill="background1" w:themeFillShade="D9"/>
          </w:tcPr>
          <w:p w:rsidR="00387A07" w:rsidRPr="00E17E1F" w:rsidRDefault="00387A07" w:rsidP="00387A07">
            <w:pPr>
              <w:spacing w:after="0"/>
              <w:jc w:val="center"/>
              <w:rPr>
                <w:rFonts w:cs="Calibri"/>
                <w:color w:val="000000"/>
              </w:rPr>
            </w:pPr>
            <w:r w:rsidRPr="00E17E1F">
              <w:rPr>
                <w:rFonts w:cs="Calibri"/>
                <w:color w:val="000000"/>
              </w:rPr>
              <w:t>266.7 ± 5.8</w:t>
            </w:r>
          </w:p>
        </w:tc>
      </w:tr>
    </w:tbl>
    <w:p w:rsidR="00387A07" w:rsidRPr="00E17E1F" w:rsidRDefault="00387A07" w:rsidP="00387A07">
      <w:pPr>
        <w:pStyle w:val="Didascalia"/>
        <w:spacing w:before="120"/>
        <w:rPr>
          <w:rFonts w:ascii="Arial" w:hAnsi="Arial" w:cs="Arial"/>
          <w:bCs w:val="0"/>
          <w:sz w:val="24"/>
          <w:szCs w:val="24"/>
        </w:rPr>
      </w:pPr>
      <w:r w:rsidRPr="00E17E1F">
        <w:t xml:space="preserve">Table 2. </w:t>
      </w:r>
      <w:fldSimple w:instr=" SEQ Table_2. \* ARABIC ">
        <w:r w:rsidRPr="00E17E1F">
          <w:rPr>
            <w:noProof/>
          </w:rPr>
          <w:t>6</w:t>
        </w:r>
      </w:fldSimple>
      <w:r w:rsidRPr="00E17E1F">
        <w:t xml:space="preserve"> Drug loading efficiency and amount of encapsulated drug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Figure 2.8 represents the release profile of the encapsulated drug over a period of five days expressed as percent of the encapsulated drug and as the quantity of Paclitaxel released at each time-point. The quantity of drug release, expressed as mean ± standard deviation, is also indicated in table 2.7.</w:t>
      </w:r>
    </w:p>
    <w:p w:rsidR="00387A07" w:rsidRPr="00E17E1F" w:rsidRDefault="00387A07" w:rsidP="00387A07">
      <w:pPr>
        <w:spacing w:after="120" w:line="360" w:lineRule="auto"/>
        <w:jc w:val="both"/>
        <w:rPr>
          <w:rFonts w:ascii="Arial" w:hAnsi="Arial" w:cs="Arial"/>
          <w:bCs/>
          <w:sz w:val="24"/>
          <w:szCs w:val="24"/>
        </w:rPr>
      </w:pPr>
      <w:r w:rsidRPr="00E17E1F">
        <w:rPr>
          <w:rFonts w:ascii="Arial" w:hAnsi="Arial" w:cs="Arial"/>
          <w:sz w:val="24"/>
          <w:szCs w:val="24"/>
        </w:rPr>
        <w:t>C-BC2000 nanoparticles are able to sustain drug release for a prolonged period of time, since only 30% of the encapsulated Paclitaxel is released after 5 days. On the other hand, release from PCL and PLA nanoparticles is completed within the first 2-3 days,</w:t>
      </w:r>
      <w:r w:rsidRPr="00E17E1F">
        <w:rPr>
          <w:rFonts w:ascii="Arial" w:hAnsi="Arial" w:cs="Arial"/>
          <w:bCs/>
          <w:sz w:val="24"/>
          <w:szCs w:val="24"/>
        </w:rPr>
        <w:t xml:space="preserve"> according to the results presented by other authors [35][36]. </w:t>
      </w:r>
    </w:p>
    <w:p w:rsidR="00387A07" w:rsidRPr="00E17E1F" w:rsidRDefault="00387A07" w:rsidP="00387A07">
      <w:pPr>
        <w:spacing w:line="360" w:lineRule="auto"/>
        <w:jc w:val="center"/>
        <w:rPr>
          <w:rFonts w:ascii="Arial" w:hAnsi="Arial" w:cs="Arial"/>
          <w:bCs/>
          <w:sz w:val="24"/>
          <w:szCs w:val="24"/>
        </w:rPr>
      </w:pPr>
      <w:r w:rsidRPr="00E17E1F">
        <w:rPr>
          <w:rFonts w:ascii="Arial" w:hAnsi="Arial" w:cs="Arial"/>
          <w:noProof/>
          <w:sz w:val="24"/>
          <w:szCs w:val="24"/>
          <w:lang w:val="it-IT" w:eastAsia="it-IT"/>
        </w:rPr>
        <w:drawing>
          <wp:inline distT="0" distB="0" distL="0" distR="0">
            <wp:extent cx="3962400" cy="2495550"/>
            <wp:effectExtent l="0" t="0" r="0" b="0"/>
            <wp:docPr id="138" name="Immagine 32" descr="rilasci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descr="rilascio 1.png"/>
                    <pic:cNvPicPr>
                      <a:picLocks noChangeAspect="1" noChangeArrowheads="1"/>
                    </pic:cNvPicPr>
                  </pic:nvPicPr>
                  <pic:blipFill>
                    <a:blip r:embed="rId33"/>
                    <a:srcRect/>
                    <a:stretch>
                      <a:fillRect/>
                    </a:stretch>
                  </pic:blipFill>
                  <pic:spPr bwMode="auto">
                    <a:xfrm>
                      <a:off x="0" y="0"/>
                      <a:ext cx="3962400" cy="2495550"/>
                    </a:xfrm>
                    <a:prstGeom prst="rect">
                      <a:avLst/>
                    </a:prstGeom>
                    <a:noFill/>
                    <a:ln w="9525">
                      <a:noFill/>
                      <a:miter lim="800000"/>
                      <a:headEnd/>
                      <a:tailEnd/>
                    </a:ln>
                  </pic:spPr>
                </pic:pic>
              </a:graphicData>
            </a:graphic>
          </wp:inline>
        </w:drawing>
      </w:r>
    </w:p>
    <w:p w:rsidR="00387A07" w:rsidRPr="00E17E1F" w:rsidRDefault="00387A07" w:rsidP="00387A07">
      <w:pPr>
        <w:spacing w:line="360" w:lineRule="auto"/>
        <w:jc w:val="center"/>
        <w:rPr>
          <w:rFonts w:ascii="Arial" w:hAnsi="Arial" w:cs="Arial"/>
          <w:bCs/>
          <w:sz w:val="24"/>
          <w:szCs w:val="24"/>
        </w:rPr>
      </w:pPr>
    </w:p>
    <w:p w:rsidR="00387A07" w:rsidRPr="00E17E1F" w:rsidRDefault="00387A07" w:rsidP="00387A07">
      <w:pPr>
        <w:spacing w:line="360" w:lineRule="auto"/>
        <w:jc w:val="center"/>
        <w:rPr>
          <w:rFonts w:ascii="Arial" w:hAnsi="Arial" w:cs="Arial"/>
          <w:bCs/>
          <w:sz w:val="24"/>
          <w:szCs w:val="24"/>
        </w:rPr>
      </w:pPr>
    </w:p>
    <w:p w:rsidR="00387A07" w:rsidRPr="00E17E1F" w:rsidRDefault="00387A07" w:rsidP="00387A07">
      <w:pPr>
        <w:spacing w:after="0" w:line="360" w:lineRule="auto"/>
        <w:jc w:val="center"/>
        <w:rPr>
          <w:rFonts w:ascii="Arial" w:hAnsi="Arial" w:cs="Arial"/>
          <w:bCs/>
          <w:sz w:val="24"/>
          <w:szCs w:val="24"/>
        </w:rPr>
      </w:pPr>
      <w:r w:rsidRPr="00E17E1F">
        <w:rPr>
          <w:rFonts w:ascii="Arial" w:hAnsi="Arial" w:cs="Arial"/>
          <w:noProof/>
          <w:sz w:val="24"/>
          <w:szCs w:val="24"/>
          <w:lang w:val="it-IT" w:eastAsia="it-IT"/>
        </w:rPr>
        <w:lastRenderedPageBreak/>
        <w:drawing>
          <wp:inline distT="0" distB="0" distL="0" distR="0">
            <wp:extent cx="3686175" cy="2333625"/>
            <wp:effectExtent l="0" t="0" r="0" b="0"/>
            <wp:docPr id="139" name="Immagine 33" descr="rilasci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descr="rilascio 2.png"/>
                    <pic:cNvPicPr>
                      <a:picLocks noChangeAspect="1" noChangeArrowheads="1"/>
                    </pic:cNvPicPr>
                  </pic:nvPicPr>
                  <pic:blipFill>
                    <a:blip r:embed="rId34"/>
                    <a:srcRect/>
                    <a:stretch>
                      <a:fillRect/>
                    </a:stretch>
                  </pic:blipFill>
                  <pic:spPr bwMode="auto">
                    <a:xfrm>
                      <a:off x="0" y="0"/>
                      <a:ext cx="3686175" cy="2333625"/>
                    </a:xfrm>
                    <a:prstGeom prst="rect">
                      <a:avLst/>
                    </a:prstGeom>
                    <a:noFill/>
                    <a:ln w="9525">
                      <a:noFill/>
                      <a:miter lim="800000"/>
                      <a:headEnd/>
                      <a:tailEnd/>
                    </a:ln>
                  </pic:spPr>
                </pic:pic>
              </a:graphicData>
            </a:graphic>
          </wp:inline>
        </w:drawing>
      </w:r>
    </w:p>
    <w:p w:rsidR="00550A30" w:rsidRDefault="00387A07" w:rsidP="00387A07">
      <w:pPr>
        <w:pStyle w:val="Didascalia"/>
      </w:pPr>
      <w:r w:rsidRPr="00E17E1F">
        <w:t>Figure 2. 8 Release profiles of Paclitaxel from different nanoparticles, expressed as percent of the encapsulated drug (A) and as the quantity (µg) of drug released (B).</w:t>
      </w:r>
    </w:p>
    <w:p w:rsidR="00387A07" w:rsidRPr="00E17E1F" w:rsidRDefault="00387A07" w:rsidP="00387A07">
      <w:pPr>
        <w:pStyle w:val="Didascalia"/>
      </w:pPr>
      <w:r w:rsidRPr="00E17E1F">
        <w:t xml:space="preserve"> </w:t>
      </w:r>
    </w:p>
    <w:tbl>
      <w:tblPr>
        <w:tblW w:w="8698" w:type="dxa"/>
        <w:jc w:val="center"/>
        <w:tblBorders>
          <w:top w:val="single" w:sz="4" w:space="0" w:color="000000"/>
          <w:left w:val="single" w:sz="4" w:space="0" w:color="000000"/>
          <w:bottom w:val="single" w:sz="4" w:space="0" w:color="000000"/>
          <w:right w:val="single" w:sz="4" w:space="0" w:color="000000"/>
        </w:tblBorders>
        <w:shd w:val="clear" w:color="auto" w:fill="D9D9D9" w:themeFill="background1" w:themeFillShade="D9"/>
        <w:tblLook w:val="00A0"/>
      </w:tblPr>
      <w:tblGrid>
        <w:gridCol w:w="874"/>
        <w:gridCol w:w="1304"/>
        <w:gridCol w:w="1304"/>
        <w:gridCol w:w="1304"/>
        <w:gridCol w:w="1304"/>
        <w:gridCol w:w="1304"/>
        <w:gridCol w:w="1304"/>
      </w:tblGrid>
      <w:tr w:rsidR="00387A07" w:rsidRPr="00E17E1F" w:rsidTr="00387A07">
        <w:trPr>
          <w:trHeight w:val="300"/>
          <w:jc w:val="center"/>
        </w:trPr>
        <w:tc>
          <w:tcPr>
            <w:tcW w:w="4786" w:type="dxa"/>
            <w:gridSpan w:val="4"/>
            <w:tcBorders>
              <w:top w:val="single" w:sz="4" w:space="0" w:color="000000"/>
              <w:left w:val="nil"/>
              <w:bottom w:val="single" w:sz="4" w:space="0" w:color="auto"/>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Released drug (</w:t>
            </w:r>
            <w:r w:rsidRPr="00E17E1F">
              <w:rPr>
                <w:rFonts w:cstheme="minorHAnsi"/>
                <w:b/>
                <w:color w:val="000000"/>
                <w:lang w:val="it-IT" w:eastAsia="it-IT"/>
              </w:rPr>
              <w:t>µ</w:t>
            </w:r>
            <w:r w:rsidRPr="00E17E1F">
              <w:rPr>
                <w:rFonts w:cs="Calibri"/>
                <w:b/>
                <w:color w:val="000000"/>
                <w:lang w:val="it-IT" w:eastAsia="it-IT"/>
              </w:rPr>
              <w:t>g)</w:t>
            </w:r>
          </w:p>
        </w:tc>
        <w:tc>
          <w:tcPr>
            <w:tcW w:w="3912" w:type="dxa"/>
            <w:gridSpan w:val="3"/>
            <w:tcBorders>
              <w:top w:val="single" w:sz="4" w:space="0" w:color="000000"/>
              <w:left w:val="single" w:sz="4" w:space="0" w:color="auto"/>
              <w:bottom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Released drug (</w:t>
            </w:r>
            <w:r w:rsidRPr="00E17E1F">
              <w:rPr>
                <w:rFonts w:cstheme="minorHAnsi"/>
                <w:b/>
                <w:color w:val="000000"/>
                <w:lang w:val="it-IT" w:eastAsia="it-IT"/>
              </w:rPr>
              <w:t>%</w:t>
            </w:r>
            <w:r w:rsidRPr="00E17E1F">
              <w:rPr>
                <w:rFonts w:cs="Calibri"/>
                <w:b/>
                <w:color w:val="000000"/>
                <w:lang w:val="it-IT" w:eastAsia="it-IT"/>
              </w:rPr>
              <w:t>)</w:t>
            </w:r>
          </w:p>
        </w:tc>
      </w:tr>
      <w:tr w:rsidR="00387A07" w:rsidRPr="00E17E1F" w:rsidTr="00387A07">
        <w:trPr>
          <w:trHeight w:val="300"/>
          <w:jc w:val="center"/>
        </w:trPr>
        <w:tc>
          <w:tcPr>
            <w:tcW w:w="874" w:type="dxa"/>
            <w:tcBorders>
              <w:top w:val="single" w:sz="4" w:space="0" w:color="000000"/>
              <w:left w:val="nil"/>
              <w:bottom w:val="single" w:sz="4" w:space="0" w:color="auto"/>
              <w:righ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en-US" w:eastAsia="it-IT"/>
              </w:rPr>
            </w:pPr>
            <w:r w:rsidRPr="00E17E1F">
              <w:rPr>
                <w:rFonts w:cs="Calibri"/>
                <w:b/>
                <w:color w:val="000000"/>
                <w:lang w:val="en-US" w:eastAsia="it-IT"/>
              </w:rPr>
              <w:t>Time (hours)</w:t>
            </w:r>
          </w:p>
        </w:tc>
        <w:tc>
          <w:tcPr>
            <w:tcW w:w="1304" w:type="dxa"/>
            <w:tcBorders>
              <w:top w:val="single" w:sz="4" w:space="0" w:color="000000"/>
              <w:left w:val="nil"/>
              <w:bottom w:val="single" w:sz="4" w:space="0" w:color="auto"/>
              <w:righ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PCL</w:t>
            </w:r>
          </w:p>
        </w:tc>
        <w:tc>
          <w:tcPr>
            <w:tcW w:w="1304" w:type="dxa"/>
            <w:tcBorders>
              <w:top w:val="single" w:sz="4" w:space="0" w:color="000000"/>
              <w:left w:val="nil"/>
              <w:bottom w:val="single" w:sz="4" w:space="0" w:color="auto"/>
              <w:righ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PLA</w:t>
            </w:r>
          </w:p>
        </w:tc>
        <w:tc>
          <w:tcPr>
            <w:tcW w:w="1304" w:type="dxa"/>
            <w:tcBorders>
              <w:top w:val="single" w:sz="4" w:space="0" w:color="000000"/>
              <w:left w:val="nil"/>
              <w:bottom w:val="single" w:sz="4" w:space="0" w:color="auto"/>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C-BC2000</w:t>
            </w:r>
          </w:p>
        </w:tc>
        <w:tc>
          <w:tcPr>
            <w:tcW w:w="1304" w:type="dxa"/>
            <w:tcBorders>
              <w:top w:val="single" w:sz="4" w:space="0" w:color="000000"/>
              <w:left w:val="single" w:sz="4" w:space="0" w:color="auto"/>
              <w:bottom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PCL</w:t>
            </w:r>
          </w:p>
        </w:tc>
        <w:tc>
          <w:tcPr>
            <w:tcW w:w="1304" w:type="dxa"/>
            <w:tcBorders>
              <w:top w:val="single" w:sz="4" w:space="0" w:color="000000"/>
              <w:left w:val="nil"/>
              <w:bottom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PLA</w:t>
            </w:r>
          </w:p>
        </w:tc>
        <w:tc>
          <w:tcPr>
            <w:tcW w:w="1304" w:type="dxa"/>
            <w:tcBorders>
              <w:top w:val="single" w:sz="4" w:space="0" w:color="000000"/>
              <w:left w:val="nil"/>
              <w:bottom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C-BC2000</w:t>
            </w:r>
          </w:p>
        </w:tc>
      </w:tr>
      <w:tr w:rsidR="00387A07" w:rsidRPr="00E17E1F" w:rsidTr="00387A07">
        <w:trPr>
          <w:trHeight w:val="300"/>
          <w:jc w:val="center"/>
        </w:trPr>
        <w:tc>
          <w:tcPr>
            <w:tcW w:w="874" w:type="dxa"/>
            <w:tcBorders>
              <w:top w:val="single" w:sz="4" w:space="0" w:color="auto"/>
              <w:lef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1</w:t>
            </w:r>
          </w:p>
        </w:tc>
        <w:tc>
          <w:tcPr>
            <w:tcW w:w="1304" w:type="dxa"/>
            <w:tcBorders>
              <w:top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17.8 ±  1.0</w:t>
            </w:r>
          </w:p>
        </w:tc>
        <w:tc>
          <w:tcPr>
            <w:tcW w:w="1304" w:type="dxa"/>
            <w:tcBorders>
              <w:top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17.0 ± 1.4</w:t>
            </w:r>
          </w:p>
        </w:tc>
        <w:tc>
          <w:tcPr>
            <w:tcW w:w="1304" w:type="dxa"/>
            <w:tcBorders>
              <w:top w:val="single" w:sz="4" w:space="0" w:color="auto"/>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18.0 ±  1.5</w:t>
            </w:r>
          </w:p>
        </w:tc>
        <w:tc>
          <w:tcPr>
            <w:tcW w:w="1304" w:type="dxa"/>
            <w:tcBorders>
              <w:top w:val="single" w:sz="4" w:space="0" w:color="auto"/>
              <w:left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33.3 </w:t>
            </w:r>
            <w:r w:rsidRPr="00E17E1F">
              <w:rPr>
                <w:rFonts w:cstheme="minorHAnsi"/>
                <w:color w:val="000000"/>
                <w:lang w:val="it-IT" w:eastAsia="it-IT"/>
              </w:rPr>
              <w:t>± 1.9</w:t>
            </w:r>
          </w:p>
        </w:tc>
        <w:tc>
          <w:tcPr>
            <w:tcW w:w="1304" w:type="dxa"/>
            <w:tcBorders>
              <w:top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23.2 </w:t>
            </w:r>
            <w:r w:rsidRPr="00E17E1F">
              <w:rPr>
                <w:rFonts w:cstheme="minorHAnsi"/>
                <w:color w:val="000000"/>
                <w:lang w:val="it-IT" w:eastAsia="it-IT"/>
              </w:rPr>
              <w:t>± 1.9</w:t>
            </w:r>
          </w:p>
        </w:tc>
        <w:tc>
          <w:tcPr>
            <w:tcW w:w="1304" w:type="dxa"/>
            <w:tcBorders>
              <w:top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6.8 </w:t>
            </w:r>
            <w:r w:rsidRPr="00E17E1F">
              <w:rPr>
                <w:rFonts w:cstheme="minorHAnsi"/>
                <w:color w:val="000000"/>
                <w:lang w:val="it-IT" w:eastAsia="it-IT"/>
              </w:rPr>
              <w:t>± 0.6</w:t>
            </w:r>
          </w:p>
        </w:tc>
      </w:tr>
      <w:tr w:rsidR="00387A07" w:rsidRPr="00E17E1F" w:rsidTr="00387A07">
        <w:trPr>
          <w:trHeight w:val="300"/>
          <w:jc w:val="center"/>
        </w:trPr>
        <w:tc>
          <w:tcPr>
            <w:tcW w:w="874" w:type="dxa"/>
            <w:tcBorders>
              <w:lef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3</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23.3 ±  1.8</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34.2 ± 10.3</w:t>
            </w:r>
          </w:p>
        </w:tc>
        <w:tc>
          <w:tcPr>
            <w:tcW w:w="1304" w:type="dxa"/>
            <w:tcBorders>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22.8 ± 5.1</w:t>
            </w:r>
          </w:p>
        </w:tc>
        <w:tc>
          <w:tcPr>
            <w:tcW w:w="1304" w:type="dxa"/>
            <w:tcBorders>
              <w:left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43.7 </w:t>
            </w:r>
            <w:r w:rsidRPr="00E17E1F">
              <w:rPr>
                <w:rFonts w:cstheme="minorHAnsi"/>
                <w:color w:val="000000"/>
                <w:lang w:val="it-IT" w:eastAsia="it-IT"/>
              </w:rPr>
              <w:t>± 3.4</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46.6 </w:t>
            </w:r>
            <w:r w:rsidRPr="00E17E1F">
              <w:rPr>
                <w:rFonts w:cstheme="minorHAnsi"/>
                <w:color w:val="000000"/>
                <w:lang w:val="it-IT" w:eastAsia="it-IT"/>
              </w:rPr>
              <w:t>± 14.0</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8.6 </w:t>
            </w:r>
            <w:r w:rsidRPr="00E17E1F">
              <w:rPr>
                <w:rFonts w:cstheme="minorHAnsi"/>
                <w:color w:val="000000"/>
                <w:lang w:val="it-IT" w:eastAsia="it-IT"/>
              </w:rPr>
              <w:t>± 1.9</w:t>
            </w:r>
          </w:p>
        </w:tc>
      </w:tr>
      <w:tr w:rsidR="00387A07" w:rsidRPr="00E17E1F" w:rsidTr="00387A07">
        <w:trPr>
          <w:trHeight w:val="300"/>
          <w:jc w:val="center"/>
        </w:trPr>
        <w:tc>
          <w:tcPr>
            <w:tcW w:w="874" w:type="dxa"/>
            <w:tcBorders>
              <w:lef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24</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35.0 ±  4.3</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54.8 ± 20.2</w:t>
            </w:r>
          </w:p>
        </w:tc>
        <w:tc>
          <w:tcPr>
            <w:tcW w:w="1304" w:type="dxa"/>
            <w:tcBorders>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58.9 ± 10.5</w:t>
            </w:r>
          </w:p>
        </w:tc>
        <w:tc>
          <w:tcPr>
            <w:tcW w:w="1304" w:type="dxa"/>
            <w:tcBorders>
              <w:left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65.6 </w:t>
            </w:r>
            <w:r w:rsidRPr="00E17E1F">
              <w:rPr>
                <w:rFonts w:cstheme="minorHAnsi"/>
                <w:color w:val="000000"/>
                <w:lang w:val="it-IT" w:eastAsia="it-IT"/>
              </w:rPr>
              <w:t>± 8.1</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74.7 </w:t>
            </w:r>
            <w:r w:rsidRPr="00E17E1F">
              <w:rPr>
                <w:rFonts w:cstheme="minorHAnsi"/>
                <w:color w:val="000000"/>
                <w:lang w:val="it-IT" w:eastAsia="it-IT"/>
              </w:rPr>
              <w:t>± 24.2</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22.1 </w:t>
            </w:r>
            <w:r w:rsidRPr="00E17E1F">
              <w:rPr>
                <w:rFonts w:cstheme="minorHAnsi"/>
                <w:color w:val="000000"/>
                <w:lang w:val="it-IT" w:eastAsia="it-IT"/>
              </w:rPr>
              <w:t>± 3.9</w:t>
            </w:r>
          </w:p>
        </w:tc>
      </w:tr>
      <w:tr w:rsidR="00387A07" w:rsidRPr="00E17E1F" w:rsidTr="00387A07">
        <w:trPr>
          <w:trHeight w:val="300"/>
          <w:jc w:val="center"/>
        </w:trPr>
        <w:tc>
          <w:tcPr>
            <w:tcW w:w="874" w:type="dxa"/>
            <w:tcBorders>
              <w:lef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48</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47.3 ± 11.2</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62.5 ± 21.3</w:t>
            </w:r>
          </w:p>
        </w:tc>
        <w:tc>
          <w:tcPr>
            <w:tcW w:w="1304" w:type="dxa"/>
            <w:tcBorders>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75.5 ± 19.7</w:t>
            </w:r>
          </w:p>
        </w:tc>
        <w:tc>
          <w:tcPr>
            <w:tcW w:w="1304" w:type="dxa"/>
            <w:tcBorders>
              <w:left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88.7 </w:t>
            </w:r>
            <w:r w:rsidRPr="00E17E1F">
              <w:rPr>
                <w:rFonts w:cstheme="minorHAnsi"/>
                <w:color w:val="000000"/>
                <w:lang w:val="it-IT" w:eastAsia="it-IT"/>
              </w:rPr>
              <w:t>± 21.0</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85.2 </w:t>
            </w:r>
            <w:r w:rsidRPr="00E17E1F">
              <w:rPr>
                <w:rFonts w:cstheme="minorHAnsi"/>
                <w:color w:val="000000"/>
                <w:lang w:val="it-IT" w:eastAsia="it-IT"/>
              </w:rPr>
              <w:t>± 30.2</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28.3 </w:t>
            </w:r>
            <w:r w:rsidRPr="00E17E1F">
              <w:rPr>
                <w:rFonts w:cstheme="minorHAnsi"/>
                <w:color w:val="000000"/>
                <w:lang w:val="it-IT" w:eastAsia="it-IT"/>
              </w:rPr>
              <w:t>± 7.4</w:t>
            </w:r>
          </w:p>
        </w:tc>
      </w:tr>
      <w:tr w:rsidR="00387A07" w:rsidRPr="00E17E1F" w:rsidTr="00387A07">
        <w:trPr>
          <w:trHeight w:val="300"/>
          <w:jc w:val="center"/>
        </w:trPr>
        <w:tc>
          <w:tcPr>
            <w:tcW w:w="874" w:type="dxa"/>
            <w:tcBorders>
              <w:left w:val="nil"/>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96</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50.0 ± 12.6</w:t>
            </w:r>
          </w:p>
        </w:tc>
        <w:tc>
          <w:tcPr>
            <w:tcW w:w="1304" w:type="dxa"/>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65.8 ± 22.7</w:t>
            </w:r>
          </w:p>
        </w:tc>
        <w:tc>
          <w:tcPr>
            <w:tcW w:w="1304" w:type="dxa"/>
            <w:tcBorders>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80.0 ± 21.8</w:t>
            </w:r>
          </w:p>
        </w:tc>
        <w:tc>
          <w:tcPr>
            <w:tcW w:w="1304" w:type="dxa"/>
            <w:tcBorders>
              <w:left w:val="single" w:sz="4" w:space="0" w:color="auto"/>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93.7 </w:t>
            </w:r>
            <w:r w:rsidRPr="00E17E1F">
              <w:rPr>
                <w:rFonts w:cstheme="minorHAnsi"/>
                <w:color w:val="000000"/>
                <w:lang w:val="it-IT" w:eastAsia="it-IT"/>
              </w:rPr>
              <w:t>± 23.6</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89.8 </w:t>
            </w:r>
            <w:r w:rsidRPr="00E17E1F">
              <w:rPr>
                <w:rFonts w:cstheme="minorHAnsi"/>
                <w:color w:val="000000"/>
                <w:lang w:val="it-IT" w:eastAsia="it-IT"/>
              </w:rPr>
              <w:t>± 32.3</w:t>
            </w:r>
          </w:p>
        </w:tc>
        <w:tc>
          <w:tcPr>
            <w:tcW w:w="1304" w:type="dxa"/>
            <w:tcBorders>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30.0 </w:t>
            </w:r>
            <w:r w:rsidRPr="00E17E1F">
              <w:rPr>
                <w:rFonts w:cstheme="minorHAnsi"/>
                <w:color w:val="000000"/>
                <w:lang w:val="it-IT" w:eastAsia="it-IT"/>
              </w:rPr>
              <w:t>± 8.2</w:t>
            </w:r>
          </w:p>
        </w:tc>
      </w:tr>
      <w:tr w:rsidR="00387A07" w:rsidRPr="00E17E1F" w:rsidTr="00387A07">
        <w:trPr>
          <w:trHeight w:val="300"/>
          <w:jc w:val="center"/>
        </w:trPr>
        <w:tc>
          <w:tcPr>
            <w:tcW w:w="874" w:type="dxa"/>
            <w:tcBorders>
              <w:left w:val="nil"/>
              <w:bottom w:val="single" w:sz="4" w:space="0" w:color="000000"/>
            </w:tcBorders>
            <w:shd w:val="clear" w:color="auto" w:fill="D9D9D9" w:themeFill="background1" w:themeFillShade="D9"/>
            <w:noWrap/>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120</w:t>
            </w:r>
          </w:p>
        </w:tc>
        <w:tc>
          <w:tcPr>
            <w:tcW w:w="1304" w:type="dxa"/>
            <w:tcBorders>
              <w:bottom w:val="single" w:sz="4" w:space="0" w:color="000000"/>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50.0 ± 12.6</w:t>
            </w:r>
          </w:p>
        </w:tc>
        <w:tc>
          <w:tcPr>
            <w:tcW w:w="1304" w:type="dxa"/>
            <w:tcBorders>
              <w:bottom w:val="single" w:sz="4" w:space="0" w:color="000000"/>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65.8 ± 22.7</w:t>
            </w:r>
          </w:p>
        </w:tc>
        <w:tc>
          <w:tcPr>
            <w:tcW w:w="1304" w:type="dxa"/>
            <w:tcBorders>
              <w:bottom w:val="single" w:sz="4" w:space="0" w:color="000000"/>
              <w:right w:val="single" w:sz="4" w:space="0" w:color="auto"/>
            </w:tcBorders>
            <w:shd w:val="clear" w:color="auto" w:fill="D9D9D9" w:themeFill="background1" w:themeFillShade="D9"/>
            <w:noWrap/>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90.0 ± 22.3</w:t>
            </w:r>
          </w:p>
        </w:tc>
        <w:tc>
          <w:tcPr>
            <w:tcW w:w="1304" w:type="dxa"/>
            <w:tcBorders>
              <w:left w:val="single" w:sz="4" w:space="0" w:color="auto"/>
              <w:bottom w:val="single" w:sz="4" w:space="0" w:color="000000"/>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93.7 </w:t>
            </w:r>
            <w:r w:rsidRPr="00E17E1F">
              <w:rPr>
                <w:rFonts w:cstheme="minorHAnsi"/>
                <w:color w:val="000000"/>
                <w:lang w:val="it-IT" w:eastAsia="it-IT"/>
              </w:rPr>
              <w:t>± 23.6</w:t>
            </w:r>
          </w:p>
        </w:tc>
        <w:tc>
          <w:tcPr>
            <w:tcW w:w="1304" w:type="dxa"/>
            <w:tcBorders>
              <w:bottom w:val="single" w:sz="4" w:space="0" w:color="000000"/>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90.0 </w:t>
            </w:r>
            <w:r w:rsidRPr="00E17E1F">
              <w:rPr>
                <w:rFonts w:cstheme="minorHAnsi"/>
                <w:color w:val="000000"/>
                <w:lang w:val="it-IT" w:eastAsia="it-IT"/>
              </w:rPr>
              <w:t>± 32.3</w:t>
            </w:r>
          </w:p>
        </w:tc>
        <w:tc>
          <w:tcPr>
            <w:tcW w:w="1304" w:type="dxa"/>
            <w:tcBorders>
              <w:bottom w:val="single" w:sz="4" w:space="0" w:color="000000"/>
              <w:right w:val="nil"/>
            </w:tcBorders>
            <w:shd w:val="clear" w:color="auto" w:fill="D9D9D9" w:themeFill="background1" w:themeFillShade="D9"/>
          </w:tcPr>
          <w:p w:rsidR="00387A07" w:rsidRPr="00E17E1F" w:rsidRDefault="00387A07" w:rsidP="00387A07">
            <w:pPr>
              <w:spacing w:after="0" w:line="240" w:lineRule="auto"/>
              <w:jc w:val="center"/>
              <w:rPr>
                <w:rFonts w:cs="Calibri"/>
                <w:color w:val="000000"/>
                <w:lang w:val="it-IT" w:eastAsia="it-IT"/>
              </w:rPr>
            </w:pPr>
            <w:r w:rsidRPr="00E17E1F">
              <w:rPr>
                <w:rFonts w:cs="Calibri"/>
                <w:color w:val="000000"/>
                <w:lang w:val="it-IT" w:eastAsia="it-IT"/>
              </w:rPr>
              <w:t xml:space="preserve">33.7 </w:t>
            </w:r>
            <w:r w:rsidRPr="00E17E1F">
              <w:rPr>
                <w:rFonts w:cstheme="minorHAnsi"/>
                <w:color w:val="000000"/>
                <w:lang w:val="it-IT" w:eastAsia="it-IT"/>
              </w:rPr>
              <w:t>± 8.3</w:t>
            </w:r>
          </w:p>
        </w:tc>
      </w:tr>
    </w:tbl>
    <w:p w:rsidR="00387A07" w:rsidRPr="00E17E1F" w:rsidRDefault="00387A07" w:rsidP="00387A07">
      <w:pPr>
        <w:pStyle w:val="Didascalia"/>
        <w:spacing w:before="120"/>
      </w:pPr>
      <w:r w:rsidRPr="00E17E1F">
        <w:t xml:space="preserve">Table 2. </w:t>
      </w:r>
      <w:fldSimple w:instr=" SEQ Table_2. \* ARABIC ">
        <w:r w:rsidRPr="00E17E1F">
          <w:rPr>
            <w:noProof/>
          </w:rPr>
          <w:t>7</w:t>
        </w:r>
      </w:fldSimple>
      <w:r w:rsidRPr="00E17E1F">
        <w:t xml:space="preserve">  Amount of drug released (</w:t>
      </w:r>
      <w:r w:rsidRPr="00E17E1F">
        <w:rPr>
          <w:rFonts w:cstheme="minorHAnsi"/>
          <w:lang w:val="en-US" w:eastAsia="it-IT"/>
        </w:rPr>
        <w:t>µ</w:t>
      </w:r>
      <w:r w:rsidRPr="00E17E1F">
        <w:rPr>
          <w:rFonts w:cs="Calibri"/>
          <w:lang w:val="en-US" w:eastAsia="it-IT"/>
        </w:rPr>
        <w:t>g and %</w:t>
      </w:r>
      <w:r w:rsidRPr="00E17E1F">
        <w:t xml:space="preserve">) expressed as mean </w:t>
      </w:r>
      <w:r w:rsidRPr="00E17E1F">
        <w:rPr>
          <w:rFonts w:cs="Calibri"/>
        </w:rPr>
        <w:t>±</w:t>
      </w:r>
      <w:r w:rsidRPr="00E17E1F">
        <w:t xml:space="preserve"> SD (n=3)</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sz w:val="24"/>
          <w:szCs w:val="24"/>
        </w:rPr>
        <w:t xml:space="preserve">Particles prepared with the two commercial polyesters have a similar release pattern with an initial burst effect in the first hour, followed by a liner tract for the first two days, when all the encapsulated drug is released.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Moreover, C-BC2000 nanoparticles exhibit the lowest burst effect during the first 6 hours of incubation.</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 xml:space="preserve">Interestingly after this time point the amount of drug released from polyesterurethane nanoparticles is always higher compared to the other polymers. </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 xml:space="preserve">The release pattern is similar for all particles within the first 4 days. After this time point, no further release can be observed from both PLA and PCL nanoparticles, while C-BC2000 nanoparticles are able to sustain a more prolonged release of Paclitaxel. </w:t>
      </w:r>
    </w:p>
    <w:p w:rsidR="00387A07" w:rsidRPr="00550A30" w:rsidRDefault="00387A07" w:rsidP="00550A30">
      <w:pPr>
        <w:spacing w:after="0" w:line="360" w:lineRule="auto"/>
        <w:jc w:val="both"/>
        <w:rPr>
          <w:rFonts w:ascii="Arial" w:hAnsi="Arial" w:cs="Arial"/>
          <w:sz w:val="24"/>
          <w:szCs w:val="24"/>
        </w:rPr>
      </w:pPr>
      <w:r w:rsidRPr="00E17E1F">
        <w:rPr>
          <w:rFonts w:ascii="Arial" w:hAnsi="Arial" w:cs="Arial"/>
          <w:sz w:val="24"/>
          <w:szCs w:val="24"/>
        </w:rPr>
        <w:t>C-BC2000 nanoparticles, show the highest drug loading capacity and the lowest burst effect, indicating that nanoparticles with optimal release properties, such as high drug loading capacity, low initial burst and prolonged release over extended periods of time can be obtained with this new polymer.</w:t>
      </w:r>
    </w:p>
    <w:p w:rsidR="00387A07" w:rsidRPr="00E17E1F" w:rsidRDefault="00387A07" w:rsidP="00387A07">
      <w:pPr>
        <w:spacing w:before="240" w:after="240" w:line="360" w:lineRule="auto"/>
        <w:jc w:val="both"/>
        <w:rPr>
          <w:rFonts w:ascii="Arial" w:hAnsi="Arial" w:cs="Arial"/>
          <w:b/>
          <w:bCs/>
          <w:sz w:val="24"/>
          <w:szCs w:val="24"/>
        </w:rPr>
      </w:pPr>
      <w:r w:rsidRPr="00E17E1F">
        <w:rPr>
          <w:rFonts w:ascii="Arial" w:hAnsi="Arial" w:cs="Arial"/>
          <w:b/>
          <w:bCs/>
          <w:sz w:val="24"/>
          <w:szCs w:val="24"/>
        </w:rPr>
        <w:lastRenderedPageBreak/>
        <w:t xml:space="preserve">2.3.4 Hydrolytic degradation studies  </w:t>
      </w:r>
    </w:p>
    <w:p w:rsidR="00387A07" w:rsidRPr="00E17E1F" w:rsidRDefault="00387A07" w:rsidP="00387A07">
      <w:pPr>
        <w:spacing w:after="0" w:line="360" w:lineRule="auto"/>
        <w:jc w:val="both"/>
        <w:rPr>
          <w:rFonts w:ascii="Arial" w:hAnsi="Arial" w:cs="Arial"/>
          <w:sz w:val="24"/>
          <w:szCs w:val="24"/>
          <w:lang w:val="en-US"/>
        </w:rPr>
      </w:pPr>
      <w:r w:rsidRPr="00E17E1F">
        <w:rPr>
          <w:rFonts w:ascii="Arial" w:hAnsi="Arial" w:cs="Arial"/>
          <w:bCs/>
          <w:sz w:val="24"/>
          <w:szCs w:val="24"/>
        </w:rPr>
        <w:t xml:space="preserve">Degradation of polyesters occurs by hydrolysis of the ester bonds, preferentially </w:t>
      </w:r>
      <w:r w:rsidRPr="00E17E1F">
        <w:rPr>
          <w:rFonts w:ascii="Arial" w:hAnsi="Arial" w:cs="Arial"/>
          <w:sz w:val="24"/>
          <w:szCs w:val="24"/>
          <w:lang w:val="en-US"/>
        </w:rPr>
        <w:t>in the polymers amorphous regions, where lose structural packaging makes these groups more exposed to attack from water molecules.</w:t>
      </w:r>
    </w:p>
    <w:p w:rsidR="00387A07" w:rsidRPr="00E17E1F" w:rsidRDefault="00387A07" w:rsidP="00387A07">
      <w:pPr>
        <w:spacing w:after="0" w:line="360" w:lineRule="auto"/>
        <w:jc w:val="both"/>
        <w:rPr>
          <w:lang w:val="en-US"/>
        </w:rPr>
      </w:pPr>
      <w:r w:rsidRPr="00E17E1F">
        <w:rPr>
          <w:rFonts w:ascii="Arial" w:hAnsi="Arial" w:cs="Arial"/>
          <w:sz w:val="24"/>
          <w:szCs w:val="24"/>
          <w:lang w:val="en-US"/>
        </w:rPr>
        <w:t xml:space="preserve">The cleavage of the ester bonds results in the production of carboxylic acids which are known to auto-catalyze further hydrolysis [37].   </w:t>
      </w:r>
    </w:p>
    <w:p w:rsidR="00550A30" w:rsidRPr="00E17E1F" w:rsidRDefault="00387A07" w:rsidP="00387A07">
      <w:pPr>
        <w:spacing w:after="120" w:line="360" w:lineRule="auto"/>
        <w:jc w:val="both"/>
        <w:rPr>
          <w:rFonts w:ascii="Arial" w:hAnsi="Arial" w:cs="Arial"/>
          <w:bCs/>
          <w:sz w:val="24"/>
          <w:szCs w:val="24"/>
        </w:rPr>
      </w:pPr>
      <w:r w:rsidRPr="00E17E1F">
        <w:rPr>
          <w:rFonts w:ascii="Arial" w:hAnsi="Arial" w:cs="Arial"/>
          <w:bCs/>
          <w:sz w:val="24"/>
          <w:szCs w:val="24"/>
        </w:rPr>
        <w:t>Changes in the average number molecular weight of the polymers in the form of nanoparticles and films are summarized in table 2.8 and in figure 2.9.</w:t>
      </w:r>
    </w:p>
    <w:tbl>
      <w:tblPr>
        <w:tblW w:w="8202" w:type="dxa"/>
        <w:jc w:val="center"/>
        <w:tblInd w:w="55" w:type="dxa"/>
        <w:shd w:val="clear" w:color="auto" w:fill="D9D9D9" w:themeFill="background1" w:themeFillShade="D9"/>
        <w:tblCellMar>
          <w:left w:w="70" w:type="dxa"/>
          <w:right w:w="70" w:type="dxa"/>
        </w:tblCellMar>
        <w:tblLook w:val="00A0"/>
      </w:tblPr>
      <w:tblGrid>
        <w:gridCol w:w="1274"/>
        <w:gridCol w:w="1162"/>
        <w:gridCol w:w="1162"/>
        <w:gridCol w:w="1162"/>
        <w:gridCol w:w="1162"/>
        <w:gridCol w:w="1162"/>
        <w:gridCol w:w="1162"/>
      </w:tblGrid>
      <w:tr w:rsidR="00387A07" w:rsidRPr="00E17E1F" w:rsidTr="00387A07">
        <w:trPr>
          <w:trHeight w:val="340"/>
          <w:jc w:val="center"/>
        </w:trPr>
        <w:tc>
          <w:tcPr>
            <w:tcW w:w="8202" w:type="dxa"/>
            <w:gridSpan w:val="7"/>
            <w:tcBorders>
              <w:top w:val="single" w:sz="4" w:space="0" w:color="auto"/>
            </w:tcBorders>
            <w:shd w:val="clear" w:color="auto" w:fill="D9D9D9" w:themeFill="background1" w:themeFillShade="D9"/>
            <w:vAlign w:val="center"/>
          </w:tcPr>
          <w:p w:rsidR="00387A07" w:rsidRPr="00E17E1F" w:rsidRDefault="00387A07" w:rsidP="00387A07">
            <w:pPr>
              <w:spacing w:after="0"/>
              <w:jc w:val="center"/>
              <w:rPr>
                <w:rFonts w:cs="Calibri"/>
                <w:b/>
                <w:i/>
                <w:color w:val="000000"/>
                <w:lang w:val="en-US" w:eastAsia="it-IT"/>
              </w:rPr>
            </w:pPr>
            <w:r w:rsidRPr="00E17E1F">
              <w:rPr>
                <w:rFonts w:cs="Calibri"/>
                <w:b/>
                <w:i/>
                <w:color w:val="000000"/>
                <w:lang w:val="en-US" w:eastAsia="it-IT"/>
              </w:rPr>
              <w:t>Hydrolytic degradation (-ΔMn %)</w:t>
            </w:r>
          </w:p>
        </w:tc>
      </w:tr>
      <w:tr w:rsidR="00387A07" w:rsidRPr="00E17E1F" w:rsidTr="00387A07">
        <w:trPr>
          <w:trHeight w:val="283"/>
          <w:jc w:val="center"/>
        </w:trPr>
        <w:tc>
          <w:tcPr>
            <w:tcW w:w="1230" w:type="dxa"/>
            <w:vMerge w:val="restart"/>
            <w:tcBorders>
              <w:top w:val="single" w:sz="4" w:space="0" w:color="auto"/>
            </w:tcBorders>
            <w:shd w:val="clear" w:color="auto" w:fill="D9D9D9" w:themeFill="background1" w:themeFillShade="D9"/>
            <w:vAlign w:val="center"/>
          </w:tcPr>
          <w:p w:rsidR="00387A07" w:rsidRPr="00E17E1F" w:rsidRDefault="00387A07" w:rsidP="00387A07">
            <w:pPr>
              <w:spacing w:after="0" w:line="240" w:lineRule="auto"/>
              <w:jc w:val="center"/>
              <w:rPr>
                <w:rFonts w:cs="Calibri"/>
                <w:b/>
                <w:color w:val="000000"/>
                <w:lang w:eastAsia="it-IT"/>
              </w:rPr>
            </w:pPr>
            <w:r w:rsidRPr="00E17E1F">
              <w:rPr>
                <w:rFonts w:cs="Calibri"/>
                <w:b/>
                <w:color w:val="000000"/>
                <w:lang w:eastAsia="it-IT"/>
              </w:rPr>
              <w:t>Degradation time (weeks)</w:t>
            </w:r>
          </w:p>
        </w:tc>
        <w:tc>
          <w:tcPr>
            <w:tcW w:w="3486"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tcPr>
          <w:p w:rsidR="00387A07" w:rsidRPr="00E17E1F" w:rsidRDefault="00387A07" w:rsidP="00387A07">
            <w:pPr>
              <w:spacing w:after="0"/>
              <w:jc w:val="center"/>
              <w:rPr>
                <w:rFonts w:cs="Calibri"/>
                <w:b/>
                <w:color w:val="000000"/>
                <w:lang w:val="it-IT" w:eastAsia="it-IT"/>
              </w:rPr>
            </w:pPr>
            <w:r w:rsidRPr="00E17E1F">
              <w:rPr>
                <w:rFonts w:cs="Calibri"/>
                <w:b/>
                <w:color w:val="000000"/>
                <w:lang w:val="it-IT" w:eastAsia="it-IT"/>
              </w:rPr>
              <w:t>FILM</w:t>
            </w:r>
          </w:p>
        </w:tc>
        <w:tc>
          <w:tcPr>
            <w:tcW w:w="3486" w:type="dxa"/>
            <w:gridSpan w:val="3"/>
            <w:tcBorders>
              <w:top w:val="single" w:sz="4" w:space="0" w:color="auto"/>
              <w:left w:val="single" w:sz="4" w:space="0" w:color="auto"/>
              <w:bottom w:val="single" w:sz="4" w:space="0" w:color="auto"/>
            </w:tcBorders>
            <w:shd w:val="clear" w:color="auto" w:fill="D9D9D9" w:themeFill="background1" w:themeFillShade="D9"/>
            <w:noWrap/>
            <w:vAlign w:val="bottom"/>
          </w:tcPr>
          <w:p w:rsidR="00387A07" w:rsidRPr="00E17E1F" w:rsidRDefault="00387A07" w:rsidP="00387A07">
            <w:pPr>
              <w:spacing w:after="0"/>
              <w:jc w:val="center"/>
              <w:rPr>
                <w:rFonts w:cs="Calibri"/>
                <w:b/>
                <w:color w:val="000000"/>
                <w:lang w:val="it-IT" w:eastAsia="it-IT"/>
              </w:rPr>
            </w:pPr>
            <w:r w:rsidRPr="00E17E1F">
              <w:rPr>
                <w:rFonts w:cs="Calibri"/>
                <w:b/>
                <w:color w:val="000000"/>
                <w:lang w:val="it-IT" w:eastAsia="it-IT"/>
              </w:rPr>
              <w:t>NANOPARTICLES</w:t>
            </w:r>
          </w:p>
        </w:tc>
      </w:tr>
      <w:tr w:rsidR="00387A07" w:rsidRPr="00E17E1F" w:rsidTr="00387A07">
        <w:trPr>
          <w:trHeight w:val="283"/>
          <w:jc w:val="center"/>
        </w:trPr>
        <w:tc>
          <w:tcPr>
            <w:tcW w:w="1230" w:type="dxa"/>
            <w:vMerge/>
            <w:tcBorders>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p>
        </w:tc>
        <w:tc>
          <w:tcPr>
            <w:tcW w:w="1162" w:type="dxa"/>
            <w:tcBorders>
              <w:top w:val="single" w:sz="4" w:space="0" w:color="auto"/>
              <w:left w:val="nil"/>
              <w:bottom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PCL</w:t>
            </w:r>
          </w:p>
        </w:tc>
        <w:tc>
          <w:tcPr>
            <w:tcW w:w="1162" w:type="dxa"/>
            <w:tcBorders>
              <w:top w:val="single" w:sz="4" w:space="0" w:color="auto"/>
              <w:bottom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PLA</w:t>
            </w:r>
          </w:p>
        </w:tc>
        <w:tc>
          <w:tcPr>
            <w:tcW w:w="1162" w:type="dxa"/>
            <w:tcBorders>
              <w:top w:val="single" w:sz="4" w:space="0" w:color="auto"/>
              <w:bottom w:val="single" w:sz="4" w:space="0" w:color="auto"/>
              <w:right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C-BC2000</w:t>
            </w:r>
          </w:p>
        </w:tc>
        <w:tc>
          <w:tcPr>
            <w:tcW w:w="1162" w:type="dxa"/>
            <w:tcBorders>
              <w:top w:val="single" w:sz="4" w:space="0" w:color="auto"/>
              <w:left w:val="single" w:sz="4" w:space="0" w:color="auto"/>
              <w:bottom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PCL</w:t>
            </w:r>
          </w:p>
        </w:tc>
        <w:tc>
          <w:tcPr>
            <w:tcW w:w="1162" w:type="dxa"/>
            <w:tcBorders>
              <w:top w:val="single" w:sz="4" w:space="0" w:color="auto"/>
              <w:bottom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PLA</w:t>
            </w:r>
          </w:p>
        </w:tc>
        <w:tc>
          <w:tcPr>
            <w:tcW w:w="1162" w:type="dxa"/>
            <w:tcBorders>
              <w:top w:val="single" w:sz="4" w:space="0" w:color="auto"/>
              <w:bottom w:val="single" w:sz="4" w:space="0" w:color="auto"/>
            </w:tcBorders>
            <w:shd w:val="clear" w:color="auto" w:fill="D9D9D9" w:themeFill="background1" w:themeFillShade="D9"/>
            <w:noWrap/>
            <w:vAlign w:val="center"/>
          </w:tcPr>
          <w:p w:rsidR="00387A07" w:rsidRPr="00E17E1F" w:rsidRDefault="00387A07" w:rsidP="00387A07">
            <w:pPr>
              <w:spacing w:after="0" w:line="240" w:lineRule="auto"/>
              <w:jc w:val="center"/>
              <w:rPr>
                <w:rFonts w:cs="Calibri"/>
                <w:b/>
                <w:color w:val="000000"/>
                <w:lang w:val="it-IT" w:eastAsia="it-IT"/>
              </w:rPr>
            </w:pPr>
            <w:r w:rsidRPr="00E17E1F">
              <w:rPr>
                <w:rFonts w:cs="Calibri"/>
                <w:b/>
                <w:color w:val="000000"/>
                <w:lang w:val="it-IT" w:eastAsia="it-IT"/>
              </w:rPr>
              <w:t>C-BC2000</w:t>
            </w:r>
          </w:p>
        </w:tc>
      </w:tr>
      <w:tr w:rsidR="00387A07" w:rsidRPr="00E17E1F" w:rsidTr="00387A07">
        <w:trPr>
          <w:trHeight w:val="315"/>
          <w:jc w:val="center"/>
        </w:trPr>
        <w:tc>
          <w:tcPr>
            <w:tcW w:w="1230" w:type="dxa"/>
            <w:tcBorders>
              <w:top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w:t>
            </w:r>
          </w:p>
        </w:tc>
        <w:tc>
          <w:tcPr>
            <w:tcW w:w="1162" w:type="dxa"/>
            <w:tcBorders>
              <w:top w:val="single" w:sz="4" w:space="0" w:color="auto"/>
              <w:left w:val="nil"/>
              <w:right w:val="nil"/>
            </w:tcBorders>
            <w:shd w:val="clear" w:color="auto" w:fill="D9D9D9" w:themeFill="background1" w:themeFillShade="D9"/>
            <w:noWrap/>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-10.8 ± 0.2</w:t>
            </w:r>
          </w:p>
        </w:tc>
        <w:tc>
          <w:tcPr>
            <w:tcW w:w="1162" w:type="dxa"/>
            <w:tcBorders>
              <w:top w:val="single" w:sz="4" w:space="0" w:color="auto"/>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-27.4 ± 0.3</w:t>
            </w:r>
          </w:p>
        </w:tc>
        <w:tc>
          <w:tcPr>
            <w:tcW w:w="1162" w:type="dxa"/>
            <w:tcBorders>
              <w:top w:val="single" w:sz="4" w:space="0" w:color="auto"/>
              <w:left w:val="nil"/>
              <w:right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+2.7 ± 0.6</w:t>
            </w:r>
          </w:p>
        </w:tc>
        <w:tc>
          <w:tcPr>
            <w:tcW w:w="1162" w:type="dxa"/>
            <w:tcBorders>
              <w:top w:val="single" w:sz="4" w:space="0" w:color="auto"/>
              <w:left w:val="single" w:sz="4" w:space="0" w:color="auto"/>
              <w:right w:val="nil"/>
            </w:tcBorders>
            <w:shd w:val="clear" w:color="auto" w:fill="D9D9D9" w:themeFill="background1" w:themeFillShade="D9"/>
            <w:noWrap/>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-15.1 ± 0.2</w:t>
            </w:r>
          </w:p>
        </w:tc>
        <w:tc>
          <w:tcPr>
            <w:tcW w:w="1162" w:type="dxa"/>
            <w:tcBorders>
              <w:top w:val="single" w:sz="4" w:space="0" w:color="auto"/>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eastAsia="it-IT"/>
              </w:rPr>
              <w:t xml:space="preserve">-12.5 </w:t>
            </w:r>
            <w:r w:rsidRPr="00E17E1F">
              <w:rPr>
                <w:rFonts w:cs="Calibri"/>
                <w:color w:val="000000"/>
                <w:lang w:val="it-IT" w:eastAsia="it-IT"/>
              </w:rPr>
              <w:t>± 0.1</w:t>
            </w:r>
          </w:p>
        </w:tc>
        <w:tc>
          <w:tcPr>
            <w:tcW w:w="1162" w:type="dxa"/>
            <w:tcBorders>
              <w:top w:val="single" w:sz="4" w:space="0" w:color="auto"/>
              <w:lef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-17.5 ± 0.5</w:t>
            </w:r>
          </w:p>
        </w:tc>
      </w:tr>
      <w:tr w:rsidR="00387A07" w:rsidRPr="00E17E1F" w:rsidTr="00387A07">
        <w:trPr>
          <w:trHeight w:val="315"/>
          <w:jc w:val="center"/>
        </w:trPr>
        <w:tc>
          <w:tcPr>
            <w:tcW w:w="1230" w:type="dxa"/>
            <w:tcBorders>
              <w:top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2</w:t>
            </w:r>
          </w:p>
        </w:tc>
        <w:tc>
          <w:tcPr>
            <w:tcW w:w="116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-11.5 ± 0.2</w:t>
            </w:r>
          </w:p>
        </w:tc>
        <w:tc>
          <w:tcPr>
            <w:tcW w:w="116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-31.2 ± 1.3</w:t>
            </w:r>
          </w:p>
        </w:tc>
        <w:tc>
          <w:tcPr>
            <w:tcW w:w="1162" w:type="dxa"/>
            <w:tcBorders>
              <w:top w:val="nil"/>
              <w:left w:val="nil"/>
              <w:right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+11.2 ± 0.6</w:t>
            </w:r>
          </w:p>
        </w:tc>
        <w:tc>
          <w:tcPr>
            <w:tcW w:w="1162" w:type="dxa"/>
            <w:tcBorders>
              <w:top w:val="nil"/>
              <w:left w:val="single" w:sz="4" w:space="0" w:color="auto"/>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-17.5 ± 0.1</w:t>
            </w:r>
          </w:p>
        </w:tc>
        <w:tc>
          <w:tcPr>
            <w:tcW w:w="116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eastAsia="it-IT"/>
              </w:rPr>
              <w:t xml:space="preserve">-16.2 </w:t>
            </w:r>
            <w:r w:rsidRPr="00E17E1F">
              <w:rPr>
                <w:rFonts w:cs="Calibri"/>
                <w:color w:val="000000"/>
                <w:lang w:val="it-IT" w:eastAsia="it-IT"/>
              </w:rPr>
              <w:t>± 0.6</w:t>
            </w:r>
          </w:p>
        </w:tc>
        <w:tc>
          <w:tcPr>
            <w:tcW w:w="1162" w:type="dxa"/>
            <w:tcBorders>
              <w:top w:val="nil"/>
              <w:lef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 xml:space="preserve">-22.9 ± 0.2 </w:t>
            </w:r>
          </w:p>
        </w:tc>
      </w:tr>
      <w:tr w:rsidR="00387A07" w:rsidRPr="00E17E1F" w:rsidTr="00387A07">
        <w:trPr>
          <w:trHeight w:val="315"/>
          <w:jc w:val="center"/>
        </w:trPr>
        <w:tc>
          <w:tcPr>
            <w:tcW w:w="1230" w:type="dxa"/>
            <w:tcBorders>
              <w:top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3</w:t>
            </w:r>
          </w:p>
        </w:tc>
        <w:tc>
          <w:tcPr>
            <w:tcW w:w="1162" w:type="dxa"/>
            <w:tcBorders>
              <w:top w:val="nil"/>
              <w:left w:val="nil"/>
              <w:right w:val="nil"/>
            </w:tcBorders>
            <w:shd w:val="clear" w:color="auto" w:fill="D9D9D9" w:themeFill="background1" w:themeFillShade="D9"/>
            <w:noWrap/>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 xml:space="preserve">-13.3 ± 0.1 </w:t>
            </w:r>
          </w:p>
        </w:tc>
        <w:tc>
          <w:tcPr>
            <w:tcW w:w="116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-31.2 ± 0.5</w:t>
            </w:r>
          </w:p>
        </w:tc>
        <w:tc>
          <w:tcPr>
            <w:tcW w:w="1162" w:type="dxa"/>
            <w:tcBorders>
              <w:top w:val="nil"/>
              <w:left w:val="nil"/>
              <w:right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+6.6 ± 0.9</w:t>
            </w:r>
          </w:p>
        </w:tc>
        <w:tc>
          <w:tcPr>
            <w:tcW w:w="1162" w:type="dxa"/>
            <w:tcBorders>
              <w:top w:val="nil"/>
              <w:left w:val="single" w:sz="4" w:space="0" w:color="auto"/>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-19.4 ± 0.9</w:t>
            </w:r>
          </w:p>
        </w:tc>
        <w:tc>
          <w:tcPr>
            <w:tcW w:w="1162" w:type="dxa"/>
            <w:tcBorders>
              <w:top w:val="nil"/>
              <w:left w:val="nil"/>
              <w:righ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eastAsia="it-IT"/>
              </w:rPr>
              <w:t xml:space="preserve">-25.3 </w:t>
            </w:r>
            <w:r w:rsidRPr="00E17E1F">
              <w:rPr>
                <w:rFonts w:cs="Calibri"/>
                <w:color w:val="000000"/>
                <w:lang w:val="it-IT" w:eastAsia="it-IT"/>
              </w:rPr>
              <w:t>± 0.5</w:t>
            </w:r>
          </w:p>
        </w:tc>
        <w:tc>
          <w:tcPr>
            <w:tcW w:w="1162" w:type="dxa"/>
            <w:tcBorders>
              <w:top w:val="nil"/>
              <w:left w:val="nil"/>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-29.1 ± 0.1</w:t>
            </w:r>
          </w:p>
        </w:tc>
      </w:tr>
      <w:tr w:rsidR="00387A07" w:rsidRPr="00E17E1F" w:rsidTr="00387A07">
        <w:trPr>
          <w:trHeight w:val="315"/>
          <w:jc w:val="center"/>
        </w:trPr>
        <w:tc>
          <w:tcPr>
            <w:tcW w:w="1230" w:type="dxa"/>
            <w:tcBorders>
              <w:top w:val="nil"/>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4</w:t>
            </w:r>
          </w:p>
        </w:tc>
        <w:tc>
          <w:tcPr>
            <w:tcW w:w="1162" w:type="dxa"/>
            <w:tcBorders>
              <w:top w:val="nil"/>
              <w:left w:val="nil"/>
              <w:bottom w:val="single" w:sz="4" w:space="0" w:color="auto"/>
            </w:tcBorders>
            <w:shd w:val="clear" w:color="auto" w:fill="D9D9D9" w:themeFill="background1" w:themeFillShade="D9"/>
            <w:noWrap/>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-19.4 ± 1.2</w:t>
            </w:r>
          </w:p>
        </w:tc>
        <w:tc>
          <w:tcPr>
            <w:tcW w:w="1162" w:type="dxa"/>
            <w:tcBorders>
              <w:top w:val="nil"/>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-31.3 ± 1.2</w:t>
            </w:r>
          </w:p>
        </w:tc>
        <w:tc>
          <w:tcPr>
            <w:tcW w:w="1162" w:type="dxa"/>
            <w:tcBorders>
              <w:top w:val="nil"/>
              <w:bottom w:val="single" w:sz="4" w:space="0" w:color="auto"/>
              <w:right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+13.9 ± 1.1</w:t>
            </w:r>
          </w:p>
        </w:tc>
        <w:tc>
          <w:tcPr>
            <w:tcW w:w="1162" w:type="dxa"/>
            <w:tcBorders>
              <w:top w:val="nil"/>
              <w:left w:val="single" w:sz="4" w:space="0" w:color="auto"/>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-20.9 ± 0.1</w:t>
            </w:r>
          </w:p>
        </w:tc>
        <w:tc>
          <w:tcPr>
            <w:tcW w:w="1162" w:type="dxa"/>
            <w:tcBorders>
              <w:top w:val="nil"/>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eastAsia="it-IT"/>
              </w:rPr>
              <w:t xml:space="preserve">-28.7 </w:t>
            </w:r>
            <w:r w:rsidRPr="00E17E1F">
              <w:rPr>
                <w:rFonts w:cs="Calibri"/>
                <w:color w:val="000000"/>
                <w:lang w:val="it-IT" w:eastAsia="it-IT"/>
              </w:rPr>
              <w:t>± 0.1</w:t>
            </w:r>
          </w:p>
        </w:tc>
        <w:tc>
          <w:tcPr>
            <w:tcW w:w="1162" w:type="dxa"/>
            <w:tcBorders>
              <w:top w:val="nil"/>
              <w:bottom w:val="single" w:sz="4" w:space="0" w:color="auto"/>
            </w:tcBorders>
            <w:shd w:val="clear" w:color="auto" w:fill="D9D9D9" w:themeFill="background1" w:themeFillShade="D9"/>
            <w:vAlign w:val="bottom"/>
          </w:tcPr>
          <w:p w:rsidR="00387A07" w:rsidRPr="00E17E1F" w:rsidRDefault="00387A07" w:rsidP="00387A07">
            <w:pPr>
              <w:spacing w:after="0"/>
              <w:jc w:val="center"/>
              <w:rPr>
                <w:rFonts w:cs="Calibri"/>
                <w:color w:val="000000"/>
                <w:lang w:val="it-IT" w:eastAsia="it-IT"/>
              </w:rPr>
            </w:pPr>
            <w:r w:rsidRPr="00E17E1F">
              <w:rPr>
                <w:rFonts w:cs="Calibri"/>
                <w:color w:val="000000"/>
                <w:lang w:val="it-IT" w:eastAsia="it-IT"/>
              </w:rPr>
              <w:t>-30.4 ± 0.2</w:t>
            </w:r>
          </w:p>
        </w:tc>
      </w:tr>
    </w:tbl>
    <w:p w:rsidR="00387A07" w:rsidRPr="00E17E1F" w:rsidRDefault="00387A07" w:rsidP="00387A07">
      <w:pPr>
        <w:pStyle w:val="Didascalia"/>
        <w:spacing w:before="120"/>
        <w:jc w:val="center"/>
      </w:pPr>
      <w:r w:rsidRPr="00E17E1F">
        <w:t>Table 2. 8 Comparison of changes in the molecular weight of different samples after hydrolytic degradation in PBS</w:t>
      </w:r>
    </w:p>
    <w:p w:rsidR="00387A07" w:rsidRPr="00E17E1F" w:rsidRDefault="00387A07" w:rsidP="00387A07">
      <w:pPr>
        <w:spacing w:after="0" w:line="360" w:lineRule="auto"/>
        <w:jc w:val="both"/>
        <w:rPr>
          <w:rFonts w:ascii="Arial" w:hAnsi="Arial" w:cs="Arial"/>
          <w:bCs/>
          <w:sz w:val="24"/>
          <w:szCs w:val="24"/>
        </w:rPr>
      </w:pPr>
      <w:r w:rsidRPr="00E17E1F">
        <w:rPr>
          <w:rFonts w:ascii="Arial" w:hAnsi="Arial" w:cs="Arial"/>
          <w:bCs/>
          <w:sz w:val="24"/>
          <w:szCs w:val="24"/>
        </w:rPr>
        <w:t>The two commercial polyesters showed a similar degradation pattern, in which the molecular weight decreases linearly with increasing soaking time in PBS.</w:t>
      </w:r>
    </w:p>
    <w:p w:rsidR="00387A07" w:rsidRPr="00E17E1F" w:rsidRDefault="00387A07" w:rsidP="00387A07">
      <w:pPr>
        <w:spacing w:after="0" w:line="360" w:lineRule="auto"/>
        <w:jc w:val="both"/>
        <w:rPr>
          <w:rFonts w:ascii="Arial" w:eastAsia="AdvTimes" w:hAnsi="Arial" w:cs="Arial"/>
          <w:sz w:val="24"/>
          <w:szCs w:val="24"/>
          <w:lang w:val="en-US"/>
        </w:rPr>
      </w:pPr>
      <w:r w:rsidRPr="00E17E1F">
        <w:rPr>
          <w:rFonts w:ascii="Arial" w:eastAsia="AdvTimes" w:hAnsi="Arial" w:cs="Arial"/>
          <w:sz w:val="24"/>
          <w:szCs w:val="24"/>
          <w:lang w:val="en-US"/>
        </w:rPr>
        <w:t>No significant difference can be noticed by comparing the degradation rate of PCL nanoparticles and films, in agreement with the results reported by other authors [38].</w:t>
      </w:r>
    </w:p>
    <w:p w:rsidR="00387A07" w:rsidRPr="00E17E1F" w:rsidRDefault="00387A07" w:rsidP="00387A07">
      <w:pPr>
        <w:autoSpaceDE w:val="0"/>
        <w:autoSpaceDN w:val="0"/>
        <w:adjustRightInd w:val="0"/>
        <w:spacing w:after="0" w:line="360" w:lineRule="auto"/>
        <w:jc w:val="both"/>
        <w:rPr>
          <w:rFonts w:ascii="Arial" w:eastAsia="AdvTimes" w:hAnsi="Arial" w:cs="Arial"/>
          <w:sz w:val="24"/>
          <w:szCs w:val="24"/>
          <w:lang w:val="en-US"/>
        </w:rPr>
      </w:pPr>
      <w:r w:rsidRPr="00E17E1F">
        <w:rPr>
          <w:rFonts w:ascii="Arial" w:eastAsia="AdvTimes" w:hAnsi="Arial" w:cs="Arial"/>
          <w:sz w:val="24"/>
          <w:szCs w:val="24"/>
          <w:lang w:val="en-US"/>
        </w:rPr>
        <w:t xml:space="preserve">PLA seems to degrade much faster, compared to PCL, due to its lower molecular weight and poor cristallinity. </w:t>
      </w:r>
      <w:r w:rsidRPr="00E17E1F">
        <w:rPr>
          <w:rFonts w:ascii="Arial" w:hAnsi="Arial" w:cs="Arial"/>
          <w:color w:val="141314"/>
          <w:sz w:val="24"/>
          <w:szCs w:val="24"/>
          <w:lang w:val="en-US"/>
        </w:rPr>
        <w:t>Several reports showed that the crystalline part of the</w:t>
      </w:r>
      <w:r w:rsidRPr="00E17E1F">
        <w:rPr>
          <w:rFonts w:ascii="Arial" w:eastAsia="AdvTimes" w:hAnsi="Arial" w:cs="Arial"/>
          <w:sz w:val="24"/>
          <w:szCs w:val="24"/>
          <w:lang w:val="en-US"/>
        </w:rPr>
        <w:t xml:space="preserve"> </w:t>
      </w:r>
      <w:r w:rsidRPr="00E17E1F">
        <w:rPr>
          <w:rFonts w:ascii="Arial" w:hAnsi="Arial" w:cs="Arial"/>
          <w:color w:val="141314"/>
          <w:sz w:val="24"/>
          <w:szCs w:val="24"/>
          <w:lang w:val="en-US"/>
        </w:rPr>
        <w:t>PLA is more resistant to degradation than the amorphous part, and that the rate of degradation decreases with an</w:t>
      </w:r>
      <w:r w:rsidRPr="00E17E1F">
        <w:rPr>
          <w:rFonts w:ascii="Arial" w:eastAsia="AdvTimes" w:hAnsi="Arial" w:cs="Arial"/>
          <w:sz w:val="24"/>
          <w:szCs w:val="24"/>
          <w:lang w:val="en-US"/>
        </w:rPr>
        <w:t xml:space="preserve"> </w:t>
      </w:r>
      <w:r w:rsidRPr="00E17E1F">
        <w:rPr>
          <w:rFonts w:ascii="Arial" w:hAnsi="Arial" w:cs="Arial"/>
          <w:color w:val="141314"/>
          <w:sz w:val="24"/>
          <w:szCs w:val="24"/>
          <w:lang w:val="en-US"/>
        </w:rPr>
        <w:t>increase in cristallinity [39,40].</w:t>
      </w:r>
      <w:r w:rsidRPr="00E17E1F">
        <w:rPr>
          <w:rFonts w:ascii="Arial" w:eastAsia="AdvTimes" w:hAnsi="Arial" w:cs="Arial"/>
          <w:sz w:val="24"/>
          <w:szCs w:val="24"/>
          <w:lang w:val="en-US"/>
        </w:rPr>
        <w:t xml:space="preserve"> </w:t>
      </w:r>
    </w:p>
    <w:p w:rsidR="00387A07" w:rsidRPr="00E17E1F" w:rsidRDefault="00387A07" w:rsidP="00387A07">
      <w:pPr>
        <w:autoSpaceDE w:val="0"/>
        <w:autoSpaceDN w:val="0"/>
        <w:adjustRightInd w:val="0"/>
        <w:spacing w:after="0" w:line="360" w:lineRule="auto"/>
        <w:jc w:val="both"/>
        <w:rPr>
          <w:rFonts w:ascii="Arial" w:eastAsia="AdvTimes" w:hAnsi="Arial" w:cs="Arial"/>
          <w:sz w:val="24"/>
          <w:szCs w:val="24"/>
          <w:lang w:val="en-US"/>
        </w:rPr>
      </w:pPr>
      <w:r w:rsidRPr="00E17E1F">
        <w:rPr>
          <w:rFonts w:ascii="Arial" w:eastAsia="AdvTimes" w:hAnsi="Arial" w:cs="Arial"/>
          <w:sz w:val="24"/>
          <w:szCs w:val="24"/>
          <w:lang w:val="en-US"/>
        </w:rPr>
        <w:t>Moreover, PLA nanoparticles appear to be less sensitive to hydrolytic degradation compared to films</w:t>
      </w:r>
      <w:r w:rsidRPr="00E17E1F">
        <w:rPr>
          <w:rFonts w:ascii="Arial" w:hAnsi="Arial" w:cs="Arial"/>
          <w:color w:val="141314"/>
          <w:sz w:val="24"/>
          <w:szCs w:val="24"/>
          <w:lang w:val="en-US"/>
        </w:rPr>
        <w:t xml:space="preserve">, confirming that </w:t>
      </w:r>
      <w:r w:rsidRPr="00E17E1F">
        <w:rPr>
          <w:rFonts w:ascii="Arial" w:eastAsia="AdvTimes" w:hAnsi="Arial" w:cs="Arial"/>
          <w:sz w:val="24"/>
          <w:szCs w:val="24"/>
          <w:lang w:val="en-US"/>
        </w:rPr>
        <w:t xml:space="preserve">this polymer undergoes a size-dependent degradation, as reported by many authors [41]. </w:t>
      </w:r>
    </w:p>
    <w:p w:rsidR="00387A07" w:rsidRPr="00E17E1F" w:rsidRDefault="00387A07" w:rsidP="00387A07">
      <w:pPr>
        <w:autoSpaceDE w:val="0"/>
        <w:autoSpaceDN w:val="0"/>
        <w:adjustRightInd w:val="0"/>
        <w:spacing w:after="0" w:line="360" w:lineRule="auto"/>
        <w:jc w:val="both"/>
        <w:rPr>
          <w:rFonts w:ascii="Arial" w:hAnsi="Arial" w:cs="Arial"/>
          <w:sz w:val="24"/>
          <w:szCs w:val="24"/>
          <w:lang w:val="en-US"/>
        </w:rPr>
      </w:pPr>
      <w:r w:rsidRPr="00E17E1F">
        <w:rPr>
          <w:rFonts w:ascii="Arial" w:hAnsi="Arial" w:cs="Arial"/>
          <w:sz w:val="24"/>
          <w:szCs w:val="24"/>
          <w:lang w:val="en-US"/>
        </w:rPr>
        <w:t xml:space="preserve">In particular large size devices degrade faster, with the inner part undergoing rapid degradation, due to a larger contribution to autocatalysis given by the higher amount of free carboxylic groups in the bulk compared to the surface [42]. Briefly, </w:t>
      </w:r>
      <w:r w:rsidRPr="00E17E1F">
        <w:rPr>
          <w:rFonts w:ascii="Arial" w:hAnsi="Arial" w:cs="Arial"/>
          <w:color w:val="000000"/>
          <w:sz w:val="24"/>
          <w:szCs w:val="24"/>
          <w:lang w:val="en-US"/>
        </w:rPr>
        <w:t xml:space="preserve">degradation causes an increase in the number of carboxylic acid chain ends which are known to autocatalyse ester hydrolysis. As degradation goes on, soluble oligomers which are </w:t>
      </w:r>
      <w:r w:rsidRPr="00E17E1F">
        <w:rPr>
          <w:rFonts w:ascii="Arial" w:hAnsi="Arial" w:cs="Arial"/>
          <w:color w:val="000000"/>
          <w:sz w:val="24"/>
          <w:szCs w:val="24"/>
          <w:lang w:val="en-US"/>
        </w:rPr>
        <w:lastRenderedPageBreak/>
        <w:t>located in the core of the matrix remain entrapped, enhancing bulk degradation and leading to the formation of a skin composed of less degraded polymer [43].</w:t>
      </w:r>
    </w:p>
    <w:p w:rsidR="00387A07" w:rsidRPr="00E17E1F" w:rsidRDefault="00387A07" w:rsidP="00387A07">
      <w:pPr>
        <w:spacing w:after="120" w:line="360" w:lineRule="auto"/>
        <w:jc w:val="both"/>
        <w:rPr>
          <w:rFonts w:ascii="Arial" w:eastAsia="AdvTimes" w:hAnsi="Arial" w:cs="Arial"/>
          <w:sz w:val="24"/>
          <w:szCs w:val="24"/>
          <w:lang w:val="en-US"/>
        </w:rPr>
      </w:pPr>
      <w:r w:rsidRPr="00E17E1F">
        <w:rPr>
          <w:rFonts w:ascii="Arial" w:eastAsia="AdvTimes" w:hAnsi="Arial" w:cs="Arial"/>
          <w:sz w:val="24"/>
          <w:szCs w:val="24"/>
          <w:lang w:val="en-US"/>
        </w:rPr>
        <w:t>For what concerns the polyesterurethane C-BC2000, a completely different behavior between samples in the form of nanoparticles and films was highlighted. While the film displays a slight increase in the average number molecular weight with increasing soaking time, as observed by other authors [44][45], C-BC2000 nanoparticles undergo hydrolytic degradation accompanied by an evident loss in molecular weight similarly to what observed for the two commercial polyesters.</w:t>
      </w:r>
    </w:p>
    <w:p w:rsidR="00387A07" w:rsidRPr="00E17E1F" w:rsidRDefault="00387A07" w:rsidP="00387A07">
      <w:pPr>
        <w:spacing w:after="0" w:line="360" w:lineRule="auto"/>
        <w:jc w:val="center"/>
        <w:rPr>
          <w:rFonts w:ascii="Arial" w:hAnsi="Arial" w:cs="Arial"/>
          <w:sz w:val="24"/>
          <w:szCs w:val="24"/>
        </w:rPr>
      </w:pPr>
      <w:r w:rsidRPr="00E17E1F">
        <w:rPr>
          <w:rFonts w:ascii="Arial" w:hAnsi="Arial" w:cs="Arial"/>
          <w:noProof/>
          <w:sz w:val="24"/>
          <w:szCs w:val="24"/>
          <w:lang w:val="it-IT" w:eastAsia="it-IT"/>
        </w:rPr>
        <w:drawing>
          <wp:inline distT="0" distB="0" distL="0" distR="0">
            <wp:extent cx="2714625" cy="4876800"/>
            <wp:effectExtent l="0" t="0" r="9525" b="0"/>
            <wp:docPr id="140" name="Immagine 18" descr="degradazioni idroliti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descr="degradazioni idrolitiche.png"/>
                    <pic:cNvPicPr>
                      <a:picLocks noChangeAspect="1" noChangeArrowheads="1"/>
                    </pic:cNvPicPr>
                  </pic:nvPicPr>
                  <pic:blipFill>
                    <a:blip r:embed="rId35"/>
                    <a:srcRect/>
                    <a:stretch>
                      <a:fillRect/>
                    </a:stretch>
                  </pic:blipFill>
                  <pic:spPr bwMode="auto">
                    <a:xfrm>
                      <a:off x="0" y="0"/>
                      <a:ext cx="2714625" cy="4876800"/>
                    </a:xfrm>
                    <a:prstGeom prst="rect">
                      <a:avLst/>
                    </a:prstGeom>
                    <a:noFill/>
                    <a:ln w="9525">
                      <a:noFill/>
                      <a:miter lim="800000"/>
                      <a:headEnd/>
                      <a:tailEnd/>
                    </a:ln>
                  </pic:spPr>
                </pic:pic>
              </a:graphicData>
            </a:graphic>
          </wp:inline>
        </w:drawing>
      </w:r>
    </w:p>
    <w:p w:rsidR="00387A07" w:rsidRPr="00E17E1F" w:rsidRDefault="00387A07" w:rsidP="00387A07">
      <w:pPr>
        <w:pStyle w:val="Didascalia"/>
        <w:rPr>
          <w:rFonts w:ascii="Arial" w:hAnsi="Arial" w:cs="Arial"/>
          <w:sz w:val="24"/>
          <w:szCs w:val="24"/>
        </w:rPr>
      </w:pPr>
      <w:r w:rsidRPr="00E17E1F">
        <w:t>Figure 2. 9 Hydrolytic degradation of PCL, PLA and C-BC2000 films and nanoparticle samples.</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 xml:space="preserve">2.3.5 Toxicity studies </w:t>
      </w:r>
    </w:p>
    <w:p w:rsidR="00387A07" w:rsidRPr="00E17E1F" w:rsidRDefault="00387A07" w:rsidP="00387A07">
      <w:pPr>
        <w:spacing w:line="360" w:lineRule="auto"/>
        <w:jc w:val="both"/>
        <w:rPr>
          <w:rFonts w:ascii="Arial" w:hAnsi="Arial" w:cs="Arial"/>
          <w:sz w:val="24"/>
          <w:szCs w:val="24"/>
        </w:rPr>
      </w:pPr>
      <w:r w:rsidRPr="00E17E1F">
        <w:rPr>
          <w:rFonts w:ascii="Arial" w:hAnsi="Arial" w:cs="Arial"/>
          <w:sz w:val="24"/>
          <w:szCs w:val="24"/>
        </w:rPr>
        <w:t xml:space="preserve">Figure 2.10 shows cell viability results after incubation in the presence of different concentrations of nanoparticles. The Calcein-am assay showed similar patterns for nanoparticles prepared with different materials regardless of their concentrations. </w:t>
      </w:r>
    </w:p>
    <w:p w:rsidR="00387A07" w:rsidRPr="00E17E1F" w:rsidRDefault="00387A07" w:rsidP="00387A07">
      <w:pPr>
        <w:spacing w:after="0" w:line="360" w:lineRule="auto"/>
        <w:jc w:val="center"/>
        <w:rPr>
          <w:rFonts w:ascii="Arial" w:hAnsi="Arial" w:cs="Arial"/>
          <w:sz w:val="24"/>
          <w:szCs w:val="24"/>
        </w:rPr>
      </w:pPr>
      <w:r w:rsidRPr="00E17E1F">
        <w:rPr>
          <w:rFonts w:ascii="Arial" w:hAnsi="Arial" w:cs="Arial"/>
          <w:noProof/>
          <w:sz w:val="24"/>
          <w:szCs w:val="24"/>
          <w:lang w:val="it-IT" w:eastAsia="it-IT"/>
        </w:rPr>
        <w:lastRenderedPageBreak/>
        <w:drawing>
          <wp:inline distT="0" distB="0" distL="0" distR="0">
            <wp:extent cx="3619500" cy="2171700"/>
            <wp:effectExtent l="0" t="0" r="0" b="0"/>
            <wp:docPr id="141" name="Immagine 141" descr="calcein am ass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alcein am assay.png"/>
                    <pic:cNvPicPr>
                      <a:picLocks noChangeAspect="1" noChangeArrowheads="1"/>
                    </pic:cNvPicPr>
                  </pic:nvPicPr>
                  <pic:blipFill>
                    <a:blip r:embed="rId36"/>
                    <a:srcRect/>
                    <a:stretch>
                      <a:fillRect/>
                    </a:stretch>
                  </pic:blipFill>
                  <pic:spPr bwMode="auto">
                    <a:xfrm>
                      <a:off x="0" y="0"/>
                      <a:ext cx="3619500" cy="2171700"/>
                    </a:xfrm>
                    <a:prstGeom prst="rect">
                      <a:avLst/>
                    </a:prstGeom>
                    <a:noFill/>
                    <a:ln w="9525">
                      <a:noFill/>
                      <a:miter lim="800000"/>
                      <a:headEnd/>
                      <a:tailEnd/>
                    </a:ln>
                  </pic:spPr>
                </pic:pic>
              </a:graphicData>
            </a:graphic>
          </wp:inline>
        </w:drawing>
      </w:r>
    </w:p>
    <w:p w:rsidR="00387A07" w:rsidRPr="00E17E1F" w:rsidRDefault="00387A07" w:rsidP="00387A07">
      <w:pPr>
        <w:pStyle w:val="Didascalia"/>
        <w:rPr>
          <w:rFonts w:ascii="Arial" w:hAnsi="Arial" w:cs="Arial"/>
          <w:sz w:val="24"/>
          <w:szCs w:val="24"/>
        </w:rPr>
      </w:pPr>
      <w:r w:rsidRPr="00E17E1F">
        <w:t xml:space="preserve">Figure 2. 10 Cell viability after incubation with nanoparticles at different concentrations. </w:t>
      </w:r>
    </w:p>
    <w:p w:rsidR="00387A07" w:rsidRPr="00E17E1F" w:rsidRDefault="00387A07" w:rsidP="00387A07">
      <w:pPr>
        <w:spacing w:line="360" w:lineRule="auto"/>
        <w:jc w:val="both"/>
        <w:rPr>
          <w:rFonts w:ascii="Arial" w:hAnsi="Arial" w:cs="Arial"/>
          <w:sz w:val="24"/>
          <w:szCs w:val="24"/>
        </w:rPr>
      </w:pPr>
      <w:r w:rsidRPr="00E17E1F">
        <w:rPr>
          <w:rFonts w:ascii="Arial" w:hAnsi="Arial" w:cs="Arial"/>
          <w:sz w:val="24"/>
          <w:szCs w:val="24"/>
        </w:rPr>
        <w:t xml:space="preserve">No evident signs of toxicity were detected in any case, cells are almost completely vital after 24hours of incubation in the presence of nanoparticles at different concentrations. A slightly higher cellular death can be observed after exposure to 2mg/ml solution of both PLA and C-BC2000 nanoparticles. 1mg/ml was therefore considered a suitable concentration for further quantitative and qualitative uptake studies.  </w:t>
      </w:r>
    </w:p>
    <w:p w:rsidR="00387A07" w:rsidRPr="00E17E1F" w:rsidRDefault="00387A07" w:rsidP="00387A07">
      <w:pPr>
        <w:spacing w:before="240" w:after="240" w:line="360" w:lineRule="auto"/>
        <w:jc w:val="both"/>
        <w:rPr>
          <w:rFonts w:ascii="Arial" w:hAnsi="Arial" w:cs="Arial"/>
          <w:b/>
          <w:sz w:val="24"/>
          <w:szCs w:val="24"/>
        </w:rPr>
      </w:pPr>
      <w:r w:rsidRPr="00E17E1F">
        <w:rPr>
          <w:rFonts w:ascii="Arial" w:hAnsi="Arial" w:cs="Arial"/>
          <w:b/>
          <w:sz w:val="24"/>
          <w:szCs w:val="24"/>
        </w:rPr>
        <w:t>2.3.6 Cellular uptake studies</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Results from cellular uptake studies are summarised in figure 2.11 and 2.12.</w:t>
      </w:r>
    </w:p>
    <w:p w:rsidR="00387A07" w:rsidRPr="00E17E1F" w:rsidRDefault="00387A07" w:rsidP="00387A07">
      <w:pPr>
        <w:spacing w:after="120" w:line="360" w:lineRule="auto"/>
        <w:jc w:val="both"/>
        <w:rPr>
          <w:rFonts w:ascii="Arial" w:hAnsi="Arial" w:cs="Arial"/>
          <w:sz w:val="24"/>
          <w:szCs w:val="24"/>
        </w:rPr>
      </w:pPr>
      <w:r w:rsidRPr="00E17E1F">
        <w:rPr>
          <w:rFonts w:ascii="Arial" w:hAnsi="Arial" w:cs="Arial"/>
          <w:sz w:val="24"/>
          <w:szCs w:val="24"/>
        </w:rPr>
        <w:t xml:space="preserve">Figure 2.11 shows quantitave uptake of rhodamine-loaded nanoparticles after 2hours of incubation by A431 cells. All materials show a similar behaviour, with a slightly higher internalization observed for C-BC2000 nanoparticles. </w:t>
      </w:r>
    </w:p>
    <w:p w:rsidR="00387A07" w:rsidRPr="00E17E1F" w:rsidRDefault="00387A07" w:rsidP="00387A07">
      <w:pPr>
        <w:spacing w:after="120" w:line="360" w:lineRule="auto"/>
        <w:jc w:val="center"/>
        <w:rPr>
          <w:rFonts w:ascii="Arial" w:hAnsi="Arial" w:cs="Arial"/>
          <w:sz w:val="24"/>
          <w:szCs w:val="24"/>
        </w:rPr>
      </w:pPr>
      <w:r w:rsidRPr="00E17E1F">
        <w:rPr>
          <w:rFonts w:ascii="Arial" w:hAnsi="Arial" w:cs="Arial"/>
          <w:noProof/>
          <w:sz w:val="24"/>
          <w:szCs w:val="24"/>
          <w:lang w:val="it-IT" w:eastAsia="it-IT"/>
        </w:rPr>
        <w:drawing>
          <wp:inline distT="0" distB="0" distL="0" distR="0">
            <wp:extent cx="3413179" cy="1917954"/>
            <wp:effectExtent l="12192" t="6096" r="3629" b="0"/>
            <wp:docPr id="142" name="Gra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87A07" w:rsidRPr="00E17E1F" w:rsidRDefault="00387A07" w:rsidP="00387A07">
      <w:pPr>
        <w:pStyle w:val="Didascalia"/>
        <w:spacing w:after="240"/>
        <w:rPr>
          <w:lang w:val="en-US"/>
        </w:rPr>
      </w:pPr>
      <w:r w:rsidRPr="00E17E1F">
        <w:rPr>
          <w:lang w:val="en-US"/>
        </w:rPr>
        <w:t>Figure 2.  11 Quantitative cellular uptake of nanoparticles prepared with different polymers.</w:t>
      </w:r>
    </w:p>
    <w:p w:rsidR="00387A07" w:rsidRPr="00E17E1F" w:rsidRDefault="00387A07" w:rsidP="00387A07">
      <w:pPr>
        <w:spacing w:line="360" w:lineRule="auto"/>
        <w:jc w:val="both"/>
        <w:rPr>
          <w:rFonts w:ascii="Arial" w:hAnsi="Arial" w:cs="Arial"/>
          <w:sz w:val="24"/>
          <w:szCs w:val="24"/>
          <w:lang w:val="en-US"/>
        </w:rPr>
      </w:pPr>
      <w:r w:rsidRPr="00E17E1F">
        <w:rPr>
          <w:rFonts w:ascii="Arial" w:hAnsi="Arial" w:cs="Arial"/>
          <w:sz w:val="24"/>
          <w:szCs w:val="24"/>
          <w:lang w:val="en-US"/>
        </w:rPr>
        <w:t>Qualitative uptake results were performed by confocal analysis on both living and fixed cells.</w:t>
      </w:r>
    </w:p>
    <w:p w:rsidR="00387A07" w:rsidRPr="00E17E1F" w:rsidRDefault="00387A07" w:rsidP="00387A07">
      <w:pPr>
        <w:spacing w:after="0" w:line="360" w:lineRule="auto"/>
        <w:jc w:val="both"/>
        <w:rPr>
          <w:rFonts w:ascii="Arial" w:hAnsi="Arial" w:cs="Arial"/>
          <w:b/>
          <w:sz w:val="24"/>
          <w:szCs w:val="24"/>
        </w:rPr>
      </w:pPr>
    </w:p>
    <w:p w:rsidR="00387A07" w:rsidRPr="00E17E1F" w:rsidRDefault="00387A07" w:rsidP="00387A07">
      <w:pPr>
        <w:spacing w:after="0" w:line="360" w:lineRule="auto"/>
        <w:jc w:val="both"/>
        <w:rPr>
          <w:rFonts w:ascii="Arial" w:hAnsi="Arial" w:cs="Arial"/>
          <w:b/>
          <w:sz w:val="24"/>
          <w:szCs w:val="24"/>
        </w:rPr>
      </w:pPr>
      <w:r w:rsidRPr="00E17E1F">
        <w:rPr>
          <w:rFonts w:ascii="Arial" w:hAnsi="Arial" w:cs="Arial"/>
          <w:b/>
          <w:noProof/>
          <w:sz w:val="24"/>
          <w:szCs w:val="24"/>
          <w:lang w:val="it-IT" w:eastAsia="it-IT"/>
        </w:rPr>
        <w:lastRenderedPageBreak/>
        <w:drawing>
          <wp:inline distT="0" distB="0" distL="0" distR="0">
            <wp:extent cx="6120130" cy="2685415"/>
            <wp:effectExtent l="19050" t="0" r="0" b="0"/>
            <wp:docPr id="45" name="Immagine 44" descr="confocale alive_c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ocale alive_cap 2.png"/>
                    <pic:cNvPicPr/>
                  </pic:nvPicPr>
                  <pic:blipFill>
                    <a:blip r:embed="rId38" cstate="print"/>
                    <a:stretch>
                      <a:fillRect/>
                    </a:stretch>
                  </pic:blipFill>
                  <pic:spPr>
                    <a:xfrm>
                      <a:off x="0" y="0"/>
                      <a:ext cx="6120130" cy="2685415"/>
                    </a:xfrm>
                    <a:prstGeom prst="rect">
                      <a:avLst/>
                    </a:prstGeom>
                  </pic:spPr>
                </pic:pic>
              </a:graphicData>
            </a:graphic>
          </wp:inline>
        </w:drawing>
      </w:r>
    </w:p>
    <w:p w:rsidR="00387A07" w:rsidRPr="00E17E1F" w:rsidRDefault="00387A07" w:rsidP="00387A07">
      <w:pPr>
        <w:pStyle w:val="Didascalia"/>
      </w:pPr>
      <w:r w:rsidRPr="00E17E1F">
        <w:t xml:space="preserve">Figure 2. 12 Confocal images of living (first row) and fixed (second row) cells after incubation with rhodamine-containing nanoparticles.: A) Controls, B) PCL nanoparticles, C) PLA nanoparticles and D) C-BC2000 nanoparticles.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lang w:val="en-US"/>
        </w:rPr>
        <w:t>Confocal images, reported in figure 2.11,</w:t>
      </w:r>
      <w:r w:rsidRPr="00E17E1F">
        <w:rPr>
          <w:rFonts w:ascii="Arial" w:hAnsi="Arial" w:cs="Arial"/>
          <w:sz w:val="24"/>
          <w:szCs w:val="24"/>
        </w:rPr>
        <w:t xml:space="preserve"> reveal that nanoparticles were internalized by cells and localized almost totally in the cytoplasm, as evidenced by the fluorescence of Rhodamine-loaded nanoparticles.</w:t>
      </w:r>
    </w:p>
    <w:p w:rsidR="00387A07" w:rsidRPr="00E17E1F" w:rsidRDefault="009558D0" w:rsidP="00387A07">
      <w:pPr>
        <w:spacing w:before="240" w:after="240" w:line="360" w:lineRule="auto"/>
        <w:jc w:val="both"/>
        <w:rPr>
          <w:rFonts w:ascii="Arial" w:hAnsi="Arial" w:cs="Arial"/>
          <w:b/>
          <w:sz w:val="28"/>
          <w:szCs w:val="28"/>
        </w:rPr>
      </w:pPr>
      <w:r>
        <w:rPr>
          <w:rFonts w:ascii="Arial" w:hAnsi="Arial" w:cs="Arial"/>
          <w:b/>
          <w:sz w:val="28"/>
          <w:szCs w:val="28"/>
        </w:rPr>
        <w:t>2.4</w:t>
      </w:r>
      <w:r w:rsidR="00387A07" w:rsidRPr="00E17E1F">
        <w:rPr>
          <w:rFonts w:ascii="Arial" w:hAnsi="Arial" w:cs="Arial"/>
          <w:b/>
          <w:sz w:val="28"/>
          <w:szCs w:val="28"/>
        </w:rPr>
        <w:t xml:space="preserve"> Conclusions</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In this work biodegradable nanoparticles prepared with commercial polyesters or a novel poly(ε-caprolactone)-based polyesterurethane (C-BC2000) were proposed for the controlled and targeted release of Paclitaxel.</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 xml:space="preserve">Polyurethanes have been successfully employed as biomaterials for several decades in a variety of applications, because of their tuneable mechanical properties and good biocompatibility [14]; nevertheless their use as nanoparticles for controlled drug release has received little attention in literature [15].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The solvent Displacement method was adopted for nanoparticles preparation, because  it is known to produce small and uniformly distributed particles without employing toxic solvents.</w:t>
      </w:r>
    </w:p>
    <w:p w:rsidR="00387A07" w:rsidRPr="00E17E1F" w:rsidRDefault="00387A07" w:rsidP="00387A07">
      <w:pPr>
        <w:autoSpaceDE w:val="0"/>
        <w:autoSpaceDN w:val="0"/>
        <w:adjustRightInd w:val="0"/>
        <w:spacing w:after="0" w:line="360" w:lineRule="auto"/>
        <w:jc w:val="both"/>
        <w:rPr>
          <w:rFonts w:ascii="Arial" w:hAnsi="Arial" w:cs="Arial"/>
          <w:color w:val="000000"/>
          <w:sz w:val="24"/>
          <w:szCs w:val="24"/>
          <w:lang w:val="en-US"/>
        </w:rPr>
      </w:pPr>
      <w:r w:rsidRPr="00E17E1F">
        <w:rPr>
          <w:rFonts w:ascii="Arial" w:hAnsi="Arial" w:cs="Arial"/>
          <w:color w:val="000000"/>
          <w:sz w:val="24"/>
          <w:szCs w:val="24"/>
          <w:lang w:val="en-US"/>
        </w:rPr>
        <w:t xml:space="preserve">The polymers commonly used with this method belong to the biodegradable polyesters family, especially poly(ε-caprolactone) (PCL), poly(lactide) (PLA) and poly(lactide-co-glicolide) (PLGA). Poly(alkylcyanoacrylate) (PACA) or PEG copolymers have also been used to prepare nanoparticles with this method [6,10-12]. </w:t>
      </w:r>
    </w:p>
    <w:p w:rsidR="00387A07" w:rsidRPr="00E17E1F" w:rsidRDefault="00387A07" w:rsidP="00387A07">
      <w:pPr>
        <w:autoSpaceDE w:val="0"/>
        <w:autoSpaceDN w:val="0"/>
        <w:adjustRightInd w:val="0"/>
        <w:spacing w:after="0" w:line="360" w:lineRule="auto"/>
        <w:jc w:val="both"/>
        <w:rPr>
          <w:rFonts w:ascii="Arial" w:hAnsi="Arial" w:cs="Arial"/>
          <w:sz w:val="24"/>
          <w:szCs w:val="24"/>
        </w:rPr>
      </w:pPr>
      <w:r w:rsidRPr="00E17E1F">
        <w:rPr>
          <w:rFonts w:ascii="Arial" w:hAnsi="Arial" w:cs="Arial"/>
          <w:color w:val="000000"/>
          <w:sz w:val="24"/>
          <w:szCs w:val="24"/>
          <w:lang w:val="en-US"/>
        </w:rPr>
        <w:lastRenderedPageBreak/>
        <w:t>T</w:t>
      </w:r>
      <w:r w:rsidRPr="00E17E1F">
        <w:rPr>
          <w:rFonts w:ascii="Arial" w:hAnsi="Arial" w:cs="Arial"/>
          <w:sz w:val="24"/>
          <w:szCs w:val="24"/>
        </w:rPr>
        <w:t>he possibility of introducing a novel biodegradable material, belonging to the polyesterurethanes family, for nanoparticles preparation by the Solvent Displacement Method</w:t>
      </w:r>
      <w:r w:rsidRPr="00E17E1F">
        <w:rPr>
          <w:rFonts w:ascii="Arial" w:hAnsi="Arial" w:cs="Arial"/>
          <w:color w:val="000000"/>
          <w:sz w:val="24"/>
          <w:szCs w:val="24"/>
          <w:lang w:val="en-US"/>
        </w:rPr>
        <w:t xml:space="preserve"> was successfully demonstrated</w:t>
      </w:r>
      <w:r w:rsidRPr="00E17E1F">
        <w:rPr>
          <w:rFonts w:ascii="Arial" w:hAnsi="Arial" w:cs="Arial"/>
          <w:sz w:val="24"/>
          <w:szCs w:val="24"/>
        </w:rPr>
        <w:t xml:space="preserve">. </w:t>
      </w:r>
    </w:p>
    <w:p w:rsidR="00387A07" w:rsidRPr="00E17E1F" w:rsidRDefault="00387A07" w:rsidP="00387A07">
      <w:pPr>
        <w:autoSpaceDE w:val="0"/>
        <w:autoSpaceDN w:val="0"/>
        <w:adjustRightInd w:val="0"/>
        <w:spacing w:after="0" w:line="360" w:lineRule="auto"/>
        <w:jc w:val="both"/>
        <w:rPr>
          <w:rFonts w:ascii="Arial" w:hAnsi="Arial" w:cs="Arial"/>
          <w:sz w:val="24"/>
          <w:szCs w:val="24"/>
        </w:rPr>
      </w:pPr>
      <w:r w:rsidRPr="00E17E1F">
        <w:rPr>
          <w:rFonts w:ascii="Arial" w:hAnsi="Arial" w:cs="Arial"/>
          <w:color w:val="000000"/>
          <w:sz w:val="24"/>
          <w:szCs w:val="24"/>
        </w:rPr>
        <w:t xml:space="preserve">Compared to the results obtained for </w:t>
      </w:r>
      <w:r w:rsidRPr="00E17E1F">
        <w:rPr>
          <w:rFonts w:ascii="Arial" w:hAnsi="Arial" w:cs="Arial"/>
          <w:color w:val="000000"/>
          <w:sz w:val="24"/>
          <w:szCs w:val="24"/>
          <w:lang w:val="en-US"/>
        </w:rPr>
        <w:t>Poly(ε-caprolactone) and Poly (D,L-Lactide), C-BC2000 n</w:t>
      </w:r>
      <w:r w:rsidRPr="00E17E1F">
        <w:rPr>
          <w:rFonts w:ascii="Arial" w:hAnsi="Arial" w:cs="Arial"/>
          <w:sz w:val="24"/>
          <w:szCs w:val="24"/>
        </w:rPr>
        <w:t xml:space="preserve">anoparticles exhibit similar spherical morphology, size distribution and zeta potential. </w:t>
      </w:r>
    </w:p>
    <w:p w:rsidR="00387A07" w:rsidRPr="00E17E1F" w:rsidRDefault="00387A07" w:rsidP="00387A07">
      <w:pPr>
        <w:autoSpaceDE w:val="0"/>
        <w:autoSpaceDN w:val="0"/>
        <w:adjustRightInd w:val="0"/>
        <w:spacing w:after="0" w:line="360" w:lineRule="auto"/>
        <w:jc w:val="both"/>
        <w:rPr>
          <w:rFonts w:ascii="Arial" w:hAnsi="Arial" w:cs="Arial"/>
          <w:sz w:val="24"/>
          <w:szCs w:val="24"/>
        </w:rPr>
      </w:pPr>
      <w:r w:rsidRPr="00E17E1F">
        <w:rPr>
          <w:rFonts w:ascii="Arial" w:hAnsi="Arial" w:cs="Arial"/>
          <w:sz w:val="24"/>
          <w:szCs w:val="24"/>
        </w:rPr>
        <w:t xml:space="preserve">The size, assessed by Dynamic Light Scattering, makes the particles optimal candidates for passive targeting of tumours through the EPR effect, as shown by cellular tests. All nanoparticles are easily internalized by tumour cells after 2h of incubation, with C-BC2000 showing the highest cellular uptake. </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Release profiles of PX were similar for nanoparticles prepared with the two commercial polyesters with an initial burst release followed by a linear tract. Almost all the encapsulated drug was released after 48 hours. On the other hand, C-BC2000 nanoparticles exhibited optimal release properties, with the highest drug loading capacity, the lowest burst effect and a prolonged release over time.</w:t>
      </w:r>
    </w:p>
    <w:p w:rsidR="00387A07" w:rsidRPr="00E17E1F" w:rsidRDefault="00387A07" w:rsidP="00387A07">
      <w:pPr>
        <w:spacing w:after="0" w:line="360" w:lineRule="auto"/>
        <w:jc w:val="both"/>
        <w:rPr>
          <w:rFonts w:ascii="Arial" w:hAnsi="Arial" w:cs="Arial"/>
          <w:sz w:val="24"/>
          <w:szCs w:val="24"/>
        </w:rPr>
      </w:pPr>
      <w:r w:rsidRPr="00E17E1F">
        <w:rPr>
          <w:rFonts w:ascii="Arial" w:hAnsi="Arial" w:cs="Arial"/>
          <w:sz w:val="24"/>
          <w:szCs w:val="24"/>
        </w:rPr>
        <w:t>This study highlighted the possibility to successfully employ novel biomaterials as particles for controlled drug release and to modulate their release profiles and encapsulation properties by selecting the suitable soft segments of the polyurethanes.</w:t>
      </w:r>
    </w:p>
    <w:p w:rsidR="00387A07" w:rsidRPr="00E17E1F" w:rsidRDefault="00387A07" w:rsidP="00387A07">
      <w:pPr>
        <w:spacing w:before="240" w:after="240" w:line="360" w:lineRule="auto"/>
        <w:jc w:val="both"/>
        <w:rPr>
          <w:rFonts w:ascii="Arial" w:hAnsi="Arial" w:cs="Arial"/>
          <w:b/>
          <w:sz w:val="28"/>
          <w:szCs w:val="28"/>
        </w:rPr>
      </w:pPr>
      <w:r w:rsidRPr="00E17E1F">
        <w:rPr>
          <w:rFonts w:ascii="Arial" w:hAnsi="Arial" w:cs="Arial"/>
          <w:b/>
          <w:sz w:val="28"/>
          <w:szCs w:val="28"/>
        </w:rPr>
        <w:t>References</w:t>
      </w:r>
    </w:p>
    <w:p w:rsidR="00387A07" w:rsidRPr="00E17E1F" w:rsidRDefault="00387A07" w:rsidP="00387A07">
      <w:pPr>
        <w:spacing w:after="0" w:line="360" w:lineRule="auto"/>
        <w:jc w:val="both"/>
        <w:rPr>
          <w:rFonts w:ascii="Arial" w:hAnsi="Arial" w:cs="Arial"/>
          <w:sz w:val="26"/>
          <w:szCs w:val="26"/>
        </w:rPr>
      </w:pPr>
      <w:r w:rsidRPr="00E17E1F">
        <w:rPr>
          <w:rFonts w:ascii="Arial" w:hAnsi="Arial" w:cs="Arial"/>
          <w:sz w:val="26"/>
          <w:szCs w:val="26"/>
        </w:rPr>
        <w:t xml:space="preserve">[1] </w:t>
      </w:r>
      <w:r w:rsidRPr="00E17E1F">
        <w:rPr>
          <w:rFonts w:ascii="Arial" w:hAnsi="Arial" w:cs="Arial"/>
          <w:sz w:val="26"/>
          <w:szCs w:val="26"/>
          <w:lang w:val="en-US"/>
        </w:rPr>
        <w:t xml:space="preserve">Kumari A. et Al. </w:t>
      </w:r>
      <w:r w:rsidRPr="00E17E1F">
        <w:rPr>
          <w:rFonts w:ascii="Arial" w:hAnsi="Arial" w:cs="Arial"/>
          <w:b/>
          <w:sz w:val="26"/>
          <w:szCs w:val="26"/>
          <w:lang w:val="en-US"/>
        </w:rPr>
        <w:t>2010</w:t>
      </w:r>
      <w:r w:rsidRPr="00E17E1F">
        <w:rPr>
          <w:rFonts w:ascii="Arial" w:hAnsi="Arial" w:cs="Arial"/>
          <w:sz w:val="26"/>
          <w:szCs w:val="26"/>
          <w:lang w:val="en-US"/>
        </w:rPr>
        <w:t xml:space="preserve"> </w:t>
      </w:r>
      <w:r w:rsidRPr="00E17E1F">
        <w:rPr>
          <w:rFonts w:ascii="Arial" w:hAnsi="Arial" w:cs="Arial"/>
          <w:sz w:val="26"/>
          <w:szCs w:val="26"/>
        </w:rPr>
        <w:t>Colloids and Surfaces B: Biointerfaces 75: 1</w:t>
      </w:r>
    </w:p>
    <w:p w:rsidR="00387A07" w:rsidRPr="00E17E1F" w:rsidRDefault="00387A07" w:rsidP="00387A07">
      <w:pPr>
        <w:autoSpaceDE w:val="0"/>
        <w:autoSpaceDN w:val="0"/>
        <w:adjustRightInd w:val="0"/>
        <w:spacing w:after="0" w:line="360" w:lineRule="auto"/>
        <w:rPr>
          <w:rFonts w:ascii="Arial" w:hAnsi="Arial" w:cs="Arial"/>
          <w:sz w:val="26"/>
          <w:szCs w:val="26"/>
          <w:lang w:val="en-US"/>
        </w:rPr>
      </w:pPr>
      <w:r w:rsidRPr="00E17E1F">
        <w:rPr>
          <w:rFonts w:ascii="Arial" w:hAnsi="Arial" w:cs="Arial"/>
          <w:sz w:val="26"/>
          <w:szCs w:val="26"/>
          <w:lang w:val="it-IT"/>
        </w:rPr>
        <w:t xml:space="preserve">[2] Mu L. et Al. </w:t>
      </w:r>
      <w:r w:rsidRPr="00E17E1F">
        <w:rPr>
          <w:rFonts w:ascii="Arial" w:hAnsi="Arial" w:cs="Arial"/>
          <w:b/>
          <w:sz w:val="26"/>
          <w:szCs w:val="26"/>
          <w:lang w:val="it-IT"/>
        </w:rPr>
        <w:t>2003</w:t>
      </w:r>
      <w:r w:rsidRPr="00E17E1F">
        <w:rPr>
          <w:rFonts w:ascii="Arial" w:hAnsi="Arial" w:cs="Arial"/>
          <w:sz w:val="26"/>
          <w:szCs w:val="26"/>
          <w:lang w:val="it-IT"/>
        </w:rPr>
        <w:t xml:space="preserve"> J. Control. </w:t>
      </w:r>
      <w:r w:rsidRPr="00E17E1F">
        <w:rPr>
          <w:rFonts w:ascii="Arial" w:hAnsi="Arial" w:cs="Arial"/>
          <w:sz w:val="26"/>
          <w:szCs w:val="26"/>
          <w:lang w:val="en-US"/>
        </w:rPr>
        <w:t>Release 86 (1): 33</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rPr>
        <w:t xml:space="preserve">[3] </w:t>
      </w:r>
      <w:r w:rsidRPr="00E17E1F">
        <w:rPr>
          <w:rFonts w:ascii="Arial" w:hAnsi="Arial" w:cs="Arial"/>
          <w:sz w:val="26"/>
          <w:szCs w:val="26"/>
          <w:lang w:val="en-US"/>
        </w:rPr>
        <w:t xml:space="preserve">Cheng Q. </w:t>
      </w:r>
      <w:r w:rsidRPr="00E17E1F">
        <w:rPr>
          <w:rFonts w:ascii="Arial" w:hAnsi="Arial" w:cs="Arial"/>
          <w:b/>
          <w:sz w:val="26"/>
          <w:szCs w:val="26"/>
          <w:lang w:val="en-US"/>
        </w:rPr>
        <w:t>2008</w:t>
      </w:r>
      <w:r w:rsidRPr="00E17E1F">
        <w:rPr>
          <w:rFonts w:ascii="Arial" w:hAnsi="Arial" w:cs="Arial"/>
          <w:sz w:val="26"/>
          <w:szCs w:val="26"/>
          <w:lang w:val="en-US"/>
        </w:rPr>
        <w:t xml:space="preserve"> et al. Biopharm. Drug Disposition 29: 431</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lang w:val="en-US"/>
        </w:rPr>
        <w:t xml:space="preserve">[4] Singh J. et Al.  </w:t>
      </w:r>
      <w:r w:rsidRPr="00E17E1F">
        <w:rPr>
          <w:rFonts w:ascii="Arial" w:hAnsi="Arial" w:cs="Arial"/>
          <w:b/>
          <w:sz w:val="26"/>
          <w:szCs w:val="26"/>
          <w:lang w:val="en-US"/>
        </w:rPr>
        <w:t>2006</w:t>
      </w:r>
      <w:r w:rsidRPr="00E17E1F">
        <w:rPr>
          <w:rFonts w:ascii="Arial" w:hAnsi="Arial" w:cs="Arial"/>
          <w:sz w:val="26"/>
          <w:szCs w:val="26"/>
          <w:lang w:val="en-US"/>
        </w:rPr>
        <w:t xml:space="preserve"> Methods 38: 96</w:t>
      </w:r>
    </w:p>
    <w:p w:rsidR="00387A07" w:rsidRPr="00E17E1F" w:rsidRDefault="00387A07" w:rsidP="00387A07">
      <w:pPr>
        <w:autoSpaceDE w:val="0"/>
        <w:autoSpaceDN w:val="0"/>
        <w:adjustRightInd w:val="0"/>
        <w:spacing w:after="0" w:line="360" w:lineRule="auto"/>
        <w:rPr>
          <w:rFonts w:ascii="Arial" w:hAnsi="Arial" w:cs="Arial"/>
          <w:color w:val="000000"/>
          <w:sz w:val="26"/>
          <w:szCs w:val="26"/>
          <w:lang w:val="en-US"/>
        </w:rPr>
      </w:pPr>
      <w:r w:rsidRPr="00E17E1F">
        <w:rPr>
          <w:rFonts w:ascii="Arial" w:hAnsi="Arial" w:cs="Arial"/>
          <w:color w:val="000000"/>
          <w:sz w:val="26"/>
          <w:szCs w:val="26"/>
          <w:lang w:val="en-US"/>
        </w:rPr>
        <w:t xml:space="preserve">[5] Ge H. et Al.  </w:t>
      </w:r>
      <w:r w:rsidRPr="00E17E1F">
        <w:rPr>
          <w:rFonts w:ascii="Arial" w:hAnsi="Arial" w:cs="Arial"/>
          <w:b/>
          <w:color w:val="000000"/>
          <w:sz w:val="26"/>
          <w:szCs w:val="26"/>
          <w:lang w:val="en-US"/>
        </w:rPr>
        <w:t>2000</w:t>
      </w:r>
      <w:r w:rsidRPr="00E17E1F">
        <w:rPr>
          <w:rFonts w:ascii="Arial" w:hAnsi="Arial" w:cs="Arial"/>
          <w:color w:val="000000"/>
          <w:sz w:val="26"/>
          <w:szCs w:val="26"/>
          <w:lang w:val="en-US"/>
        </w:rPr>
        <w:t xml:space="preserve">  J. Appl. Polym. Sci. 75: 874</w:t>
      </w:r>
    </w:p>
    <w:p w:rsidR="00387A07" w:rsidRPr="00E17E1F" w:rsidRDefault="00387A07" w:rsidP="00387A07">
      <w:pPr>
        <w:spacing w:after="0" w:line="360" w:lineRule="auto"/>
        <w:jc w:val="both"/>
        <w:rPr>
          <w:rFonts w:ascii="Arial" w:eastAsia="AdvTimes" w:hAnsi="Arial" w:cs="Arial"/>
          <w:sz w:val="26"/>
          <w:szCs w:val="26"/>
          <w:lang w:val="en-US"/>
        </w:rPr>
      </w:pPr>
      <w:r w:rsidRPr="00E17E1F">
        <w:rPr>
          <w:rFonts w:ascii="Arial" w:hAnsi="Arial" w:cs="Arial"/>
          <w:sz w:val="26"/>
          <w:szCs w:val="26"/>
          <w:lang w:val="en-US"/>
        </w:rPr>
        <w:t xml:space="preserve">[6] Ribeiro H. S. et Al. </w:t>
      </w:r>
      <w:r w:rsidRPr="00E17E1F">
        <w:rPr>
          <w:rFonts w:ascii="Arial" w:eastAsia="AdvTimes" w:hAnsi="Arial" w:cs="Arial"/>
          <w:b/>
          <w:sz w:val="26"/>
          <w:szCs w:val="26"/>
          <w:lang w:val="en-US"/>
        </w:rPr>
        <w:t>2008</w:t>
      </w:r>
      <w:r w:rsidRPr="00E17E1F">
        <w:rPr>
          <w:rFonts w:ascii="Arial" w:eastAsia="AdvTimes" w:hAnsi="Arial" w:cs="Arial"/>
          <w:sz w:val="26"/>
          <w:szCs w:val="26"/>
          <w:lang w:val="en-US"/>
        </w:rPr>
        <w:t xml:space="preserve"> Food Hydrocolloids 22: 12</w:t>
      </w:r>
    </w:p>
    <w:p w:rsidR="00387A07" w:rsidRPr="00E17E1F" w:rsidRDefault="00387A07" w:rsidP="00387A07">
      <w:pPr>
        <w:spacing w:after="0" w:line="360" w:lineRule="auto"/>
        <w:jc w:val="both"/>
        <w:rPr>
          <w:rFonts w:ascii="Arial" w:eastAsia="AdvTimes" w:hAnsi="Arial" w:cs="Arial"/>
          <w:sz w:val="26"/>
          <w:szCs w:val="26"/>
          <w:lang w:val="en-US"/>
        </w:rPr>
      </w:pPr>
      <w:r w:rsidRPr="00E17E1F">
        <w:rPr>
          <w:rFonts w:ascii="Arial" w:eastAsia="AdvTimes" w:hAnsi="Arial" w:cs="Arial"/>
          <w:sz w:val="26"/>
          <w:szCs w:val="26"/>
          <w:lang w:val="en-US"/>
        </w:rPr>
        <w:t xml:space="preserve">[7] Zhang Z. et Al. </w:t>
      </w:r>
      <w:r w:rsidRPr="00E17E1F">
        <w:rPr>
          <w:rFonts w:ascii="Arial" w:eastAsia="AdvTimes" w:hAnsi="Arial" w:cs="Arial"/>
          <w:b/>
          <w:sz w:val="26"/>
          <w:szCs w:val="26"/>
          <w:lang w:val="en-US"/>
        </w:rPr>
        <w:t>2006</w:t>
      </w:r>
      <w:r w:rsidRPr="00E17E1F">
        <w:rPr>
          <w:rFonts w:ascii="Arial" w:eastAsia="AdvTimes" w:hAnsi="Arial" w:cs="Arial"/>
          <w:sz w:val="26"/>
          <w:szCs w:val="26"/>
          <w:lang w:val="en-US"/>
        </w:rPr>
        <w:t xml:space="preserve"> Biomaterials 27: 262</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eastAsia="AdvTimes" w:hAnsi="Arial" w:cs="Arial"/>
          <w:sz w:val="26"/>
          <w:szCs w:val="26"/>
          <w:lang w:val="en-US"/>
        </w:rPr>
        <w:t xml:space="preserve">[8] Zili Z. et Al. </w:t>
      </w:r>
      <w:r w:rsidRPr="00E17E1F">
        <w:rPr>
          <w:rFonts w:ascii="Arial" w:hAnsi="Arial" w:cs="Arial"/>
          <w:b/>
          <w:sz w:val="26"/>
          <w:szCs w:val="26"/>
          <w:lang w:val="en-US"/>
        </w:rPr>
        <w:t>2005</w:t>
      </w:r>
      <w:r w:rsidRPr="00E17E1F">
        <w:rPr>
          <w:rFonts w:ascii="Arial" w:eastAsia="AdvTimes" w:hAnsi="Arial" w:cs="Arial"/>
          <w:sz w:val="26"/>
          <w:szCs w:val="26"/>
          <w:lang w:val="en-US"/>
        </w:rPr>
        <w:t xml:space="preserve"> </w:t>
      </w:r>
      <w:r w:rsidRPr="00E17E1F">
        <w:rPr>
          <w:rFonts w:ascii="Arial" w:hAnsi="Arial" w:cs="Arial"/>
          <w:sz w:val="26"/>
          <w:szCs w:val="26"/>
          <w:lang w:val="en-US"/>
        </w:rPr>
        <w:t>International Journal of Pharmaceutics 294: 261</w:t>
      </w:r>
    </w:p>
    <w:p w:rsidR="00387A07" w:rsidRPr="00E17E1F" w:rsidRDefault="00387A07" w:rsidP="00387A07">
      <w:pPr>
        <w:spacing w:after="0" w:line="360" w:lineRule="auto"/>
        <w:jc w:val="both"/>
        <w:rPr>
          <w:rFonts w:ascii="Arial" w:eastAsia="AdvTimes" w:hAnsi="Arial" w:cs="Arial"/>
          <w:sz w:val="26"/>
          <w:szCs w:val="26"/>
          <w:lang w:val="en-US"/>
        </w:rPr>
      </w:pPr>
      <w:r w:rsidRPr="00E17E1F">
        <w:rPr>
          <w:rFonts w:ascii="Arial" w:hAnsi="Arial" w:cs="Arial"/>
          <w:sz w:val="26"/>
          <w:szCs w:val="26"/>
          <w:lang w:val="en-US"/>
        </w:rPr>
        <w:t xml:space="preserve">[9] Kim D. et Al. </w:t>
      </w:r>
      <w:r w:rsidRPr="00E17E1F">
        <w:rPr>
          <w:rFonts w:ascii="Arial" w:hAnsi="Arial" w:cs="Arial"/>
          <w:b/>
          <w:sz w:val="26"/>
          <w:szCs w:val="26"/>
          <w:lang w:val="en-US"/>
        </w:rPr>
        <w:t>2006</w:t>
      </w:r>
      <w:r w:rsidRPr="00E17E1F">
        <w:rPr>
          <w:rFonts w:ascii="Arial" w:hAnsi="Arial" w:cs="Arial"/>
          <w:sz w:val="26"/>
          <w:szCs w:val="26"/>
          <w:lang w:val="en-US"/>
        </w:rPr>
        <w:t xml:space="preserve"> </w:t>
      </w:r>
      <w:r w:rsidRPr="00E17E1F">
        <w:rPr>
          <w:rFonts w:ascii="Arial" w:eastAsia="AdvTimes" w:hAnsi="Arial" w:cs="Arial"/>
          <w:sz w:val="26"/>
          <w:szCs w:val="26"/>
          <w:lang w:val="en-US"/>
        </w:rPr>
        <w:t>Biomaterials 27: 3031</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eastAsia="AdvTimes" w:hAnsi="Arial" w:cs="Arial"/>
          <w:sz w:val="26"/>
          <w:szCs w:val="26"/>
          <w:lang w:val="en-US"/>
        </w:rPr>
        <w:t>[10]</w:t>
      </w:r>
      <w:r w:rsidRPr="00E17E1F">
        <w:rPr>
          <w:rFonts w:ascii="Arial" w:hAnsi="Arial" w:cs="Arial"/>
          <w:sz w:val="26"/>
          <w:szCs w:val="26"/>
          <w:lang w:val="en-US"/>
        </w:rPr>
        <w:t xml:space="preserve"> Fessi H. et Al. </w:t>
      </w:r>
      <w:r w:rsidRPr="00E17E1F">
        <w:rPr>
          <w:rFonts w:ascii="Arial" w:hAnsi="Arial" w:cs="Arial"/>
          <w:b/>
          <w:sz w:val="26"/>
          <w:szCs w:val="26"/>
          <w:lang w:val="en-US"/>
        </w:rPr>
        <w:t>1989</w:t>
      </w:r>
      <w:r w:rsidRPr="00E17E1F">
        <w:rPr>
          <w:rFonts w:ascii="Arial" w:hAnsi="Arial" w:cs="Arial"/>
          <w:sz w:val="26"/>
          <w:szCs w:val="26"/>
          <w:lang w:val="en-US"/>
        </w:rPr>
        <w:t xml:space="preserve"> Int. J. Pharm. 55: 25</w:t>
      </w:r>
    </w:p>
    <w:p w:rsidR="00387A07" w:rsidRPr="00E17E1F" w:rsidRDefault="00387A07" w:rsidP="00387A07">
      <w:pPr>
        <w:spacing w:after="0" w:line="360" w:lineRule="auto"/>
        <w:jc w:val="both"/>
        <w:rPr>
          <w:rFonts w:ascii="Arial" w:hAnsi="Arial" w:cs="Arial"/>
          <w:color w:val="131413"/>
          <w:sz w:val="26"/>
          <w:szCs w:val="26"/>
          <w:lang w:val="en-US"/>
        </w:rPr>
      </w:pPr>
      <w:r w:rsidRPr="00E17E1F">
        <w:rPr>
          <w:rFonts w:ascii="Arial" w:hAnsi="Arial" w:cs="Arial"/>
          <w:sz w:val="26"/>
          <w:szCs w:val="26"/>
          <w:lang w:val="en-US"/>
        </w:rPr>
        <w:t xml:space="preserve">[11] </w:t>
      </w:r>
      <w:r w:rsidRPr="00E17E1F">
        <w:rPr>
          <w:rFonts w:ascii="Arial" w:hAnsi="Arial" w:cs="Arial"/>
          <w:color w:val="131413"/>
          <w:sz w:val="26"/>
          <w:szCs w:val="26"/>
          <w:lang w:val="en-US"/>
        </w:rPr>
        <w:t xml:space="preserve">Deshpande D. et Al. </w:t>
      </w:r>
      <w:r w:rsidRPr="00E17E1F">
        <w:rPr>
          <w:rFonts w:ascii="Arial" w:hAnsi="Arial" w:cs="Arial"/>
          <w:b/>
          <w:color w:val="131413"/>
          <w:sz w:val="26"/>
          <w:szCs w:val="26"/>
          <w:lang w:val="en-US"/>
        </w:rPr>
        <w:t>2008</w:t>
      </w:r>
      <w:r w:rsidRPr="00E17E1F">
        <w:rPr>
          <w:rFonts w:ascii="Arial" w:hAnsi="Arial" w:cs="Arial"/>
          <w:color w:val="131413"/>
          <w:sz w:val="26"/>
          <w:szCs w:val="26"/>
          <w:lang w:val="en-US"/>
        </w:rPr>
        <w:t xml:space="preserve">  Pharmaceutical Research 25: 1936</w:t>
      </w:r>
    </w:p>
    <w:p w:rsidR="00387A07" w:rsidRPr="00E17E1F" w:rsidRDefault="00387A07" w:rsidP="00387A07">
      <w:pPr>
        <w:spacing w:after="0" w:line="360" w:lineRule="auto"/>
        <w:jc w:val="both"/>
        <w:rPr>
          <w:rFonts w:ascii="Arial" w:hAnsi="Arial" w:cs="Arial"/>
          <w:color w:val="131413"/>
          <w:sz w:val="26"/>
          <w:szCs w:val="26"/>
          <w:lang w:val="en-US"/>
        </w:rPr>
      </w:pPr>
      <w:r w:rsidRPr="00E17E1F">
        <w:rPr>
          <w:rFonts w:ascii="Arial" w:hAnsi="Arial" w:cs="Arial"/>
          <w:color w:val="131413"/>
          <w:sz w:val="26"/>
          <w:szCs w:val="26"/>
          <w:lang w:val="en-US"/>
        </w:rPr>
        <w:t xml:space="preserve">[12] Chawla J.S. et Al. </w:t>
      </w:r>
      <w:r w:rsidRPr="00E17E1F">
        <w:rPr>
          <w:rFonts w:ascii="Arial" w:hAnsi="Arial" w:cs="Arial"/>
          <w:b/>
          <w:color w:val="131413"/>
          <w:sz w:val="26"/>
          <w:szCs w:val="26"/>
          <w:lang w:val="en-US"/>
        </w:rPr>
        <w:t>2002</w:t>
      </w:r>
      <w:r w:rsidRPr="00E17E1F">
        <w:rPr>
          <w:rFonts w:ascii="Arial" w:hAnsi="Arial" w:cs="Arial"/>
          <w:color w:val="131413"/>
          <w:sz w:val="26"/>
          <w:szCs w:val="26"/>
          <w:lang w:val="en-US"/>
        </w:rPr>
        <w:t xml:space="preserve"> </w:t>
      </w:r>
      <w:r w:rsidRPr="00E17E1F">
        <w:rPr>
          <w:rFonts w:ascii="Arial" w:hAnsi="Arial" w:cs="Arial"/>
          <w:color w:val="000000"/>
          <w:sz w:val="26"/>
          <w:szCs w:val="26"/>
          <w:lang w:val="en-US"/>
        </w:rPr>
        <w:t>Int. J. Pharm. 249: 127</w:t>
      </w:r>
    </w:p>
    <w:p w:rsidR="00387A07" w:rsidRPr="00E17E1F" w:rsidRDefault="00387A07" w:rsidP="00387A07">
      <w:pPr>
        <w:spacing w:after="0" w:line="360" w:lineRule="auto"/>
        <w:jc w:val="both"/>
        <w:rPr>
          <w:rFonts w:ascii="Arial" w:hAnsi="Arial" w:cs="Arial"/>
          <w:sz w:val="26"/>
          <w:szCs w:val="26"/>
          <w:lang w:val="it-IT"/>
        </w:rPr>
      </w:pPr>
      <w:r w:rsidRPr="00E17E1F">
        <w:rPr>
          <w:rFonts w:ascii="Arial" w:hAnsi="Arial" w:cs="Arial"/>
          <w:color w:val="131413"/>
          <w:sz w:val="26"/>
          <w:szCs w:val="26"/>
          <w:lang w:val="en-US"/>
        </w:rPr>
        <w:lastRenderedPageBreak/>
        <w:t xml:space="preserve">[13] Leo E. et Al. </w:t>
      </w:r>
      <w:r w:rsidRPr="00E17E1F">
        <w:rPr>
          <w:rFonts w:ascii="Arial" w:hAnsi="Arial" w:cs="Arial"/>
          <w:b/>
          <w:color w:val="131413"/>
          <w:sz w:val="26"/>
          <w:szCs w:val="26"/>
          <w:lang w:val="en-US"/>
        </w:rPr>
        <w:t>2004</w:t>
      </w:r>
      <w:r w:rsidRPr="00E17E1F">
        <w:rPr>
          <w:rFonts w:ascii="Arial" w:hAnsi="Arial" w:cs="Arial"/>
          <w:color w:val="131413"/>
          <w:sz w:val="26"/>
          <w:szCs w:val="26"/>
          <w:lang w:val="en-US"/>
        </w:rPr>
        <w:t xml:space="preserve"> </w:t>
      </w:r>
      <w:r w:rsidRPr="00E17E1F">
        <w:rPr>
          <w:rFonts w:ascii="Arial" w:hAnsi="Arial" w:cs="Arial"/>
          <w:sz w:val="26"/>
          <w:szCs w:val="26"/>
          <w:lang w:val="en-US"/>
        </w:rPr>
        <w:t xml:space="preserve">Int. J. Pharm. </w:t>
      </w:r>
      <w:r w:rsidRPr="00E17E1F">
        <w:rPr>
          <w:rFonts w:ascii="Arial" w:hAnsi="Arial" w:cs="Arial"/>
          <w:sz w:val="26"/>
          <w:szCs w:val="26"/>
          <w:lang w:val="it-IT"/>
        </w:rPr>
        <w:t>278: 133</w:t>
      </w:r>
    </w:p>
    <w:p w:rsidR="00387A07" w:rsidRPr="00E17E1F" w:rsidRDefault="00387A07" w:rsidP="00387A07">
      <w:pPr>
        <w:pStyle w:val="NormaleWeb"/>
        <w:spacing w:before="0" w:beforeAutospacing="0" w:after="0" w:afterAutospacing="0" w:line="360" w:lineRule="auto"/>
        <w:jc w:val="both"/>
        <w:rPr>
          <w:rFonts w:ascii="Arial" w:hAnsi="Arial" w:cs="Arial"/>
          <w:sz w:val="26"/>
          <w:szCs w:val="26"/>
        </w:rPr>
      </w:pPr>
      <w:r w:rsidRPr="00E17E1F">
        <w:rPr>
          <w:rFonts w:ascii="Arial" w:hAnsi="Arial" w:cs="Arial"/>
          <w:sz w:val="26"/>
          <w:szCs w:val="26"/>
        </w:rPr>
        <w:t xml:space="preserve">[14] Vozzi G. et Al. </w:t>
      </w:r>
      <w:r w:rsidRPr="00E17E1F">
        <w:rPr>
          <w:rFonts w:ascii="Arial" w:hAnsi="Arial" w:cs="Arial"/>
          <w:b/>
          <w:sz w:val="26"/>
          <w:szCs w:val="26"/>
        </w:rPr>
        <w:t>2008</w:t>
      </w:r>
      <w:r w:rsidRPr="00E17E1F">
        <w:rPr>
          <w:rFonts w:ascii="Arial" w:hAnsi="Arial" w:cs="Arial"/>
          <w:sz w:val="26"/>
          <w:szCs w:val="26"/>
        </w:rPr>
        <w:t xml:space="preserve"> Macromol. Biosci. 8:60</w:t>
      </w:r>
    </w:p>
    <w:p w:rsidR="00387A07" w:rsidRPr="00E17E1F" w:rsidRDefault="00387A07" w:rsidP="00387A07">
      <w:pPr>
        <w:pStyle w:val="NormaleWeb"/>
        <w:spacing w:before="0" w:beforeAutospacing="0" w:after="0" w:afterAutospacing="0" w:line="360" w:lineRule="auto"/>
        <w:jc w:val="both"/>
        <w:rPr>
          <w:rFonts w:ascii="Arial" w:hAnsi="Arial" w:cs="Arial"/>
        </w:rPr>
      </w:pPr>
      <w:r w:rsidRPr="00E17E1F">
        <w:rPr>
          <w:rFonts w:ascii="Arial" w:hAnsi="Arial" w:cs="Arial"/>
        </w:rPr>
        <w:t xml:space="preserve">[15] Zanetti-Ramos B. et al </w:t>
      </w:r>
      <w:r w:rsidRPr="00E17E1F">
        <w:rPr>
          <w:rFonts w:ascii="Arial" w:hAnsi="Arial" w:cs="Arial"/>
          <w:b/>
        </w:rPr>
        <w:t>2006</w:t>
      </w:r>
      <w:r w:rsidRPr="00E17E1F">
        <w:rPr>
          <w:rFonts w:ascii="Arial" w:hAnsi="Arial" w:cs="Arial"/>
        </w:rPr>
        <w:t xml:space="preserve"> polymer 47:8080</w:t>
      </w:r>
    </w:p>
    <w:p w:rsidR="00387A07" w:rsidRPr="00E17E1F" w:rsidRDefault="00387A07" w:rsidP="00387A07">
      <w:pPr>
        <w:pStyle w:val="NormaleWeb"/>
        <w:spacing w:before="0" w:beforeAutospacing="0" w:after="0" w:afterAutospacing="0" w:line="360" w:lineRule="auto"/>
        <w:jc w:val="both"/>
        <w:rPr>
          <w:rFonts w:ascii="Arial" w:hAnsi="Arial" w:cs="Arial"/>
          <w:sz w:val="26"/>
          <w:szCs w:val="26"/>
        </w:rPr>
      </w:pPr>
      <w:r w:rsidRPr="00E17E1F">
        <w:rPr>
          <w:rFonts w:ascii="Arial" w:hAnsi="Arial" w:cs="Arial"/>
        </w:rPr>
        <w:t xml:space="preserve">[16] Zanetti-Ramos B. et al </w:t>
      </w:r>
      <w:r w:rsidRPr="00E17E1F">
        <w:rPr>
          <w:rFonts w:ascii="Arial" w:hAnsi="Arial" w:cs="Arial"/>
          <w:b/>
        </w:rPr>
        <w:t>2008</w:t>
      </w:r>
      <w:r w:rsidRPr="00E17E1F">
        <w:rPr>
          <w:rFonts w:ascii="Arial" w:hAnsi="Arial" w:cs="Arial"/>
        </w:rPr>
        <w:t xml:space="preserve"> Mat Sci Eng 28:526</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lang w:val="en-US"/>
        </w:rPr>
        <w:t>[17]</w:t>
      </w:r>
      <w:r w:rsidRPr="00E17E1F">
        <w:rPr>
          <w:rFonts w:ascii="TimesNRMT" w:hAnsi="TimesNRMT" w:cs="TimesNRMT"/>
          <w:sz w:val="24"/>
          <w:szCs w:val="24"/>
          <w:lang w:val="en-US"/>
        </w:rPr>
        <w:t xml:space="preserve"> </w:t>
      </w:r>
      <w:r w:rsidRPr="00E17E1F">
        <w:rPr>
          <w:rFonts w:ascii="Arial" w:hAnsi="Arial" w:cs="Arial"/>
          <w:sz w:val="26"/>
          <w:szCs w:val="26"/>
          <w:lang w:val="en-US"/>
        </w:rPr>
        <w:t xml:space="preserve">Panchagnula R. </w:t>
      </w:r>
      <w:r w:rsidRPr="00E17E1F">
        <w:rPr>
          <w:rFonts w:ascii="Arial" w:hAnsi="Arial" w:cs="Arial"/>
          <w:b/>
          <w:sz w:val="26"/>
          <w:szCs w:val="26"/>
          <w:lang w:val="en-US"/>
        </w:rPr>
        <w:t>1998</w:t>
      </w:r>
      <w:r w:rsidRPr="00E17E1F">
        <w:rPr>
          <w:rFonts w:ascii="Arial" w:hAnsi="Arial" w:cs="Arial"/>
          <w:sz w:val="26"/>
          <w:szCs w:val="26"/>
          <w:lang w:val="en-US"/>
        </w:rPr>
        <w:t xml:space="preserve"> Int. J. Pharm. 172: 1</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lang w:val="en-US"/>
        </w:rPr>
        <w:t xml:space="preserve">[18] Wenk M.R. et Al. </w:t>
      </w:r>
      <w:r w:rsidRPr="00E17E1F">
        <w:rPr>
          <w:rFonts w:ascii="Arial" w:hAnsi="Arial" w:cs="Arial"/>
          <w:b/>
          <w:sz w:val="26"/>
          <w:szCs w:val="26"/>
          <w:lang w:val="en-US"/>
        </w:rPr>
        <w:t>1996</w:t>
      </w:r>
      <w:r w:rsidRPr="00E17E1F">
        <w:rPr>
          <w:rFonts w:ascii="Arial" w:hAnsi="Arial" w:cs="Arial"/>
          <w:sz w:val="26"/>
          <w:szCs w:val="26"/>
          <w:lang w:val="en-US"/>
        </w:rPr>
        <w:t xml:space="preserve"> Journal of Pharmaceutical Sciences 85: 228</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lang w:val="en-US"/>
        </w:rPr>
        <w:t xml:space="preserve">[19] Fang J. et Al. </w:t>
      </w:r>
      <w:r w:rsidRPr="00E17E1F">
        <w:rPr>
          <w:rFonts w:ascii="Arial" w:hAnsi="Arial" w:cs="Arial"/>
          <w:b/>
          <w:sz w:val="26"/>
          <w:szCs w:val="26"/>
          <w:lang w:val="en-US"/>
        </w:rPr>
        <w:t xml:space="preserve">2011 </w:t>
      </w:r>
      <w:r w:rsidRPr="00E17E1F">
        <w:rPr>
          <w:rFonts w:ascii="Arial" w:hAnsi="Arial" w:cs="Arial"/>
          <w:sz w:val="26"/>
          <w:szCs w:val="26"/>
          <w:lang w:val="en-US"/>
        </w:rPr>
        <w:t>Advanced Drug Delivery Reviews 63:136</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4"/>
          <w:szCs w:val="24"/>
          <w:lang w:val="en-US"/>
        </w:rPr>
        <w:t xml:space="preserve">[20] </w:t>
      </w:r>
      <w:r w:rsidRPr="00E17E1F">
        <w:rPr>
          <w:rFonts w:ascii="Arial" w:hAnsi="Arial" w:cs="Arial"/>
          <w:sz w:val="24"/>
          <w:szCs w:val="24"/>
        </w:rPr>
        <w:t xml:space="preserve">Y. Fukumori et Al. </w:t>
      </w:r>
      <w:r w:rsidRPr="00E17E1F">
        <w:rPr>
          <w:rFonts w:ascii="Arial" w:hAnsi="Arial" w:cs="Arial"/>
          <w:b/>
          <w:sz w:val="24"/>
          <w:szCs w:val="24"/>
        </w:rPr>
        <w:t>2006</w:t>
      </w:r>
      <w:r w:rsidRPr="00E17E1F">
        <w:rPr>
          <w:rFonts w:ascii="Arial" w:hAnsi="Arial" w:cs="Arial"/>
          <w:sz w:val="24"/>
          <w:szCs w:val="24"/>
        </w:rPr>
        <w:t xml:space="preserve"> Advanced Powder Technol. </w:t>
      </w:r>
      <w:r w:rsidRPr="00E17E1F">
        <w:rPr>
          <w:rFonts w:ascii="Arial" w:hAnsi="Arial" w:cs="Arial"/>
          <w:sz w:val="24"/>
          <w:szCs w:val="24"/>
          <w:lang w:val="en-US"/>
        </w:rPr>
        <w:t>17:1</w:t>
      </w:r>
    </w:p>
    <w:p w:rsidR="00387A07" w:rsidRPr="00E17E1F" w:rsidRDefault="00387A07" w:rsidP="00387A07">
      <w:pPr>
        <w:spacing w:after="0" w:line="360" w:lineRule="auto"/>
        <w:jc w:val="both"/>
        <w:rPr>
          <w:rFonts w:ascii="Arial" w:hAnsi="Arial" w:cs="Arial"/>
          <w:sz w:val="26"/>
          <w:szCs w:val="26"/>
          <w:lang w:val="en-US"/>
        </w:rPr>
      </w:pPr>
      <w:r w:rsidRPr="00E17E1F">
        <w:rPr>
          <w:rFonts w:ascii="Arial" w:hAnsi="Arial" w:cs="Arial"/>
          <w:sz w:val="26"/>
          <w:szCs w:val="26"/>
          <w:lang w:val="en-US"/>
        </w:rPr>
        <w:t xml:space="preserve">[21] </w:t>
      </w:r>
      <w:r w:rsidRPr="00E17E1F">
        <w:rPr>
          <w:rFonts w:ascii="Arial" w:hAnsi="Arial" w:cs="Arial"/>
          <w:sz w:val="24"/>
          <w:szCs w:val="24"/>
        </w:rPr>
        <w:t xml:space="preserve">I. Brigger et Al. </w:t>
      </w:r>
      <w:r w:rsidRPr="00E17E1F">
        <w:rPr>
          <w:rFonts w:ascii="Arial" w:hAnsi="Arial" w:cs="Arial"/>
          <w:b/>
          <w:sz w:val="24"/>
          <w:szCs w:val="24"/>
        </w:rPr>
        <w:t>2002</w:t>
      </w:r>
      <w:r w:rsidRPr="00E17E1F">
        <w:rPr>
          <w:rFonts w:ascii="Arial" w:hAnsi="Arial" w:cs="Arial"/>
          <w:sz w:val="24"/>
          <w:szCs w:val="24"/>
        </w:rPr>
        <w:t xml:space="preserve"> Advanced Drug Delivery Reviews 54:631</w:t>
      </w:r>
    </w:p>
    <w:p w:rsidR="00387A07" w:rsidRPr="00E17E1F" w:rsidRDefault="00387A07" w:rsidP="00387A07">
      <w:pPr>
        <w:pStyle w:val="NanotechReferences"/>
        <w:spacing w:line="360" w:lineRule="auto"/>
        <w:ind w:left="0" w:firstLine="0"/>
        <w:rPr>
          <w:rFonts w:ascii="Arial" w:hAnsi="Arial" w:cs="Arial"/>
          <w:sz w:val="26"/>
          <w:szCs w:val="26"/>
          <w:lang w:val="it-IT"/>
        </w:rPr>
      </w:pPr>
      <w:r w:rsidRPr="00E17E1F">
        <w:rPr>
          <w:rFonts w:ascii="Arial" w:hAnsi="Arial" w:cs="Arial"/>
          <w:sz w:val="26"/>
          <w:szCs w:val="26"/>
          <w:lang w:val="it-IT"/>
        </w:rPr>
        <w:t xml:space="preserve">[22] Cerrai P. et Al. </w:t>
      </w:r>
      <w:r w:rsidRPr="00E17E1F">
        <w:rPr>
          <w:rFonts w:ascii="Arial" w:hAnsi="Arial" w:cs="Arial"/>
          <w:b/>
          <w:sz w:val="26"/>
          <w:szCs w:val="26"/>
          <w:lang w:val="it-IT"/>
        </w:rPr>
        <w:t>1994</w:t>
      </w:r>
      <w:r w:rsidRPr="00E17E1F">
        <w:rPr>
          <w:rFonts w:ascii="Arial" w:hAnsi="Arial" w:cs="Arial"/>
          <w:sz w:val="26"/>
          <w:szCs w:val="26"/>
          <w:lang w:val="it-IT"/>
        </w:rPr>
        <w:t xml:space="preserve"> J. Mat. Sci. Mat. Med. 5: 33.</w:t>
      </w:r>
    </w:p>
    <w:p w:rsidR="00387A07" w:rsidRPr="00E17E1F" w:rsidRDefault="00387A07" w:rsidP="00387A07">
      <w:pPr>
        <w:pStyle w:val="NanotechReferences"/>
        <w:spacing w:line="360" w:lineRule="auto"/>
        <w:ind w:left="340" w:hanging="340"/>
        <w:rPr>
          <w:rFonts w:ascii="Arial" w:hAnsi="Arial" w:cs="Arial"/>
          <w:sz w:val="26"/>
          <w:szCs w:val="26"/>
        </w:rPr>
      </w:pPr>
      <w:r w:rsidRPr="00E17E1F">
        <w:rPr>
          <w:rFonts w:ascii="Arial" w:hAnsi="Arial" w:cs="Arial"/>
          <w:sz w:val="26"/>
          <w:szCs w:val="26"/>
        </w:rPr>
        <w:t>[23] Rechichi A. et Al.</w:t>
      </w:r>
      <w:r w:rsidRPr="00E17E1F">
        <w:rPr>
          <w:rFonts w:ascii="Arial" w:hAnsi="Arial" w:cs="Arial"/>
          <w:color w:val="241F20"/>
          <w:sz w:val="26"/>
          <w:szCs w:val="26"/>
        </w:rPr>
        <w:t xml:space="preserve"> </w:t>
      </w:r>
      <w:r w:rsidRPr="00E17E1F">
        <w:rPr>
          <w:rFonts w:ascii="Arial" w:hAnsi="Arial" w:cs="Arial"/>
          <w:b/>
          <w:sz w:val="26"/>
          <w:szCs w:val="26"/>
        </w:rPr>
        <w:t xml:space="preserve">2008 </w:t>
      </w:r>
      <w:r w:rsidRPr="00E17E1F">
        <w:rPr>
          <w:rFonts w:ascii="Arial" w:hAnsi="Arial" w:cs="Arial"/>
          <w:sz w:val="26"/>
          <w:szCs w:val="26"/>
        </w:rPr>
        <w:t xml:space="preserve">J. Biomedical Mat. Res. Part A 84: 847 </w:t>
      </w:r>
    </w:p>
    <w:p w:rsidR="00387A07" w:rsidRPr="00E17E1F" w:rsidRDefault="00387A07" w:rsidP="00387A07">
      <w:pPr>
        <w:pStyle w:val="NanotechReferences"/>
        <w:spacing w:line="360" w:lineRule="auto"/>
        <w:ind w:left="340" w:hanging="340"/>
        <w:rPr>
          <w:rFonts w:ascii="Arial" w:hAnsi="Arial" w:cs="Arial"/>
          <w:sz w:val="26"/>
          <w:szCs w:val="26"/>
          <w:lang w:val="it-IT"/>
        </w:rPr>
      </w:pPr>
      <w:r w:rsidRPr="00E17E1F">
        <w:rPr>
          <w:rFonts w:ascii="Arial" w:hAnsi="Arial" w:cs="Arial"/>
          <w:sz w:val="26"/>
          <w:szCs w:val="26"/>
          <w:lang w:val="it-IT"/>
        </w:rPr>
        <w:t xml:space="preserve">[24] Bogdanov B. et Al. </w:t>
      </w:r>
      <w:r w:rsidRPr="00E17E1F">
        <w:rPr>
          <w:rFonts w:ascii="Arial" w:hAnsi="Arial" w:cs="Arial"/>
          <w:b/>
          <w:sz w:val="26"/>
          <w:szCs w:val="26"/>
          <w:lang w:val="it-IT"/>
        </w:rPr>
        <w:t>1993</w:t>
      </w:r>
      <w:r w:rsidRPr="00E17E1F">
        <w:rPr>
          <w:rFonts w:ascii="Arial" w:hAnsi="Arial" w:cs="Arial"/>
          <w:sz w:val="26"/>
          <w:szCs w:val="26"/>
          <w:lang w:val="it-IT"/>
        </w:rPr>
        <w:t xml:space="preserve">  Polymer 40: 3171</w:t>
      </w:r>
    </w:p>
    <w:p w:rsidR="00387A07" w:rsidRPr="00E17E1F" w:rsidRDefault="00387A07" w:rsidP="00387A07">
      <w:pPr>
        <w:pStyle w:val="NanotechReferences"/>
        <w:spacing w:line="360" w:lineRule="auto"/>
        <w:ind w:left="340" w:hanging="340"/>
        <w:rPr>
          <w:rFonts w:ascii="Arial" w:hAnsi="Arial" w:cs="Arial"/>
          <w:sz w:val="26"/>
          <w:szCs w:val="26"/>
        </w:rPr>
      </w:pPr>
      <w:r w:rsidRPr="00E17E1F">
        <w:rPr>
          <w:rFonts w:ascii="Arial" w:hAnsi="Arial" w:cs="Arial"/>
          <w:sz w:val="26"/>
          <w:szCs w:val="26"/>
        </w:rPr>
        <w:t xml:space="preserve">[25] Penco M. et Al. </w:t>
      </w:r>
      <w:r w:rsidRPr="00E17E1F">
        <w:rPr>
          <w:rFonts w:ascii="Arial" w:hAnsi="Arial" w:cs="Arial"/>
          <w:b/>
          <w:sz w:val="26"/>
          <w:szCs w:val="26"/>
        </w:rPr>
        <w:t>2000</w:t>
      </w:r>
      <w:r w:rsidRPr="00E17E1F">
        <w:rPr>
          <w:rFonts w:ascii="Arial" w:hAnsi="Arial" w:cs="Arial"/>
          <w:sz w:val="26"/>
          <w:szCs w:val="26"/>
        </w:rPr>
        <w:t xml:space="preserve"> European Polymer Journal 36: 901</w:t>
      </w:r>
    </w:p>
    <w:p w:rsidR="00387A07" w:rsidRPr="00E17E1F" w:rsidRDefault="00387A07" w:rsidP="00387A07">
      <w:pPr>
        <w:pStyle w:val="NanotechReferences"/>
        <w:spacing w:line="360" w:lineRule="auto"/>
        <w:ind w:left="340" w:hanging="340"/>
        <w:rPr>
          <w:rFonts w:ascii="Arial" w:hAnsi="Arial" w:cs="Arial"/>
          <w:sz w:val="26"/>
          <w:szCs w:val="26"/>
        </w:rPr>
      </w:pPr>
      <w:r w:rsidRPr="00E17E1F">
        <w:rPr>
          <w:rFonts w:ascii="Arial" w:hAnsi="Arial" w:cs="Arial"/>
          <w:sz w:val="26"/>
          <w:szCs w:val="26"/>
        </w:rPr>
        <w:t>[26]</w:t>
      </w:r>
      <w:r w:rsidRPr="00E17E1F">
        <w:t xml:space="preserve"> </w:t>
      </w:r>
      <w:r w:rsidRPr="00E17E1F">
        <w:rPr>
          <w:rFonts w:ascii="Arial" w:hAnsi="Arial" w:cs="Arial"/>
          <w:sz w:val="26"/>
          <w:szCs w:val="26"/>
        </w:rPr>
        <w:t xml:space="preserve">Kweon H. </w:t>
      </w:r>
      <w:r w:rsidRPr="00E17E1F">
        <w:rPr>
          <w:rFonts w:ascii="Arial" w:hAnsi="Arial" w:cs="Arial"/>
          <w:b/>
          <w:sz w:val="26"/>
          <w:szCs w:val="26"/>
        </w:rPr>
        <w:t>2003</w:t>
      </w:r>
      <w:r w:rsidRPr="00E17E1F">
        <w:rPr>
          <w:rFonts w:ascii="Arial" w:hAnsi="Arial" w:cs="Arial"/>
          <w:sz w:val="26"/>
          <w:szCs w:val="26"/>
        </w:rPr>
        <w:t xml:space="preserve"> Biomaterials 24: 801</w:t>
      </w:r>
    </w:p>
    <w:p w:rsidR="00387A07" w:rsidRPr="00E17E1F" w:rsidRDefault="00387A07" w:rsidP="00387A07">
      <w:pPr>
        <w:pStyle w:val="NanotechReferences"/>
        <w:spacing w:line="360" w:lineRule="auto"/>
        <w:ind w:left="340" w:hanging="340"/>
        <w:rPr>
          <w:rFonts w:ascii="Arial" w:hAnsi="Arial" w:cs="Arial"/>
          <w:sz w:val="26"/>
          <w:szCs w:val="26"/>
        </w:rPr>
      </w:pPr>
      <w:r w:rsidRPr="00E17E1F">
        <w:rPr>
          <w:rFonts w:ascii="Arial" w:hAnsi="Arial" w:cs="Arial"/>
          <w:sz w:val="26"/>
          <w:szCs w:val="26"/>
        </w:rPr>
        <w:t>[27] Marion G. et Al.</w:t>
      </w:r>
      <w:r w:rsidRPr="00E17E1F">
        <w:rPr>
          <w:rFonts w:ascii="OneGulliverA" w:hAnsi="OneGulliverA" w:cs="OneGulliverA"/>
          <w:sz w:val="21"/>
          <w:szCs w:val="21"/>
        </w:rPr>
        <w:t xml:space="preserve"> </w:t>
      </w:r>
      <w:r w:rsidRPr="00E17E1F">
        <w:rPr>
          <w:rFonts w:ascii="Arial" w:hAnsi="Arial" w:cs="Arial"/>
          <w:b/>
          <w:sz w:val="26"/>
          <w:szCs w:val="26"/>
        </w:rPr>
        <w:t>2008</w:t>
      </w:r>
      <w:r w:rsidRPr="00E17E1F">
        <w:rPr>
          <w:rFonts w:ascii="Arial" w:hAnsi="Arial" w:cs="Arial"/>
          <w:sz w:val="26"/>
          <w:szCs w:val="26"/>
        </w:rPr>
        <w:t xml:space="preserve"> International Journal of Pharmaceutics 363: 162</w:t>
      </w:r>
    </w:p>
    <w:p w:rsidR="00387A07" w:rsidRPr="00E17E1F" w:rsidRDefault="00387A07" w:rsidP="00387A07">
      <w:pPr>
        <w:pStyle w:val="NanotechReferences"/>
        <w:spacing w:line="360" w:lineRule="auto"/>
        <w:ind w:left="340" w:hanging="340"/>
        <w:rPr>
          <w:rFonts w:ascii="Arial" w:hAnsi="Arial" w:cs="Arial"/>
          <w:sz w:val="26"/>
          <w:szCs w:val="26"/>
        </w:rPr>
      </w:pPr>
      <w:r w:rsidRPr="00E17E1F">
        <w:rPr>
          <w:rFonts w:ascii="Arial" w:hAnsi="Arial" w:cs="Arial"/>
          <w:sz w:val="26"/>
          <w:szCs w:val="26"/>
        </w:rPr>
        <w:t xml:space="preserve">[28] Chen D.R. et Al. </w:t>
      </w:r>
      <w:r w:rsidRPr="00E17E1F">
        <w:rPr>
          <w:rFonts w:ascii="Arial" w:hAnsi="Arial" w:cs="Arial"/>
          <w:b/>
          <w:sz w:val="26"/>
          <w:szCs w:val="26"/>
        </w:rPr>
        <w:t>2000</w:t>
      </w:r>
      <w:r w:rsidRPr="00E17E1F">
        <w:rPr>
          <w:rFonts w:ascii="Arial" w:hAnsi="Arial" w:cs="Arial"/>
          <w:sz w:val="26"/>
          <w:szCs w:val="26"/>
        </w:rPr>
        <w:t xml:space="preserve"> Polymer Degradation and Stability 67: 455</w:t>
      </w:r>
    </w:p>
    <w:p w:rsidR="00387A07" w:rsidRPr="00E17E1F" w:rsidRDefault="00387A07" w:rsidP="00387A07">
      <w:pPr>
        <w:pStyle w:val="NormaleWeb"/>
        <w:spacing w:before="0" w:beforeAutospacing="0" w:after="0" w:afterAutospacing="0" w:line="360" w:lineRule="auto"/>
        <w:jc w:val="both"/>
        <w:rPr>
          <w:rFonts w:ascii="Arial" w:hAnsi="Arial" w:cs="Arial"/>
          <w:color w:val="141314"/>
          <w:sz w:val="26"/>
          <w:szCs w:val="26"/>
        </w:rPr>
      </w:pPr>
      <w:r w:rsidRPr="00E17E1F">
        <w:rPr>
          <w:rFonts w:ascii="Arial" w:hAnsi="Arial" w:cs="Arial"/>
          <w:color w:val="000000"/>
        </w:rPr>
        <w:t xml:space="preserve">[29] Martinotti at Al. Toxicology In Vitro </w:t>
      </w:r>
      <w:r w:rsidRPr="00E17E1F">
        <w:rPr>
          <w:rFonts w:ascii="Arial" w:hAnsi="Arial" w:cs="Arial"/>
          <w:b/>
          <w:color w:val="000000"/>
        </w:rPr>
        <w:t>in press</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color w:val="141314"/>
          <w:sz w:val="26"/>
          <w:szCs w:val="26"/>
          <w:lang w:val="en-US"/>
        </w:rPr>
        <w:t xml:space="preserve">[30] </w:t>
      </w:r>
      <w:r w:rsidRPr="00E17E1F">
        <w:rPr>
          <w:rFonts w:ascii="Arial" w:hAnsi="Arial" w:cs="Arial"/>
          <w:lang w:val="en-US"/>
        </w:rPr>
        <w:t xml:space="preserve">Chorny M. et Al. </w:t>
      </w:r>
      <w:r w:rsidRPr="00E17E1F">
        <w:rPr>
          <w:rFonts w:ascii="Arial" w:hAnsi="Arial" w:cs="Arial"/>
          <w:b/>
          <w:lang w:val="en-US"/>
        </w:rPr>
        <w:t>2002</w:t>
      </w:r>
      <w:r w:rsidRPr="00E17E1F">
        <w:rPr>
          <w:rFonts w:ascii="Arial" w:hAnsi="Arial" w:cs="Arial"/>
          <w:lang w:val="en-US"/>
        </w:rPr>
        <w:t xml:space="preserve"> J. Control. Rel. 83:389</w:t>
      </w:r>
    </w:p>
    <w:p w:rsidR="00387A07" w:rsidRPr="00E17E1F" w:rsidRDefault="00387A07" w:rsidP="00387A07">
      <w:pPr>
        <w:pStyle w:val="NormaleWeb"/>
        <w:spacing w:before="0" w:beforeAutospacing="0" w:after="0" w:afterAutospacing="0" w:line="360" w:lineRule="auto"/>
        <w:jc w:val="both"/>
        <w:rPr>
          <w:rFonts w:ascii="Arial" w:hAnsi="Arial" w:cs="Arial"/>
        </w:rPr>
      </w:pPr>
      <w:r w:rsidRPr="00E17E1F">
        <w:rPr>
          <w:rFonts w:ascii="Arial" w:hAnsi="Arial" w:cs="Arial"/>
          <w:lang w:val="en-US"/>
        </w:rPr>
        <w:t xml:space="preserve">[31] Thioune O. et Al. </w:t>
      </w:r>
      <w:r w:rsidRPr="00E17E1F">
        <w:rPr>
          <w:rFonts w:ascii="Arial" w:hAnsi="Arial" w:cs="Arial"/>
          <w:b/>
          <w:lang w:val="en-US"/>
        </w:rPr>
        <w:t>1997</w:t>
      </w:r>
      <w:r w:rsidRPr="00E17E1F">
        <w:rPr>
          <w:rFonts w:ascii="Arial" w:hAnsi="Arial" w:cs="Arial"/>
          <w:lang w:val="en-US"/>
        </w:rPr>
        <w:t xml:space="preserve"> Int. J. Pharm. </w:t>
      </w:r>
      <w:r w:rsidRPr="00E17E1F">
        <w:rPr>
          <w:rFonts w:ascii="Arial" w:hAnsi="Arial" w:cs="Arial"/>
        </w:rPr>
        <w:t>146:233</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rPr>
        <w:t xml:space="preserve">[32] Galindo-Rodriguez S. et Al. </w:t>
      </w:r>
      <w:r w:rsidRPr="00E17E1F">
        <w:rPr>
          <w:rFonts w:ascii="Arial" w:hAnsi="Arial" w:cs="Arial"/>
          <w:b/>
        </w:rPr>
        <w:t>2004</w:t>
      </w:r>
      <w:r w:rsidRPr="00E17E1F">
        <w:rPr>
          <w:rFonts w:ascii="Arial" w:hAnsi="Arial" w:cs="Arial"/>
        </w:rPr>
        <w:t xml:space="preserve"> Pharm. </w:t>
      </w:r>
      <w:r w:rsidRPr="00E17E1F">
        <w:rPr>
          <w:rFonts w:ascii="Arial" w:hAnsi="Arial" w:cs="Arial"/>
          <w:lang w:val="en-US"/>
        </w:rPr>
        <w:t>Res. 21:1428</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lang w:val="en-US"/>
        </w:rPr>
        <w:t xml:space="preserve">[33] Legrand P. et Al. </w:t>
      </w:r>
      <w:r w:rsidRPr="00E17E1F">
        <w:rPr>
          <w:rFonts w:ascii="Arial" w:hAnsi="Arial" w:cs="Arial"/>
          <w:b/>
          <w:lang w:val="en-US"/>
        </w:rPr>
        <w:t>2007</w:t>
      </w:r>
      <w:r w:rsidRPr="00E17E1F">
        <w:rPr>
          <w:rFonts w:ascii="Arial" w:hAnsi="Arial" w:cs="Arial"/>
          <w:lang w:val="en-US"/>
        </w:rPr>
        <w:t xml:space="preserve"> Int. J. Pharm. 344:33</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lang w:val="en-US"/>
        </w:rPr>
        <w:t>[34] Limayem Blouza I. et Al. 2006 Int. J. Pharm. 325:124</w:t>
      </w:r>
    </w:p>
    <w:p w:rsidR="00387A07" w:rsidRPr="00E17E1F" w:rsidRDefault="00387A07" w:rsidP="00387A07">
      <w:pPr>
        <w:pStyle w:val="NormaleWeb"/>
        <w:spacing w:before="0" w:beforeAutospacing="0" w:after="0" w:afterAutospacing="0" w:line="360" w:lineRule="auto"/>
        <w:jc w:val="both"/>
        <w:rPr>
          <w:rFonts w:ascii="Arial" w:eastAsia="AdvTimes" w:hAnsi="Arial" w:cs="Arial"/>
          <w:lang w:val="en-US"/>
        </w:rPr>
      </w:pPr>
      <w:r w:rsidRPr="00E17E1F">
        <w:rPr>
          <w:rFonts w:ascii="Arial" w:hAnsi="Arial" w:cs="Arial"/>
          <w:lang w:val="en-US"/>
        </w:rPr>
        <w:t xml:space="preserve">[35] </w:t>
      </w:r>
      <w:r w:rsidRPr="00E17E1F">
        <w:rPr>
          <w:rFonts w:ascii="Arial" w:hAnsi="Arial" w:cs="Arial"/>
          <w:bCs/>
          <w:lang w:val="en-US"/>
        </w:rPr>
        <w:t xml:space="preserve">Zavisova V. et Al. </w:t>
      </w:r>
      <w:r w:rsidRPr="00E17E1F">
        <w:rPr>
          <w:rFonts w:ascii="Arial" w:hAnsi="Arial" w:cs="Arial"/>
          <w:b/>
          <w:bCs/>
          <w:lang w:val="en-US"/>
        </w:rPr>
        <w:t xml:space="preserve">2007 </w:t>
      </w:r>
      <w:r w:rsidRPr="00E17E1F">
        <w:rPr>
          <w:rFonts w:ascii="Arial" w:eastAsia="AdvTimes" w:hAnsi="Arial" w:cs="Arial"/>
          <w:lang w:val="en-US"/>
        </w:rPr>
        <w:t>Journal of Magnetism and Magnetic Materials 311:379</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eastAsia="AdvTimes" w:hAnsi="Arial" w:cs="Arial"/>
          <w:lang w:val="en-US"/>
        </w:rPr>
        <w:t xml:space="preserve">[36] </w:t>
      </w:r>
      <w:r w:rsidRPr="00E17E1F">
        <w:rPr>
          <w:rFonts w:ascii="Arial" w:hAnsi="Arial" w:cs="Arial"/>
          <w:bCs/>
          <w:lang w:val="en-US"/>
        </w:rPr>
        <w:t>Lince F. et Al.</w:t>
      </w:r>
      <w:r w:rsidRPr="00E17E1F">
        <w:rPr>
          <w:rFonts w:ascii="Arial" w:hAnsi="Arial" w:cs="Arial"/>
          <w:b/>
          <w:bCs/>
          <w:lang w:val="en-US"/>
        </w:rPr>
        <w:t xml:space="preserve"> 2011 </w:t>
      </w:r>
      <w:r w:rsidRPr="00E17E1F">
        <w:rPr>
          <w:rFonts w:ascii="Arial" w:hAnsi="Arial" w:cs="Arial"/>
          <w:lang w:val="en-US"/>
        </w:rPr>
        <w:t>Chemical Engineering Research and Design 8 9:2410</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lang w:val="en-US"/>
        </w:rPr>
        <w:t xml:space="preserve">[37] Bosworth L. et Al. </w:t>
      </w:r>
      <w:r w:rsidRPr="00E17E1F">
        <w:rPr>
          <w:rFonts w:ascii="Arial" w:hAnsi="Arial" w:cs="Arial"/>
          <w:b/>
          <w:lang w:val="en-US"/>
        </w:rPr>
        <w:t>2010</w:t>
      </w:r>
      <w:r w:rsidRPr="00E17E1F">
        <w:rPr>
          <w:rFonts w:ascii="Arial" w:hAnsi="Arial" w:cs="Arial"/>
          <w:lang w:val="en-US"/>
        </w:rPr>
        <w:t xml:space="preserve"> Polymer Degradation and Stability 95:2269</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eastAsia="AdvTimes" w:hAnsi="Arial" w:cs="Arial"/>
          <w:lang w:val="en-US"/>
        </w:rPr>
        <w:t xml:space="preserve">[38] Woodruff M. et Al. </w:t>
      </w:r>
      <w:r w:rsidRPr="00E17E1F">
        <w:rPr>
          <w:rFonts w:ascii="Arial" w:eastAsia="AdvTimes" w:hAnsi="Arial" w:cs="Arial"/>
          <w:b/>
          <w:lang w:val="en-US"/>
        </w:rPr>
        <w:t>2010</w:t>
      </w:r>
      <w:r w:rsidRPr="00E17E1F">
        <w:rPr>
          <w:rFonts w:ascii="Arial" w:eastAsia="AdvTimes" w:hAnsi="Arial" w:cs="Arial"/>
          <w:lang w:val="en-US"/>
        </w:rPr>
        <w:t xml:space="preserve"> </w:t>
      </w:r>
      <w:r w:rsidRPr="00E17E1F">
        <w:rPr>
          <w:rFonts w:ascii="Arial" w:hAnsi="Arial" w:cs="Arial"/>
          <w:lang w:val="en-US"/>
        </w:rPr>
        <w:t>Polymer Degradation and Stability 95:2269</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lang w:val="en-US"/>
        </w:rPr>
        <w:t xml:space="preserve">[39] McDonald et al. </w:t>
      </w:r>
      <w:r w:rsidRPr="00E17E1F">
        <w:rPr>
          <w:rFonts w:ascii="Arial" w:hAnsi="Arial" w:cs="Arial"/>
          <w:b/>
          <w:lang w:val="en-US"/>
        </w:rPr>
        <w:t>1996</w:t>
      </w:r>
      <w:r w:rsidRPr="00E17E1F">
        <w:rPr>
          <w:rFonts w:ascii="Arial" w:hAnsi="Arial" w:cs="Arial"/>
          <w:lang w:val="en-US"/>
        </w:rPr>
        <w:t xml:space="preserve"> Macromolecules 29:7356</w:t>
      </w:r>
    </w:p>
    <w:p w:rsidR="00387A07" w:rsidRPr="00E17E1F" w:rsidRDefault="00387A07" w:rsidP="00387A07">
      <w:pPr>
        <w:pStyle w:val="NormaleWeb"/>
        <w:spacing w:before="0" w:beforeAutospacing="0" w:after="0" w:afterAutospacing="0" w:line="360" w:lineRule="auto"/>
        <w:jc w:val="both"/>
        <w:rPr>
          <w:rFonts w:ascii="Arial" w:hAnsi="Arial" w:cs="Arial"/>
        </w:rPr>
      </w:pPr>
      <w:r w:rsidRPr="00E17E1F">
        <w:rPr>
          <w:rFonts w:ascii="Arial" w:hAnsi="Arial" w:cs="Arial"/>
          <w:lang w:val="en-US"/>
        </w:rPr>
        <w:t xml:space="preserve">[40] Tsuji and Miyauchi </w:t>
      </w:r>
      <w:r w:rsidRPr="00E17E1F">
        <w:rPr>
          <w:rFonts w:ascii="Arial" w:hAnsi="Arial" w:cs="Arial"/>
          <w:b/>
          <w:lang w:val="en-US"/>
        </w:rPr>
        <w:t>2001</w:t>
      </w:r>
      <w:r w:rsidRPr="00E17E1F">
        <w:rPr>
          <w:rFonts w:ascii="Arial" w:hAnsi="Arial" w:cs="Arial"/>
          <w:lang w:val="en-US"/>
        </w:rPr>
        <w:t xml:space="preserve"> Polym. </w:t>
      </w:r>
      <w:r w:rsidRPr="00E17E1F">
        <w:rPr>
          <w:rFonts w:ascii="Arial" w:hAnsi="Arial" w:cs="Arial"/>
        </w:rPr>
        <w:t>Degrad. Stab. 71:415</w:t>
      </w:r>
    </w:p>
    <w:p w:rsidR="00387A07" w:rsidRPr="00E17E1F" w:rsidRDefault="00387A07" w:rsidP="00387A07">
      <w:pPr>
        <w:pStyle w:val="NormaleWeb"/>
        <w:spacing w:before="0" w:beforeAutospacing="0" w:after="0" w:afterAutospacing="0" w:line="360" w:lineRule="auto"/>
        <w:jc w:val="both"/>
        <w:rPr>
          <w:rFonts w:ascii="Arial" w:hAnsi="Arial" w:cs="Arial"/>
        </w:rPr>
      </w:pPr>
      <w:r w:rsidRPr="00E17E1F">
        <w:rPr>
          <w:rFonts w:ascii="Arial" w:hAnsi="Arial" w:cs="Arial"/>
        </w:rPr>
        <w:t xml:space="preserve">[41] Grizzi I. et Al. </w:t>
      </w:r>
      <w:r w:rsidRPr="00E17E1F">
        <w:rPr>
          <w:rFonts w:ascii="Arial" w:hAnsi="Arial" w:cs="Arial"/>
          <w:b/>
        </w:rPr>
        <w:t>1995</w:t>
      </w:r>
      <w:r w:rsidRPr="00E17E1F">
        <w:rPr>
          <w:rFonts w:ascii="Arial" w:hAnsi="Arial" w:cs="Arial"/>
        </w:rPr>
        <w:t xml:space="preserve"> Biomaterials 16: 305</w:t>
      </w:r>
    </w:p>
    <w:p w:rsidR="00387A07" w:rsidRPr="00E17E1F" w:rsidRDefault="00387A07" w:rsidP="00387A07">
      <w:pPr>
        <w:pStyle w:val="NormaleWeb"/>
        <w:spacing w:before="0" w:beforeAutospacing="0" w:after="0" w:afterAutospacing="0" w:line="360" w:lineRule="auto"/>
        <w:jc w:val="both"/>
        <w:rPr>
          <w:rFonts w:ascii="Arial" w:hAnsi="Arial" w:cs="Arial"/>
          <w:lang w:val="en-US"/>
        </w:rPr>
      </w:pPr>
      <w:r w:rsidRPr="00E17E1F">
        <w:rPr>
          <w:rFonts w:ascii="Arial" w:hAnsi="Arial" w:cs="Arial"/>
        </w:rPr>
        <w:t xml:space="preserve">[42]Li S.M. et Al. </w:t>
      </w:r>
      <w:r w:rsidRPr="00E17E1F">
        <w:rPr>
          <w:rFonts w:ascii="Arial" w:hAnsi="Arial" w:cs="Arial"/>
          <w:b/>
        </w:rPr>
        <w:t>1990</w:t>
      </w:r>
      <w:r w:rsidRPr="00E17E1F">
        <w:rPr>
          <w:rFonts w:ascii="Arial" w:hAnsi="Arial" w:cs="Arial"/>
        </w:rPr>
        <w:t xml:space="preserve"> J. Mater. </w:t>
      </w:r>
      <w:r w:rsidRPr="00E17E1F">
        <w:rPr>
          <w:rFonts w:ascii="Arial" w:hAnsi="Arial" w:cs="Arial"/>
          <w:lang w:val="en-US"/>
        </w:rPr>
        <w:t>Sci. Mater. Med. 1:198</w:t>
      </w:r>
    </w:p>
    <w:p w:rsidR="00387A07" w:rsidRPr="00E17E1F" w:rsidRDefault="00387A07" w:rsidP="00387A07">
      <w:pPr>
        <w:pStyle w:val="NormaleWeb"/>
        <w:spacing w:before="0" w:beforeAutospacing="0" w:after="0" w:afterAutospacing="0" w:line="360" w:lineRule="auto"/>
        <w:jc w:val="both"/>
        <w:rPr>
          <w:lang w:val="en-US"/>
        </w:rPr>
      </w:pPr>
      <w:r w:rsidRPr="00E17E1F">
        <w:rPr>
          <w:rFonts w:ascii="Arial" w:hAnsi="Arial" w:cs="Arial"/>
          <w:lang w:val="en-US"/>
        </w:rPr>
        <w:t xml:space="preserve">[43] C.S. Proikakis </w:t>
      </w:r>
      <w:r w:rsidRPr="00E17E1F">
        <w:rPr>
          <w:rFonts w:ascii="Arial" w:hAnsi="Arial" w:cs="Arial"/>
          <w:b/>
          <w:lang w:val="en-US"/>
        </w:rPr>
        <w:t>2006</w:t>
      </w:r>
      <w:r w:rsidRPr="00E17E1F">
        <w:rPr>
          <w:rFonts w:ascii="Arial" w:hAnsi="Arial" w:cs="Arial"/>
          <w:lang w:val="en-US"/>
        </w:rPr>
        <w:t xml:space="preserve"> Polymer Degradation and Stability 91:614</w:t>
      </w:r>
    </w:p>
    <w:p w:rsidR="00387A07" w:rsidRPr="00E17E1F" w:rsidRDefault="00387A07" w:rsidP="00387A07">
      <w:pPr>
        <w:pStyle w:val="NormaleWeb"/>
        <w:spacing w:before="0" w:beforeAutospacing="0" w:after="0" w:afterAutospacing="0" w:line="360" w:lineRule="auto"/>
        <w:jc w:val="both"/>
        <w:rPr>
          <w:rFonts w:ascii="Arial" w:hAnsi="Arial" w:cs="Arial"/>
          <w:sz w:val="26"/>
          <w:szCs w:val="26"/>
          <w:lang w:val="en-US"/>
        </w:rPr>
      </w:pPr>
      <w:r w:rsidRPr="00E17E1F">
        <w:rPr>
          <w:rFonts w:ascii="Arial" w:hAnsi="Arial" w:cs="Arial"/>
          <w:sz w:val="26"/>
          <w:szCs w:val="26"/>
          <w:lang w:val="en-US"/>
        </w:rPr>
        <w:t xml:space="preserve">[44] Zhang Z. </w:t>
      </w:r>
      <w:r w:rsidRPr="00E17E1F">
        <w:rPr>
          <w:rFonts w:ascii="Arial" w:hAnsi="Arial" w:cs="Arial"/>
          <w:b/>
          <w:sz w:val="26"/>
          <w:szCs w:val="26"/>
          <w:lang w:val="en-US"/>
        </w:rPr>
        <w:t>1994</w:t>
      </w:r>
      <w:r w:rsidRPr="00E17E1F">
        <w:rPr>
          <w:rFonts w:ascii="Arial" w:hAnsi="Arial" w:cs="Arial"/>
          <w:sz w:val="26"/>
          <w:szCs w:val="26"/>
          <w:lang w:val="en-US"/>
        </w:rPr>
        <w:t xml:space="preserve"> Biomaterials 15:1129</w:t>
      </w:r>
    </w:p>
    <w:p w:rsidR="00387A07" w:rsidRDefault="00387A07" w:rsidP="00387A07">
      <w:pPr>
        <w:pStyle w:val="NormaleWeb"/>
        <w:spacing w:before="0" w:beforeAutospacing="0" w:after="0" w:afterAutospacing="0" w:line="360" w:lineRule="auto"/>
        <w:jc w:val="both"/>
        <w:rPr>
          <w:rFonts w:ascii="Arial" w:eastAsia="AdvTimes" w:hAnsi="Arial" w:cs="Arial"/>
          <w:lang w:val="en-US"/>
        </w:rPr>
      </w:pPr>
      <w:r w:rsidRPr="00E17E1F">
        <w:rPr>
          <w:rFonts w:ascii="Arial" w:hAnsi="Arial" w:cs="Arial"/>
          <w:sz w:val="26"/>
          <w:szCs w:val="26"/>
          <w:lang w:val="en-US"/>
        </w:rPr>
        <w:lastRenderedPageBreak/>
        <w:t xml:space="preserve">[45] Gorna K. et Al </w:t>
      </w:r>
      <w:r w:rsidRPr="00E17E1F">
        <w:rPr>
          <w:rFonts w:ascii="Arial" w:hAnsi="Arial" w:cs="Arial"/>
          <w:b/>
          <w:sz w:val="26"/>
          <w:szCs w:val="26"/>
          <w:lang w:val="en-US"/>
        </w:rPr>
        <w:t>2002</w:t>
      </w:r>
      <w:r w:rsidRPr="00E17E1F">
        <w:rPr>
          <w:rFonts w:ascii="Arial" w:hAnsi="Arial" w:cs="Arial"/>
          <w:sz w:val="26"/>
          <w:szCs w:val="26"/>
          <w:lang w:val="en-US"/>
        </w:rPr>
        <w:t xml:space="preserve"> </w:t>
      </w:r>
      <w:r w:rsidRPr="00E17E1F">
        <w:rPr>
          <w:rFonts w:ascii="Arial" w:eastAsia="AdvTimes" w:hAnsi="Arial" w:cs="Arial"/>
          <w:lang w:val="en-US"/>
        </w:rPr>
        <w:t>Polymer Degradation and Stability 75:113</w:t>
      </w:r>
    </w:p>
    <w:p w:rsidR="00387A07" w:rsidRPr="00C41A52" w:rsidRDefault="00387A07" w:rsidP="00387A07">
      <w:pPr>
        <w:spacing w:line="360" w:lineRule="auto"/>
        <w:rPr>
          <w:rFonts w:ascii="Arial" w:hAnsi="Arial" w:cs="Arial"/>
          <w:b/>
          <w:sz w:val="120"/>
          <w:szCs w:val="120"/>
          <w:lang w:val="en-US"/>
        </w:rPr>
      </w:pPr>
    </w:p>
    <w:p w:rsidR="00387A07" w:rsidRDefault="00387A07">
      <w:pPr>
        <w:rPr>
          <w:lang w:val="en-US"/>
        </w:rPr>
      </w:pPr>
    </w:p>
    <w:p w:rsidR="00387A07" w:rsidRPr="00387A07" w:rsidRDefault="00387A07">
      <w:pPr>
        <w:rPr>
          <w:lang w:val="en-US"/>
        </w:rPr>
      </w:pPr>
    </w:p>
    <w:p w:rsidR="00387A07" w:rsidRDefault="00387A07"/>
    <w:p w:rsidR="00387A07" w:rsidRPr="00387A07" w:rsidRDefault="00387A07" w:rsidP="00387A07"/>
    <w:p w:rsidR="00387A07" w:rsidRPr="00387A07" w:rsidRDefault="00387A07" w:rsidP="00387A07"/>
    <w:p w:rsidR="00387A07" w:rsidRPr="00387A07" w:rsidRDefault="00387A07" w:rsidP="00387A07"/>
    <w:p w:rsidR="00387A07" w:rsidRPr="00387A07" w:rsidRDefault="00387A07" w:rsidP="00387A07"/>
    <w:p w:rsidR="00387A07" w:rsidRDefault="00387A07" w:rsidP="00387A07"/>
    <w:p w:rsidR="00387A07" w:rsidRDefault="00387A07" w:rsidP="00387A07">
      <w:pPr>
        <w:tabs>
          <w:tab w:val="left" w:pos="1785"/>
        </w:tabs>
      </w:pPr>
      <w:r>
        <w:tab/>
      </w: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Default="00387A07" w:rsidP="00387A07">
      <w:pPr>
        <w:tabs>
          <w:tab w:val="left" w:pos="1785"/>
        </w:tabs>
      </w:pPr>
    </w:p>
    <w:p w:rsidR="00387A07" w:rsidRPr="00E43E4A" w:rsidRDefault="00387A07" w:rsidP="00387A07">
      <w:pPr>
        <w:jc w:val="right"/>
        <w:rPr>
          <w:rFonts w:ascii="Arial" w:hAnsi="Arial" w:cs="Arial"/>
          <w:b/>
          <w:color w:val="002060"/>
          <w:sz w:val="24"/>
          <w:szCs w:val="24"/>
          <w:lang w:val="en-US"/>
        </w:rPr>
      </w:pPr>
      <w:r w:rsidRPr="00E43E4A">
        <w:rPr>
          <w:rFonts w:ascii="Arial" w:hAnsi="Arial" w:cs="Arial"/>
          <w:b/>
          <w:color w:val="002060"/>
          <w:sz w:val="124"/>
          <w:szCs w:val="124"/>
          <w:lang w:val="en-US"/>
        </w:rPr>
        <w:t>Chapter 3</w:t>
      </w:r>
    </w:p>
    <w:p w:rsidR="00387A07" w:rsidRDefault="00387A07" w:rsidP="00387A07">
      <w:pPr>
        <w:spacing w:line="360" w:lineRule="auto"/>
        <w:jc w:val="right"/>
        <w:rPr>
          <w:rFonts w:ascii="Arial" w:hAnsi="Arial" w:cs="Arial"/>
          <w:b/>
          <w:sz w:val="50"/>
          <w:szCs w:val="50"/>
          <w:lang w:val="en-US"/>
        </w:rPr>
      </w:pPr>
    </w:p>
    <w:p w:rsidR="00387A07" w:rsidRPr="00353D75" w:rsidRDefault="00387A07" w:rsidP="00387A07">
      <w:pPr>
        <w:spacing w:line="360" w:lineRule="auto"/>
        <w:jc w:val="right"/>
        <w:rPr>
          <w:rFonts w:ascii="Arial" w:hAnsi="Arial" w:cs="Arial"/>
          <w:b/>
          <w:sz w:val="50"/>
          <w:szCs w:val="50"/>
          <w:lang w:val="en-US"/>
        </w:rPr>
      </w:pPr>
      <w:r>
        <w:rPr>
          <w:rFonts w:ascii="Arial" w:hAnsi="Arial" w:cs="Arial"/>
          <w:b/>
          <w:sz w:val="50"/>
          <w:szCs w:val="50"/>
          <w:lang w:val="en-US"/>
        </w:rPr>
        <w:t>Novel biodegradable n</w:t>
      </w:r>
      <w:r w:rsidRPr="00353D75">
        <w:rPr>
          <w:rFonts w:ascii="Arial" w:hAnsi="Arial" w:cs="Arial"/>
          <w:b/>
          <w:sz w:val="50"/>
          <w:szCs w:val="50"/>
          <w:lang w:val="en-US"/>
        </w:rPr>
        <w:t xml:space="preserve">anoparticles </w:t>
      </w:r>
    </w:p>
    <w:p w:rsidR="00387A07" w:rsidRDefault="00387A07" w:rsidP="00387A07">
      <w:pPr>
        <w:spacing w:line="360" w:lineRule="auto"/>
        <w:jc w:val="right"/>
        <w:rPr>
          <w:rFonts w:ascii="Arial" w:hAnsi="Arial" w:cs="Arial"/>
          <w:b/>
          <w:sz w:val="50"/>
          <w:szCs w:val="50"/>
          <w:lang w:val="en-US"/>
        </w:rPr>
      </w:pPr>
      <w:r w:rsidRPr="00353D75">
        <w:rPr>
          <w:rFonts w:ascii="Arial" w:hAnsi="Arial" w:cs="Arial"/>
          <w:b/>
          <w:sz w:val="50"/>
          <w:szCs w:val="50"/>
          <w:lang w:val="en-US"/>
        </w:rPr>
        <w:t xml:space="preserve">for </w:t>
      </w:r>
      <w:r>
        <w:rPr>
          <w:rFonts w:ascii="Arial" w:hAnsi="Arial" w:cs="Arial"/>
          <w:b/>
          <w:sz w:val="50"/>
          <w:szCs w:val="50"/>
          <w:lang w:val="en-US"/>
        </w:rPr>
        <w:t>the active t</w:t>
      </w:r>
      <w:r w:rsidRPr="00353D75">
        <w:rPr>
          <w:rFonts w:ascii="Arial" w:hAnsi="Arial" w:cs="Arial"/>
          <w:b/>
          <w:sz w:val="50"/>
          <w:szCs w:val="50"/>
          <w:lang w:val="en-US"/>
        </w:rPr>
        <w:t xml:space="preserve">argeting of </w:t>
      </w:r>
      <w:r>
        <w:rPr>
          <w:rFonts w:ascii="Arial" w:hAnsi="Arial" w:cs="Arial"/>
          <w:b/>
          <w:sz w:val="50"/>
          <w:szCs w:val="50"/>
          <w:lang w:val="en-US"/>
        </w:rPr>
        <w:t>breast cancer</w:t>
      </w:r>
    </w:p>
    <w:p w:rsidR="00387A07" w:rsidRDefault="00387A07" w:rsidP="00387A07">
      <w:pPr>
        <w:spacing w:line="360" w:lineRule="auto"/>
        <w:rPr>
          <w:rFonts w:ascii="Arial" w:hAnsi="Arial" w:cs="Arial"/>
          <w:b/>
          <w:sz w:val="50"/>
          <w:szCs w:val="50"/>
          <w:lang w:val="en-US"/>
        </w:rPr>
      </w:pPr>
    </w:p>
    <w:p w:rsidR="00387A07" w:rsidRDefault="00387A07" w:rsidP="00387A07">
      <w:pPr>
        <w:spacing w:before="240" w:after="240" w:line="360" w:lineRule="auto"/>
        <w:jc w:val="both"/>
        <w:rPr>
          <w:rFonts w:ascii="Arial" w:hAnsi="Arial" w:cs="Arial"/>
          <w:b/>
          <w:sz w:val="28"/>
          <w:szCs w:val="28"/>
          <w:lang w:val="en-US"/>
        </w:rPr>
      </w:pPr>
      <w:r>
        <w:rPr>
          <w:rFonts w:ascii="Arial" w:hAnsi="Arial" w:cs="Arial"/>
          <w:b/>
          <w:sz w:val="28"/>
          <w:szCs w:val="28"/>
        </w:rPr>
        <w:t>Abtract</w:t>
      </w:r>
      <w:r w:rsidRPr="00DA1E53">
        <w:rPr>
          <w:rFonts w:ascii="Arial" w:hAnsi="Arial" w:cs="Arial"/>
          <w:b/>
          <w:sz w:val="28"/>
          <w:szCs w:val="28"/>
          <w:lang w:val="en-US"/>
        </w:rPr>
        <w:t xml:space="preserve"> </w:t>
      </w:r>
    </w:p>
    <w:p w:rsidR="00387A07" w:rsidRPr="00AA03FE" w:rsidRDefault="00387A07" w:rsidP="00387A07">
      <w:pPr>
        <w:spacing w:after="0" w:line="360" w:lineRule="auto"/>
        <w:jc w:val="both"/>
        <w:rPr>
          <w:rFonts w:ascii="Arial" w:hAnsi="Arial" w:cs="Arial"/>
          <w:sz w:val="24"/>
          <w:szCs w:val="24"/>
        </w:rPr>
      </w:pPr>
      <w:r>
        <w:rPr>
          <w:rFonts w:ascii="Arial" w:hAnsi="Arial" w:cs="Arial"/>
          <w:sz w:val="24"/>
          <w:szCs w:val="24"/>
          <w:lang w:val="en-US"/>
        </w:rPr>
        <w:t xml:space="preserve">Nanomedicine formulations offer several advantaged over traditional routes of administration, such as higher drug bioavailability and reduced side effects, since they are able to selectively accumulate into specific organs or tissues </w:t>
      </w:r>
      <w:r w:rsidRPr="007E6215">
        <w:rPr>
          <w:rFonts w:ascii="Arial" w:hAnsi="Arial" w:cs="Arial"/>
          <w:sz w:val="24"/>
          <w:szCs w:val="24"/>
          <w:highlight w:val="yellow"/>
          <w:lang w:val="en-US"/>
        </w:rPr>
        <w:t>[</w:t>
      </w:r>
      <w:r w:rsidRPr="007107C4">
        <w:rPr>
          <w:rFonts w:ascii="Arial" w:hAnsi="Arial" w:cs="Arial"/>
          <w:sz w:val="24"/>
          <w:szCs w:val="24"/>
          <w:highlight w:val="yellow"/>
          <w:lang w:val="en-US"/>
        </w:rPr>
        <w:t>1</w:t>
      </w:r>
      <w:r>
        <w:rPr>
          <w:rFonts w:ascii="Arial" w:hAnsi="Arial" w:cs="Arial"/>
          <w:sz w:val="24"/>
          <w:szCs w:val="24"/>
          <w:lang w:val="en-US"/>
        </w:rPr>
        <w:t xml:space="preserve">]. To augment the targeting ability of nanoparticles towards tumor cells, specific ligands or antibodies that selectively recognize biomarkers over-expressed on cancer cells, can be attached to the surface, either by chemical bond or by hydrophilic/hydrophobic interactions </w:t>
      </w:r>
      <w:r w:rsidRPr="009E6396">
        <w:rPr>
          <w:rFonts w:ascii="Arial" w:hAnsi="Arial" w:cs="Arial"/>
          <w:sz w:val="24"/>
          <w:szCs w:val="24"/>
          <w:highlight w:val="yellow"/>
          <w:lang w:val="en-US"/>
        </w:rPr>
        <w:t>[</w:t>
      </w:r>
      <w:r>
        <w:rPr>
          <w:rFonts w:ascii="Arial" w:hAnsi="Arial" w:cs="Arial"/>
          <w:sz w:val="24"/>
          <w:szCs w:val="24"/>
          <w:highlight w:val="yellow"/>
          <w:lang w:val="en-US"/>
        </w:rPr>
        <w:t>7</w:t>
      </w:r>
      <w:r w:rsidRPr="009E6396">
        <w:rPr>
          <w:rFonts w:ascii="Arial" w:hAnsi="Arial" w:cs="Arial"/>
          <w:sz w:val="24"/>
          <w:szCs w:val="24"/>
          <w:highlight w:val="yellow"/>
          <w:lang w:val="en-US"/>
        </w:rPr>
        <w:t>]</w:t>
      </w:r>
      <w:r>
        <w:rPr>
          <w:rFonts w:ascii="Arial" w:hAnsi="Arial" w:cs="Arial"/>
          <w:sz w:val="24"/>
          <w:szCs w:val="24"/>
          <w:lang w:val="en-US"/>
        </w:rPr>
        <w:t xml:space="preserve">. In this chapter, Herceptin, a monoclonal antibody (mAb) able to selectively recognize HER-2 over-expressing tumor cells (like breast and ovarian cancer cells) was absorbed on the surface of nanoparticles through hydrophilic/hydrophobic interactions. Nanoparticles (Nps) were prepared by a modified single emulsion solvent evaporation method, with five different </w:t>
      </w:r>
      <w:r>
        <w:rPr>
          <w:rFonts w:ascii="Arial" w:hAnsi="Arial" w:cs="Arial"/>
          <w:sz w:val="24"/>
          <w:szCs w:val="24"/>
          <w:lang w:val="en-US"/>
        </w:rPr>
        <w:lastRenderedPageBreak/>
        <w:t>polymers: three commercial polyesters: poly(ε-caprolactone) (PCL), poly (D,L-lactide) (PLA) and poly (D,L-lactide-co-.glycolide) (PLGA) and two novel polyesterurethanes, based on Poly (ε-caprolactone) blocks synthesized with different chain extenders</w:t>
      </w:r>
      <w:r>
        <w:rPr>
          <w:rStyle w:val="MacchinadascrivereHTML"/>
          <w:rFonts w:ascii="Arial" w:eastAsiaTheme="minorHAnsi" w:hAnsi="Arial" w:cs="Arial"/>
          <w:sz w:val="24"/>
          <w:szCs w:val="24"/>
          <w:lang w:val="en-US"/>
        </w:rPr>
        <w:t xml:space="preserve">. Nps </w:t>
      </w:r>
      <w:r w:rsidRPr="00AA03FE">
        <w:rPr>
          <w:rStyle w:val="MacchinadascrivereHTML"/>
          <w:rFonts w:ascii="Arial" w:eastAsiaTheme="minorHAnsi" w:hAnsi="Arial" w:cs="Arial"/>
          <w:sz w:val="24"/>
          <w:szCs w:val="24"/>
          <w:lang w:val="en-US"/>
        </w:rPr>
        <w:t>exhibited a regular spherical morphology, a size below 200nm, which makes them suitable candidates for passive targeting of cancer [3], and a negative zeta potential ideal for surface functionalization with mAb. Surface coating was successfully achieved for all particles, as demonstrated by the increase in zeta potential. The extent of cellular internalization was tested on two different cell lines: MCF7 and SKBR3 breast cancer cells, showing a normal and a high expression of the HER 2 receptor, respectively. Polyesterurethanes nanoparticles exhibited higher cellular internalization and the presence of the antibody increased cellular uptake for all formulations. Moreover the release profile and cytoxicity were also assessed, after encapsulation of the anti-neoplastic drug Paclitaxel.</w:t>
      </w:r>
    </w:p>
    <w:p w:rsidR="00387A07" w:rsidRPr="00AA03FE" w:rsidRDefault="00387A07" w:rsidP="00387A07">
      <w:pPr>
        <w:spacing w:before="240" w:after="240" w:line="360" w:lineRule="auto"/>
        <w:jc w:val="both"/>
        <w:rPr>
          <w:rFonts w:ascii="Arial" w:hAnsi="Arial" w:cs="Arial"/>
          <w:b/>
          <w:sz w:val="28"/>
          <w:szCs w:val="28"/>
          <w:lang w:val="en-US"/>
        </w:rPr>
      </w:pPr>
      <w:r w:rsidRPr="00AA03FE">
        <w:rPr>
          <w:rFonts w:ascii="Arial" w:hAnsi="Arial" w:cs="Arial"/>
          <w:sz w:val="24"/>
          <w:szCs w:val="24"/>
          <w:lang w:val="en-US"/>
        </w:rPr>
        <w:t xml:space="preserve"> </w:t>
      </w:r>
    </w:p>
    <w:p w:rsidR="00387A07" w:rsidRPr="00AA03FE" w:rsidRDefault="00387A07" w:rsidP="00387A07">
      <w:pPr>
        <w:spacing w:line="360" w:lineRule="auto"/>
        <w:rPr>
          <w:rFonts w:ascii="Arial" w:hAnsi="Arial" w:cs="Arial"/>
          <w:b/>
          <w:sz w:val="50"/>
          <w:szCs w:val="50"/>
          <w:lang w:val="en-US"/>
        </w:rPr>
      </w:pPr>
    </w:p>
    <w:p w:rsidR="00387A07" w:rsidRPr="00AA03FE" w:rsidRDefault="00387A07" w:rsidP="00387A07">
      <w:pPr>
        <w:spacing w:line="360" w:lineRule="auto"/>
        <w:rPr>
          <w:rFonts w:ascii="Arial" w:hAnsi="Arial" w:cs="Arial"/>
          <w:b/>
          <w:sz w:val="50"/>
          <w:szCs w:val="50"/>
          <w:lang w:val="en-US"/>
        </w:rPr>
        <w:sectPr w:rsidR="00387A07" w:rsidRPr="00AA03FE" w:rsidSect="00387A07">
          <w:footerReference w:type="default" r:id="rId39"/>
          <w:pgSz w:w="11907" w:h="16839" w:code="9"/>
          <w:pgMar w:top="1440" w:right="1134" w:bottom="1440" w:left="1134" w:header="720" w:footer="720" w:gutter="0"/>
          <w:pgNumType w:start="65"/>
          <w:cols w:space="720"/>
          <w:docGrid w:linePitch="360"/>
        </w:sectPr>
      </w:pPr>
    </w:p>
    <w:p w:rsidR="00387A07" w:rsidRPr="00AA03FE" w:rsidRDefault="00387A07" w:rsidP="00387A07">
      <w:pPr>
        <w:spacing w:before="240" w:after="240" w:line="360" w:lineRule="auto"/>
        <w:ind w:firstLine="709"/>
        <w:jc w:val="both"/>
        <w:rPr>
          <w:rFonts w:ascii="Arial" w:hAnsi="Arial" w:cs="Arial"/>
          <w:b/>
          <w:sz w:val="28"/>
          <w:szCs w:val="28"/>
          <w:lang w:val="en-US"/>
        </w:rPr>
      </w:pPr>
      <w:r w:rsidRPr="00AA03FE">
        <w:rPr>
          <w:rFonts w:ascii="Arial" w:hAnsi="Arial" w:cs="Arial"/>
          <w:b/>
          <w:sz w:val="28"/>
          <w:szCs w:val="28"/>
          <w:lang w:val="en-US"/>
        </w:rPr>
        <w:lastRenderedPageBreak/>
        <w:t xml:space="preserve">3.1 </w:t>
      </w:r>
      <w:r w:rsidRPr="00AA03FE">
        <w:rPr>
          <w:rFonts w:ascii="Arial" w:hAnsi="Arial" w:cs="Arial"/>
          <w:b/>
          <w:sz w:val="28"/>
          <w:szCs w:val="28"/>
        </w:rPr>
        <w:t>Introduction</w:t>
      </w:r>
      <w:r w:rsidRPr="00AA03FE">
        <w:rPr>
          <w:rFonts w:ascii="Arial" w:hAnsi="Arial" w:cs="Arial"/>
          <w:b/>
          <w:sz w:val="28"/>
          <w:szCs w:val="28"/>
          <w:lang w:val="en-US"/>
        </w:rPr>
        <w:t xml:space="preserve">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Nano-sized drug delivery systems, including nanoparticles, liposomes and micelles, have been widely investigated as carriers for various formulations, due to their ability to overcome biological barriers and to deliver their content in a controlled manner at the desired place [3,4].</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Moreover, nanomedicine formulations offer several advantaged over traditional routes of administration, such as higher drug bioavailability and reduced side effects, since they are able to selectively accumulate into specific organs or tissues [1]. Due to their small size, nanoparticles can extravasate into the leaky vascular endothelium of cancer tissues, through the Enhanced permeation and retention effect (EPR), and are therefore able to passively target tumor cells [5].</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In fact, tumors are composed of fast-growing cells which need a high supply of oxygen and other nutrients to proliferate. Their vessels are therefore highly fenestrated and more permeable compared to normal vessels and particles with a size matching the dimensions of these fenestrations (200-500nm, depending on the tumor type) can easily enter tumor tissues [5]. Moreover lymphatic ducts are absent in most tumors, hampering the elimination of these particles from the tissue.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Several studies have been carried out on the preparation of polymeric nano-sized drug carriers for the selective delivery of chemotherapy, in an attempt to overcome inherent limitations due to the high hydrophobicity of the formulations which results in poor bioavailabilty, high systemic toxicity and scarce patient outcome [3,6].</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To augment the targeting ability of nanoparticles towards tumor cells, specific ligands or antibodies that selectively recognize biomarkers over-expressed on cancer cells, can be attached to the surface, either by chemical bond or by hydrophilic/hydrophobic interactions [7,8].</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Among targeting moieties, monoclonal antibodies have been extensively applied for their ability to initiate specific signaling cascades resulting in potentiated therapeutic effect of drugs [9,10].</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lang w:val="en-US"/>
        </w:rPr>
        <w:t>In this chapter, nanoparticles for the controlled delivery of the anti-neoplastic drug Paclitaxel were prepared by a modified single emulsion method, using five different polymers: three commercial polyesters: poly(ε-caprolactone) (PCL), poly (D,L-lactide) (PLA) and poly (D,L-lactide-co-.glycolide) (PLGA) and two novel polyesterurethanes, based on Poly (ε-caprolactone) blocks (in the following referred to as C-BC2000 and NS-</w:t>
      </w:r>
      <w:r w:rsidRPr="00AA03FE">
        <w:rPr>
          <w:rFonts w:ascii="Arial" w:hAnsi="Arial" w:cs="Arial"/>
          <w:sz w:val="24"/>
          <w:szCs w:val="24"/>
          <w:lang w:val="en-US"/>
        </w:rPr>
        <w:lastRenderedPageBreak/>
        <w:t>BC2000), synthesized with different chain extenders</w:t>
      </w:r>
      <w:r w:rsidRPr="00AA03FE">
        <w:rPr>
          <w:rStyle w:val="MacchinadascrivereHTML"/>
          <w:rFonts w:ascii="Arial" w:eastAsiaTheme="minorHAnsi" w:hAnsi="Arial" w:cs="Arial"/>
          <w:sz w:val="24"/>
          <w:szCs w:val="24"/>
        </w:rPr>
        <w:t xml:space="preserve">: 1,4-cyclohexane dimethanol (CDM) and N-Boc-serinol BC2000 (which </w:t>
      </w:r>
      <w:r w:rsidRPr="00AA03FE">
        <w:rPr>
          <w:rFonts w:ascii="Arial" w:hAnsi="Arial" w:cs="Arial"/>
          <w:sz w:val="24"/>
          <w:szCs w:val="24"/>
        </w:rPr>
        <w:t>possesses a protected functional amino group NH</w:t>
      </w:r>
      <w:r w:rsidRPr="00AA03FE">
        <w:rPr>
          <w:rFonts w:ascii="Arial" w:hAnsi="Arial" w:cs="Arial"/>
          <w:sz w:val="24"/>
          <w:szCs w:val="24"/>
          <w:vertAlign w:val="subscript"/>
        </w:rPr>
        <w:t>2</w:t>
      </w:r>
      <w:r w:rsidRPr="00AA03FE">
        <w:rPr>
          <w:rFonts w:ascii="Arial" w:hAnsi="Arial" w:cs="Arial"/>
          <w:sz w:val="24"/>
          <w:szCs w:val="24"/>
        </w:rPr>
        <w:t>)</w:t>
      </w:r>
      <w:r w:rsidRPr="00AA03FE">
        <w:rPr>
          <w:rStyle w:val="MacchinadascrivereHTML"/>
          <w:rFonts w:ascii="Arial" w:eastAsiaTheme="minorHAnsi" w:hAnsi="Arial" w:cs="Arial"/>
          <w:sz w:val="24"/>
          <w:szCs w:val="24"/>
        </w:rPr>
        <w:t xml:space="preserve"> for the synthesis of C-BC2000 and NS- respectively.</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The method for particles preparation was optimized to obtain carriers of small size, in order to favor cellular uptake through the EPR effect, and with negative surface charge, which could be exploited for further modification [11].</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Trastuzumab (Herceptin ®), a recombinant humanized IgG1 monoclonal antibody (mAb) used in the treatment of HER2 over-expressing cancer cells, such as breast, ovarian and pancreatic cancer cells, was adsorbed on the surface of nanoparticles, to create functionalized carriers for the active targeting of breast cancer cells [11,12].</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It is known that HER2 over-expresses in 25-30% invasive breast cancers. Herceptin is able to bind to the extracellular domain of the HER2 receptor and inhibits cell proliferation and survival, representing an optimal strategy for targeting tumor cells [13,14].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Functionalized as well as non-functionalized nanoparticles, prepared with the five above-mentioned polymers, were incubated in the presence of two different breast cancer cell lines, MCF7 and SKBR3, the first showing a normal expression and the second a high over-expression (3+) of the HER2 receptor [15].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The extent of cellular internalization for nanoparticles prepared with different materials, and the effect of targeting obtained for mAb-coated carriers on SKBR 3 cells was investigated quantitavely, by flow cytometry, and qualitatively, by confocal microscopy.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Release profiles of the encapsulated drug from both functionalized and non-functionalized particles were also studied and the </w:t>
      </w:r>
      <w:r w:rsidRPr="00AA03FE">
        <w:rPr>
          <w:rFonts w:ascii="Arial" w:hAnsi="Arial" w:cs="Arial"/>
          <w:i/>
          <w:sz w:val="24"/>
          <w:szCs w:val="24"/>
          <w:lang w:val="en-US"/>
        </w:rPr>
        <w:t>in vitro</w:t>
      </w:r>
      <w:r w:rsidRPr="00AA03FE">
        <w:rPr>
          <w:rFonts w:ascii="Arial" w:hAnsi="Arial" w:cs="Arial"/>
          <w:sz w:val="24"/>
          <w:szCs w:val="24"/>
          <w:lang w:val="en-US"/>
        </w:rPr>
        <w:t xml:space="preserve"> viability of SKBR3 cells, treated with nanoparticles-Paclitaxel formulations at three different drug concentrations was determined by MTS assay.</w:t>
      </w:r>
    </w:p>
    <w:p w:rsidR="00387A07" w:rsidRPr="00AA03FE" w:rsidRDefault="00387A07" w:rsidP="00387A07">
      <w:pPr>
        <w:spacing w:before="240" w:after="240" w:line="360" w:lineRule="auto"/>
        <w:jc w:val="both"/>
        <w:rPr>
          <w:rFonts w:ascii="Arial" w:hAnsi="Arial" w:cs="Arial"/>
          <w:b/>
          <w:sz w:val="28"/>
          <w:szCs w:val="28"/>
        </w:rPr>
      </w:pPr>
      <w:r w:rsidRPr="00AA03FE">
        <w:rPr>
          <w:rFonts w:ascii="Arial" w:hAnsi="Arial" w:cs="Arial"/>
          <w:b/>
          <w:sz w:val="28"/>
          <w:szCs w:val="28"/>
        </w:rPr>
        <w:t>3.2 Materials &amp; methods</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3.2.1 Materials</w:t>
      </w:r>
    </w:p>
    <w:p w:rsidR="00387A07" w:rsidRPr="00AA03FE" w:rsidRDefault="00387A07" w:rsidP="00387A07">
      <w:pPr>
        <w:pStyle w:val="Default"/>
        <w:spacing w:line="360" w:lineRule="auto"/>
        <w:jc w:val="both"/>
        <w:rPr>
          <w:rFonts w:ascii="Arial" w:hAnsi="Arial" w:cs="Arial"/>
          <w:lang w:val="en-US"/>
        </w:rPr>
      </w:pPr>
      <w:r w:rsidRPr="00AA03FE">
        <w:rPr>
          <w:rFonts w:ascii="Arial" w:hAnsi="Arial" w:cs="Arial"/>
          <w:lang w:val="en-US"/>
        </w:rPr>
        <w:t>Poly(</w:t>
      </w:r>
      <w:r w:rsidRPr="00AA03FE">
        <w:rPr>
          <w:rFonts w:ascii="Arial" w:hAnsi="Arial" w:cs="Arial"/>
        </w:rPr>
        <w:t>ε</w:t>
      </w:r>
      <w:r w:rsidRPr="00AA03FE">
        <w:rPr>
          <w:rFonts w:ascii="Arial" w:hAnsi="Arial" w:cs="Arial"/>
          <w:lang w:val="en-US"/>
        </w:rPr>
        <w:t>-caprolactone) (PCL, M</w:t>
      </w:r>
      <w:r w:rsidRPr="00AA03FE">
        <w:rPr>
          <w:rFonts w:ascii="Arial" w:hAnsi="Arial" w:cs="Arial"/>
          <w:vertAlign w:val="subscript"/>
          <w:lang w:val="en-US"/>
        </w:rPr>
        <w:t>W</w:t>
      </w:r>
      <w:r w:rsidRPr="00AA03FE">
        <w:rPr>
          <w:rFonts w:ascii="Arial" w:hAnsi="Arial" w:cs="Arial"/>
          <w:lang w:val="en-US"/>
        </w:rPr>
        <w:t xml:space="preserve"> 50000) and Poly(D,L-lactide) (PLA, M</w:t>
      </w:r>
      <w:r w:rsidRPr="00AA03FE">
        <w:rPr>
          <w:rFonts w:ascii="Arial" w:hAnsi="Arial" w:cs="Arial"/>
          <w:vertAlign w:val="subscript"/>
          <w:lang w:val="en-US"/>
        </w:rPr>
        <w:t xml:space="preserve">w </w:t>
      </w:r>
      <w:r w:rsidRPr="00AA03FE">
        <w:rPr>
          <w:rFonts w:ascii="Arial" w:hAnsi="Arial" w:cs="Arial"/>
          <w:lang w:val="en-US"/>
        </w:rPr>
        <w:t xml:space="preserve">20000-30000) were purchased from Polysciences Inc., Poly (D,L-lactide-co-glycolide) (PLGA 403-H) was purchased from Boeringer Ingelheim-Germany, PCL diol (MW 2000), 1,4-Diisocyanatobutane (BDI), 1,4-cyclohexane dimethanol (CDM, mixture </w:t>
      </w:r>
      <w:r w:rsidRPr="00AA03FE">
        <w:rPr>
          <w:rFonts w:ascii="Arial" w:hAnsi="Arial" w:cs="Arial"/>
          <w:i/>
          <w:lang w:val="en-US"/>
        </w:rPr>
        <w:t>cis</w:t>
      </w:r>
      <w:r w:rsidRPr="00AA03FE">
        <w:rPr>
          <w:rFonts w:ascii="Arial" w:hAnsi="Arial" w:cs="Arial"/>
          <w:lang w:val="en-US"/>
        </w:rPr>
        <w:t xml:space="preserve"> and </w:t>
      </w:r>
      <w:r w:rsidRPr="00AA03FE">
        <w:rPr>
          <w:rFonts w:ascii="Arial" w:hAnsi="Arial" w:cs="Arial"/>
          <w:i/>
          <w:lang w:val="en-US"/>
        </w:rPr>
        <w:t>trans</w:t>
      </w:r>
      <w:r w:rsidRPr="00AA03FE">
        <w:rPr>
          <w:rFonts w:ascii="Arial" w:hAnsi="Arial" w:cs="Arial"/>
          <w:lang w:val="en-US"/>
        </w:rPr>
        <w:t xml:space="preserve">), </w:t>
      </w:r>
      <w:r w:rsidRPr="00AA03FE">
        <w:rPr>
          <w:rStyle w:val="MacchinadascrivereHTML"/>
          <w:rFonts w:ascii="Arial" w:eastAsiaTheme="minorHAnsi" w:hAnsi="Arial" w:cs="Arial"/>
          <w:sz w:val="24"/>
          <w:szCs w:val="24"/>
          <w:lang w:val="en-US"/>
        </w:rPr>
        <w:t>N-Boc-serinol,</w:t>
      </w:r>
      <w:r w:rsidRPr="00AA03FE">
        <w:rPr>
          <w:rFonts w:ascii="Arial" w:hAnsi="Arial" w:cs="Arial"/>
          <w:lang w:val="en-US"/>
        </w:rPr>
        <w:t xml:space="preserve"> </w:t>
      </w:r>
      <w:r w:rsidRPr="00AA03FE">
        <w:rPr>
          <w:rStyle w:val="MacchinadascrivereHTML"/>
          <w:rFonts w:ascii="Arial" w:eastAsiaTheme="minorHAnsi" w:hAnsi="Arial" w:cs="Arial"/>
          <w:sz w:val="24"/>
          <w:szCs w:val="24"/>
          <w:lang w:val="en-US"/>
        </w:rPr>
        <w:t>Dibutyltin dilaurate</w:t>
      </w:r>
      <w:r w:rsidRPr="00AA03FE">
        <w:rPr>
          <w:rStyle w:val="MacchinadascrivereHTML"/>
          <w:rFonts w:ascii="Arial" w:eastAsiaTheme="minorHAnsi" w:hAnsi="Arial" w:cs="Arial"/>
          <w:lang w:val="en-US"/>
        </w:rPr>
        <w:t xml:space="preserve"> (</w:t>
      </w:r>
      <w:r w:rsidRPr="00AA03FE">
        <w:rPr>
          <w:rFonts w:ascii="Arial" w:hAnsi="Arial" w:cs="Arial"/>
          <w:lang w:val="en-US"/>
        </w:rPr>
        <w:t>DBTDL, Sigma Aldrich-Italy) was used as catalyst during the pre-polymerization reaction.</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lastRenderedPageBreak/>
        <w:t xml:space="preserve">Phosphate Buffer Saline (PBS), </w:t>
      </w:r>
      <w:r w:rsidRPr="00AA03FE">
        <w:rPr>
          <w:rFonts w:ascii="Arial" w:hAnsi="Arial" w:cs="Arial"/>
          <w:color w:val="000000"/>
          <w:sz w:val="24"/>
          <w:szCs w:val="24"/>
        </w:rPr>
        <w:t>DMEM, Coumarin dye, Polyvinylalcohol (PVA)</w:t>
      </w:r>
      <w:r w:rsidRPr="00AA03FE">
        <w:rPr>
          <w:rFonts w:ascii="Arial" w:hAnsi="Arial" w:cs="Arial"/>
          <w:sz w:val="24"/>
          <w:szCs w:val="24"/>
        </w:rPr>
        <w:t xml:space="preserve"> were all from Sigma Aldrich. All solvents were of Analitical grade. Paclitaxel was a kind gift from Sorin Biomedica. Trastuzumab (Herceptin) was provided by Fannin Compounding Ireland Ltd.</w:t>
      </w:r>
    </w:p>
    <w:p w:rsidR="00387A07" w:rsidRPr="00AA03FE" w:rsidRDefault="00387A07" w:rsidP="00387A07">
      <w:pPr>
        <w:spacing w:after="0" w:line="360" w:lineRule="auto"/>
        <w:jc w:val="both"/>
        <w:rPr>
          <w:rFonts w:ascii="Arial" w:hAnsi="Arial" w:cs="Arial"/>
          <w:color w:val="000000"/>
          <w:sz w:val="24"/>
          <w:szCs w:val="24"/>
          <w:lang w:eastAsia="it-IT"/>
        </w:rPr>
      </w:pPr>
      <w:r w:rsidRPr="00AA03FE">
        <w:rPr>
          <w:rFonts w:ascii="Arial" w:hAnsi="Arial" w:cs="Arial"/>
          <w:color w:val="000000"/>
          <w:sz w:val="24"/>
          <w:szCs w:val="24"/>
          <w:lang w:eastAsia="it-IT"/>
        </w:rPr>
        <w:t>Milli-Q and deionised water were produced by a Millipore water purification system (Millipore Corporation).</w:t>
      </w:r>
    </w:p>
    <w:p w:rsidR="00387A07" w:rsidRPr="00AA03FE" w:rsidRDefault="00387A07" w:rsidP="00387A07">
      <w:pPr>
        <w:spacing w:before="240" w:after="240" w:line="360" w:lineRule="auto"/>
        <w:jc w:val="both"/>
        <w:rPr>
          <w:rFonts w:ascii="Arial" w:hAnsi="Arial" w:cs="Arial"/>
          <w:b/>
          <w:i/>
          <w:color w:val="000000"/>
          <w:sz w:val="24"/>
          <w:szCs w:val="24"/>
          <w:lang w:eastAsia="it-IT"/>
        </w:rPr>
      </w:pPr>
      <w:r w:rsidRPr="00AA03FE">
        <w:rPr>
          <w:rFonts w:ascii="Arial" w:hAnsi="Arial" w:cs="Arial"/>
          <w:b/>
          <w:i/>
          <w:color w:val="000000"/>
          <w:sz w:val="24"/>
          <w:szCs w:val="24"/>
          <w:lang w:eastAsia="it-IT"/>
        </w:rPr>
        <w:t>3.2.2. Polymer Synthesis</w:t>
      </w:r>
    </w:p>
    <w:p w:rsidR="00387A07" w:rsidRPr="00AA03FE" w:rsidRDefault="00387A07" w:rsidP="00387A07">
      <w:pPr>
        <w:spacing w:after="0" w:line="360" w:lineRule="auto"/>
        <w:jc w:val="both"/>
        <w:rPr>
          <w:rStyle w:val="MacchinadascrivereHTML"/>
          <w:rFonts w:ascii="Times New Roman" w:eastAsiaTheme="minorHAnsi" w:hAnsi="Times New Roman" w:cs="Times New Roman"/>
        </w:rPr>
      </w:pPr>
      <w:r w:rsidRPr="00AA03FE">
        <w:rPr>
          <w:rStyle w:val="MacchinadascrivereHTML"/>
          <w:rFonts w:ascii="Arial" w:eastAsiaTheme="minorHAnsi" w:hAnsi="Arial" w:cs="Arial"/>
          <w:sz w:val="24"/>
          <w:szCs w:val="24"/>
        </w:rPr>
        <w:t>The two Polyurethanes used in this study (NS-BC2000 and C-BC2000) were synthesised following a two step synthesis procedure in inert atmosphere [16,17] with Poly(ε-caprolactone) diol (M</w:t>
      </w:r>
      <w:r w:rsidRPr="00AA03FE">
        <w:rPr>
          <w:rStyle w:val="MacchinadascrivereHTML"/>
          <w:rFonts w:ascii="Arial" w:eastAsiaTheme="minorHAnsi" w:hAnsi="Arial" w:cs="Arial"/>
          <w:sz w:val="24"/>
          <w:szCs w:val="24"/>
          <w:vertAlign w:val="subscript"/>
        </w:rPr>
        <w:t>n</w:t>
      </w:r>
      <w:r w:rsidRPr="00AA03FE">
        <w:rPr>
          <w:rStyle w:val="MacchinadascrivereHTML"/>
          <w:rFonts w:ascii="Arial" w:eastAsiaTheme="minorHAnsi" w:hAnsi="Arial" w:cs="Arial"/>
          <w:sz w:val="24"/>
          <w:szCs w:val="24"/>
        </w:rPr>
        <w:t>=2000g/mol,  Aldrich) and 1,4 butanediisocyanate (BDI, Aldrich) as macrodiol and diisocyanate respectively.</w:t>
      </w:r>
    </w:p>
    <w:p w:rsidR="00387A07" w:rsidRPr="00AA03FE" w:rsidRDefault="00387A07" w:rsidP="00387A07">
      <w:pPr>
        <w:spacing w:after="0" w:line="360" w:lineRule="auto"/>
        <w:jc w:val="both"/>
        <w:rPr>
          <w:rFonts w:ascii="Arial" w:hAnsi="Arial" w:cs="Arial"/>
          <w:sz w:val="24"/>
          <w:szCs w:val="24"/>
        </w:rPr>
      </w:pPr>
      <w:r w:rsidRPr="00AA03FE">
        <w:rPr>
          <w:rStyle w:val="MacchinadascrivereHTML"/>
          <w:rFonts w:ascii="Arial" w:eastAsiaTheme="minorHAnsi" w:hAnsi="Arial" w:cs="Arial"/>
          <w:sz w:val="24"/>
          <w:szCs w:val="24"/>
        </w:rPr>
        <w:t>Two different chain extenders were selected: 1,4-cyclohexane dimethanol CDM (Aldrich, mixture cis and trans) or N-Boc-serinol (Aldrich) for the synthesis of C-BC2000 and NS-BC2000 respectively.</w:t>
      </w:r>
    </w:p>
    <w:p w:rsidR="00387A07" w:rsidRPr="00AA03FE" w:rsidRDefault="00387A07" w:rsidP="00387A07">
      <w:pPr>
        <w:spacing w:after="0" w:line="360" w:lineRule="auto"/>
        <w:jc w:val="both"/>
        <w:rPr>
          <w:rFonts w:ascii="Arial" w:hAnsi="Arial" w:cs="Arial"/>
          <w:bCs/>
          <w:i/>
          <w:color w:val="000000"/>
          <w:sz w:val="24"/>
          <w:szCs w:val="24"/>
          <w:shd w:val="clear" w:color="auto" w:fill="FFFFFF"/>
        </w:rPr>
      </w:pPr>
      <w:r w:rsidRPr="00AA03FE">
        <w:rPr>
          <w:rFonts w:ascii="Arial" w:hAnsi="Arial" w:cs="Arial"/>
          <w:sz w:val="24"/>
          <w:szCs w:val="24"/>
        </w:rPr>
        <w:t xml:space="preserve">Briefly, the macrodiol </w:t>
      </w:r>
      <w:r w:rsidRPr="00AA03FE">
        <w:rPr>
          <w:rStyle w:val="MacchinadascrivereHTML"/>
          <w:rFonts w:ascii="Arial" w:eastAsiaTheme="majorEastAsia" w:hAnsi="Arial" w:cs="Arial"/>
          <w:sz w:val="24"/>
          <w:szCs w:val="24"/>
        </w:rPr>
        <w:t>was dissolved in 1,2-dichloroethane (DCE) and the solution was dried azeotropically for 8 hours. The diisocyanate was then added to the solution (2:1 molar ratio with respect to the macrodiol), in the presence of the catalyst (DBTDL) and reacted with the macrodiol at 85°C in anhydrous DCE for 150 minutes in order to form a pre-polymer. At the end of the pre-polymerization reaction the solution was concentrated and the chain extender (CDM or N-BOC-serinol for C-BC2000 and NS-BC2000 respectively) was added at 1:1 molar ratio with respect to the macrodiol at room temperature. The chain extension reaction was stopped after 18 hours by adding methanol. The polymer solution was precipitated in petroleum ether. After drying at 40°C under vacuum, the polymer was re-dissolved in Di</w:t>
      </w:r>
      <w:r w:rsidRPr="00AA03FE">
        <w:rPr>
          <w:rStyle w:val="Enfasicorsivo"/>
          <w:rFonts w:ascii="Arial" w:hAnsi="Arial" w:cs="Arial"/>
          <w:color w:val="000000"/>
          <w:sz w:val="24"/>
          <w:szCs w:val="24"/>
          <w:shd w:val="clear" w:color="auto" w:fill="FFFFFF"/>
        </w:rPr>
        <w:t xml:space="preserve">methylformamide (DMF) and precipitated with methanol in order to remove the low molecular weight impurities and residual catalyst. The polymer was finally dried at 40°C under vacuum for 24 hours. </w:t>
      </w:r>
    </w:p>
    <w:p w:rsidR="00387A07" w:rsidRPr="00AA03FE" w:rsidRDefault="00387A07" w:rsidP="00387A07">
      <w:pPr>
        <w:spacing w:before="240" w:after="240" w:line="360" w:lineRule="auto"/>
        <w:jc w:val="both"/>
        <w:rPr>
          <w:rFonts w:ascii="Arial" w:hAnsi="Arial" w:cs="Arial"/>
          <w:b/>
          <w:i/>
          <w:sz w:val="24"/>
          <w:szCs w:val="24"/>
          <w:lang w:val="en-US"/>
        </w:rPr>
      </w:pPr>
      <w:r w:rsidRPr="00AA03FE">
        <w:rPr>
          <w:rFonts w:ascii="Arial" w:hAnsi="Arial" w:cs="Arial"/>
          <w:b/>
          <w:i/>
          <w:sz w:val="24"/>
          <w:szCs w:val="24"/>
          <w:lang w:val="en-US"/>
        </w:rPr>
        <w:t>3.2.3  Polymer Characterization</w:t>
      </w:r>
    </w:p>
    <w:p w:rsidR="00387A07" w:rsidRPr="00AA03FE" w:rsidRDefault="00387A07" w:rsidP="00387A07">
      <w:pPr>
        <w:spacing w:before="240" w:after="240" w:line="360" w:lineRule="auto"/>
        <w:jc w:val="both"/>
        <w:rPr>
          <w:rFonts w:ascii="Arial" w:hAnsi="Arial" w:cs="Arial"/>
          <w:b/>
          <w:i/>
          <w:sz w:val="24"/>
          <w:szCs w:val="24"/>
          <w:lang w:val="en-US"/>
        </w:rPr>
      </w:pPr>
      <w:r w:rsidRPr="00AA03FE">
        <w:rPr>
          <w:rFonts w:ascii="Arial" w:hAnsi="Arial" w:cs="Arial"/>
          <w:b/>
          <w:i/>
          <w:sz w:val="24"/>
          <w:szCs w:val="24"/>
          <w:lang w:val="en-US"/>
        </w:rPr>
        <w:t>3.2.3.1 FTIR Analysis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Attenuated Total Reflectance Fourier Transform Infrared Spectrum (ATR-FT-IR) of the synthesised polyurethanes was obtained at room temperature in the spectral range from 4000 to 450 cm</w:t>
      </w:r>
      <w:r w:rsidRPr="00AA03FE">
        <w:rPr>
          <w:rFonts w:ascii="Arial" w:hAnsi="Arial" w:cs="Arial"/>
          <w:sz w:val="24"/>
          <w:szCs w:val="24"/>
          <w:vertAlign w:val="superscript"/>
        </w:rPr>
        <w:t>-1</w:t>
      </w:r>
      <w:r w:rsidRPr="00AA03FE">
        <w:rPr>
          <w:rFonts w:ascii="Arial" w:hAnsi="Arial" w:cs="Arial"/>
          <w:sz w:val="24"/>
          <w:szCs w:val="24"/>
        </w:rPr>
        <w:t xml:space="preserve"> using a Perkin Elmer Spectrum 100 equipped with an ATR accessory </w:t>
      </w:r>
      <w:r w:rsidRPr="00AA03FE">
        <w:rPr>
          <w:rFonts w:ascii="Arial" w:hAnsi="Arial" w:cs="Arial"/>
          <w:sz w:val="24"/>
          <w:szCs w:val="24"/>
        </w:rPr>
        <w:lastRenderedPageBreak/>
        <w:t>(UATR KRS5) with diamond crystal. The spectrum, obtained as a result of 16 scans with a resolution of 4 cm</w:t>
      </w:r>
      <w:r w:rsidRPr="00AA03FE">
        <w:rPr>
          <w:rFonts w:ascii="Arial" w:hAnsi="Arial" w:cs="Arial"/>
          <w:sz w:val="24"/>
          <w:szCs w:val="24"/>
          <w:vertAlign w:val="superscript"/>
        </w:rPr>
        <w:t>-1</w:t>
      </w:r>
      <w:r w:rsidRPr="00AA03FE">
        <w:rPr>
          <w:rFonts w:ascii="Arial" w:hAnsi="Arial" w:cs="Arial"/>
          <w:sz w:val="24"/>
          <w:szCs w:val="24"/>
        </w:rPr>
        <w:t>, was analyzed with the</w:t>
      </w:r>
      <w:r w:rsidRPr="00AA03FE">
        <w:rPr>
          <w:rFonts w:ascii="Arial" w:hAnsi="Arial" w:cs="Arial"/>
          <w:sz w:val="24"/>
          <w:szCs w:val="24"/>
          <w:vertAlign w:val="superscript"/>
        </w:rPr>
        <w:t xml:space="preserve"> </w:t>
      </w:r>
      <w:r w:rsidRPr="00AA03FE">
        <w:rPr>
          <w:rFonts w:ascii="Arial" w:hAnsi="Arial" w:cs="Arial"/>
          <w:sz w:val="24"/>
          <w:szCs w:val="24"/>
        </w:rPr>
        <w:t>Perkin Elmer Spectrum software. For ATR-FT-IR analysis the sample was prepared as a film, by using conventional solvent-casting techniques with chloroform as a solvent at a concentration of 3 %w/v.</w:t>
      </w:r>
    </w:p>
    <w:p w:rsidR="00387A07" w:rsidRPr="00AA03FE" w:rsidRDefault="00387A07" w:rsidP="00387A07">
      <w:pPr>
        <w:spacing w:before="240" w:after="240" w:line="360" w:lineRule="auto"/>
        <w:jc w:val="both"/>
        <w:rPr>
          <w:rFonts w:ascii="Arial" w:hAnsi="Arial" w:cs="Arial"/>
          <w:b/>
          <w:i/>
          <w:sz w:val="24"/>
          <w:szCs w:val="24"/>
          <w:lang w:val="en-US"/>
        </w:rPr>
      </w:pPr>
      <w:r w:rsidRPr="00AA03FE">
        <w:rPr>
          <w:rFonts w:ascii="Arial" w:hAnsi="Arial" w:cs="Arial"/>
          <w:b/>
          <w:i/>
          <w:sz w:val="24"/>
          <w:szCs w:val="24"/>
          <w:lang w:val="en-US"/>
        </w:rPr>
        <w:t>3.2.3.2 GPC Analysis</w:t>
      </w:r>
    </w:p>
    <w:p w:rsidR="00387A07" w:rsidRPr="00AA03FE" w:rsidRDefault="00387A07" w:rsidP="00387A07">
      <w:pPr>
        <w:autoSpaceDE w:val="0"/>
        <w:autoSpaceDN w:val="0"/>
        <w:adjustRightInd w:val="0"/>
        <w:spacing w:after="0" w:line="360" w:lineRule="auto"/>
        <w:jc w:val="both"/>
        <w:rPr>
          <w:rFonts w:ascii="Arial" w:eastAsia="AdvTimes" w:hAnsi="Arial" w:cs="Arial"/>
          <w:sz w:val="24"/>
          <w:szCs w:val="24"/>
          <w:lang w:val="en-US"/>
        </w:rPr>
      </w:pPr>
      <w:r w:rsidRPr="00AA03FE">
        <w:rPr>
          <w:rFonts w:ascii="Arial" w:hAnsi="Arial" w:cs="Arial"/>
          <w:sz w:val="24"/>
          <w:szCs w:val="24"/>
          <w:lang w:val="en-US"/>
        </w:rPr>
        <w:t>The average molecular weight (</w:t>
      </w:r>
      <m:oMath>
        <m:acc>
          <m:accPr>
            <m:chr m:val="̅"/>
            <m:ctrlPr>
              <w:rPr>
                <w:rFonts w:ascii="Cambria Math" w:hAnsi="Cambria Math" w:cs="Arial"/>
                <w:i/>
                <w:sz w:val="24"/>
                <w:szCs w:val="24"/>
                <w:lang w:val="en-US"/>
              </w:rPr>
            </m:ctrlPr>
          </m:accPr>
          <m:e>
            <m:r>
              <w:rPr>
                <w:rFonts w:ascii="Cambria Math" w:hAnsi="Cambria Math" w:cs="Arial"/>
                <w:sz w:val="24"/>
                <w:szCs w:val="24"/>
                <w:lang w:val="en-US"/>
              </w:rPr>
              <m:t>M</m:t>
            </m:r>
          </m:e>
        </m:acc>
        <m:r>
          <w:rPr>
            <w:rFonts w:ascii="Cambria Math" w:hAnsi="Cambria Math" w:cs="Arial"/>
            <w:sz w:val="24"/>
            <w:szCs w:val="24"/>
            <w:vertAlign w:val="subscript"/>
            <w:lang w:val="en-US"/>
          </w:rPr>
          <m:t>n</m:t>
        </m:r>
      </m:oMath>
      <w:r w:rsidRPr="00AA03FE">
        <w:rPr>
          <w:rFonts w:ascii="Arial" w:hAnsi="Arial" w:cs="Arial"/>
          <w:sz w:val="24"/>
          <w:szCs w:val="24"/>
          <w:lang w:val="en-US"/>
        </w:rPr>
        <w:t xml:space="preserve">) of the polyester-urethanes C-BC2000 and NS-BC2000 was characterized by </w:t>
      </w:r>
      <w:r w:rsidRPr="00AA03FE">
        <w:rPr>
          <w:rStyle w:val="MacchinadascrivereHTML"/>
          <w:rFonts w:ascii="Arial" w:eastAsiaTheme="minorHAnsi" w:hAnsi="Arial" w:cs="Arial"/>
          <w:sz w:val="24"/>
          <w:szCs w:val="24"/>
        </w:rPr>
        <w:t>Size Exclusion Chromatography (SEC, Agilent 1500 series)</w:t>
      </w:r>
      <w:r w:rsidRPr="00AA03FE">
        <w:rPr>
          <w:rFonts w:ascii="Arial" w:hAnsi="Arial" w:cs="Arial"/>
          <w:sz w:val="24"/>
          <w:szCs w:val="24"/>
          <w:lang w:val="en-US"/>
        </w:rPr>
        <w:t xml:space="preserve">, by dissolving the polymers </w:t>
      </w:r>
      <w:r w:rsidRPr="00AA03FE">
        <w:rPr>
          <w:rFonts w:ascii="Arial" w:eastAsia="AdvTimes" w:hAnsi="Arial" w:cs="Arial"/>
          <w:sz w:val="24"/>
          <w:szCs w:val="24"/>
          <w:lang w:val="en-US"/>
        </w:rPr>
        <w:t xml:space="preserve">at a flow rate of 1.0 ml/min through a Waters Styragel HT2 and HT4 THF series of columns with </w:t>
      </w:r>
      <w:r w:rsidRPr="00AA03FE">
        <w:rPr>
          <w:rFonts w:ascii="Arial" w:hAnsi="Arial" w:cs="Arial"/>
          <w:sz w:val="24"/>
          <w:szCs w:val="24"/>
          <w:lang w:val="en-US"/>
        </w:rPr>
        <w:t>Tetrahydrofuran (THF)</w:t>
      </w:r>
      <w:r w:rsidRPr="00AA03FE">
        <w:rPr>
          <w:rFonts w:ascii="Arial" w:eastAsia="AdvTimes" w:hAnsi="Arial" w:cs="Arial"/>
          <w:sz w:val="24"/>
          <w:szCs w:val="24"/>
          <w:lang w:val="en-US"/>
        </w:rPr>
        <w:t xml:space="preserve">  as eluent at 35°C. The weight-average molecular weight (</w:t>
      </w:r>
      <m:oMath>
        <m:acc>
          <m:accPr>
            <m:chr m:val="̅"/>
            <m:ctrlPr>
              <w:rPr>
                <w:rFonts w:ascii="Cambria Math" w:eastAsia="AdvTimes" w:hAnsi="Cambria Math" w:cs="Arial"/>
                <w:i/>
                <w:sz w:val="24"/>
                <w:szCs w:val="24"/>
                <w:lang w:val="en-US"/>
              </w:rPr>
            </m:ctrlPr>
          </m:accPr>
          <m:e>
            <m:r>
              <w:rPr>
                <w:rFonts w:ascii="Cambria Math" w:eastAsia="AdvTimes" w:hAnsi="Cambria Math" w:cs="Arial"/>
                <w:sz w:val="24"/>
                <w:szCs w:val="24"/>
                <w:lang w:val="en-US"/>
              </w:rPr>
              <m:t>M</m:t>
            </m:r>
          </m:e>
        </m:acc>
        <m:r>
          <w:rPr>
            <w:rFonts w:ascii="Cambria Math" w:eastAsia="AdvTimes" w:hAnsi="Cambria Math" w:cs="Arial"/>
            <w:sz w:val="24"/>
            <w:szCs w:val="24"/>
            <w:vertAlign w:val="subscript"/>
            <w:lang w:val="en-US"/>
          </w:rPr>
          <m:t>w</m:t>
        </m:r>
      </m:oMath>
      <w:r w:rsidRPr="00AA03FE">
        <w:rPr>
          <w:rFonts w:ascii="Arial" w:eastAsia="AdvTimes" w:hAnsi="Arial" w:cs="Arial"/>
          <w:sz w:val="24"/>
          <w:szCs w:val="24"/>
          <w:lang w:val="en-US"/>
        </w:rPr>
        <w:t>) and number-average molecular weight (</w:t>
      </w:r>
      <m:oMath>
        <m:acc>
          <m:accPr>
            <m:chr m:val="̅"/>
            <m:ctrlPr>
              <w:rPr>
                <w:rFonts w:ascii="Cambria Math" w:hAnsi="Cambria Math" w:cs="Arial"/>
                <w:i/>
                <w:sz w:val="24"/>
                <w:szCs w:val="24"/>
                <w:lang w:val="en-US"/>
              </w:rPr>
            </m:ctrlPr>
          </m:accPr>
          <m:e>
            <m:r>
              <w:rPr>
                <w:rFonts w:ascii="Cambria Math" w:hAnsi="Cambria Math" w:cs="Arial"/>
                <w:sz w:val="24"/>
                <w:szCs w:val="24"/>
                <w:lang w:val="en-US"/>
              </w:rPr>
              <m:t>M</m:t>
            </m:r>
          </m:e>
        </m:acc>
        <m:r>
          <w:rPr>
            <w:rFonts w:ascii="Cambria Math" w:hAnsi="Cambria Math" w:cs="Arial"/>
            <w:sz w:val="24"/>
            <w:szCs w:val="24"/>
            <w:vertAlign w:val="subscript"/>
            <w:lang w:val="en-US"/>
          </w:rPr>
          <m:t>n</m:t>
        </m:r>
      </m:oMath>
      <w:r w:rsidRPr="00AA03FE">
        <w:rPr>
          <w:rFonts w:ascii="Arial" w:eastAsia="AdvTimes" w:hAnsi="Arial" w:cs="Arial"/>
          <w:sz w:val="24"/>
          <w:szCs w:val="24"/>
          <w:lang w:val="en-US"/>
        </w:rPr>
        <w:t xml:space="preserve">) </w:t>
      </w:r>
      <w:r w:rsidRPr="00AA03FE">
        <w:rPr>
          <w:rStyle w:val="Enfasicorsivo"/>
          <w:rFonts w:ascii="Arial" w:hAnsi="Arial" w:cs="Arial"/>
          <w:color w:val="000000"/>
          <w:sz w:val="24"/>
          <w:szCs w:val="24"/>
          <w:shd w:val="clear" w:color="auto" w:fill="FFFFFF"/>
        </w:rPr>
        <w:t>and polydispersity (</w:t>
      </w:r>
      <m:oMath>
        <m:acc>
          <m:accPr>
            <m:chr m:val="̅"/>
            <m:ctrlPr>
              <w:rPr>
                <w:rFonts w:ascii="Cambria Math" w:eastAsia="AdvTimes" w:hAnsi="Cambria Math" w:cs="Arial"/>
                <w:i/>
                <w:sz w:val="24"/>
                <w:szCs w:val="24"/>
                <w:lang w:val="en-US"/>
              </w:rPr>
            </m:ctrlPr>
          </m:accPr>
          <m:e>
            <m:r>
              <w:rPr>
                <w:rFonts w:ascii="Cambria Math" w:eastAsia="AdvTimes" w:hAnsi="Cambria Math" w:cs="Arial"/>
                <w:sz w:val="24"/>
                <w:szCs w:val="24"/>
                <w:lang w:val="en-US"/>
              </w:rPr>
              <m:t>M</m:t>
            </m:r>
          </m:e>
        </m:acc>
        <m:r>
          <w:rPr>
            <w:rFonts w:ascii="Cambria Math" w:eastAsia="AdvTimes" w:hAnsi="Cambria Math" w:cs="Arial"/>
            <w:sz w:val="24"/>
            <w:szCs w:val="24"/>
            <w:vertAlign w:val="subscript"/>
            <w:lang w:val="en-US"/>
          </w:rPr>
          <m:t>w</m:t>
        </m:r>
      </m:oMath>
      <w:r w:rsidRPr="00AA03FE">
        <w:rPr>
          <w:rStyle w:val="Enfasicorsivo"/>
          <w:rFonts w:ascii="Arial" w:hAnsi="Arial" w:cs="Arial"/>
          <w:color w:val="000000"/>
          <w:sz w:val="24"/>
          <w:szCs w:val="24"/>
          <w:shd w:val="clear" w:color="auto" w:fill="FFFFFF"/>
        </w:rPr>
        <w:t xml:space="preserve"> /</w:t>
      </w:r>
      <m:oMath>
        <m:acc>
          <m:accPr>
            <m:chr m:val="̅"/>
            <m:ctrlPr>
              <w:rPr>
                <w:rFonts w:ascii="Cambria Math" w:hAnsi="Cambria Math" w:cs="Arial"/>
                <w:i/>
                <w:sz w:val="24"/>
                <w:szCs w:val="24"/>
                <w:lang w:val="en-US"/>
              </w:rPr>
            </m:ctrlPr>
          </m:accPr>
          <m:e>
            <m:r>
              <w:rPr>
                <w:rFonts w:ascii="Cambria Math" w:hAnsi="Cambria Math" w:cs="Arial"/>
                <w:sz w:val="24"/>
                <w:szCs w:val="24"/>
                <w:lang w:val="en-US"/>
              </w:rPr>
              <m:t>M</m:t>
            </m:r>
          </m:e>
        </m:acc>
        <m:r>
          <w:rPr>
            <w:rFonts w:ascii="Cambria Math" w:hAnsi="Cambria Math" w:cs="Arial"/>
            <w:sz w:val="24"/>
            <w:szCs w:val="24"/>
            <w:vertAlign w:val="subscript"/>
            <w:lang w:val="en-US"/>
          </w:rPr>
          <m:t>n</m:t>
        </m:r>
      </m:oMath>
      <w:r w:rsidRPr="00AA03FE">
        <w:rPr>
          <w:rStyle w:val="Enfasicorsivo"/>
          <w:rFonts w:ascii="Arial" w:hAnsi="Arial" w:cs="Arial"/>
          <w:color w:val="000000"/>
          <w:sz w:val="24"/>
          <w:szCs w:val="24"/>
          <w:shd w:val="clear" w:color="auto" w:fill="FFFFFF"/>
        </w:rPr>
        <w:t xml:space="preserve">) were determined from the retention time data using the Agilent ChemStation software, </w:t>
      </w:r>
      <w:r w:rsidRPr="00AA03FE">
        <w:rPr>
          <w:rFonts w:ascii="Arial" w:eastAsia="AdvTimes" w:hAnsi="Arial" w:cs="Arial"/>
          <w:sz w:val="24"/>
          <w:szCs w:val="24"/>
          <w:lang w:val="en-US"/>
        </w:rPr>
        <w:t>after calibration with polystyrene standards.</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3.2.4 Preparation of nanoparticles</w:t>
      </w:r>
    </w:p>
    <w:p w:rsidR="00387A07" w:rsidRPr="00AA03FE" w:rsidRDefault="00387A07" w:rsidP="00387A07">
      <w:pPr>
        <w:spacing w:before="240" w:after="240" w:line="360" w:lineRule="auto"/>
        <w:jc w:val="both"/>
        <w:rPr>
          <w:rFonts w:ascii="Arial" w:hAnsi="Arial" w:cs="Arial"/>
          <w:b/>
          <w:i/>
          <w:sz w:val="24"/>
          <w:szCs w:val="24"/>
          <w:lang w:val="en-US"/>
        </w:rPr>
      </w:pPr>
      <w:r w:rsidRPr="00AA03FE">
        <w:rPr>
          <w:rFonts w:ascii="Arial" w:hAnsi="Arial" w:cs="Arial"/>
          <w:b/>
          <w:i/>
          <w:sz w:val="24"/>
          <w:szCs w:val="24"/>
        </w:rPr>
        <w:t>3.2.4.1 Optimization of the protocol</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Nanoparticles were prepared by a modified Single Emulsion Solvent Extraction Evaporation Technique, using Ethyl Acetate as the solvent, deionized distilled water as the non solvent and Polyvinylalcohol (PVA) as emulsifier.</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The protocol for particles preparation was optimized in order to obtain nanoparticles with a mean diameter below 250nm for easy cellular internalization and a negative surface charge in the range from -10 to -30 mV to favour surface adsorption of the monoclonal antibody Herceptin [11].</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Herceptin has an isoeletric point of 8.45 and it is therefore positively charged at acidic pH. In these conditions, the antibody is expected to react with the negatively charged surface of nanoparticles, through hydrophilic/hydrophobic interaction thus forming a coating, which can enhance particles uptake by target tumour cells, by receptor-mediated endocytosis [18].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PLGA, the most investigated and studied matrix-forming material for nanoparticles, was used as a model to optimize the protocol for particles preparation.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Nanoparticles were prepared according to the following general procedure, to which slight modifications were applied in order to reach the desired size and surface charge: 100mg of the polymer were dissolved in 4ml Ethyl Acetate, added dropwise to 4ml of water </w:t>
      </w:r>
      <w:r w:rsidRPr="00AA03FE">
        <w:rPr>
          <w:rFonts w:ascii="Arial" w:hAnsi="Arial" w:cs="Arial"/>
          <w:color w:val="000000"/>
          <w:sz w:val="24"/>
          <w:szCs w:val="24"/>
        </w:rPr>
        <w:lastRenderedPageBreak/>
        <w:t xml:space="preserve">(internal phase) containing PVA as emulsifier and sonicated (Bransonic 2510 Sonicator) for 2 minutes to form a primary emulsion. This first emulsion was then poured into 50ml of water (external phase) containing PVA and re-emulsified by homogenization for 3 minutes.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The final emulsion was gently stirred overnight to allow solvent evaporation, particles were then collected by centrifugation at 11000rpm, washed 3 times to remove residual emulsifier and freeze dried.</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The concentration of the emulsifier in the internal and external aqueous phase, the speed of the homogenizer as well as the washing medium were modified in order to obtain the optimal diameter and zeta potential for PLGA nanoparticles, according to the schematic representation, reported in figure 3.1.</w:t>
      </w:r>
    </w:p>
    <w:p w:rsidR="00387A07" w:rsidRPr="00AA03FE" w:rsidRDefault="00387A07" w:rsidP="00387A07">
      <w:pPr>
        <w:autoSpaceDE w:val="0"/>
        <w:autoSpaceDN w:val="0"/>
        <w:adjustRightInd w:val="0"/>
        <w:spacing w:line="360" w:lineRule="auto"/>
        <w:jc w:val="center"/>
        <w:rPr>
          <w:rFonts w:ascii="Arial" w:hAnsi="Arial" w:cs="Arial"/>
          <w:color w:val="000000"/>
          <w:sz w:val="24"/>
          <w:szCs w:val="24"/>
        </w:rPr>
      </w:pPr>
      <w:r w:rsidRPr="00AA03FE">
        <w:rPr>
          <w:rFonts w:ascii="Arial" w:hAnsi="Arial" w:cs="Arial"/>
          <w:noProof/>
          <w:color w:val="000000"/>
          <w:sz w:val="24"/>
          <w:szCs w:val="24"/>
          <w:lang w:val="it-IT" w:eastAsia="it-IT"/>
        </w:rPr>
        <w:drawing>
          <wp:inline distT="0" distB="0" distL="0" distR="0">
            <wp:extent cx="4743450" cy="2755546"/>
            <wp:effectExtent l="0" t="0" r="0" b="0"/>
            <wp:docPr id="61" name="Immagine 12" descr="protoco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1.png"/>
                    <pic:cNvPicPr/>
                  </pic:nvPicPr>
                  <pic:blipFill>
                    <a:blip r:embed="rId40"/>
                    <a:stretch>
                      <a:fillRect/>
                    </a:stretch>
                  </pic:blipFill>
                  <pic:spPr>
                    <a:xfrm>
                      <a:off x="0" y="0"/>
                      <a:ext cx="4749531" cy="2759079"/>
                    </a:xfrm>
                    <a:prstGeom prst="rect">
                      <a:avLst/>
                    </a:prstGeom>
                  </pic:spPr>
                </pic:pic>
              </a:graphicData>
            </a:graphic>
          </wp:inline>
        </w:drawing>
      </w:r>
    </w:p>
    <w:p w:rsidR="00387A07" w:rsidRPr="00AA03FE" w:rsidRDefault="00387A07" w:rsidP="00387A07">
      <w:pPr>
        <w:pStyle w:val="Didascalia"/>
      </w:pPr>
      <w:r w:rsidRPr="00AA03FE">
        <w:t xml:space="preserve">Figure 3. </w:t>
      </w:r>
      <w:fldSimple w:instr=" SEQ Figure_3. \* ARABIC ">
        <w:r w:rsidRPr="00AA03FE">
          <w:rPr>
            <w:noProof/>
          </w:rPr>
          <w:t>1</w:t>
        </w:r>
      </w:fldSimple>
      <w:r w:rsidRPr="00AA03FE">
        <w:t xml:space="preserve"> Schematic representation of the optimization of the protocol for PLGA nanoparticles preparation. Modifications of the protocol are highlighted in red.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In some instances 25ml of Sodium Chloride solution were added during solvent evaporation in an attempt to decrease the zeta potential of nanoparticles, since </w:t>
      </w:r>
      <w:r w:rsidRPr="00AA03FE">
        <w:rPr>
          <w:rFonts w:ascii="Arial" w:hAnsi="Arial" w:cs="Arial"/>
          <w:bCs/>
          <w:sz w:val="24"/>
          <w:szCs w:val="24"/>
        </w:rPr>
        <w:t>it was expected that charged salts would leave some residual charge on their surface, thus improving Herceptin adsorption [18].</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Three different concentrations of PVA (w/v) in the internal and external phase were tested (1% and 2.5% in both phases or 1% in the external phase and 2.5% in the internal one). In all three cases, two different homogenization velocities were tested (13500 rpm and 25000 rpm), as listed in table 3.1.</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p>
    <w:tbl>
      <w:tblPr>
        <w:tblStyle w:val="Grigliatabella"/>
        <w:tblpPr w:leftFromText="141" w:rightFromText="141" w:vertAnchor="text" w:horzAnchor="margin" w:tblpXSpec="center" w:tblpY="76"/>
        <w:tblW w:w="0" w:type="auto"/>
        <w:tblBorders>
          <w:insideH w:val="none" w:sz="0" w:space="0" w:color="auto"/>
          <w:insideV w:val="none" w:sz="0" w:space="0" w:color="auto"/>
        </w:tblBorders>
        <w:shd w:val="clear" w:color="auto" w:fill="F2F2F2" w:themeFill="background1" w:themeFillShade="F2"/>
        <w:tblLook w:val="04A0"/>
      </w:tblPr>
      <w:tblGrid>
        <w:gridCol w:w="1809"/>
        <w:gridCol w:w="1701"/>
        <w:gridCol w:w="1701"/>
        <w:gridCol w:w="1871"/>
      </w:tblGrid>
      <w:tr w:rsidR="00387A07" w:rsidRPr="00AA03FE" w:rsidTr="00387A07">
        <w:trPr>
          <w:trHeight w:val="20"/>
        </w:trPr>
        <w:tc>
          <w:tcPr>
            <w:tcW w:w="1809" w:type="dxa"/>
            <w:tcBorders>
              <w:top w:val="single" w:sz="4" w:space="0" w:color="000000" w:themeColor="text1"/>
              <w:left w:val="nil"/>
              <w:bottom w:val="single" w:sz="4" w:space="0" w:color="auto"/>
            </w:tcBorders>
            <w:shd w:val="clear" w:color="auto" w:fill="F2F2F2" w:themeFill="background1" w:themeFillShade="F2"/>
          </w:tcPr>
          <w:p w:rsidR="00387A07" w:rsidRPr="00AA03FE" w:rsidRDefault="00387A07" w:rsidP="00387A07">
            <w:pPr>
              <w:jc w:val="center"/>
              <w:rPr>
                <w:rFonts w:cs="Arial"/>
                <w:b/>
              </w:rPr>
            </w:pPr>
            <w:r w:rsidRPr="00AA03FE">
              <w:rPr>
                <w:rFonts w:cs="Arial"/>
                <w:b/>
              </w:rPr>
              <w:t>Sample name</w:t>
            </w:r>
          </w:p>
        </w:tc>
        <w:tc>
          <w:tcPr>
            <w:tcW w:w="1701" w:type="dxa"/>
            <w:tcBorders>
              <w:top w:val="single" w:sz="4" w:space="0" w:color="000000" w:themeColor="text1"/>
              <w:bottom w:val="single" w:sz="4" w:space="0" w:color="auto"/>
            </w:tcBorders>
            <w:shd w:val="clear" w:color="auto" w:fill="F2F2F2" w:themeFill="background1" w:themeFillShade="F2"/>
          </w:tcPr>
          <w:p w:rsidR="00387A07" w:rsidRPr="00AA03FE" w:rsidRDefault="00387A07" w:rsidP="00387A07">
            <w:pPr>
              <w:jc w:val="center"/>
              <w:rPr>
                <w:rFonts w:cs="Arial"/>
                <w:b/>
              </w:rPr>
            </w:pPr>
            <w:r w:rsidRPr="00AA03FE">
              <w:rPr>
                <w:rFonts w:cs="Arial"/>
                <w:b/>
              </w:rPr>
              <w:t>PVA in the</w:t>
            </w:r>
          </w:p>
          <w:p w:rsidR="00387A07" w:rsidRPr="00AA03FE" w:rsidRDefault="00387A07" w:rsidP="00387A07">
            <w:pPr>
              <w:jc w:val="center"/>
              <w:rPr>
                <w:rFonts w:cs="Arial"/>
                <w:b/>
              </w:rPr>
            </w:pPr>
            <w:r w:rsidRPr="00AA03FE">
              <w:rPr>
                <w:rFonts w:cs="Arial"/>
                <w:b/>
              </w:rPr>
              <w:t>internal phase (w/v)</w:t>
            </w:r>
          </w:p>
        </w:tc>
        <w:tc>
          <w:tcPr>
            <w:tcW w:w="1701" w:type="dxa"/>
            <w:tcBorders>
              <w:top w:val="single" w:sz="4" w:space="0" w:color="000000" w:themeColor="text1"/>
              <w:bottom w:val="single" w:sz="4" w:space="0" w:color="auto"/>
            </w:tcBorders>
            <w:shd w:val="clear" w:color="auto" w:fill="F2F2F2" w:themeFill="background1" w:themeFillShade="F2"/>
          </w:tcPr>
          <w:p w:rsidR="00387A07" w:rsidRPr="00AA03FE" w:rsidRDefault="00387A07" w:rsidP="00387A07">
            <w:pPr>
              <w:jc w:val="center"/>
              <w:rPr>
                <w:rFonts w:cs="Arial"/>
                <w:b/>
              </w:rPr>
            </w:pPr>
            <w:r w:rsidRPr="00AA03FE">
              <w:rPr>
                <w:rFonts w:cs="Arial"/>
                <w:b/>
              </w:rPr>
              <w:t>PVA in the</w:t>
            </w:r>
          </w:p>
          <w:p w:rsidR="00387A07" w:rsidRPr="00AA03FE" w:rsidRDefault="00387A07" w:rsidP="00387A07">
            <w:pPr>
              <w:jc w:val="center"/>
              <w:rPr>
                <w:rFonts w:cs="Arial"/>
                <w:b/>
              </w:rPr>
            </w:pPr>
            <w:r w:rsidRPr="00AA03FE">
              <w:rPr>
                <w:rFonts w:cs="Arial"/>
                <w:b/>
              </w:rPr>
              <w:t>external phase (w/v)</w:t>
            </w:r>
          </w:p>
        </w:tc>
        <w:tc>
          <w:tcPr>
            <w:tcW w:w="1871" w:type="dxa"/>
            <w:tcBorders>
              <w:top w:val="single" w:sz="4" w:space="0" w:color="000000" w:themeColor="text1"/>
              <w:bottom w:val="single" w:sz="4" w:space="0" w:color="auto"/>
              <w:right w:val="nil"/>
            </w:tcBorders>
            <w:shd w:val="clear" w:color="auto" w:fill="F2F2F2" w:themeFill="background1" w:themeFillShade="F2"/>
          </w:tcPr>
          <w:p w:rsidR="00387A07" w:rsidRPr="00AA03FE" w:rsidRDefault="00387A07" w:rsidP="00387A07">
            <w:pPr>
              <w:jc w:val="center"/>
              <w:rPr>
                <w:rFonts w:cs="Arial"/>
                <w:b/>
              </w:rPr>
            </w:pPr>
            <w:r w:rsidRPr="00AA03FE">
              <w:rPr>
                <w:rFonts w:cs="Arial"/>
                <w:b/>
              </w:rPr>
              <w:t>Homogenization speed</w:t>
            </w:r>
          </w:p>
        </w:tc>
      </w:tr>
      <w:tr w:rsidR="00387A07" w:rsidRPr="00AA03FE" w:rsidTr="00387A07">
        <w:trPr>
          <w:trHeight w:val="20"/>
        </w:trPr>
        <w:tc>
          <w:tcPr>
            <w:tcW w:w="1809" w:type="dxa"/>
            <w:tcBorders>
              <w:top w:val="single" w:sz="4" w:space="0" w:color="auto"/>
              <w:left w:val="nil"/>
            </w:tcBorders>
            <w:shd w:val="clear" w:color="auto" w:fill="F2F2F2" w:themeFill="background1" w:themeFillShade="F2"/>
          </w:tcPr>
          <w:p w:rsidR="00387A07" w:rsidRPr="00AA03FE" w:rsidRDefault="00387A07" w:rsidP="00387A07">
            <w:pPr>
              <w:rPr>
                <w:rFonts w:cs="Arial"/>
                <w:b/>
              </w:rPr>
            </w:pPr>
            <w:r w:rsidRPr="00AA03FE">
              <w:rPr>
                <w:rFonts w:cs="Arial"/>
                <w:b/>
              </w:rPr>
              <w:t xml:space="preserve">PLGA 1 </w:t>
            </w:r>
          </w:p>
        </w:tc>
        <w:tc>
          <w:tcPr>
            <w:tcW w:w="1701" w:type="dxa"/>
            <w:tcBorders>
              <w:top w:val="single" w:sz="4" w:space="0" w:color="auto"/>
            </w:tcBorders>
            <w:shd w:val="clear" w:color="auto" w:fill="F2F2F2" w:themeFill="background1" w:themeFillShade="F2"/>
          </w:tcPr>
          <w:p w:rsidR="00387A07" w:rsidRPr="00AA03FE" w:rsidRDefault="00387A07" w:rsidP="00387A07">
            <w:pPr>
              <w:rPr>
                <w:rFonts w:cs="Arial"/>
              </w:rPr>
            </w:pPr>
            <w:r w:rsidRPr="00AA03FE">
              <w:rPr>
                <w:rFonts w:cs="Arial"/>
              </w:rPr>
              <w:t>1%</w:t>
            </w:r>
          </w:p>
        </w:tc>
        <w:tc>
          <w:tcPr>
            <w:tcW w:w="1701" w:type="dxa"/>
            <w:tcBorders>
              <w:top w:val="single" w:sz="4" w:space="0" w:color="auto"/>
            </w:tcBorders>
            <w:shd w:val="clear" w:color="auto" w:fill="F2F2F2" w:themeFill="background1" w:themeFillShade="F2"/>
          </w:tcPr>
          <w:p w:rsidR="00387A07" w:rsidRPr="00AA03FE" w:rsidRDefault="00387A07" w:rsidP="00387A07">
            <w:pPr>
              <w:rPr>
                <w:rFonts w:cs="Arial"/>
              </w:rPr>
            </w:pPr>
            <w:r w:rsidRPr="00AA03FE">
              <w:rPr>
                <w:rFonts w:cs="Arial"/>
              </w:rPr>
              <w:t>1%</w:t>
            </w:r>
          </w:p>
        </w:tc>
        <w:tc>
          <w:tcPr>
            <w:tcW w:w="1871" w:type="dxa"/>
            <w:tcBorders>
              <w:top w:val="single" w:sz="4" w:space="0" w:color="auto"/>
              <w:right w:val="nil"/>
            </w:tcBorders>
            <w:shd w:val="clear" w:color="auto" w:fill="F2F2F2" w:themeFill="background1" w:themeFillShade="F2"/>
          </w:tcPr>
          <w:p w:rsidR="00387A07" w:rsidRPr="00AA03FE" w:rsidRDefault="00387A07" w:rsidP="00387A07">
            <w:pPr>
              <w:rPr>
                <w:rFonts w:cs="Arial"/>
              </w:rPr>
            </w:pPr>
            <w:r w:rsidRPr="00AA03FE">
              <w:rPr>
                <w:rFonts w:cs="Arial"/>
              </w:rPr>
              <w:t>13500 rpm</w:t>
            </w:r>
          </w:p>
        </w:tc>
      </w:tr>
      <w:tr w:rsidR="00387A07" w:rsidRPr="00AA03FE" w:rsidTr="00387A07">
        <w:trPr>
          <w:trHeight w:val="20"/>
        </w:trPr>
        <w:tc>
          <w:tcPr>
            <w:tcW w:w="1809" w:type="dxa"/>
            <w:tcBorders>
              <w:left w:val="nil"/>
            </w:tcBorders>
            <w:shd w:val="clear" w:color="auto" w:fill="F2F2F2" w:themeFill="background1" w:themeFillShade="F2"/>
          </w:tcPr>
          <w:p w:rsidR="00387A07" w:rsidRPr="00AA03FE" w:rsidRDefault="00387A07" w:rsidP="00387A07">
            <w:pPr>
              <w:rPr>
                <w:rFonts w:cs="Arial"/>
                <w:b/>
              </w:rPr>
            </w:pPr>
            <w:r w:rsidRPr="00AA03FE">
              <w:rPr>
                <w:rFonts w:cs="Arial"/>
                <w:b/>
              </w:rPr>
              <w:t>PLGA 2</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1%</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1%</w:t>
            </w:r>
          </w:p>
        </w:tc>
        <w:tc>
          <w:tcPr>
            <w:tcW w:w="1871" w:type="dxa"/>
            <w:tcBorders>
              <w:right w:val="nil"/>
            </w:tcBorders>
            <w:shd w:val="clear" w:color="auto" w:fill="F2F2F2" w:themeFill="background1" w:themeFillShade="F2"/>
          </w:tcPr>
          <w:p w:rsidR="00387A07" w:rsidRPr="00AA03FE" w:rsidRDefault="00387A07" w:rsidP="00387A07">
            <w:pPr>
              <w:rPr>
                <w:rFonts w:cs="Arial"/>
              </w:rPr>
            </w:pPr>
            <w:r w:rsidRPr="00AA03FE">
              <w:rPr>
                <w:rFonts w:cs="Arial"/>
              </w:rPr>
              <w:t>25000 rpm</w:t>
            </w:r>
          </w:p>
        </w:tc>
      </w:tr>
      <w:tr w:rsidR="00387A07" w:rsidRPr="00AA03FE" w:rsidTr="00387A07">
        <w:trPr>
          <w:trHeight w:val="20"/>
        </w:trPr>
        <w:tc>
          <w:tcPr>
            <w:tcW w:w="1809" w:type="dxa"/>
            <w:tcBorders>
              <w:left w:val="nil"/>
            </w:tcBorders>
            <w:shd w:val="clear" w:color="auto" w:fill="F2F2F2" w:themeFill="background1" w:themeFillShade="F2"/>
          </w:tcPr>
          <w:p w:rsidR="00387A07" w:rsidRPr="00AA03FE" w:rsidRDefault="00387A07" w:rsidP="00387A07">
            <w:pPr>
              <w:rPr>
                <w:rFonts w:cs="Arial"/>
                <w:b/>
              </w:rPr>
            </w:pPr>
            <w:r w:rsidRPr="00AA03FE">
              <w:rPr>
                <w:rFonts w:cs="Arial"/>
                <w:b/>
              </w:rPr>
              <w:t>PLGA 3</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871" w:type="dxa"/>
            <w:tcBorders>
              <w:right w:val="nil"/>
            </w:tcBorders>
            <w:shd w:val="clear" w:color="auto" w:fill="F2F2F2" w:themeFill="background1" w:themeFillShade="F2"/>
          </w:tcPr>
          <w:p w:rsidR="00387A07" w:rsidRPr="00AA03FE" w:rsidRDefault="00387A07" w:rsidP="00387A07">
            <w:pPr>
              <w:rPr>
                <w:rFonts w:cs="Arial"/>
              </w:rPr>
            </w:pPr>
            <w:r w:rsidRPr="00AA03FE">
              <w:rPr>
                <w:rFonts w:cs="Arial"/>
              </w:rPr>
              <w:t>13500 rpm</w:t>
            </w:r>
          </w:p>
        </w:tc>
      </w:tr>
      <w:tr w:rsidR="00387A07" w:rsidRPr="00AA03FE" w:rsidTr="00387A07">
        <w:trPr>
          <w:trHeight w:val="20"/>
        </w:trPr>
        <w:tc>
          <w:tcPr>
            <w:tcW w:w="1809" w:type="dxa"/>
            <w:tcBorders>
              <w:left w:val="nil"/>
            </w:tcBorders>
            <w:shd w:val="clear" w:color="auto" w:fill="F2F2F2" w:themeFill="background1" w:themeFillShade="F2"/>
          </w:tcPr>
          <w:p w:rsidR="00387A07" w:rsidRPr="00AA03FE" w:rsidRDefault="00387A07" w:rsidP="00387A07">
            <w:pPr>
              <w:rPr>
                <w:rFonts w:cs="Arial"/>
                <w:b/>
              </w:rPr>
            </w:pPr>
            <w:r w:rsidRPr="00AA03FE">
              <w:rPr>
                <w:rFonts w:cs="Arial"/>
                <w:b/>
              </w:rPr>
              <w:t>PLGA 4</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871" w:type="dxa"/>
            <w:tcBorders>
              <w:right w:val="nil"/>
            </w:tcBorders>
            <w:shd w:val="clear" w:color="auto" w:fill="F2F2F2" w:themeFill="background1" w:themeFillShade="F2"/>
          </w:tcPr>
          <w:p w:rsidR="00387A07" w:rsidRPr="00AA03FE" w:rsidRDefault="00387A07" w:rsidP="00387A07">
            <w:pPr>
              <w:rPr>
                <w:rFonts w:cs="Arial"/>
              </w:rPr>
            </w:pPr>
            <w:r w:rsidRPr="00AA03FE">
              <w:rPr>
                <w:rFonts w:cs="Arial"/>
              </w:rPr>
              <w:t>25000 rpm</w:t>
            </w:r>
          </w:p>
        </w:tc>
      </w:tr>
      <w:tr w:rsidR="00387A07" w:rsidRPr="00AA03FE" w:rsidTr="00387A07">
        <w:trPr>
          <w:trHeight w:val="20"/>
        </w:trPr>
        <w:tc>
          <w:tcPr>
            <w:tcW w:w="1809" w:type="dxa"/>
            <w:tcBorders>
              <w:left w:val="nil"/>
            </w:tcBorders>
            <w:shd w:val="clear" w:color="auto" w:fill="F2F2F2" w:themeFill="background1" w:themeFillShade="F2"/>
          </w:tcPr>
          <w:p w:rsidR="00387A07" w:rsidRPr="00AA03FE" w:rsidRDefault="00387A07" w:rsidP="00387A07">
            <w:pPr>
              <w:rPr>
                <w:rFonts w:cs="Arial"/>
                <w:b/>
              </w:rPr>
            </w:pPr>
            <w:r w:rsidRPr="00AA03FE">
              <w:rPr>
                <w:rFonts w:cs="Arial"/>
                <w:b/>
              </w:rPr>
              <w:t>PLGA 5</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1%</w:t>
            </w:r>
          </w:p>
        </w:tc>
        <w:tc>
          <w:tcPr>
            <w:tcW w:w="1871" w:type="dxa"/>
            <w:tcBorders>
              <w:right w:val="nil"/>
            </w:tcBorders>
            <w:shd w:val="clear" w:color="auto" w:fill="F2F2F2" w:themeFill="background1" w:themeFillShade="F2"/>
          </w:tcPr>
          <w:p w:rsidR="00387A07" w:rsidRPr="00AA03FE" w:rsidRDefault="00387A07" w:rsidP="00387A07">
            <w:pPr>
              <w:rPr>
                <w:rFonts w:cs="Arial"/>
              </w:rPr>
            </w:pPr>
            <w:r w:rsidRPr="00AA03FE">
              <w:rPr>
                <w:rFonts w:cs="Arial"/>
              </w:rPr>
              <w:t>13500 rpm</w:t>
            </w:r>
          </w:p>
        </w:tc>
      </w:tr>
      <w:tr w:rsidR="00387A07" w:rsidRPr="00AA03FE" w:rsidTr="00387A07">
        <w:trPr>
          <w:trHeight w:val="20"/>
        </w:trPr>
        <w:tc>
          <w:tcPr>
            <w:tcW w:w="1809" w:type="dxa"/>
            <w:tcBorders>
              <w:left w:val="nil"/>
              <w:bottom w:val="single" w:sz="4" w:space="0" w:color="000000" w:themeColor="text1"/>
            </w:tcBorders>
            <w:shd w:val="clear" w:color="auto" w:fill="F2F2F2" w:themeFill="background1" w:themeFillShade="F2"/>
          </w:tcPr>
          <w:p w:rsidR="00387A07" w:rsidRPr="00AA03FE" w:rsidRDefault="00387A07" w:rsidP="00387A07">
            <w:pPr>
              <w:rPr>
                <w:rFonts w:cs="Arial"/>
                <w:b/>
              </w:rPr>
            </w:pPr>
            <w:r w:rsidRPr="00AA03FE">
              <w:rPr>
                <w:rFonts w:cs="Arial"/>
                <w:b/>
              </w:rPr>
              <w:t>PLGA 6</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2.5%</w:t>
            </w:r>
          </w:p>
        </w:tc>
        <w:tc>
          <w:tcPr>
            <w:tcW w:w="1701" w:type="dxa"/>
            <w:shd w:val="clear" w:color="auto" w:fill="F2F2F2" w:themeFill="background1" w:themeFillShade="F2"/>
          </w:tcPr>
          <w:p w:rsidR="00387A07" w:rsidRPr="00AA03FE" w:rsidRDefault="00387A07" w:rsidP="00387A07">
            <w:pPr>
              <w:rPr>
                <w:rFonts w:cs="Arial"/>
              </w:rPr>
            </w:pPr>
            <w:r w:rsidRPr="00AA03FE">
              <w:rPr>
                <w:rFonts w:cs="Arial"/>
              </w:rPr>
              <w:t>1%</w:t>
            </w:r>
          </w:p>
        </w:tc>
        <w:tc>
          <w:tcPr>
            <w:tcW w:w="1871" w:type="dxa"/>
            <w:tcBorders>
              <w:bottom w:val="single" w:sz="4" w:space="0" w:color="000000" w:themeColor="text1"/>
              <w:right w:val="nil"/>
            </w:tcBorders>
            <w:shd w:val="clear" w:color="auto" w:fill="F2F2F2" w:themeFill="background1" w:themeFillShade="F2"/>
          </w:tcPr>
          <w:p w:rsidR="00387A07" w:rsidRPr="00AA03FE" w:rsidRDefault="00387A07" w:rsidP="00387A07">
            <w:pPr>
              <w:rPr>
                <w:rFonts w:cs="Arial"/>
              </w:rPr>
            </w:pPr>
            <w:r w:rsidRPr="00AA03FE">
              <w:rPr>
                <w:rFonts w:cs="Arial"/>
              </w:rPr>
              <w:t>25000 rpm</w:t>
            </w:r>
          </w:p>
        </w:tc>
      </w:tr>
    </w:tbl>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spacing w:after="0"/>
      </w:pPr>
    </w:p>
    <w:p w:rsidR="00387A07" w:rsidRPr="00AA03FE" w:rsidRDefault="00387A07" w:rsidP="00387A07">
      <w:pPr>
        <w:pStyle w:val="Didascalia"/>
        <w:rPr>
          <w:rFonts w:ascii="Arial" w:hAnsi="Arial" w:cs="Arial"/>
          <w:color w:val="000000"/>
          <w:sz w:val="24"/>
          <w:szCs w:val="24"/>
        </w:rPr>
      </w:pPr>
      <w:r w:rsidRPr="00AA03FE">
        <w:t xml:space="preserve">Table 3. </w:t>
      </w:r>
      <w:fldSimple w:instr=" SEQ Table_3. \* ARABIC ">
        <w:r w:rsidRPr="00AA03FE">
          <w:rPr>
            <w:noProof/>
          </w:rPr>
          <w:t>1</w:t>
        </w:r>
      </w:fldSimple>
      <w:r w:rsidRPr="00AA03FE">
        <w:t xml:space="preserve"> List of samples prepared for the optimization of the protocol for nanoparticles preparation.</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The concentration of PVA and the homogenization speed are expected to affect the dimensions of nanoparticles [19], while the washing medium and the optional addition of NaCl during the solvent evaporation step are believed to mainly affect the surface charge [20].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To assess the effect of the washing medium on particles surface charge, three different media were used: Sodium Chloride, distilled water and a solution of a second surfactant (Poloxamer F168) in water, at two different concentrations (1% and 2% w/v).   </w:t>
      </w:r>
    </w:p>
    <w:p w:rsidR="00387A07" w:rsidRPr="00AA03FE" w:rsidRDefault="00387A07" w:rsidP="00387A07">
      <w:pPr>
        <w:autoSpaceDE w:val="0"/>
        <w:autoSpaceDN w:val="0"/>
        <w:adjustRightInd w:val="0"/>
        <w:spacing w:after="0" w:line="360" w:lineRule="auto"/>
        <w:jc w:val="both"/>
        <w:rPr>
          <w:rFonts w:ascii="Arial" w:hAnsi="Arial" w:cs="Arial"/>
          <w:bCs/>
          <w:sz w:val="24"/>
          <w:szCs w:val="24"/>
        </w:rPr>
      </w:pPr>
      <w:r w:rsidRPr="00AA03FE">
        <w:rPr>
          <w:rFonts w:ascii="Arial" w:hAnsi="Arial" w:cs="Arial"/>
          <w:color w:val="000000"/>
          <w:sz w:val="24"/>
          <w:szCs w:val="24"/>
        </w:rPr>
        <w:t>Poloxamer F168 is a non ionic surfactant</w:t>
      </w:r>
      <w:r w:rsidRPr="00AA03FE">
        <w:rPr>
          <w:rFonts w:ascii="Arial" w:hAnsi="Arial" w:cs="Arial"/>
          <w:sz w:val="24"/>
          <w:szCs w:val="24"/>
        </w:rPr>
        <w:t>, composed of a central hydrophobic chain of poly(propylene oxide) flanked by two hydrophilic chains of poly(ethylene oxide), which has been reported to</w:t>
      </w:r>
      <w:r w:rsidRPr="00AA03FE">
        <w:rPr>
          <w:rFonts w:ascii="Arial" w:hAnsi="Arial" w:cs="Arial"/>
          <w:bCs/>
          <w:sz w:val="24"/>
          <w:szCs w:val="24"/>
        </w:rPr>
        <w:t xml:space="preserve"> decrease the surface charge of PLGA nanoparticles [21-23].</w:t>
      </w:r>
    </w:p>
    <w:p w:rsidR="00387A07" w:rsidRPr="00AA03FE" w:rsidRDefault="00387A07" w:rsidP="00387A07">
      <w:pPr>
        <w:autoSpaceDE w:val="0"/>
        <w:autoSpaceDN w:val="0"/>
        <w:adjustRightInd w:val="0"/>
        <w:spacing w:before="240" w:after="240" w:line="360" w:lineRule="auto"/>
        <w:jc w:val="both"/>
        <w:rPr>
          <w:rFonts w:ascii="Arial" w:hAnsi="Arial" w:cs="Arial"/>
          <w:b/>
          <w:i/>
          <w:color w:val="000000"/>
          <w:sz w:val="24"/>
          <w:szCs w:val="24"/>
        </w:rPr>
      </w:pPr>
      <w:r w:rsidRPr="00AA03FE">
        <w:rPr>
          <w:rFonts w:ascii="Arial" w:hAnsi="Arial" w:cs="Arial"/>
          <w:b/>
          <w:i/>
          <w:color w:val="000000"/>
          <w:sz w:val="24"/>
          <w:szCs w:val="24"/>
        </w:rPr>
        <w:t>3.2.4.2 Preparation of nanoparticles</w:t>
      </w:r>
    </w:p>
    <w:p w:rsidR="00387A07" w:rsidRPr="00AA03FE" w:rsidRDefault="00387A07" w:rsidP="00387A07">
      <w:pPr>
        <w:autoSpaceDE w:val="0"/>
        <w:autoSpaceDN w:val="0"/>
        <w:adjustRightInd w:val="0"/>
        <w:spacing w:line="360" w:lineRule="auto"/>
        <w:jc w:val="both"/>
        <w:rPr>
          <w:rFonts w:ascii="Arial" w:hAnsi="Arial" w:cs="Arial"/>
          <w:color w:val="000000"/>
          <w:sz w:val="24"/>
          <w:szCs w:val="24"/>
        </w:rPr>
      </w:pPr>
      <w:r w:rsidRPr="00AA03FE">
        <w:rPr>
          <w:rFonts w:ascii="Arial" w:hAnsi="Arial" w:cs="Arial"/>
          <w:color w:val="000000"/>
          <w:sz w:val="24"/>
          <w:szCs w:val="24"/>
        </w:rPr>
        <w:t xml:space="preserve">Nanoparticles for </w:t>
      </w:r>
      <w:r w:rsidRPr="00AA03FE">
        <w:rPr>
          <w:rFonts w:ascii="Arial" w:hAnsi="Arial" w:cs="Arial"/>
          <w:i/>
          <w:color w:val="000000"/>
          <w:sz w:val="24"/>
          <w:szCs w:val="24"/>
        </w:rPr>
        <w:t>in vitro</w:t>
      </w:r>
      <w:r w:rsidRPr="00AA03FE">
        <w:rPr>
          <w:rFonts w:ascii="Arial" w:hAnsi="Arial" w:cs="Arial"/>
          <w:color w:val="000000"/>
          <w:sz w:val="24"/>
          <w:szCs w:val="24"/>
        </w:rPr>
        <w:t xml:space="preserve"> drug release and cellular tests were prepared according to the optimized protocol represented in figure 3.2.</w:t>
      </w:r>
    </w:p>
    <w:p w:rsidR="00387A07" w:rsidRPr="00AA03FE" w:rsidRDefault="00387A07" w:rsidP="00387A07">
      <w:pPr>
        <w:autoSpaceDE w:val="0"/>
        <w:autoSpaceDN w:val="0"/>
        <w:adjustRightInd w:val="0"/>
        <w:spacing w:line="360" w:lineRule="auto"/>
        <w:jc w:val="center"/>
        <w:rPr>
          <w:rFonts w:ascii="Arial" w:hAnsi="Arial" w:cs="Arial"/>
          <w:color w:val="000000"/>
          <w:sz w:val="24"/>
          <w:szCs w:val="24"/>
        </w:rPr>
      </w:pPr>
      <w:r w:rsidRPr="00AA03FE">
        <w:rPr>
          <w:rFonts w:ascii="Arial" w:hAnsi="Arial" w:cs="Arial"/>
          <w:noProof/>
          <w:color w:val="000000"/>
          <w:sz w:val="24"/>
          <w:szCs w:val="24"/>
          <w:lang w:val="it-IT" w:eastAsia="it-IT"/>
        </w:rPr>
        <w:drawing>
          <wp:inline distT="0" distB="0" distL="0" distR="0">
            <wp:extent cx="4410075" cy="2111550"/>
            <wp:effectExtent l="19050" t="0" r="9525" b="0"/>
            <wp:docPr id="63" name="Immagine 3" descr="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png"/>
                    <pic:cNvPicPr/>
                  </pic:nvPicPr>
                  <pic:blipFill>
                    <a:blip r:embed="rId41"/>
                    <a:stretch>
                      <a:fillRect/>
                    </a:stretch>
                  </pic:blipFill>
                  <pic:spPr>
                    <a:xfrm>
                      <a:off x="0" y="0"/>
                      <a:ext cx="4415955" cy="2114365"/>
                    </a:xfrm>
                    <a:prstGeom prst="rect">
                      <a:avLst/>
                    </a:prstGeom>
                  </pic:spPr>
                </pic:pic>
              </a:graphicData>
            </a:graphic>
          </wp:inline>
        </w:drawing>
      </w:r>
    </w:p>
    <w:p w:rsidR="00387A07" w:rsidRPr="00AA03FE" w:rsidRDefault="00387A07" w:rsidP="00387A07">
      <w:pPr>
        <w:pStyle w:val="Didascalia"/>
        <w:rPr>
          <w:rFonts w:ascii="Arial" w:hAnsi="Arial" w:cs="Arial"/>
          <w:color w:val="000000"/>
          <w:sz w:val="24"/>
          <w:szCs w:val="24"/>
        </w:rPr>
      </w:pPr>
      <w:r w:rsidRPr="00AA03FE">
        <w:t xml:space="preserve">Figure 3. </w:t>
      </w:r>
      <w:fldSimple w:instr=" SEQ Figure_3. \* ARABIC ">
        <w:r w:rsidRPr="00AA03FE">
          <w:rPr>
            <w:noProof/>
          </w:rPr>
          <w:t>2</w:t>
        </w:r>
      </w:fldSimple>
      <w:r w:rsidRPr="00AA03FE">
        <w:t xml:space="preserve"> Schematic representation of the protocol adopted.</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lastRenderedPageBreak/>
        <w:t xml:space="preserve">Briefly 100 mg of the polymer were dissolved in Ethyl Acetate (4ml) and added dropwise into 4ml of water containing 2.5% w/v PVA and sonicated for 2 minutes. The primary emulsion was added into 50 ml of water containing 1% w/v PVA and homogenized at 13500 rpm. The solution was gently stirred overnight to allow solvent evaporation, particles were collected by centrifugation and washed 3 times with distilled water before freeze drying. </w:t>
      </w:r>
    </w:p>
    <w:p w:rsidR="00387A07" w:rsidRPr="00AA03FE" w:rsidRDefault="00387A07" w:rsidP="00387A07">
      <w:pPr>
        <w:autoSpaceDE w:val="0"/>
        <w:autoSpaceDN w:val="0"/>
        <w:adjustRightInd w:val="0"/>
        <w:spacing w:before="240" w:after="240" w:line="360" w:lineRule="auto"/>
        <w:rPr>
          <w:rFonts w:ascii="Arial" w:hAnsi="Arial" w:cs="Arial"/>
          <w:b/>
          <w:i/>
          <w:color w:val="000000"/>
          <w:sz w:val="24"/>
          <w:szCs w:val="24"/>
          <w:lang w:val="en-US"/>
        </w:rPr>
      </w:pPr>
      <w:r w:rsidRPr="00AA03FE">
        <w:rPr>
          <w:rFonts w:ascii="Arial" w:hAnsi="Arial" w:cs="Arial"/>
          <w:b/>
          <w:i/>
          <w:color w:val="000000"/>
          <w:sz w:val="24"/>
          <w:szCs w:val="24"/>
          <w:lang w:val="en-US"/>
        </w:rPr>
        <w:t>3.2.4.3 Preparation of Paclitaxel-loaded nanoparticles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PX-loaded nanoparticles (5% w/w with respect to the polymer weight) </w:t>
      </w:r>
      <w:r w:rsidRPr="00AA03FE">
        <w:rPr>
          <w:rFonts w:ascii="Arial" w:hAnsi="Arial" w:cs="Arial"/>
          <w:color w:val="000000"/>
          <w:sz w:val="24"/>
          <w:szCs w:val="24"/>
        </w:rPr>
        <w:t xml:space="preserve">for </w:t>
      </w:r>
      <w:r w:rsidRPr="00AA03FE">
        <w:rPr>
          <w:rFonts w:ascii="Arial" w:hAnsi="Arial" w:cs="Arial"/>
          <w:i/>
          <w:color w:val="000000"/>
          <w:sz w:val="24"/>
          <w:szCs w:val="24"/>
        </w:rPr>
        <w:t xml:space="preserve">in vitro </w:t>
      </w:r>
      <w:r w:rsidRPr="00AA03FE">
        <w:rPr>
          <w:rFonts w:ascii="Arial" w:hAnsi="Arial" w:cs="Arial"/>
          <w:color w:val="000000"/>
          <w:sz w:val="24"/>
          <w:szCs w:val="24"/>
        </w:rPr>
        <w:t>drug release and cytotoxicity studies</w:t>
      </w:r>
      <w:r w:rsidRPr="00AA03FE">
        <w:rPr>
          <w:rFonts w:ascii="Arial" w:hAnsi="Arial" w:cs="Arial"/>
          <w:sz w:val="24"/>
          <w:szCs w:val="24"/>
        </w:rPr>
        <w:t xml:space="preserve"> were prepared according to the above-described procedure, by adding the drug to the polymer solution in ethyl acetate. </w:t>
      </w:r>
    </w:p>
    <w:p w:rsidR="00387A07" w:rsidRPr="00AA03FE" w:rsidRDefault="00387A07" w:rsidP="00387A07">
      <w:pPr>
        <w:pStyle w:val="Paragrafoelenco"/>
        <w:numPr>
          <w:ilvl w:val="2"/>
          <w:numId w:val="7"/>
        </w:numPr>
        <w:autoSpaceDE w:val="0"/>
        <w:autoSpaceDN w:val="0"/>
        <w:adjustRightInd w:val="0"/>
        <w:spacing w:before="240" w:after="240" w:line="360" w:lineRule="auto"/>
        <w:jc w:val="both"/>
        <w:rPr>
          <w:rFonts w:ascii="Arial" w:hAnsi="Arial" w:cs="Arial"/>
          <w:b/>
          <w:i/>
          <w:color w:val="000000"/>
          <w:sz w:val="24"/>
          <w:szCs w:val="24"/>
        </w:rPr>
      </w:pPr>
      <w:r w:rsidRPr="00AA03FE">
        <w:rPr>
          <w:rFonts w:ascii="Arial" w:hAnsi="Arial" w:cs="Arial"/>
          <w:b/>
          <w:i/>
          <w:color w:val="000000"/>
          <w:sz w:val="24"/>
          <w:szCs w:val="24"/>
        </w:rPr>
        <w:t>Surface modification of nanoparticles</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In order to prepare nanoparticles for the active targeting of HER-positive breast cancer cells, the monoclonal antibody Herceptin which is able to selectively bind to specific receptors over-expressed on the surface of these cells, was introduced on the surface of nanoparticles [11].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As already mentioned, Herceptin is positively charged below pH 8.45 and could therefore interact with the negative surface of nanoparticles through hydrophilic/hydrophobic interactions, forming a coating.</w:t>
      </w:r>
    </w:p>
    <w:p w:rsidR="00387A07" w:rsidRPr="00AA03FE" w:rsidRDefault="00387A07" w:rsidP="00387A07">
      <w:pPr>
        <w:pStyle w:val="Testonormale"/>
        <w:spacing w:line="360" w:lineRule="auto"/>
        <w:jc w:val="both"/>
        <w:outlineLvl w:val="0"/>
        <w:rPr>
          <w:rFonts w:ascii="Arial" w:hAnsi="Arial" w:cs="Arial"/>
          <w:sz w:val="24"/>
          <w:szCs w:val="24"/>
          <w:lang w:val="en-GB"/>
        </w:rPr>
      </w:pPr>
      <w:r w:rsidRPr="00AA03FE">
        <w:rPr>
          <w:rFonts w:ascii="Arial" w:hAnsi="Arial" w:cs="Arial"/>
          <w:sz w:val="24"/>
          <w:szCs w:val="24"/>
          <w:lang w:val="en-GB"/>
        </w:rPr>
        <w:t>For Herceptin decoration, 500µl of nanoparticles solution in PBS pH 5.6 (1mg/ml) were added to the same volume of antibody solution (1mg/ml) and incubated at 4°C for 6 hours.</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In order to optimize the decoration process, PLGA nanoparticles were incubated in the presence of the antibody for three different time points (1, 6 and 24 hours) at 4°C. The amount of adsorbed protein and the changes in the zeta potential and mean diameter of nanoparticles were detected after each time point [20].</w:t>
      </w:r>
    </w:p>
    <w:p w:rsidR="00387A07"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The amount of the antibody on the surface of nanoparticles was evaluated as the difference between the initial and the residual amount of Herceptin in the supernatant, by using a standard Bradford assay.</w:t>
      </w:r>
    </w:p>
    <w:p w:rsidR="00D873AE" w:rsidRDefault="00D873AE" w:rsidP="00387A07">
      <w:pPr>
        <w:autoSpaceDE w:val="0"/>
        <w:autoSpaceDN w:val="0"/>
        <w:adjustRightInd w:val="0"/>
        <w:spacing w:after="0" w:line="360" w:lineRule="auto"/>
        <w:jc w:val="both"/>
        <w:rPr>
          <w:rFonts w:ascii="Arial" w:hAnsi="Arial" w:cs="Arial"/>
          <w:color w:val="000000"/>
          <w:sz w:val="24"/>
          <w:szCs w:val="24"/>
        </w:rPr>
      </w:pPr>
    </w:p>
    <w:p w:rsidR="00D873AE" w:rsidRDefault="00D873AE" w:rsidP="00387A07">
      <w:pPr>
        <w:autoSpaceDE w:val="0"/>
        <w:autoSpaceDN w:val="0"/>
        <w:adjustRightInd w:val="0"/>
        <w:spacing w:after="0" w:line="360" w:lineRule="auto"/>
        <w:jc w:val="both"/>
        <w:rPr>
          <w:rFonts w:ascii="Arial" w:hAnsi="Arial" w:cs="Arial"/>
          <w:color w:val="000000"/>
          <w:sz w:val="24"/>
          <w:szCs w:val="24"/>
        </w:rPr>
      </w:pPr>
    </w:p>
    <w:p w:rsidR="00D873AE" w:rsidRDefault="00D873AE" w:rsidP="00387A07">
      <w:pPr>
        <w:autoSpaceDE w:val="0"/>
        <w:autoSpaceDN w:val="0"/>
        <w:adjustRightInd w:val="0"/>
        <w:spacing w:after="0" w:line="360" w:lineRule="auto"/>
        <w:jc w:val="both"/>
        <w:rPr>
          <w:rFonts w:ascii="Arial" w:hAnsi="Arial" w:cs="Arial"/>
          <w:color w:val="000000"/>
          <w:sz w:val="24"/>
          <w:szCs w:val="24"/>
        </w:rPr>
      </w:pPr>
    </w:p>
    <w:p w:rsidR="00D873AE" w:rsidRPr="00AA03FE" w:rsidRDefault="00D873AE" w:rsidP="00387A07">
      <w:pPr>
        <w:autoSpaceDE w:val="0"/>
        <w:autoSpaceDN w:val="0"/>
        <w:adjustRightInd w:val="0"/>
        <w:spacing w:after="0" w:line="360" w:lineRule="auto"/>
        <w:jc w:val="both"/>
        <w:rPr>
          <w:rFonts w:ascii="Arial" w:hAnsi="Arial" w:cs="Arial"/>
          <w:color w:val="000000"/>
          <w:sz w:val="24"/>
          <w:szCs w:val="24"/>
        </w:rPr>
      </w:pPr>
    </w:p>
    <w:p w:rsidR="00387A07" w:rsidRPr="00AA03FE" w:rsidRDefault="00387A07" w:rsidP="00387A07">
      <w:pPr>
        <w:autoSpaceDE w:val="0"/>
        <w:autoSpaceDN w:val="0"/>
        <w:adjustRightInd w:val="0"/>
        <w:spacing w:before="240" w:after="240" w:line="360" w:lineRule="auto"/>
        <w:jc w:val="both"/>
        <w:rPr>
          <w:rFonts w:ascii="Arial" w:hAnsi="Arial" w:cs="Arial"/>
          <w:b/>
          <w:i/>
          <w:color w:val="000000"/>
          <w:sz w:val="24"/>
          <w:szCs w:val="24"/>
          <w:lang w:val="en-US"/>
        </w:rPr>
      </w:pPr>
      <w:r w:rsidRPr="00AA03FE">
        <w:rPr>
          <w:rFonts w:ascii="Arial" w:hAnsi="Arial" w:cs="Arial"/>
          <w:b/>
          <w:i/>
          <w:color w:val="000000"/>
          <w:sz w:val="24"/>
          <w:szCs w:val="24"/>
          <w:lang w:val="en-US"/>
        </w:rPr>
        <w:lastRenderedPageBreak/>
        <w:t>3.2.6 Characterization of nanoparticles</w:t>
      </w:r>
    </w:p>
    <w:p w:rsidR="00387A07" w:rsidRPr="00AA03FE" w:rsidRDefault="00387A07" w:rsidP="00387A07">
      <w:pPr>
        <w:autoSpaceDE w:val="0"/>
        <w:autoSpaceDN w:val="0"/>
        <w:adjustRightInd w:val="0"/>
        <w:spacing w:before="240" w:after="240" w:line="360" w:lineRule="auto"/>
        <w:jc w:val="both"/>
        <w:rPr>
          <w:rFonts w:ascii="Arial" w:hAnsi="Arial" w:cs="Arial"/>
          <w:b/>
          <w:i/>
          <w:color w:val="000000"/>
          <w:sz w:val="24"/>
          <w:szCs w:val="24"/>
          <w:lang w:val="en-US"/>
        </w:rPr>
      </w:pPr>
      <w:r w:rsidRPr="00AA03FE">
        <w:rPr>
          <w:rFonts w:ascii="Arial" w:hAnsi="Arial" w:cs="Arial"/>
          <w:b/>
          <w:i/>
          <w:color w:val="000000"/>
          <w:sz w:val="24"/>
          <w:szCs w:val="24"/>
          <w:lang w:val="en-US"/>
        </w:rPr>
        <w:t>3.2.6.1 P</w:t>
      </w:r>
      <w:r w:rsidRPr="00AA03FE">
        <w:rPr>
          <w:rFonts w:ascii="Arial" w:hAnsi="Arial" w:cs="Arial"/>
          <w:b/>
          <w:i/>
          <w:color w:val="000000"/>
          <w:sz w:val="24"/>
          <w:szCs w:val="24"/>
        </w:rPr>
        <w:t xml:space="preserve">article size and size </w:t>
      </w:r>
      <w:r w:rsidRPr="00AA03FE">
        <w:rPr>
          <w:rFonts w:ascii="Arial" w:hAnsi="Arial" w:cs="Arial"/>
          <w:b/>
          <w:i/>
          <w:color w:val="000000"/>
          <w:sz w:val="24"/>
          <w:szCs w:val="24"/>
          <w:lang w:val="en-US"/>
        </w:rPr>
        <w:t xml:space="preserve">distribution. </w:t>
      </w:r>
    </w:p>
    <w:p w:rsidR="00387A07" w:rsidRPr="00AA03FE"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AA03FE">
        <w:rPr>
          <w:rFonts w:ascii="Arial" w:eastAsia="AdvTimes" w:hAnsi="Arial" w:cs="Arial"/>
          <w:color w:val="000000"/>
          <w:sz w:val="24"/>
          <w:szCs w:val="24"/>
          <w:lang w:val="en-US"/>
        </w:rPr>
        <w:t>The particle</w:t>
      </w:r>
      <w:r w:rsidRPr="00AA03FE">
        <w:rPr>
          <w:rFonts w:ascii="Arial" w:eastAsia="AdvTimes" w:hAnsi="Arial" w:cs="Arial"/>
          <w:color w:val="000000"/>
          <w:sz w:val="24"/>
          <w:szCs w:val="24"/>
        </w:rPr>
        <w:t xml:space="preserve"> size and size distribution analysis were performed</w:t>
      </w:r>
      <w:r w:rsidRPr="00AA03FE">
        <w:rPr>
          <w:rFonts w:ascii="Arial" w:eastAsia="AdvTimes" w:hAnsi="Arial" w:cs="Arial"/>
          <w:color w:val="000000"/>
          <w:sz w:val="24"/>
          <w:szCs w:val="24"/>
          <w:lang w:val="en-US"/>
        </w:rPr>
        <w:t xml:space="preserve"> using a dynamic laser</w:t>
      </w:r>
      <w:r w:rsidRPr="00AA03FE">
        <w:rPr>
          <w:rFonts w:ascii="Arial" w:eastAsia="AdvTimes" w:hAnsi="Arial" w:cs="Arial"/>
          <w:color w:val="000000"/>
          <w:sz w:val="24"/>
          <w:szCs w:val="24"/>
        </w:rPr>
        <w:t xml:space="preserve"> light scattering technology (Malvern Instruments, Zetasizer Nano S90). The dispersion of NPs was diluted with ultrapure water and completely sonicated before measurement. The measured values were averaged by five runs.</w:t>
      </w:r>
    </w:p>
    <w:p w:rsidR="00387A07" w:rsidRPr="00AA03FE" w:rsidRDefault="00387A07" w:rsidP="00387A07">
      <w:pPr>
        <w:autoSpaceDE w:val="0"/>
        <w:autoSpaceDN w:val="0"/>
        <w:adjustRightInd w:val="0"/>
        <w:spacing w:before="240" w:after="240" w:line="360" w:lineRule="auto"/>
        <w:jc w:val="both"/>
        <w:rPr>
          <w:rFonts w:ascii="Arial" w:eastAsia="AdvTimes" w:hAnsi="Arial" w:cs="Arial"/>
          <w:b/>
          <w:i/>
          <w:color w:val="000000"/>
          <w:sz w:val="24"/>
          <w:szCs w:val="24"/>
        </w:rPr>
      </w:pPr>
      <w:r w:rsidRPr="00AA03FE">
        <w:rPr>
          <w:rFonts w:ascii="Arial" w:eastAsia="AdvTimes" w:hAnsi="Arial" w:cs="Arial"/>
          <w:b/>
          <w:i/>
          <w:color w:val="000000"/>
          <w:sz w:val="24"/>
          <w:szCs w:val="24"/>
        </w:rPr>
        <w:t>3.2.6.2 Surface charge</w:t>
      </w:r>
    </w:p>
    <w:p w:rsidR="00387A07" w:rsidRPr="00AA03FE"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AA03FE">
        <w:rPr>
          <w:rFonts w:ascii="Arial" w:eastAsia="AdvTimes" w:hAnsi="Arial" w:cs="Arial"/>
          <w:color w:val="000000"/>
          <w:sz w:val="24"/>
          <w:szCs w:val="24"/>
        </w:rPr>
        <w:t xml:space="preserve">Surface charge was determined by Zetasizer Nano ZS zeta-potential analyzer (Malvern Instruments) at room temperature in ultrapure water. Measures were averaged five times. </w:t>
      </w:r>
    </w:p>
    <w:p w:rsidR="00387A07" w:rsidRPr="00AA03FE" w:rsidRDefault="00387A07" w:rsidP="00387A07">
      <w:pPr>
        <w:autoSpaceDE w:val="0"/>
        <w:autoSpaceDN w:val="0"/>
        <w:adjustRightInd w:val="0"/>
        <w:spacing w:before="240" w:after="240" w:line="360" w:lineRule="auto"/>
        <w:jc w:val="both"/>
        <w:rPr>
          <w:rFonts w:ascii="Arial" w:eastAsia="AdvTimes" w:hAnsi="Arial" w:cs="Arial"/>
          <w:b/>
          <w:i/>
          <w:color w:val="000000"/>
          <w:sz w:val="24"/>
          <w:szCs w:val="24"/>
        </w:rPr>
      </w:pPr>
      <w:r w:rsidRPr="00AA03FE">
        <w:rPr>
          <w:rFonts w:ascii="Arial" w:eastAsia="AdvTimes" w:hAnsi="Arial" w:cs="Arial"/>
          <w:b/>
          <w:i/>
          <w:color w:val="000000"/>
          <w:sz w:val="24"/>
          <w:szCs w:val="24"/>
        </w:rPr>
        <w:t>3.2.6.3 Particle morphology</w:t>
      </w:r>
    </w:p>
    <w:p w:rsidR="00387A07" w:rsidRPr="00AA03FE" w:rsidRDefault="00387A07" w:rsidP="00387A07">
      <w:pPr>
        <w:autoSpaceDE w:val="0"/>
        <w:autoSpaceDN w:val="0"/>
        <w:adjustRightInd w:val="0"/>
        <w:spacing w:after="0" w:line="360" w:lineRule="auto"/>
        <w:jc w:val="both"/>
        <w:rPr>
          <w:rFonts w:ascii="Arial" w:eastAsia="AdvTimes" w:hAnsi="Arial" w:cs="Arial"/>
          <w:color w:val="000000"/>
          <w:sz w:val="24"/>
          <w:szCs w:val="24"/>
        </w:rPr>
      </w:pPr>
      <w:r w:rsidRPr="00AA03FE">
        <w:rPr>
          <w:rFonts w:ascii="Arial" w:eastAsia="AdvTimes" w:hAnsi="Arial" w:cs="Arial"/>
          <w:color w:val="000000"/>
          <w:sz w:val="24"/>
          <w:szCs w:val="24"/>
        </w:rPr>
        <w:t xml:space="preserve">NPs Morphology was examined by scanning electron microscopy (SEM Leo Instruments). Particles were mounted on aluminium stabs and coated with gold, by using a sputter coater. The analysis was performed at a working distance of 10mm and a voltage of  20kV.  </w:t>
      </w:r>
    </w:p>
    <w:p w:rsidR="00387A07" w:rsidRPr="00AA03FE" w:rsidRDefault="00387A07" w:rsidP="00387A07">
      <w:pPr>
        <w:autoSpaceDE w:val="0"/>
        <w:autoSpaceDN w:val="0"/>
        <w:adjustRightInd w:val="0"/>
        <w:spacing w:before="240" w:after="240" w:line="360" w:lineRule="auto"/>
        <w:jc w:val="both"/>
        <w:rPr>
          <w:rFonts w:ascii="Arial" w:hAnsi="Arial" w:cs="Arial"/>
          <w:b/>
          <w:i/>
          <w:color w:val="000000"/>
          <w:sz w:val="24"/>
          <w:szCs w:val="24"/>
        </w:rPr>
      </w:pPr>
      <w:r w:rsidRPr="00AA03FE">
        <w:rPr>
          <w:rFonts w:ascii="Arial" w:hAnsi="Arial" w:cs="Arial"/>
          <w:b/>
          <w:i/>
          <w:color w:val="000000"/>
          <w:sz w:val="24"/>
          <w:szCs w:val="24"/>
          <w:lang w:val="en-US"/>
        </w:rPr>
        <w:t xml:space="preserve">3.2.7 Determination of </w:t>
      </w:r>
      <w:r w:rsidRPr="00AA03FE">
        <w:rPr>
          <w:rFonts w:ascii="Arial" w:hAnsi="Arial" w:cs="Arial"/>
          <w:b/>
          <w:i/>
          <w:color w:val="000000"/>
          <w:sz w:val="24"/>
          <w:szCs w:val="24"/>
        </w:rPr>
        <w:t>Paclitaxel loading and in vitro release profile</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The amount of encapsulated PX was quantified by using high performance liquid chromatography (HPLC, Agilent), equipped with a reversed phase Intertsil C18 column (150x4.6 mm, particles size 5µm).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5mg of nanoparticles were dissolved in 1ml DCM to extract the encapsulated drug. After DCM evaporation, the mobile phase (a mixture of acetonitrile and water in 50% volume ratio) was added. The solution was then filtered through a 0.45µm PVDF membrane before HPLC analysis.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The encapsulated drug was detected at an absorbance wavelength of 227nm by means of an UV/VIS detector. </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Drug encapsulation efficiency (EE) was determined as follows: </w:t>
      </w:r>
    </w:p>
    <w:p w:rsidR="00387A07" w:rsidRPr="00AA03FE" w:rsidRDefault="00387A07" w:rsidP="00387A07">
      <w:pPr>
        <w:autoSpaceDE w:val="0"/>
        <w:autoSpaceDN w:val="0"/>
        <w:adjustRightInd w:val="0"/>
        <w:spacing w:after="0" w:line="360" w:lineRule="auto"/>
        <w:jc w:val="center"/>
        <w:rPr>
          <w:rFonts w:ascii="Arial" w:hAnsi="Arial" w:cs="Arial"/>
          <w:color w:val="000000"/>
          <w:sz w:val="24"/>
          <w:szCs w:val="24"/>
        </w:rPr>
      </w:pPr>
      <m:oMathPara>
        <m:oMath>
          <m:r>
            <w:rPr>
              <w:rFonts w:ascii="Cambria Math" w:hAnsi="Cambria Math" w:cs="Arial"/>
              <w:color w:val="000000"/>
              <w:sz w:val="24"/>
              <w:szCs w:val="24"/>
            </w:rPr>
            <m:t>EE</m:t>
          </m:r>
          <m:r>
            <w:rPr>
              <w:rFonts w:ascii="Cambria Math" w:hAnsi="Arial" w:cs="Arial"/>
              <w:color w:val="000000"/>
              <w:sz w:val="24"/>
              <w:szCs w:val="24"/>
            </w:rPr>
            <m:t>%=</m:t>
          </m:r>
          <m:d>
            <m:dPr>
              <m:ctrlPr>
                <w:rPr>
                  <w:rFonts w:ascii="Cambria Math" w:hAnsi="Arial" w:cs="Arial"/>
                  <w:i/>
                  <w:color w:val="000000"/>
                  <w:sz w:val="24"/>
                  <w:szCs w:val="24"/>
                </w:rPr>
              </m:ctrlPr>
            </m:dPr>
            <m:e>
              <m:f>
                <m:fPr>
                  <m:ctrlPr>
                    <w:rPr>
                      <w:rFonts w:ascii="Cambria Math" w:hAnsi="Arial" w:cs="Arial"/>
                      <w:i/>
                      <w:color w:val="000000"/>
                      <w:sz w:val="24"/>
                      <w:szCs w:val="24"/>
                    </w:rPr>
                  </m:ctrlPr>
                </m:fPr>
                <m:num>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PXd</m:t>
                      </m:r>
                    </m:sub>
                  </m:sSub>
                </m:num>
                <m:den>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PXt</m:t>
                      </m:r>
                    </m:sub>
                  </m:sSub>
                </m:den>
              </m:f>
            </m:e>
          </m:d>
          <m:r>
            <w:rPr>
              <w:rFonts w:ascii="Cambria Math" w:hAnsi="Arial" w:cs="Arial"/>
              <w:color w:val="000000"/>
              <w:sz w:val="24"/>
              <w:szCs w:val="24"/>
            </w:rPr>
            <m:t>×</m:t>
          </m:r>
          <m:r>
            <w:rPr>
              <w:rFonts w:ascii="Cambria Math" w:hAnsi="Arial" w:cs="Arial"/>
              <w:color w:val="000000"/>
              <w:sz w:val="24"/>
              <w:szCs w:val="24"/>
            </w:rPr>
            <m:t>100              Eq.3.1</m:t>
          </m:r>
        </m:oMath>
      </m:oMathPara>
    </w:p>
    <w:p w:rsidR="00387A07" w:rsidRPr="00AA03FE" w:rsidRDefault="00387A07" w:rsidP="00387A07">
      <w:pPr>
        <w:autoSpaceDE w:val="0"/>
        <w:autoSpaceDN w:val="0"/>
        <w:adjustRightInd w:val="0"/>
        <w:spacing w:before="120" w:after="0" w:line="360" w:lineRule="auto"/>
        <w:jc w:val="both"/>
        <w:rPr>
          <w:rFonts w:ascii="Arial" w:hAnsi="Arial" w:cs="Arial"/>
          <w:color w:val="000000"/>
          <w:sz w:val="24"/>
          <w:szCs w:val="24"/>
        </w:rPr>
      </w:pPr>
      <w:r w:rsidRPr="00AA03FE">
        <w:rPr>
          <w:rFonts w:ascii="Arial" w:hAnsi="Arial" w:cs="Arial"/>
          <w:color w:val="000000"/>
          <w:sz w:val="24"/>
          <w:szCs w:val="24"/>
        </w:rPr>
        <w:t>Where, W</w:t>
      </w:r>
      <w:r w:rsidRPr="00AA03FE">
        <w:rPr>
          <w:rFonts w:ascii="Arial" w:hAnsi="Arial" w:cs="Arial"/>
          <w:color w:val="000000"/>
          <w:sz w:val="24"/>
          <w:szCs w:val="24"/>
          <w:vertAlign w:val="subscript"/>
        </w:rPr>
        <w:t xml:space="preserve">PXd </w:t>
      </w:r>
      <w:r w:rsidRPr="00AA03FE">
        <w:rPr>
          <w:rFonts w:ascii="Arial" w:hAnsi="Arial" w:cs="Arial"/>
          <w:color w:val="000000"/>
          <w:sz w:val="24"/>
          <w:szCs w:val="24"/>
        </w:rPr>
        <w:t>is the weight (mg) of drug detected by HPLC and W</w:t>
      </w:r>
      <w:r w:rsidRPr="00AA03FE">
        <w:rPr>
          <w:rFonts w:ascii="Arial" w:hAnsi="Arial" w:cs="Arial"/>
          <w:color w:val="000000"/>
          <w:sz w:val="24"/>
          <w:szCs w:val="24"/>
          <w:vertAlign w:val="subscript"/>
        </w:rPr>
        <w:t xml:space="preserve">PXt </w:t>
      </w:r>
      <w:r w:rsidRPr="00AA03FE">
        <w:rPr>
          <w:rFonts w:ascii="Arial" w:hAnsi="Arial" w:cs="Arial"/>
          <w:color w:val="000000"/>
          <w:sz w:val="24"/>
          <w:szCs w:val="24"/>
        </w:rPr>
        <w:t>is the theoretical amount of drug expected in 5mg of nanoparticles.</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lastRenderedPageBreak/>
        <w:t>For the determination of PX release profiles, 1mg of nanoparticles were accurately weighted, dispersed in 1ml distilled water and incubated at 37°C under constant shaking. The amount of drug released was measured daily for up to 4 days. At the predetermined time points, the solution was centrifuged at 10000 rpm for 15 minutes and the release medium was replaced with fresh water.</w:t>
      </w:r>
    </w:p>
    <w:p w:rsidR="00387A07" w:rsidRPr="00AA03FE" w:rsidRDefault="00387A07" w:rsidP="00387A07">
      <w:pPr>
        <w:autoSpaceDE w:val="0"/>
        <w:autoSpaceDN w:val="0"/>
        <w:adjustRightInd w:val="0"/>
        <w:spacing w:after="0" w:line="360" w:lineRule="auto"/>
        <w:jc w:val="both"/>
        <w:rPr>
          <w:rFonts w:ascii="Arial" w:hAnsi="Arial" w:cs="Arial"/>
          <w:color w:val="000000"/>
          <w:sz w:val="24"/>
          <w:szCs w:val="24"/>
        </w:rPr>
      </w:pPr>
      <w:r w:rsidRPr="00AA03FE">
        <w:rPr>
          <w:rFonts w:ascii="Arial" w:hAnsi="Arial" w:cs="Arial"/>
          <w:color w:val="000000"/>
          <w:sz w:val="24"/>
          <w:szCs w:val="24"/>
        </w:rPr>
        <w:t>The drug released in the supernatant was extracted by DCM and transferred in the mobile phase. The amount of released Paclitaxel was measured by HPLC, after evaporation of DCM. Samples were analyzed in triplicate.</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3.2.8 Cell culture</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SK-BR-3 breast cancer cells, which show high over-expression of Her2 receptor (3+), were cultured in RPMI-1640 media supplemented with 10% HI Foetal Bovine Serum (HI-FBS).</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MCF7 breast cancer cells, which show normal expression of HER2 were cultured in Minimum Essential Eagle Medium with Earle’s salts, l-glutamine and sodium bicarbonate containing 10% HI-FBS. Cells were propagated in 75cm</w:t>
      </w:r>
      <w:r w:rsidRPr="00AA03FE">
        <w:rPr>
          <w:rFonts w:ascii="Arial" w:hAnsi="Arial" w:cs="Arial"/>
          <w:color w:val="000000"/>
          <w:sz w:val="24"/>
          <w:szCs w:val="24"/>
          <w:vertAlign w:val="superscript"/>
        </w:rPr>
        <w:t xml:space="preserve">2 </w:t>
      </w:r>
      <w:r w:rsidRPr="00AA03FE">
        <w:rPr>
          <w:rFonts w:ascii="Arial" w:hAnsi="Arial" w:cs="Arial"/>
          <w:color w:val="000000"/>
          <w:sz w:val="24"/>
          <w:szCs w:val="24"/>
        </w:rPr>
        <w:t>tissue culture flasks, in humidified environment at 37°C with 5% CO</w:t>
      </w:r>
      <w:r w:rsidRPr="00AA03FE">
        <w:rPr>
          <w:rFonts w:ascii="Arial" w:hAnsi="Arial" w:cs="Arial"/>
          <w:color w:val="000000"/>
          <w:sz w:val="24"/>
          <w:szCs w:val="24"/>
          <w:vertAlign w:val="subscript"/>
        </w:rPr>
        <w:t>2</w:t>
      </w:r>
      <w:r w:rsidRPr="00AA03FE">
        <w:rPr>
          <w:rFonts w:ascii="Arial" w:hAnsi="Arial" w:cs="Arial"/>
          <w:color w:val="000000"/>
          <w:sz w:val="24"/>
          <w:szCs w:val="24"/>
        </w:rPr>
        <w:t>. Medium was changed every two days and cells were split at a ratio of 1:2 every 4 days when 90% confluence was reached.</w:t>
      </w:r>
    </w:p>
    <w:p w:rsidR="00387A07" w:rsidRPr="00AA03FE" w:rsidRDefault="00387A07" w:rsidP="00387A07">
      <w:pPr>
        <w:spacing w:before="240" w:after="240" w:line="360" w:lineRule="auto"/>
        <w:jc w:val="both"/>
        <w:rPr>
          <w:rFonts w:ascii="Arial" w:hAnsi="Arial" w:cs="Arial"/>
          <w:b/>
          <w:i/>
          <w:color w:val="000000"/>
          <w:sz w:val="24"/>
          <w:szCs w:val="24"/>
          <w:lang w:val="en-US"/>
        </w:rPr>
      </w:pPr>
      <w:r w:rsidRPr="00AA03FE">
        <w:rPr>
          <w:rFonts w:ascii="Arial" w:hAnsi="Arial" w:cs="Arial"/>
          <w:b/>
          <w:i/>
          <w:color w:val="000000"/>
          <w:sz w:val="24"/>
          <w:szCs w:val="24"/>
          <w:lang w:val="en-US"/>
        </w:rPr>
        <w:t>3.2.9 In vitro cellular uptake of Coumarin-6 loaded nanoparticles.</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For quantitative cellular uptake analysis, coumarin-6 (Sigma Aldrich) loaded nanoparticles were prepared, according to the protocol described in figure 3.2 by adding the dye (0,5% w/w with respect to the amount of polymer) in ethyl acetate. </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Cells were seeded into 24-well plates at </w:t>
      </w:r>
      <w:r w:rsidRPr="00AA03FE">
        <w:rPr>
          <w:rFonts w:ascii="Arial" w:hAnsi="Arial" w:cs="Arial"/>
          <w:sz w:val="24"/>
          <w:szCs w:val="24"/>
        </w:rPr>
        <w:t>5x10</w:t>
      </w:r>
      <w:r w:rsidRPr="00AA03FE">
        <w:rPr>
          <w:rFonts w:ascii="Arial" w:hAnsi="Arial" w:cs="Arial"/>
          <w:sz w:val="24"/>
          <w:szCs w:val="24"/>
          <w:vertAlign w:val="superscript"/>
        </w:rPr>
        <w:t xml:space="preserve">3 </w:t>
      </w:r>
      <w:r w:rsidRPr="00AA03FE">
        <w:rPr>
          <w:rFonts w:ascii="Arial" w:hAnsi="Arial" w:cs="Arial"/>
          <w:color w:val="000000"/>
          <w:sz w:val="24"/>
          <w:szCs w:val="24"/>
        </w:rPr>
        <w:t>cells/well and incubated for 2 days, after which 0.5 ml of coumarin-6 loaded nanoparticles suspension (1mg/ml) in sterile PBS were added to each well.</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 xml:space="preserve">After 2 hours of incubation the nanoparticles suspension in the testing wells was removed and cells were washed three times with sterile PBS to remove nanoparticles that were not internalized by cells. </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color w:val="000000"/>
          <w:sz w:val="24"/>
          <w:szCs w:val="24"/>
        </w:rPr>
        <w:t>The extent of cellular internalization was determined by flow cytometry. The experiment was carried out in triplicate.</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For confocal study, cells were seeded in the coverglass chamber and cultivated for 2 days. 0.5ml of coumarin-6 loaded nanoparticles suspension (1mg/ml) in sterile PBS were added to the cells and incubated for 2 hours. After incubation, cells were washed three times with </w:t>
      </w:r>
      <w:r w:rsidRPr="00AA03FE">
        <w:rPr>
          <w:rFonts w:ascii="Arial" w:hAnsi="Arial" w:cs="Arial"/>
          <w:sz w:val="24"/>
          <w:szCs w:val="24"/>
        </w:rPr>
        <w:lastRenderedPageBreak/>
        <w:t xml:space="preserve">sterile PBS and fixed with 70% ethanol for 20 minutes. The nuclei were then stained with Propidium Iodide (PI) for 20 minutes.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Cells were again washed thrice with PBS and observed at confocal laser scanning microscopy. </w:t>
      </w:r>
    </w:p>
    <w:p w:rsidR="00387A07" w:rsidRPr="00AA03FE" w:rsidRDefault="00387A07" w:rsidP="00387A07">
      <w:pPr>
        <w:spacing w:before="240" w:after="240" w:line="360" w:lineRule="auto"/>
        <w:jc w:val="both"/>
        <w:rPr>
          <w:rFonts w:ascii="Arial" w:hAnsi="Arial" w:cs="Arial"/>
          <w:b/>
          <w:sz w:val="24"/>
          <w:szCs w:val="24"/>
        </w:rPr>
      </w:pPr>
      <w:r w:rsidRPr="00AA03FE">
        <w:rPr>
          <w:rFonts w:ascii="Arial" w:hAnsi="Arial" w:cs="Arial"/>
          <w:b/>
          <w:sz w:val="24"/>
          <w:szCs w:val="24"/>
        </w:rPr>
        <w:t>3.2.10 In vitro cytotoxicity</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For cytotoxicity measurement, SKBR 3 cells were incubated in 96-well plates at 5x10</w:t>
      </w:r>
      <w:r w:rsidRPr="00AA03FE">
        <w:rPr>
          <w:rFonts w:ascii="Arial" w:hAnsi="Arial" w:cs="Arial"/>
          <w:sz w:val="24"/>
          <w:szCs w:val="24"/>
          <w:vertAlign w:val="superscript"/>
        </w:rPr>
        <w:t xml:space="preserve">3 </w:t>
      </w:r>
      <w:r w:rsidRPr="00AA03FE">
        <w:rPr>
          <w:rFonts w:ascii="Arial" w:hAnsi="Arial" w:cs="Arial"/>
          <w:sz w:val="24"/>
          <w:szCs w:val="24"/>
        </w:rPr>
        <w:t>cells/well. After 12 hours the medium was removed and replaced with a suspension of Herceptin-coated or non-coated nanoparticles in sterile PBS. All nanoparticles were sterilized by UV irradiation for 2 hours before use. The effect of three different doses (0.25 µg/ml, 1µg/ml and 2.5µg/ml) of Paclitaxel was investigated. After 24 hours of exposure, the particles suspension was removed and cell viability was assessed by MTS assay. The absorbance of the wells was read by the microplate reader at a wavelength of 490 nm. Cell viability is defined as the percentage of the absorbance of each well containing the nanoparticles suspension over that of the cells only.</w:t>
      </w:r>
    </w:p>
    <w:p w:rsidR="00387A07" w:rsidRPr="00AA03FE" w:rsidRDefault="00387A07" w:rsidP="00387A07">
      <w:pPr>
        <w:spacing w:before="240" w:after="240" w:line="360" w:lineRule="auto"/>
        <w:jc w:val="both"/>
        <w:rPr>
          <w:rFonts w:ascii="Arial" w:hAnsi="Arial" w:cs="Arial"/>
          <w:b/>
          <w:sz w:val="28"/>
          <w:szCs w:val="28"/>
        </w:rPr>
      </w:pPr>
      <w:r w:rsidRPr="00AA03FE">
        <w:rPr>
          <w:rFonts w:ascii="Arial" w:hAnsi="Arial" w:cs="Arial"/>
          <w:b/>
          <w:sz w:val="28"/>
          <w:szCs w:val="28"/>
        </w:rPr>
        <w:t>3.3 Results &amp; Discussion</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3.3.1 Polymer characterization</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3.3.1.1 ATR-FT-IR Analysis</w:t>
      </w:r>
    </w:p>
    <w:p w:rsidR="00387A07" w:rsidRPr="00AA03FE" w:rsidRDefault="00387A07" w:rsidP="00387A07">
      <w:pPr>
        <w:autoSpaceDE w:val="0"/>
        <w:autoSpaceDN w:val="0"/>
        <w:adjustRightInd w:val="0"/>
        <w:spacing w:after="0" w:line="360" w:lineRule="auto"/>
        <w:jc w:val="both"/>
        <w:rPr>
          <w:rFonts w:ascii="Arial" w:hAnsi="Arial" w:cs="Arial"/>
          <w:sz w:val="24"/>
          <w:szCs w:val="24"/>
          <w:lang w:val="en-US"/>
        </w:rPr>
      </w:pPr>
      <w:r w:rsidRPr="00AA03FE">
        <w:rPr>
          <w:rFonts w:ascii="Arial" w:hAnsi="Arial" w:cs="Arial"/>
          <w:bCs/>
          <w:sz w:val="24"/>
          <w:szCs w:val="24"/>
        </w:rPr>
        <w:t>A polyesterurethane was successfully synthesized</w:t>
      </w:r>
      <w:r w:rsidRPr="00AA03FE">
        <w:rPr>
          <w:rFonts w:ascii="Arial" w:hAnsi="Arial" w:cs="Arial"/>
          <w:b/>
          <w:bCs/>
          <w:sz w:val="24"/>
          <w:szCs w:val="24"/>
        </w:rPr>
        <w:t xml:space="preserve"> </w:t>
      </w:r>
      <w:r w:rsidRPr="00AA03FE">
        <w:rPr>
          <w:rFonts w:ascii="Arial" w:hAnsi="Arial" w:cs="Arial"/>
          <w:bCs/>
          <w:sz w:val="24"/>
          <w:szCs w:val="24"/>
        </w:rPr>
        <w:t xml:space="preserve">as confirmed by </w:t>
      </w:r>
      <w:r w:rsidRPr="00AA03FE">
        <w:rPr>
          <w:rFonts w:ascii="Arial" w:hAnsi="Arial" w:cs="Arial"/>
          <w:sz w:val="24"/>
          <w:szCs w:val="24"/>
          <w:lang w:val="en-US"/>
        </w:rPr>
        <w:t>Attenuated Total Reflectance Fourier Transform Infrared Spectroscopy</w:t>
      </w:r>
      <w:r w:rsidRPr="00AA03FE">
        <w:rPr>
          <w:rFonts w:ascii="Arial" w:hAnsi="Arial" w:cs="Arial"/>
          <w:bCs/>
          <w:sz w:val="24"/>
          <w:szCs w:val="24"/>
        </w:rPr>
        <w:t xml:space="preserve"> (</w:t>
      </w:r>
      <w:r w:rsidRPr="00AA03FE">
        <w:rPr>
          <w:rFonts w:ascii="Arial" w:hAnsi="Arial" w:cs="Arial"/>
          <w:sz w:val="24"/>
          <w:szCs w:val="24"/>
          <w:lang w:val="en-US"/>
        </w:rPr>
        <w:t>ATR-FT-IR -Perkin Elmer Spectrum 100 UATR KRS5), reported in figure 3.1. ATR-FT-IR shows the presence of the characteristic peaks at 1720 cm</w:t>
      </w:r>
      <w:r w:rsidRPr="00AA03FE">
        <w:rPr>
          <w:rFonts w:ascii="Arial" w:hAnsi="Arial" w:cs="Arial"/>
          <w:sz w:val="24"/>
          <w:szCs w:val="24"/>
          <w:vertAlign w:val="superscript"/>
          <w:lang w:val="en-US"/>
        </w:rPr>
        <w:t>-1</w:t>
      </w:r>
      <w:r w:rsidRPr="00AA03FE">
        <w:rPr>
          <w:rFonts w:ascii="Arial" w:hAnsi="Arial" w:cs="Arial"/>
          <w:sz w:val="24"/>
          <w:szCs w:val="24"/>
          <w:lang w:val="en-US"/>
        </w:rPr>
        <w:t>, 3330 cm</w:t>
      </w:r>
      <w:r w:rsidRPr="00AA03FE">
        <w:rPr>
          <w:rFonts w:ascii="Arial" w:hAnsi="Arial" w:cs="Arial"/>
          <w:sz w:val="24"/>
          <w:szCs w:val="24"/>
          <w:vertAlign w:val="superscript"/>
          <w:lang w:val="en-US"/>
        </w:rPr>
        <w:t>-1</w:t>
      </w:r>
      <w:r w:rsidRPr="00AA03FE">
        <w:rPr>
          <w:rFonts w:ascii="Arial" w:hAnsi="Arial" w:cs="Arial"/>
          <w:sz w:val="24"/>
          <w:szCs w:val="24"/>
          <w:lang w:val="en-US"/>
        </w:rPr>
        <w:t>, 1680 cm</w:t>
      </w:r>
      <w:r w:rsidRPr="00AA03FE">
        <w:rPr>
          <w:rFonts w:ascii="Arial" w:hAnsi="Arial" w:cs="Arial"/>
          <w:sz w:val="24"/>
          <w:szCs w:val="24"/>
          <w:vertAlign w:val="superscript"/>
          <w:lang w:val="en-US"/>
        </w:rPr>
        <w:t>-1</w:t>
      </w:r>
      <w:r w:rsidRPr="00AA03FE">
        <w:rPr>
          <w:rFonts w:ascii="Arial" w:hAnsi="Arial" w:cs="Arial"/>
          <w:sz w:val="24"/>
          <w:szCs w:val="24"/>
          <w:lang w:val="en-US"/>
        </w:rPr>
        <w:t xml:space="preserve"> and 1530 cm</w:t>
      </w:r>
      <w:r w:rsidRPr="00AA03FE">
        <w:rPr>
          <w:rFonts w:ascii="Arial" w:hAnsi="Arial" w:cs="Arial"/>
          <w:sz w:val="24"/>
          <w:szCs w:val="24"/>
          <w:vertAlign w:val="superscript"/>
          <w:lang w:val="en-US"/>
        </w:rPr>
        <w:t>-1</w:t>
      </w:r>
      <w:r w:rsidRPr="00AA03FE">
        <w:rPr>
          <w:rFonts w:ascii="Arial" w:hAnsi="Arial" w:cs="Arial"/>
          <w:sz w:val="24"/>
          <w:szCs w:val="24"/>
          <w:lang w:val="en-US"/>
        </w:rPr>
        <w:t>, associated with the absorption of the carbonyl of the ester groups, the urethane group and amide I and II respectively. The absorbance at 1160 cm</w:t>
      </w:r>
      <w:r w:rsidRPr="00AA03FE">
        <w:rPr>
          <w:rFonts w:ascii="Arial" w:hAnsi="Arial" w:cs="Arial"/>
          <w:sz w:val="24"/>
          <w:szCs w:val="24"/>
          <w:vertAlign w:val="superscript"/>
          <w:lang w:val="en-US"/>
        </w:rPr>
        <w:t>-1</w:t>
      </w:r>
      <w:r w:rsidRPr="00AA03FE">
        <w:rPr>
          <w:rFonts w:ascii="Arial" w:hAnsi="Arial" w:cs="Arial"/>
          <w:sz w:val="24"/>
          <w:szCs w:val="24"/>
          <w:lang w:val="en-US"/>
        </w:rPr>
        <w:t xml:space="preserve"> was attributed to C-O stretching in PCL. The conversion of isocyanates was quantitative as no diagnostic peaks of these groups were detected at 2200 cm</w:t>
      </w:r>
      <w:r w:rsidRPr="00AA03FE">
        <w:rPr>
          <w:rFonts w:ascii="Arial" w:hAnsi="Arial" w:cs="Arial"/>
          <w:sz w:val="24"/>
          <w:szCs w:val="24"/>
          <w:vertAlign w:val="superscript"/>
          <w:lang w:val="en-US"/>
        </w:rPr>
        <w:t>-1</w:t>
      </w:r>
      <w:r w:rsidRPr="00AA03FE">
        <w:rPr>
          <w:rFonts w:ascii="Arial" w:hAnsi="Arial" w:cs="Arial"/>
          <w:sz w:val="24"/>
          <w:szCs w:val="24"/>
          <w:lang w:val="en-US"/>
        </w:rPr>
        <w:t xml:space="preserve">. </w:t>
      </w:r>
    </w:p>
    <w:p w:rsidR="00387A07" w:rsidRPr="00AA03FE" w:rsidRDefault="00387A07" w:rsidP="00387A07">
      <w:pPr>
        <w:spacing w:line="360" w:lineRule="auto"/>
        <w:jc w:val="center"/>
        <w:rPr>
          <w:rFonts w:ascii="Arial" w:hAnsi="Arial" w:cs="Arial"/>
          <w:b/>
          <w:sz w:val="24"/>
          <w:szCs w:val="24"/>
        </w:rPr>
      </w:pPr>
      <w:r w:rsidRPr="00AA03FE">
        <w:rPr>
          <w:rFonts w:ascii="Arial" w:hAnsi="Arial" w:cs="Arial"/>
          <w:b/>
          <w:noProof/>
          <w:sz w:val="24"/>
          <w:szCs w:val="24"/>
          <w:lang w:val="it-IT" w:eastAsia="it-IT"/>
        </w:rPr>
        <w:lastRenderedPageBreak/>
        <w:drawing>
          <wp:inline distT="0" distB="0" distL="0" distR="0">
            <wp:extent cx="5093396" cy="3053596"/>
            <wp:effectExtent l="0" t="0" r="0" b="0"/>
            <wp:docPr id="129" name="Immagine 10" descr="IR C BC 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 C BC 2000.png"/>
                    <pic:cNvPicPr/>
                  </pic:nvPicPr>
                  <pic:blipFill>
                    <a:blip r:embed="rId42"/>
                    <a:stretch>
                      <a:fillRect/>
                    </a:stretch>
                  </pic:blipFill>
                  <pic:spPr>
                    <a:xfrm>
                      <a:off x="0" y="0"/>
                      <a:ext cx="5099397" cy="3057194"/>
                    </a:xfrm>
                    <a:prstGeom prst="rect">
                      <a:avLst/>
                    </a:prstGeom>
                  </pic:spPr>
                </pic:pic>
              </a:graphicData>
            </a:graphic>
          </wp:inline>
        </w:drawing>
      </w:r>
    </w:p>
    <w:p w:rsidR="00387A07" w:rsidRPr="00AA03FE" w:rsidRDefault="00387A07" w:rsidP="00387A07">
      <w:pPr>
        <w:spacing w:line="360" w:lineRule="auto"/>
        <w:jc w:val="center"/>
        <w:rPr>
          <w:rFonts w:ascii="Arial" w:hAnsi="Arial" w:cs="Arial"/>
          <w:b/>
          <w:sz w:val="24"/>
          <w:szCs w:val="24"/>
        </w:rPr>
      </w:pPr>
      <w:r w:rsidRPr="00AA03FE">
        <w:rPr>
          <w:rFonts w:ascii="Arial" w:hAnsi="Arial" w:cs="Arial"/>
          <w:b/>
          <w:noProof/>
          <w:sz w:val="24"/>
          <w:szCs w:val="24"/>
          <w:lang w:val="it-IT" w:eastAsia="it-IT"/>
        </w:rPr>
        <w:drawing>
          <wp:inline distT="0" distB="0" distL="0" distR="0">
            <wp:extent cx="4784965" cy="2572300"/>
            <wp:effectExtent l="0" t="0" r="0" b="0"/>
            <wp:docPr id="130" name="Immagine 17" descr="IR NS BC 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 NS BC 2000.png"/>
                    <pic:cNvPicPr/>
                  </pic:nvPicPr>
                  <pic:blipFill>
                    <a:blip r:embed="rId43"/>
                    <a:stretch>
                      <a:fillRect/>
                    </a:stretch>
                  </pic:blipFill>
                  <pic:spPr>
                    <a:xfrm>
                      <a:off x="0" y="0"/>
                      <a:ext cx="4784965" cy="2572300"/>
                    </a:xfrm>
                    <a:prstGeom prst="rect">
                      <a:avLst/>
                    </a:prstGeom>
                  </pic:spPr>
                </pic:pic>
              </a:graphicData>
            </a:graphic>
          </wp:inline>
        </w:drawing>
      </w:r>
    </w:p>
    <w:p w:rsidR="00387A07" w:rsidRPr="00AA03FE" w:rsidRDefault="00387A07" w:rsidP="00387A07">
      <w:pPr>
        <w:pStyle w:val="Didascalia"/>
        <w:rPr>
          <w:rFonts w:ascii="Arial" w:hAnsi="Arial" w:cs="Arial"/>
          <w:b w:val="0"/>
          <w:sz w:val="24"/>
          <w:szCs w:val="24"/>
        </w:rPr>
      </w:pPr>
      <w:r w:rsidRPr="00AA03FE">
        <w:t>Figure 3.</w:t>
      </w:r>
      <w:fldSimple w:instr=" SEQ Figure \* ARABIC ">
        <w:r w:rsidRPr="00AA03FE">
          <w:rPr>
            <w:noProof/>
          </w:rPr>
          <w:t>1</w:t>
        </w:r>
      </w:fldSimple>
      <w:r w:rsidRPr="00AA03FE">
        <w:t xml:space="preserve"> ATR-FT-IR Analysis of the polyurethanes C-BC2000 and NS-.BC2000. The characteristic peaks identified are labelled in red. </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3.3.1.2 GPC analysis</w:t>
      </w:r>
    </w:p>
    <w:p w:rsidR="00387A07" w:rsidRPr="00AA03FE" w:rsidRDefault="00387A07" w:rsidP="00387A07">
      <w:pPr>
        <w:spacing w:line="360" w:lineRule="auto"/>
        <w:jc w:val="both"/>
        <w:rPr>
          <w:rFonts w:ascii="Arial" w:hAnsi="Arial" w:cs="Arial"/>
          <w:sz w:val="24"/>
          <w:szCs w:val="24"/>
        </w:rPr>
      </w:pPr>
      <w:r w:rsidRPr="00AA03FE">
        <w:rPr>
          <w:rFonts w:ascii="Arial" w:hAnsi="Arial" w:cs="Arial"/>
          <w:sz w:val="24"/>
          <w:szCs w:val="24"/>
        </w:rPr>
        <w:t xml:space="preserve">The average number molecular weight (g/mol), the weight average molecular weight (g/mol) and the polydispersity </w:t>
      </w:r>
      <m:oMath>
        <m:acc>
          <m:accPr>
            <m:chr m:val="̅"/>
            <m:ctrlPr>
              <w:rPr>
                <w:rFonts w:ascii="Cambria Math" w:hAnsi="Cambria Math" w:cs="Arial"/>
                <w:i/>
                <w:sz w:val="24"/>
                <w:szCs w:val="24"/>
              </w:rPr>
            </m:ctrlPr>
          </m:accPr>
          <m:e>
            <m:r>
              <w:rPr>
                <w:rFonts w:ascii="Cambria Math" w:hAnsi="Cambria Math" w:cs="Arial"/>
                <w:sz w:val="24"/>
                <w:szCs w:val="24"/>
              </w:rPr>
              <m:t>M</m:t>
            </m:r>
          </m:e>
        </m:acc>
        <m:r>
          <w:rPr>
            <w:rFonts w:ascii="Cambria Math" w:hAnsi="Cambria Math" w:cs="Arial"/>
            <w:sz w:val="24"/>
            <w:szCs w:val="24"/>
            <w:vertAlign w:val="subscript"/>
          </w:rPr>
          <m:t>w</m:t>
        </m:r>
        <m:r>
          <w:rPr>
            <w:rFonts w:ascii="Cambria Math" w:hAnsi="Cambria Math" w:cs="Arial"/>
            <w:sz w:val="24"/>
            <w:szCs w:val="24"/>
          </w:rPr>
          <m:t>/</m:t>
        </m:r>
        <m:acc>
          <m:accPr>
            <m:chr m:val="̅"/>
            <m:ctrlPr>
              <w:rPr>
                <w:rFonts w:ascii="Cambria Math" w:hAnsi="Cambria Math" w:cs="Arial"/>
                <w:i/>
                <w:sz w:val="24"/>
                <w:szCs w:val="24"/>
              </w:rPr>
            </m:ctrlPr>
          </m:accPr>
          <m:e>
            <m:r>
              <w:rPr>
                <w:rFonts w:ascii="Cambria Math" w:hAnsi="Cambria Math" w:cs="Arial"/>
                <w:sz w:val="24"/>
                <w:szCs w:val="24"/>
              </w:rPr>
              <m:t>M</m:t>
            </m:r>
          </m:e>
        </m:acc>
        <m:r>
          <w:rPr>
            <w:rFonts w:ascii="Cambria Math" w:hAnsi="Cambria Math" w:cs="Arial"/>
            <w:sz w:val="24"/>
            <w:szCs w:val="24"/>
            <w:vertAlign w:val="subscript"/>
          </w:rPr>
          <m:t>n</m:t>
        </m:r>
      </m:oMath>
      <w:r w:rsidRPr="00AA03FE">
        <w:rPr>
          <w:rFonts w:ascii="Arial" w:hAnsi="Arial" w:cs="Arial"/>
          <w:sz w:val="24"/>
          <w:szCs w:val="24"/>
        </w:rPr>
        <w:t xml:space="preserve"> of the polymers, assessed by Size Exclusion Chromatography, are summarized in table 3.2.</w:t>
      </w:r>
    </w:p>
    <w:tbl>
      <w:tblPr>
        <w:tblStyle w:val="Grigliatabella"/>
        <w:tblW w:w="0" w:type="auto"/>
        <w:jc w:val="center"/>
        <w:tblBorders>
          <w:bottom w:val="single" w:sz="4" w:space="0" w:color="auto"/>
          <w:insideH w:val="none" w:sz="0" w:space="0" w:color="auto"/>
          <w:insideV w:val="none" w:sz="0" w:space="0" w:color="auto"/>
        </w:tblBorders>
        <w:shd w:val="clear" w:color="auto" w:fill="F2F2F2" w:themeFill="background1" w:themeFillShade="F2"/>
        <w:tblLook w:val="04A0"/>
      </w:tblPr>
      <w:tblGrid>
        <w:gridCol w:w="1101"/>
        <w:gridCol w:w="1417"/>
        <w:gridCol w:w="1701"/>
      </w:tblGrid>
      <w:tr w:rsidR="00387A07" w:rsidRPr="00AA03FE" w:rsidTr="00387A07">
        <w:trPr>
          <w:trHeight w:val="283"/>
          <w:jc w:val="center"/>
        </w:trPr>
        <w:tc>
          <w:tcPr>
            <w:tcW w:w="1101" w:type="dxa"/>
            <w:tcBorders>
              <w:top w:val="single" w:sz="4" w:space="0" w:color="000000" w:themeColor="text1"/>
              <w:left w:val="nil"/>
              <w:bottom w:val="single" w:sz="4" w:space="0" w:color="auto"/>
              <w:right w:val="nil"/>
            </w:tcBorders>
            <w:shd w:val="clear" w:color="auto" w:fill="F2F2F2" w:themeFill="background1" w:themeFillShade="F2"/>
          </w:tcPr>
          <w:p w:rsidR="00387A07" w:rsidRPr="00AA03FE" w:rsidRDefault="00387A07" w:rsidP="00387A07">
            <w:pPr>
              <w:jc w:val="center"/>
              <w:rPr>
                <w:rFonts w:cs="Arial"/>
                <w:b/>
              </w:rPr>
            </w:pPr>
          </w:p>
        </w:tc>
        <w:tc>
          <w:tcPr>
            <w:tcW w:w="1417" w:type="dxa"/>
            <w:tcBorders>
              <w:top w:val="single" w:sz="4" w:space="0" w:color="000000" w:themeColor="text1"/>
              <w:left w:val="nil"/>
              <w:bottom w:val="single" w:sz="4" w:space="0" w:color="auto"/>
              <w:right w:val="nil"/>
            </w:tcBorders>
            <w:shd w:val="clear" w:color="auto" w:fill="F2F2F2" w:themeFill="background1" w:themeFillShade="F2"/>
          </w:tcPr>
          <w:p w:rsidR="00387A07" w:rsidRPr="00AA03FE" w:rsidRDefault="00387A07" w:rsidP="00387A07">
            <w:pPr>
              <w:jc w:val="center"/>
              <w:rPr>
                <w:rFonts w:cs="Arial"/>
                <w:b/>
              </w:rPr>
            </w:pPr>
            <w:r w:rsidRPr="00AA03FE">
              <w:rPr>
                <w:rFonts w:cs="Arial"/>
                <w:b/>
              </w:rPr>
              <w:t>C-BC2000</w:t>
            </w:r>
          </w:p>
        </w:tc>
        <w:tc>
          <w:tcPr>
            <w:tcW w:w="1701" w:type="dxa"/>
            <w:tcBorders>
              <w:top w:val="single" w:sz="4" w:space="0" w:color="000000" w:themeColor="text1"/>
              <w:left w:val="nil"/>
              <w:bottom w:val="single" w:sz="4" w:space="0" w:color="auto"/>
              <w:right w:val="nil"/>
            </w:tcBorders>
            <w:shd w:val="clear" w:color="auto" w:fill="F2F2F2" w:themeFill="background1" w:themeFillShade="F2"/>
          </w:tcPr>
          <w:p w:rsidR="00387A07" w:rsidRPr="00AA03FE" w:rsidRDefault="00387A07" w:rsidP="00387A07">
            <w:pPr>
              <w:jc w:val="center"/>
              <w:rPr>
                <w:rFonts w:cs="Arial"/>
                <w:b/>
              </w:rPr>
            </w:pPr>
            <w:r w:rsidRPr="00AA03FE">
              <w:rPr>
                <w:rFonts w:cs="Arial"/>
                <w:b/>
              </w:rPr>
              <w:t>NS-BC2000</w:t>
            </w:r>
          </w:p>
        </w:tc>
      </w:tr>
      <w:tr w:rsidR="00387A07" w:rsidRPr="00AA03FE" w:rsidTr="00387A07">
        <w:trPr>
          <w:trHeight w:val="283"/>
          <w:jc w:val="center"/>
        </w:trPr>
        <w:tc>
          <w:tcPr>
            <w:tcW w:w="1101" w:type="dxa"/>
            <w:tcBorders>
              <w:top w:val="single" w:sz="4" w:space="0" w:color="auto"/>
              <w:left w:val="nil"/>
              <w:bottom w:val="nil"/>
              <w:right w:val="nil"/>
            </w:tcBorders>
            <w:shd w:val="clear" w:color="auto" w:fill="F2F2F2" w:themeFill="background1" w:themeFillShade="F2"/>
          </w:tcPr>
          <w:p w:rsidR="00387A07" w:rsidRPr="00AA03FE" w:rsidRDefault="00860AC7" w:rsidP="00387A07">
            <w:pPr>
              <w:jc w:val="center"/>
              <w:rPr>
                <w:rFonts w:cs="Arial"/>
                <w:b/>
                <w:vertAlign w:val="subscript"/>
              </w:rPr>
            </w:pPr>
            <m:oMath>
              <m:acc>
                <m:accPr>
                  <m:chr m:val="̅"/>
                  <m:ctrlPr>
                    <w:rPr>
                      <w:rFonts w:ascii="Cambria Math" w:hAnsi="Cambria Math" w:cs="Arial"/>
                      <w:b/>
                      <w:sz w:val="24"/>
                      <w:szCs w:val="24"/>
                    </w:rPr>
                  </m:ctrlPr>
                </m:accPr>
                <m:e>
                  <m:r>
                    <m:rPr>
                      <m:sty m:val="b"/>
                    </m:rPr>
                    <w:rPr>
                      <w:rFonts w:ascii="Cambria Math" w:hAnsi="Cambria Math" w:cs="Arial"/>
                      <w:sz w:val="24"/>
                      <w:szCs w:val="24"/>
                    </w:rPr>
                    <m:t>M</m:t>
                  </m:r>
                </m:e>
              </m:acc>
            </m:oMath>
            <w:r w:rsidR="00387A07" w:rsidRPr="00AA03FE">
              <w:rPr>
                <w:rFonts w:cs="Arial"/>
                <w:b/>
                <w:vertAlign w:val="subscript"/>
              </w:rPr>
              <w:t>n</w:t>
            </w:r>
          </w:p>
        </w:tc>
        <w:tc>
          <w:tcPr>
            <w:tcW w:w="1417" w:type="dxa"/>
            <w:tcBorders>
              <w:top w:val="single" w:sz="4" w:space="0" w:color="auto"/>
              <w:left w:val="nil"/>
              <w:bottom w:val="nil"/>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10500</w:t>
            </w:r>
          </w:p>
        </w:tc>
        <w:tc>
          <w:tcPr>
            <w:tcW w:w="1701" w:type="dxa"/>
            <w:tcBorders>
              <w:top w:val="single" w:sz="4" w:space="0" w:color="auto"/>
              <w:left w:val="nil"/>
              <w:bottom w:val="nil"/>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38000</w:t>
            </w:r>
          </w:p>
        </w:tc>
      </w:tr>
      <w:tr w:rsidR="00387A07" w:rsidRPr="00AA03FE" w:rsidTr="00387A07">
        <w:trPr>
          <w:trHeight w:val="283"/>
          <w:jc w:val="center"/>
        </w:trPr>
        <w:tc>
          <w:tcPr>
            <w:tcW w:w="1101" w:type="dxa"/>
            <w:tcBorders>
              <w:top w:val="nil"/>
              <w:left w:val="nil"/>
              <w:bottom w:val="nil"/>
              <w:right w:val="nil"/>
            </w:tcBorders>
            <w:shd w:val="clear" w:color="auto" w:fill="F2F2F2" w:themeFill="background1" w:themeFillShade="F2"/>
          </w:tcPr>
          <w:p w:rsidR="00387A07" w:rsidRPr="00AA03FE" w:rsidRDefault="00860AC7" w:rsidP="00387A07">
            <w:pPr>
              <w:jc w:val="center"/>
              <w:rPr>
                <w:rFonts w:cs="Arial"/>
                <w:b/>
                <w:vertAlign w:val="subscript"/>
              </w:rPr>
            </w:pPr>
            <m:oMathPara>
              <m:oMath>
                <m:sSub>
                  <m:sSubPr>
                    <m:ctrlPr>
                      <w:rPr>
                        <w:rFonts w:ascii="Cambria Math" w:hAnsi="Cambria Math" w:cs="Arial"/>
                        <w:b/>
                        <w:sz w:val="24"/>
                        <w:szCs w:val="24"/>
                      </w:rPr>
                    </m:ctrlPr>
                  </m:sSubPr>
                  <m:e>
                    <m:acc>
                      <m:accPr>
                        <m:chr m:val="̅"/>
                        <m:ctrlPr>
                          <w:rPr>
                            <w:rFonts w:ascii="Cambria Math" w:hAnsi="Cambria Math" w:cs="Arial"/>
                            <w:b/>
                            <w:sz w:val="24"/>
                            <w:szCs w:val="24"/>
                          </w:rPr>
                        </m:ctrlPr>
                      </m:accPr>
                      <m:e>
                        <m:r>
                          <m:rPr>
                            <m:sty m:val="b"/>
                          </m:rPr>
                          <w:rPr>
                            <w:rFonts w:ascii="Cambria Math" w:hAnsi="Cambria Math" w:cs="Arial"/>
                            <w:sz w:val="24"/>
                            <w:szCs w:val="24"/>
                          </w:rPr>
                          <m:t>M</m:t>
                        </m:r>
                      </m:e>
                    </m:acc>
                  </m:e>
                  <m:sub>
                    <m:r>
                      <m:rPr>
                        <m:sty m:val="b"/>
                      </m:rPr>
                      <w:rPr>
                        <w:rFonts w:ascii="Cambria Math" w:hAnsi="Cambria Math" w:cs="Arial"/>
                        <w:sz w:val="24"/>
                        <w:szCs w:val="24"/>
                      </w:rPr>
                      <m:t>w</m:t>
                    </m:r>
                  </m:sub>
                </m:sSub>
              </m:oMath>
            </m:oMathPara>
          </w:p>
        </w:tc>
        <w:tc>
          <w:tcPr>
            <w:tcW w:w="1417"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170000</w:t>
            </w:r>
          </w:p>
        </w:tc>
        <w:tc>
          <w:tcPr>
            <w:tcW w:w="1701"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61600</w:t>
            </w:r>
          </w:p>
        </w:tc>
      </w:tr>
      <w:tr w:rsidR="00387A07" w:rsidRPr="00AA03FE" w:rsidTr="00387A07">
        <w:trPr>
          <w:trHeight w:val="283"/>
          <w:jc w:val="center"/>
        </w:trPr>
        <w:tc>
          <w:tcPr>
            <w:tcW w:w="1101" w:type="dxa"/>
            <w:tcBorders>
              <w:top w:val="nil"/>
              <w:left w:val="nil"/>
              <w:bottom w:val="single" w:sz="4" w:space="0" w:color="auto"/>
              <w:right w:val="nil"/>
            </w:tcBorders>
            <w:shd w:val="clear" w:color="auto" w:fill="F2F2F2" w:themeFill="background1" w:themeFillShade="F2"/>
          </w:tcPr>
          <w:p w:rsidR="00387A07" w:rsidRPr="00AA03FE" w:rsidRDefault="00860AC7" w:rsidP="00387A07">
            <w:pPr>
              <w:jc w:val="center"/>
              <w:rPr>
                <w:rFonts w:cs="Arial"/>
                <w:b/>
              </w:rPr>
            </w:pPr>
            <m:oMath>
              <m:acc>
                <m:accPr>
                  <m:chr m:val="̅"/>
                  <m:ctrlPr>
                    <w:rPr>
                      <w:rFonts w:ascii="Cambria Math" w:hAnsi="Cambria Math" w:cs="Arial"/>
                      <w:b/>
                      <w:sz w:val="24"/>
                      <w:szCs w:val="24"/>
                    </w:rPr>
                  </m:ctrlPr>
                </m:accPr>
                <m:e>
                  <m:r>
                    <m:rPr>
                      <m:sty m:val="b"/>
                    </m:rPr>
                    <w:rPr>
                      <w:rFonts w:ascii="Cambria Math" w:hAnsi="Cambria Math" w:cs="Arial"/>
                      <w:sz w:val="24"/>
                      <w:szCs w:val="24"/>
                    </w:rPr>
                    <m:t>M</m:t>
                  </m:r>
                </m:e>
              </m:acc>
            </m:oMath>
            <w:r w:rsidR="00387A07" w:rsidRPr="00AA03FE">
              <w:rPr>
                <w:rFonts w:cs="Arial"/>
                <w:b/>
                <w:vertAlign w:val="subscript"/>
              </w:rPr>
              <w:t>w</w:t>
            </w:r>
            <w:r w:rsidR="00387A07" w:rsidRPr="00AA03FE">
              <w:rPr>
                <w:rFonts w:cs="Arial"/>
                <w:b/>
              </w:rPr>
              <w:t>/</w:t>
            </w:r>
            <m:oMath>
              <m:acc>
                <m:accPr>
                  <m:chr m:val="̅"/>
                  <m:ctrlPr>
                    <w:rPr>
                      <w:rFonts w:ascii="Cambria Math" w:hAnsi="Cambria Math" w:cs="Arial"/>
                      <w:b/>
                      <w:sz w:val="24"/>
                      <w:szCs w:val="24"/>
                    </w:rPr>
                  </m:ctrlPr>
                </m:accPr>
                <m:e>
                  <m:r>
                    <m:rPr>
                      <m:sty m:val="b"/>
                    </m:rPr>
                    <w:rPr>
                      <w:rFonts w:ascii="Cambria Math" w:hAnsi="Cambria Math" w:cs="Arial"/>
                      <w:sz w:val="24"/>
                      <w:szCs w:val="24"/>
                    </w:rPr>
                    <m:t>M</m:t>
                  </m:r>
                </m:e>
              </m:acc>
            </m:oMath>
            <w:r w:rsidR="00387A07" w:rsidRPr="00AA03FE">
              <w:rPr>
                <w:rFonts w:cs="Arial"/>
                <w:b/>
                <w:vertAlign w:val="subscript"/>
              </w:rPr>
              <w:t>n</w:t>
            </w:r>
          </w:p>
        </w:tc>
        <w:tc>
          <w:tcPr>
            <w:tcW w:w="1417" w:type="dxa"/>
            <w:tcBorders>
              <w:top w:val="nil"/>
              <w:left w:val="nil"/>
              <w:bottom w:val="single" w:sz="4" w:space="0" w:color="auto"/>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1.6</w:t>
            </w:r>
          </w:p>
        </w:tc>
        <w:tc>
          <w:tcPr>
            <w:tcW w:w="1701" w:type="dxa"/>
            <w:tcBorders>
              <w:top w:val="nil"/>
              <w:left w:val="nil"/>
              <w:bottom w:val="single" w:sz="4" w:space="0" w:color="auto"/>
              <w:right w:val="nil"/>
            </w:tcBorders>
            <w:shd w:val="clear" w:color="auto" w:fill="F2F2F2" w:themeFill="background1" w:themeFillShade="F2"/>
          </w:tcPr>
          <w:p w:rsidR="00387A07" w:rsidRPr="00AA03FE" w:rsidRDefault="00387A07" w:rsidP="00387A07">
            <w:pPr>
              <w:jc w:val="center"/>
              <w:rPr>
                <w:rFonts w:cs="Arial"/>
              </w:rPr>
            </w:pPr>
            <w:r w:rsidRPr="00AA03FE">
              <w:rPr>
                <w:rFonts w:cs="Arial"/>
              </w:rPr>
              <w:t>1.6</w:t>
            </w:r>
          </w:p>
        </w:tc>
      </w:tr>
    </w:tbl>
    <w:p w:rsidR="00387A07" w:rsidRPr="00AA03FE" w:rsidRDefault="00387A07" w:rsidP="00387A07">
      <w:pPr>
        <w:pStyle w:val="Didascalia"/>
        <w:spacing w:before="120"/>
        <w:rPr>
          <w:rFonts w:ascii="Arial" w:hAnsi="Arial" w:cs="Arial"/>
          <w:sz w:val="24"/>
          <w:szCs w:val="24"/>
        </w:rPr>
      </w:pPr>
      <w:r w:rsidRPr="00AA03FE">
        <w:t xml:space="preserve">Table 3. </w:t>
      </w:r>
      <w:fldSimple w:instr=" SEQ Table_3. \* ARABIC ">
        <w:r w:rsidRPr="00AA03FE">
          <w:rPr>
            <w:noProof/>
          </w:rPr>
          <w:t>2</w:t>
        </w:r>
      </w:fldSimple>
      <w:r w:rsidRPr="00AA03FE">
        <w:t xml:space="preserve"> Results from SEC analysis of C-BC2000 and NS-BC2000</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lastRenderedPageBreak/>
        <w:t>3.3.2 Preparation of nanoparticles</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3.3.2.1 Optimization of the protocol</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3.3.2.1.1 Effect of PVA concentration and homogenization speed.</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According to the protocol described in section 3.2.4, PLGA nanoparticles were prepared by selecting different concentrations of the emulsifier in the internal and external phase and by changing the homogenization speed. NaCl was used as washing medium to remove residual PVA.</w:t>
      </w:r>
    </w:p>
    <w:p w:rsidR="00387A07" w:rsidRPr="00AA03FE" w:rsidRDefault="00387A07" w:rsidP="00387A07">
      <w:pPr>
        <w:spacing w:after="120" w:line="360" w:lineRule="auto"/>
        <w:jc w:val="both"/>
        <w:rPr>
          <w:rFonts w:ascii="Arial" w:hAnsi="Arial" w:cs="Arial"/>
          <w:bCs/>
          <w:sz w:val="24"/>
          <w:szCs w:val="24"/>
        </w:rPr>
      </w:pPr>
      <w:r w:rsidRPr="00AA03FE">
        <w:rPr>
          <w:rFonts w:ascii="Arial" w:hAnsi="Arial" w:cs="Arial"/>
          <w:bCs/>
          <w:sz w:val="24"/>
          <w:szCs w:val="24"/>
        </w:rPr>
        <w:t>The size, PDI and zeta potential of all PLGA nanoparticles are reported in table 3.3.</w:t>
      </w:r>
    </w:p>
    <w:tbl>
      <w:tblPr>
        <w:tblStyle w:val="Grigliatabella"/>
        <w:tblW w:w="9015"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tblPr>
      <w:tblGrid>
        <w:gridCol w:w="946"/>
        <w:gridCol w:w="1361"/>
        <w:gridCol w:w="1361"/>
        <w:gridCol w:w="1434"/>
        <w:gridCol w:w="1191"/>
        <w:gridCol w:w="1247"/>
        <w:gridCol w:w="1475"/>
      </w:tblGrid>
      <w:tr w:rsidR="00387A07" w:rsidRPr="00AA03FE" w:rsidTr="00387A07">
        <w:trPr>
          <w:trHeight w:val="300"/>
          <w:jc w:val="center"/>
        </w:trPr>
        <w:tc>
          <w:tcPr>
            <w:tcW w:w="946"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Sample</w:t>
            </w:r>
          </w:p>
        </w:tc>
        <w:tc>
          <w:tcPr>
            <w:tcW w:w="1361"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Arial"/>
                <w:b/>
              </w:rPr>
            </w:pPr>
            <w:r w:rsidRPr="00AA03FE">
              <w:rPr>
                <w:rFonts w:cs="Arial"/>
                <w:b/>
              </w:rPr>
              <w:t>PVA in</w:t>
            </w:r>
          </w:p>
          <w:p w:rsidR="00387A07" w:rsidRPr="00AA03FE" w:rsidRDefault="00387A07" w:rsidP="00387A07">
            <w:pPr>
              <w:jc w:val="center"/>
              <w:rPr>
                <w:rFonts w:cs="Arial"/>
                <w:b/>
                <w:color w:val="000000"/>
                <w:lang w:eastAsia="it-IT"/>
              </w:rPr>
            </w:pPr>
            <w:r w:rsidRPr="00AA03FE">
              <w:rPr>
                <w:rFonts w:cs="Arial"/>
                <w:b/>
              </w:rPr>
              <w:t>internal phase (w/v)</w:t>
            </w:r>
          </w:p>
        </w:tc>
        <w:tc>
          <w:tcPr>
            <w:tcW w:w="1361"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Arial"/>
                <w:b/>
                <w:color w:val="000000"/>
                <w:lang w:eastAsia="it-IT"/>
              </w:rPr>
            </w:pPr>
            <w:r w:rsidRPr="00AA03FE">
              <w:rPr>
                <w:rFonts w:cs="Arial"/>
                <w:b/>
              </w:rPr>
              <w:t>PVA in external phase (w/v)</w:t>
            </w:r>
          </w:p>
        </w:tc>
        <w:tc>
          <w:tcPr>
            <w:tcW w:w="1434"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Arial"/>
                <w:b/>
                <w:color w:val="000000"/>
                <w:lang w:eastAsia="it-IT"/>
              </w:rPr>
            </w:pPr>
            <w:r w:rsidRPr="00AA03FE">
              <w:rPr>
                <w:rFonts w:cs="Arial"/>
                <w:b/>
                <w:color w:val="000000"/>
                <w:lang w:eastAsia="it-IT"/>
              </w:rPr>
              <w:t>Homogenizer speed (rpm)</w:t>
            </w:r>
          </w:p>
        </w:tc>
        <w:tc>
          <w:tcPr>
            <w:tcW w:w="1191"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Size  (nm)</w:t>
            </w:r>
          </w:p>
        </w:tc>
        <w:tc>
          <w:tcPr>
            <w:tcW w:w="1247"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PDI</w:t>
            </w:r>
          </w:p>
        </w:tc>
        <w:tc>
          <w:tcPr>
            <w:tcW w:w="1475"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Zeta Potential</w:t>
            </w:r>
          </w:p>
          <w:p w:rsidR="00387A07" w:rsidRPr="00AA03FE" w:rsidRDefault="00387A07" w:rsidP="00387A07">
            <w:pPr>
              <w:jc w:val="center"/>
              <w:rPr>
                <w:rFonts w:cs="Arial"/>
                <w:b/>
                <w:color w:val="000000"/>
                <w:lang w:eastAsia="it-IT"/>
              </w:rPr>
            </w:pPr>
            <w:r w:rsidRPr="00AA03FE">
              <w:rPr>
                <w:rFonts w:cs="Arial"/>
                <w:b/>
                <w:color w:val="000000"/>
                <w:lang w:eastAsia="it-IT"/>
              </w:rPr>
              <w:t>(mV)</w:t>
            </w:r>
          </w:p>
        </w:tc>
      </w:tr>
      <w:tr w:rsidR="00387A07" w:rsidRPr="00AA03FE" w:rsidTr="00387A07">
        <w:trPr>
          <w:trHeight w:val="300"/>
          <w:jc w:val="center"/>
        </w:trPr>
        <w:tc>
          <w:tcPr>
            <w:tcW w:w="946"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1</w:t>
            </w:r>
          </w:p>
        </w:tc>
        <w:tc>
          <w:tcPr>
            <w:tcW w:w="1361"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361"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434"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13500</w:t>
            </w:r>
          </w:p>
        </w:tc>
        <w:tc>
          <w:tcPr>
            <w:tcW w:w="1191"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246 ± 1</w:t>
            </w:r>
          </w:p>
        </w:tc>
        <w:tc>
          <w:tcPr>
            <w:tcW w:w="1247"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0.03 ± 0.01</w:t>
            </w:r>
          </w:p>
        </w:tc>
        <w:tc>
          <w:tcPr>
            <w:tcW w:w="1475"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-2.1 ± 0.7</w:t>
            </w:r>
          </w:p>
        </w:tc>
      </w:tr>
      <w:tr w:rsidR="00387A07" w:rsidRPr="00AA03FE" w:rsidTr="00387A07">
        <w:trPr>
          <w:trHeight w:val="300"/>
          <w:jc w:val="center"/>
        </w:trPr>
        <w:tc>
          <w:tcPr>
            <w:tcW w:w="946" w:type="dxa"/>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2</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434"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25000</w:t>
            </w:r>
          </w:p>
        </w:tc>
        <w:tc>
          <w:tcPr>
            <w:tcW w:w="1191"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254 ± 19</w:t>
            </w:r>
          </w:p>
        </w:tc>
        <w:tc>
          <w:tcPr>
            <w:tcW w:w="1247"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0.2 ± 0.04</w:t>
            </w:r>
          </w:p>
        </w:tc>
        <w:tc>
          <w:tcPr>
            <w:tcW w:w="1475"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-1.2 ± 0.2</w:t>
            </w:r>
          </w:p>
        </w:tc>
      </w:tr>
      <w:tr w:rsidR="00387A07" w:rsidRPr="00AA03FE" w:rsidTr="00387A07">
        <w:trPr>
          <w:trHeight w:val="300"/>
          <w:jc w:val="center"/>
        </w:trPr>
        <w:tc>
          <w:tcPr>
            <w:tcW w:w="946" w:type="dxa"/>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3</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434"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13500</w:t>
            </w:r>
          </w:p>
        </w:tc>
        <w:tc>
          <w:tcPr>
            <w:tcW w:w="1191"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146 ± 1</w:t>
            </w:r>
          </w:p>
        </w:tc>
        <w:tc>
          <w:tcPr>
            <w:tcW w:w="1247"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0.08 ± 0.02</w:t>
            </w:r>
          </w:p>
        </w:tc>
        <w:tc>
          <w:tcPr>
            <w:tcW w:w="1475"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-2.2 ± 0.3</w:t>
            </w:r>
          </w:p>
        </w:tc>
      </w:tr>
      <w:tr w:rsidR="00387A07" w:rsidRPr="00AA03FE" w:rsidTr="00387A07">
        <w:trPr>
          <w:trHeight w:val="300"/>
          <w:jc w:val="center"/>
        </w:trPr>
        <w:tc>
          <w:tcPr>
            <w:tcW w:w="946" w:type="dxa"/>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4</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434"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25000</w:t>
            </w:r>
          </w:p>
        </w:tc>
        <w:tc>
          <w:tcPr>
            <w:tcW w:w="1191"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184 ± 3</w:t>
            </w:r>
          </w:p>
        </w:tc>
        <w:tc>
          <w:tcPr>
            <w:tcW w:w="1247"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0.05 ± 0.01</w:t>
            </w:r>
          </w:p>
        </w:tc>
        <w:tc>
          <w:tcPr>
            <w:tcW w:w="1475"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-1.7 ± 0.4</w:t>
            </w:r>
          </w:p>
        </w:tc>
      </w:tr>
      <w:tr w:rsidR="00387A07" w:rsidRPr="00AA03FE" w:rsidTr="00387A07">
        <w:trPr>
          <w:trHeight w:val="300"/>
          <w:jc w:val="center"/>
        </w:trPr>
        <w:tc>
          <w:tcPr>
            <w:tcW w:w="946" w:type="dxa"/>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5</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361"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434" w:type="dxa"/>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13500</w:t>
            </w:r>
          </w:p>
        </w:tc>
        <w:tc>
          <w:tcPr>
            <w:tcW w:w="1191"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156 ± 2</w:t>
            </w:r>
          </w:p>
        </w:tc>
        <w:tc>
          <w:tcPr>
            <w:tcW w:w="1247"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0.08 ± 0.02</w:t>
            </w:r>
          </w:p>
        </w:tc>
        <w:tc>
          <w:tcPr>
            <w:tcW w:w="1475" w:type="dxa"/>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-1.9 ± 0.2</w:t>
            </w:r>
          </w:p>
        </w:tc>
      </w:tr>
      <w:tr w:rsidR="00387A07" w:rsidRPr="00AA03FE" w:rsidTr="00387A07">
        <w:trPr>
          <w:trHeight w:val="300"/>
          <w:jc w:val="center"/>
        </w:trPr>
        <w:tc>
          <w:tcPr>
            <w:tcW w:w="946" w:type="dxa"/>
            <w:tcBorders>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b/>
                <w:color w:val="000000"/>
                <w:lang w:eastAsia="it-IT"/>
              </w:rPr>
            </w:pPr>
            <w:r w:rsidRPr="00AA03FE">
              <w:rPr>
                <w:rFonts w:cs="Arial"/>
                <w:b/>
                <w:color w:val="000000"/>
                <w:lang w:eastAsia="it-IT"/>
              </w:rPr>
              <w:t>PLGA 6</w:t>
            </w:r>
          </w:p>
        </w:tc>
        <w:tc>
          <w:tcPr>
            <w:tcW w:w="1361" w:type="dxa"/>
            <w:tcBorders>
              <w:bottom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w:t>
            </w:r>
          </w:p>
        </w:tc>
        <w:tc>
          <w:tcPr>
            <w:tcW w:w="1361" w:type="dxa"/>
            <w:tcBorders>
              <w:bottom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1%</w:t>
            </w:r>
          </w:p>
        </w:tc>
        <w:tc>
          <w:tcPr>
            <w:tcW w:w="1434" w:type="dxa"/>
            <w:tcBorders>
              <w:bottom w:val="single" w:sz="4" w:space="0" w:color="auto"/>
            </w:tcBorders>
            <w:shd w:val="clear" w:color="auto" w:fill="F2F2F2" w:themeFill="background1" w:themeFillShade="F2"/>
            <w:vAlign w:val="center"/>
          </w:tcPr>
          <w:p w:rsidR="00387A07" w:rsidRPr="00AA03FE" w:rsidRDefault="00387A07" w:rsidP="00387A07">
            <w:pPr>
              <w:jc w:val="center"/>
              <w:rPr>
                <w:rFonts w:cs="Arial"/>
                <w:color w:val="000000"/>
                <w:lang w:eastAsia="it-IT"/>
              </w:rPr>
            </w:pPr>
            <w:r w:rsidRPr="00AA03FE">
              <w:rPr>
                <w:rFonts w:cs="Arial"/>
                <w:color w:val="000000"/>
                <w:lang w:eastAsia="it-IT"/>
              </w:rPr>
              <w:t>25000</w:t>
            </w:r>
          </w:p>
        </w:tc>
        <w:tc>
          <w:tcPr>
            <w:tcW w:w="1191" w:type="dxa"/>
            <w:tcBorders>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155 ± 2</w:t>
            </w:r>
          </w:p>
        </w:tc>
        <w:tc>
          <w:tcPr>
            <w:tcW w:w="1247" w:type="dxa"/>
            <w:tcBorders>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0.08 ± 0.01</w:t>
            </w:r>
          </w:p>
        </w:tc>
        <w:tc>
          <w:tcPr>
            <w:tcW w:w="1475" w:type="dxa"/>
            <w:tcBorders>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Arial"/>
                <w:color w:val="000000"/>
                <w:lang w:eastAsia="it-IT"/>
              </w:rPr>
            </w:pPr>
            <w:r w:rsidRPr="00AA03FE">
              <w:rPr>
                <w:rFonts w:cs="Arial"/>
                <w:color w:val="000000"/>
                <w:lang w:eastAsia="it-IT"/>
              </w:rPr>
              <w:t>-1.7 ± 0.3</w:t>
            </w:r>
          </w:p>
        </w:tc>
      </w:tr>
    </w:tbl>
    <w:p w:rsidR="00387A07" w:rsidRPr="00AA03FE" w:rsidRDefault="00387A07" w:rsidP="00387A07">
      <w:pPr>
        <w:pStyle w:val="Didascalia"/>
        <w:spacing w:before="120"/>
        <w:jc w:val="both"/>
      </w:pPr>
      <w:r w:rsidRPr="00AA03FE">
        <w:t xml:space="preserve">Table 3. </w:t>
      </w:r>
      <w:fldSimple w:instr=" SEQ Table_3. \* ARABIC ">
        <w:r w:rsidRPr="00AA03FE">
          <w:rPr>
            <w:noProof/>
          </w:rPr>
          <w:t>3</w:t>
        </w:r>
      </w:fldSimple>
      <w:r w:rsidRPr="00AA03FE">
        <w:t xml:space="preserve"> Mean size, PDI and zeta potential of PLGA nanoparticles, prepared at different PVA concentrations and homogenization speeds. </w:t>
      </w:r>
    </w:p>
    <w:p w:rsidR="00387A07" w:rsidRPr="00AA03FE" w:rsidRDefault="00387A07" w:rsidP="00387A07">
      <w:pPr>
        <w:spacing w:after="120" w:line="360" w:lineRule="auto"/>
        <w:jc w:val="both"/>
        <w:rPr>
          <w:rFonts w:ascii="Arial" w:hAnsi="Arial" w:cs="Arial"/>
          <w:bCs/>
          <w:sz w:val="24"/>
          <w:szCs w:val="24"/>
        </w:rPr>
      </w:pPr>
      <w:r w:rsidRPr="00AA03FE">
        <w:rPr>
          <w:rFonts w:ascii="Arial" w:hAnsi="Arial" w:cs="Arial"/>
          <w:bCs/>
          <w:sz w:val="24"/>
          <w:szCs w:val="24"/>
        </w:rPr>
        <w:t>Results from particles size analysis of all PLGA samples are represented and compared in figure 3.3.</w:t>
      </w:r>
    </w:p>
    <w:p w:rsidR="00387A07" w:rsidRPr="00AA03FE" w:rsidRDefault="00387A07" w:rsidP="00387A07">
      <w:pPr>
        <w:pStyle w:val="Didascalia"/>
      </w:pPr>
      <w:r w:rsidRPr="00AA03FE">
        <w:rPr>
          <w:noProof/>
          <w:lang w:val="it-IT" w:eastAsia="it-IT"/>
        </w:rPr>
        <w:drawing>
          <wp:anchor distT="0" distB="0" distL="114300" distR="114300" simplePos="0" relativeHeight="251656704" behindDoc="0" locked="0" layoutInCell="1" allowOverlap="1">
            <wp:simplePos x="0" y="0"/>
            <wp:positionH relativeFrom="column">
              <wp:posOffset>1374140</wp:posOffset>
            </wp:positionH>
            <wp:positionV relativeFrom="paragraph">
              <wp:posOffset>26670</wp:posOffset>
            </wp:positionV>
            <wp:extent cx="3555365" cy="2120900"/>
            <wp:effectExtent l="0" t="0" r="0" b="0"/>
            <wp:wrapSquare wrapText="bothSides"/>
            <wp:docPr id="137" name="Immagine 5" descr="IMMAGIN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png"/>
                    <pic:cNvPicPr/>
                  </pic:nvPicPr>
                  <pic:blipFill>
                    <a:blip r:embed="rId44"/>
                    <a:stretch>
                      <a:fillRect/>
                    </a:stretch>
                  </pic:blipFill>
                  <pic:spPr>
                    <a:xfrm>
                      <a:off x="0" y="0"/>
                      <a:ext cx="3555365" cy="2120900"/>
                    </a:xfrm>
                    <a:prstGeom prst="rect">
                      <a:avLst/>
                    </a:prstGeom>
                    <a:ln>
                      <a:noFill/>
                    </a:ln>
                  </pic:spPr>
                </pic:pic>
              </a:graphicData>
            </a:graphic>
          </wp:anchor>
        </w:drawing>
      </w: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jc w:val="center"/>
      </w:pPr>
    </w:p>
    <w:p w:rsidR="00387A07" w:rsidRPr="00AA03FE" w:rsidRDefault="00387A07" w:rsidP="00387A07">
      <w:pPr>
        <w:pStyle w:val="Didascalia"/>
      </w:pPr>
    </w:p>
    <w:p w:rsidR="00387A07" w:rsidRPr="00AA03FE" w:rsidRDefault="00387A07" w:rsidP="00387A07">
      <w:pPr>
        <w:pStyle w:val="Didascalia"/>
      </w:pPr>
    </w:p>
    <w:p w:rsidR="00387A07" w:rsidRPr="00AA03FE" w:rsidRDefault="00387A07" w:rsidP="00387A07">
      <w:pPr>
        <w:pStyle w:val="Didascalia"/>
        <w:rPr>
          <w:rFonts w:ascii="Arial" w:hAnsi="Arial" w:cs="Arial"/>
          <w:bCs w:val="0"/>
          <w:sz w:val="24"/>
          <w:szCs w:val="24"/>
        </w:rPr>
      </w:pPr>
      <w:r w:rsidRPr="00AA03FE">
        <w:t xml:space="preserve">Figure 3. </w:t>
      </w:r>
      <w:fldSimple w:instr=" SEQ Figure_3. \* ARABIC ">
        <w:r w:rsidRPr="00AA03FE">
          <w:rPr>
            <w:noProof/>
          </w:rPr>
          <w:t>3</w:t>
        </w:r>
      </w:fldSimple>
      <w:r w:rsidRPr="00AA03FE">
        <w:t xml:space="preserve"> Size analysis of PLGA nanoparticles</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As can be noticed from figure 3.3, the concentration of the emulsifier PVA in the internal aqueous phase is a crucial parameter to control the mean diameter of nanoparticles, as observed by other authors [22,24].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lastRenderedPageBreak/>
        <w:t xml:space="preserve">Samples PLGA1 and PLGA2, for which low concentrations of PVA were adopted (1% in both phases), displayed the largest size (around 250nm).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An increase in the emulsifier concentration leads to a drastic reduction in size, as observed for the other four samples, indicating that a higher amount of PVA can help in stabilizing the emulsion and in preventing aggregation phenomena [22].</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By analyzing the size results obtained for the other four samples (form PLGA3 to PLGA6) it is evident that the amount of emulsifier in the external aqueous phase does not have a significant effect on the size of nanoparticles, while increasing PVA concentration in the internal phase leads to smaller particles diameters. Vandervoort at al. [22] reported an increase in particles size after increasing PVA concentration in the external phase, due to a higher viscosity of the solution which resulted in the formation of larger droplets and, consequently, of larger particles.</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Moreover, increasing the speed of the homogenizer does not seem to have an effect on particles’ size and size distribution [25].</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Therefore, the optimal size for PLGA nanoparticles can be obtained at low PVA concentration (1% w/v) for the external phase, at high (2.5% w/v) PVA in the internal phase and at a low homogenization speed (13500 rpm).</w:t>
      </w:r>
    </w:p>
    <w:p w:rsidR="00387A07" w:rsidRPr="00AA03FE" w:rsidRDefault="00387A07" w:rsidP="00387A07">
      <w:pPr>
        <w:spacing w:before="240" w:after="240" w:line="360" w:lineRule="auto"/>
        <w:jc w:val="both"/>
        <w:rPr>
          <w:rFonts w:ascii="Arial" w:hAnsi="Arial" w:cs="Arial"/>
          <w:b/>
          <w:i/>
          <w:sz w:val="24"/>
          <w:szCs w:val="24"/>
        </w:rPr>
      </w:pPr>
      <w:r w:rsidRPr="00AA03FE">
        <w:rPr>
          <w:rFonts w:ascii="Arial" w:hAnsi="Arial" w:cs="Arial"/>
          <w:b/>
          <w:i/>
          <w:sz w:val="24"/>
          <w:szCs w:val="24"/>
        </w:rPr>
        <w:t>3.3.2.1.2 Effect of the washing medium and of the addition of NaCl during solvent evaporation</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Figure 3.4 and table 3.4 show the effect of the washing medium and of the addition of 25ml of sodium chloride (NaCl) during solvent evaporation on the mean size, size distribution and zeta potential of nanoparticles.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Particles washed with NaCl exhibit a slightly negative zeta potential, not sufficient to ensure their stability in suspension and the adsorption of the antibody.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The use of distilled water or of a water solution of Poloxamer F168 at two different concentrations (1% and 2% w/v) led to a more negative surface charge of PLGA nanoparticles, ranging from -19,4 mV to -24,4 mV.</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The addition of NaCl during the solvent evaporation step showed no effect on the zeta potential, regardless of the selected washing medium. </w:t>
      </w:r>
    </w:p>
    <w:p w:rsidR="00387A07" w:rsidRPr="00AA03FE" w:rsidRDefault="00387A07" w:rsidP="00387A07">
      <w:pPr>
        <w:jc w:val="center"/>
        <w:rPr>
          <w:rFonts w:ascii="Arial" w:hAnsi="Arial" w:cs="Arial"/>
          <w:bCs/>
          <w:sz w:val="24"/>
          <w:szCs w:val="24"/>
        </w:rPr>
      </w:pPr>
      <w:r w:rsidRPr="00AA03FE">
        <w:rPr>
          <w:rFonts w:ascii="Arial" w:hAnsi="Arial" w:cs="Arial"/>
          <w:bCs/>
          <w:noProof/>
          <w:sz w:val="24"/>
          <w:szCs w:val="24"/>
          <w:lang w:val="it-IT" w:eastAsia="it-IT"/>
        </w:rPr>
        <w:lastRenderedPageBreak/>
        <w:drawing>
          <wp:inline distT="0" distB="0" distL="0" distR="0">
            <wp:extent cx="4778869" cy="2749069"/>
            <wp:effectExtent l="0" t="0" r="0" b="0"/>
            <wp:docPr id="143" name="Immagine 12" descr="effect of washing med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 of washing medium.png"/>
                    <pic:cNvPicPr/>
                  </pic:nvPicPr>
                  <pic:blipFill>
                    <a:blip r:embed="rId45"/>
                    <a:stretch>
                      <a:fillRect/>
                    </a:stretch>
                  </pic:blipFill>
                  <pic:spPr>
                    <a:xfrm>
                      <a:off x="0" y="0"/>
                      <a:ext cx="4778869" cy="2749069"/>
                    </a:xfrm>
                    <a:prstGeom prst="rect">
                      <a:avLst/>
                    </a:prstGeom>
                  </pic:spPr>
                </pic:pic>
              </a:graphicData>
            </a:graphic>
          </wp:inline>
        </w:drawing>
      </w:r>
    </w:p>
    <w:p w:rsidR="00387A07" w:rsidRPr="00AA03FE" w:rsidRDefault="00387A07" w:rsidP="00387A07">
      <w:pPr>
        <w:pStyle w:val="Didascalia"/>
        <w:spacing w:before="200"/>
      </w:pPr>
      <w:r w:rsidRPr="00AA03FE">
        <w:t xml:space="preserve">Figure 3. </w:t>
      </w:r>
      <w:fldSimple w:instr=" SEQ Figure_3. \* ARABIC ">
        <w:r w:rsidRPr="00AA03FE">
          <w:rPr>
            <w:noProof/>
          </w:rPr>
          <w:t>4</w:t>
        </w:r>
      </w:fldSimple>
      <w:r w:rsidRPr="00AA03FE">
        <w:t xml:space="preserve"> Size Analysis of PLGA nanoparticles with different washing media, with or without the addition of NaCl during solvent evaporation.</w:t>
      </w:r>
    </w:p>
    <w:tbl>
      <w:tblPr>
        <w:tblStyle w:val="Grigliatabella"/>
        <w:tblW w:w="9197" w:type="dxa"/>
        <w:tblInd w:w="108" w:type="dxa"/>
        <w:tblBorders>
          <w:insideH w:val="none" w:sz="0" w:space="0" w:color="auto"/>
          <w:insideV w:val="none" w:sz="0" w:space="0" w:color="auto"/>
        </w:tblBorders>
        <w:shd w:val="clear" w:color="auto" w:fill="F2F2F2" w:themeFill="background1" w:themeFillShade="F2"/>
        <w:tblLook w:val="04A0"/>
      </w:tblPr>
      <w:tblGrid>
        <w:gridCol w:w="1531"/>
        <w:gridCol w:w="1219"/>
        <w:gridCol w:w="1327"/>
        <w:gridCol w:w="1287"/>
        <w:gridCol w:w="1219"/>
        <w:gridCol w:w="1327"/>
        <w:gridCol w:w="1287"/>
      </w:tblGrid>
      <w:tr w:rsidR="00387A07" w:rsidRPr="00AA03FE" w:rsidTr="00387A07">
        <w:trPr>
          <w:trHeight w:val="300"/>
        </w:trPr>
        <w:tc>
          <w:tcPr>
            <w:tcW w:w="1531" w:type="dxa"/>
            <w:vMerge w:val="restart"/>
            <w:tcBorders>
              <w:top w:val="single" w:sz="4" w:space="0" w:color="000000" w:themeColor="text1"/>
              <w:left w:val="nil"/>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b/>
                <w:color w:val="000000"/>
                <w:lang w:eastAsia="it-IT"/>
              </w:rPr>
              <w:t>Washing medium</w:t>
            </w:r>
          </w:p>
        </w:tc>
        <w:tc>
          <w:tcPr>
            <w:tcW w:w="3833" w:type="dxa"/>
            <w:gridSpan w:val="3"/>
            <w:tcBorders>
              <w:top w:val="single" w:sz="4" w:space="0" w:color="000000" w:themeColor="text1"/>
              <w:left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Addition of 25 ml NaCl</w:t>
            </w:r>
          </w:p>
        </w:tc>
        <w:tc>
          <w:tcPr>
            <w:tcW w:w="3833" w:type="dxa"/>
            <w:gridSpan w:val="3"/>
            <w:tcBorders>
              <w:top w:val="single" w:sz="4" w:space="0" w:color="000000" w:themeColor="text1"/>
              <w:left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Without addition of NaCl</w:t>
            </w:r>
          </w:p>
        </w:tc>
      </w:tr>
      <w:tr w:rsidR="00387A07" w:rsidRPr="00AA03FE" w:rsidTr="00387A07">
        <w:trPr>
          <w:trHeight w:val="300"/>
        </w:trPr>
        <w:tc>
          <w:tcPr>
            <w:tcW w:w="1531" w:type="dxa"/>
            <w:vMerge/>
            <w:tcBorders>
              <w:top w:val="nil"/>
              <w:left w:val="nil"/>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p>
        </w:tc>
        <w:tc>
          <w:tcPr>
            <w:tcW w:w="1219" w:type="dxa"/>
            <w:tcBorders>
              <w:top w:val="single" w:sz="4" w:space="0" w:color="auto"/>
              <w:left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327"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287" w:type="dxa"/>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Potential</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c>
          <w:tcPr>
            <w:tcW w:w="1219" w:type="dxa"/>
            <w:tcBorders>
              <w:top w:val="single" w:sz="4" w:space="0" w:color="auto"/>
              <w:left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327"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287" w:type="dxa"/>
            <w:tcBorders>
              <w:top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Potential</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r>
      <w:tr w:rsidR="00387A07" w:rsidRPr="00AA03FE" w:rsidTr="00387A07">
        <w:trPr>
          <w:trHeight w:val="300"/>
        </w:trPr>
        <w:tc>
          <w:tcPr>
            <w:tcW w:w="1531" w:type="dxa"/>
            <w:tcBorders>
              <w:top w:val="single" w:sz="4" w:space="0" w:color="auto"/>
              <w:left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NaCl</w:t>
            </w:r>
          </w:p>
        </w:tc>
        <w:tc>
          <w:tcPr>
            <w:tcW w:w="1219" w:type="dxa"/>
            <w:tcBorders>
              <w:top w:val="single" w:sz="4" w:space="0" w:color="auto"/>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151 ± 2</w:t>
            </w:r>
          </w:p>
        </w:tc>
        <w:tc>
          <w:tcPr>
            <w:tcW w:w="1327"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0.06 ± 0.01</w:t>
            </w:r>
          </w:p>
        </w:tc>
        <w:tc>
          <w:tcPr>
            <w:tcW w:w="1287"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-2.3 ± 0.4</w:t>
            </w:r>
          </w:p>
        </w:tc>
        <w:tc>
          <w:tcPr>
            <w:tcW w:w="1219" w:type="dxa"/>
            <w:tcBorders>
              <w:top w:val="single" w:sz="4" w:space="0" w:color="auto"/>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156 ± 1</w:t>
            </w:r>
          </w:p>
        </w:tc>
        <w:tc>
          <w:tcPr>
            <w:tcW w:w="1327"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0.08 ± 0.02</w:t>
            </w:r>
          </w:p>
        </w:tc>
        <w:tc>
          <w:tcPr>
            <w:tcW w:w="1287" w:type="dxa"/>
            <w:tcBorders>
              <w:top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-1.9 ± 0.2</w:t>
            </w:r>
          </w:p>
        </w:tc>
      </w:tr>
      <w:tr w:rsidR="00387A07" w:rsidRPr="00AA03FE" w:rsidTr="00387A07">
        <w:trPr>
          <w:trHeight w:val="300"/>
        </w:trPr>
        <w:tc>
          <w:tcPr>
            <w:tcW w:w="1531" w:type="dxa"/>
            <w:tcBorders>
              <w:left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Water</w:t>
            </w:r>
          </w:p>
        </w:tc>
        <w:tc>
          <w:tcPr>
            <w:tcW w:w="1219"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174 ± 1</w:t>
            </w:r>
          </w:p>
        </w:tc>
        <w:tc>
          <w:tcPr>
            <w:tcW w:w="1327" w:type="dxa"/>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0.06 ± 0.01</w:t>
            </w:r>
          </w:p>
        </w:tc>
        <w:tc>
          <w:tcPr>
            <w:tcW w:w="1287"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-22.0 ± 1.2</w:t>
            </w:r>
          </w:p>
        </w:tc>
        <w:tc>
          <w:tcPr>
            <w:tcW w:w="1219" w:type="dxa"/>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182 ± 1</w:t>
            </w:r>
          </w:p>
        </w:tc>
        <w:tc>
          <w:tcPr>
            <w:tcW w:w="1327" w:type="dxa"/>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0.07 ± 0.03</w:t>
            </w:r>
          </w:p>
        </w:tc>
        <w:tc>
          <w:tcPr>
            <w:tcW w:w="1287" w:type="dxa"/>
            <w:tcBorders>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-24.4 ± 0.4</w:t>
            </w:r>
          </w:p>
        </w:tc>
      </w:tr>
      <w:tr w:rsidR="00387A07" w:rsidRPr="00AA03FE" w:rsidTr="00387A07">
        <w:trPr>
          <w:trHeight w:val="300"/>
        </w:trPr>
        <w:tc>
          <w:tcPr>
            <w:tcW w:w="1531" w:type="dxa"/>
            <w:tcBorders>
              <w:left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Poloxamer 1%</w:t>
            </w:r>
          </w:p>
        </w:tc>
        <w:tc>
          <w:tcPr>
            <w:tcW w:w="1219"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182 ± 2</w:t>
            </w:r>
          </w:p>
        </w:tc>
        <w:tc>
          <w:tcPr>
            <w:tcW w:w="1327" w:type="dxa"/>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0.08 ± 0.03</w:t>
            </w:r>
          </w:p>
        </w:tc>
        <w:tc>
          <w:tcPr>
            <w:tcW w:w="1287"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-15.3 ± 0.8</w:t>
            </w:r>
          </w:p>
        </w:tc>
        <w:tc>
          <w:tcPr>
            <w:tcW w:w="1219" w:type="dxa"/>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181 ± 1</w:t>
            </w:r>
          </w:p>
        </w:tc>
        <w:tc>
          <w:tcPr>
            <w:tcW w:w="1327" w:type="dxa"/>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0.06 ± 0.02</w:t>
            </w:r>
          </w:p>
        </w:tc>
        <w:tc>
          <w:tcPr>
            <w:tcW w:w="1287" w:type="dxa"/>
            <w:tcBorders>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-24.4 ± 0.2</w:t>
            </w:r>
          </w:p>
        </w:tc>
      </w:tr>
      <w:tr w:rsidR="00387A07" w:rsidRPr="00AA03FE" w:rsidTr="00387A07">
        <w:trPr>
          <w:trHeight w:val="300"/>
        </w:trPr>
        <w:tc>
          <w:tcPr>
            <w:tcW w:w="1531" w:type="dxa"/>
            <w:tcBorders>
              <w:left w:val="nil"/>
              <w:bottom w:val="single" w:sz="4" w:space="0" w:color="000000" w:themeColor="text1"/>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Poloxamer 2%</w:t>
            </w:r>
          </w:p>
        </w:tc>
        <w:tc>
          <w:tcPr>
            <w:tcW w:w="1219"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1845 ± 1</w:t>
            </w:r>
          </w:p>
        </w:tc>
        <w:tc>
          <w:tcPr>
            <w:tcW w:w="1327" w:type="dxa"/>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0.05 ± 0.02</w:t>
            </w:r>
          </w:p>
        </w:tc>
        <w:tc>
          <w:tcPr>
            <w:tcW w:w="1287"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color w:val="000000"/>
                <w:lang w:eastAsia="it-IT"/>
              </w:rPr>
              <w:t>-16.6 ± 1.4</w:t>
            </w:r>
          </w:p>
        </w:tc>
        <w:tc>
          <w:tcPr>
            <w:tcW w:w="1219" w:type="dxa"/>
            <w:tcBorders>
              <w:left w:val="single" w:sz="4" w:space="0" w:color="auto"/>
              <w:bottom w:val="single" w:sz="4" w:space="0" w:color="000000" w:themeColor="text1"/>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188 ± 1</w:t>
            </w:r>
          </w:p>
        </w:tc>
        <w:tc>
          <w:tcPr>
            <w:tcW w:w="1327" w:type="dxa"/>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0.07 ± 0.02</w:t>
            </w:r>
          </w:p>
        </w:tc>
        <w:tc>
          <w:tcPr>
            <w:tcW w:w="1287" w:type="dxa"/>
            <w:tcBorders>
              <w:bottom w:val="single" w:sz="4" w:space="0" w:color="000000" w:themeColor="text1"/>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-19.4 ± 1.0</w:t>
            </w:r>
          </w:p>
        </w:tc>
      </w:tr>
    </w:tbl>
    <w:p w:rsidR="00387A07" w:rsidRPr="00AA03FE" w:rsidRDefault="00387A07" w:rsidP="00387A07">
      <w:pPr>
        <w:pStyle w:val="Didascalia"/>
        <w:spacing w:before="120"/>
        <w:rPr>
          <w:rFonts w:ascii="Arial" w:hAnsi="Arial" w:cs="Arial"/>
          <w:bCs w:val="0"/>
          <w:sz w:val="24"/>
          <w:szCs w:val="24"/>
        </w:rPr>
      </w:pPr>
      <w:r w:rsidRPr="00AA03FE">
        <w:t xml:space="preserve">Table 3. </w:t>
      </w:r>
      <w:fldSimple w:instr=" SEQ Table_3. \* ARABIC ">
        <w:r w:rsidRPr="00AA03FE">
          <w:rPr>
            <w:noProof/>
          </w:rPr>
          <w:t>4</w:t>
        </w:r>
      </w:fldSimple>
      <w:r w:rsidRPr="00AA03FE">
        <w:t xml:space="preserve"> Mean size, PDI and zeta potential of PLGA nanoparticles prepared with different washing media, with or without the addition of NaCl during solvent evaporation.</w:t>
      </w:r>
    </w:p>
    <w:p w:rsidR="00387A07" w:rsidRPr="00AA03FE" w:rsidRDefault="00387A07" w:rsidP="00387A07">
      <w:pPr>
        <w:spacing w:after="120" w:line="360" w:lineRule="auto"/>
        <w:jc w:val="both"/>
        <w:rPr>
          <w:rFonts w:ascii="Arial" w:hAnsi="Arial" w:cs="Arial"/>
          <w:bCs/>
          <w:sz w:val="24"/>
          <w:szCs w:val="24"/>
        </w:rPr>
      </w:pPr>
      <w:r w:rsidRPr="00AA03FE">
        <w:rPr>
          <w:rFonts w:ascii="Arial" w:hAnsi="Arial" w:cs="Arial"/>
          <w:bCs/>
          <w:sz w:val="24"/>
          <w:szCs w:val="24"/>
        </w:rPr>
        <w:t xml:space="preserve">Particles were therefore prepared with all the five polymers without the addition of 25ml NaCl during solvent evaporation and the effect of the three different washing media on particles size and surface charge was evaluated. Results are reported in figure 3.5 and in table 3.5, which show that the addition of a second surfactant did not lead to the expected decrease in the surface charge of nanoparticles. </w:t>
      </w:r>
    </w:p>
    <w:p w:rsidR="00387A07" w:rsidRPr="00AA03FE" w:rsidRDefault="00387A07" w:rsidP="00387A07">
      <w:pPr>
        <w:spacing w:after="0" w:line="360" w:lineRule="auto"/>
        <w:jc w:val="center"/>
        <w:rPr>
          <w:rFonts w:ascii="Arial" w:hAnsi="Arial" w:cs="Arial"/>
          <w:bCs/>
          <w:sz w:val="24"/>
          <w:szCs w:val="24"/>
        </w:rPr>
      </w:pPr>
      <w:r w:rsidRPr="00AA03FE">
        <w:rPr>
          <w:rFonts w:ascii="Arial" w:hAnsi="Arial" w:cs="Arial"/>
          <w:bCs/>
          <w:noProof/>
          <w:sz w:val="24"/>
          <w:szCs w:val="24"/>
          <w:lang w:val="it-IT" w:eastAsia="it-IT"/>
        </w:rPr>
        <w:lastRenderedPageBreak/>
        <w:drawing>
          <wp:inline distT="0" distB="0" distL="0" distR="0">
            <wp:extent cx="4200525" cy="2519199"/>
            <wp:effectExtent l="0" t="0" r="0" b="0"/>
            <wp:docPr id="144" name="Immagine 4" descr="Size analysis with different polym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 analysis with different polymers.png"/>
                    <pic:cNvPicPr/>
                  </pic:nvPicPr>
                  <pic:blipFill>
                    <a:blip r:embed="rId46"/>
                    <a:stretch>
                      <a:fillRect/>
                    </a:stretch>
                  </pic:blipFill>
                  <pic:spPr>
                    <a:xfrm>
                      <a:off x="0" y="0"/>
                      <a:ext cx="4210763" cy="2525339"/>
                    </a:xfrm>
                    <a:prstGeom prst="rect">
                      <a:avLst/>
                    </a:prstGeom>
                    <a:ln>
                      <a:noFill/>
                    </a:ln>
                  </pic:spPr>
                </pic:pic>
              </a:graphicData>
            </a:graphic>
          </wp:inline>
        </w:drawing>
      </w:r>
    </w:p>
    <w:p w:rsidR="00387A07" w:rsidRPr="00AA03FE" w:rsidRDefault="00387A07" w:rsidP="00387A07">
      <w:pPr>
        <w:pStyle w:val="Didascalia"/>
        <w:rPr>
          <w:rFonts w:ascii="Arial" w:hAnsi="Arial" w:cs="Arial"/>
          <w:bCs w:val="0"/>
          <w:sz w:val="24"/>
          <w:szCs w:val="24"/>
        </w:rPr>
      </w:pPr>
      <w:r w:rsidRPr="00AA03FE">
        <w:t xml:space="preserve">Figure 3. </w:t>
      </w:r>
      <w:fldSimple w:instr=" SEQ Figure_3. \* ARABIC ">
        <w:r w:rsidRPr="00AA03FE">
          <w:rPr>
            <w:noProof/>
          </w:rPr>
          <w:t>5</w:t>
        </w:r>
      </w:fldSimple>
      <w:r w:rsidRPr="00AA03FE">
        <w:t xml:space="preserve"> Size analysis of nanoparticles prepared with five different polymers and three different washing media.</w:t>
      </w:r>
    </w:p>
    <w:tbl>
      <w:tblPr>
        <w:tblW w:w="9399" w:type="dxa"/>
        <w:tblInd w:w="55" w:type="dxa"/>
        <w:shd w:val="clear" w:color="auto" w:fill="F2F2F2" w:themeFill="background1" w:themeFillShade="F2"/>
        <w:tblCellMar>
          <w:left w:w="70" w:type="dxa"/>
          <w:right w:w="70" w:type="dxa"/>
        </w:tblCellMar>
        <w:tblLook w:val="04A0"/>
      </w:tblPr>
      <w:tblGrid>
        <w:gridCol w:w="1575"/>
        <w:gridCol w:w="1304"/>
        <w:gridCol w:w="1304"/>
        <w:gridCol w:w="1304"/>
        <w:gridCol w:w="1304"/>
        <w:gridCol w:w="1265"/>
        <w:gridCol w:w="39"/>
        <w:gridCol w:w="1265"/>
        <w:gridCol w:w="39"/>
      </w:tblGrid>
      <w:tr w:rsidR="00387A07" w:rsidRPr="00AA03FE" w:rsidTr="00387A07">
        <w:trPr>
          <w:gridAfter w:val="1"/>
          <w:wAfter w:w="39" w:type="dxa"/>
          <w:trHeight w:val="315"/>
        </w:trPr>
        <w:tc>
          <w:tcPr>
            <w:tcW w:w="1575" w:type="dxa"/>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eastAsia="it-IT"/>
              </w:rPr>
            </w:pPr>
          </w:p>
        </w:tc>
        <w:tc>
          <w:tcPr>
            <w:tcW w:w="6481" w:type="dxa"/>
            <w:gridSpan w:val="5"/>
            <w:tcBorders>
              <w:top w:val="single" w:sz="4" w:space="0" w:color="auto"/>
              <w:left w:val="nil"/>
              <w:bottom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eastAsia="it-IT"/>
              </w:rPr>
            </w:pPr>
            <w:r w:rsidRPr="00AA03FE">
              <w:rPr>
                <w:rFonts w:cstheme="minorHAnsi"/>
                <w:b/>
                <w:color w:val="000000"/>
                <w:lang w:eastAsia="it-IT"/>
              </w:rPr>
              <w:t>MATERIAL</w:t>
            </w:r>
          </w:p>
        </w:tc>
        <w:tc>
          <w:tcPr>
            <w:tcW w:w="1304" w:type="dxa"/>
            <w:gridSpan w:val="2"/>
            <w:tcBorders>
              <w:left w:val="nil"/>
            </w:tcBorders>
            <w:shd w:val="clear" w:color="auto" w:fill="F2F2F2" w:themeFill="background1" w:themeFillShade="F2"/>
          </w:tcPr>
          <w:p w:rsidR="00387A07" w:rsidRPr="00AA03FE" w:rsidRDefault="00387A07" w:rsidP="00387A07">
            <w:pPr>
              <w:spacing w:after="0"/>
              <w:jc w:val="center"/>
              <w:rPr>
                <w:rFonts w:cstheme="minorHAnsi"/>
                <w:b/>
                <w:color w:val="000000"/>
                <w:lang w:eastAsia="it-IT"/>
              </w:rPr>
            </w:pPr>
          </w:p>
        </w:tc>
      </w:tr>
      <w:tr w:rsidR="00387A07" w:rsidRPr="00AA03FE" w:rsidTr="00387A07">
        <w:trPr>
          <w:trHeight w:val="315"/>
        </w:trPr>
        <w:tc>
          <w:tcPr>
            <w:tcW w:w="1575"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en-US" w:eastAsia="it-IT"/>
              </w:rPr>
            </w:pPr>
          </w:p>
        </w:tc>
        <w:tc>
          <w:tcPr>
            <w:tcW w:w="1304" w:type="dxa"/>
            <w:tcBorders>
              <w:left w:val="nil"/>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eastAsia="it-IT"/>
              </w:rPr>
              <w:t>C-BC2000</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eastAsia="it-IT"/>
              </w:rPr>
              <w:t>NS-BC2000</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eastAsia="it-IT"/>
              </w:rPr>
              <w:t>PCL</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eastAsia="it-IT"/>
              </w:rPr>
              <w:t>PLGA</w:t>
            </w:r>
          </w:p>
        </w:tc>
        <w:tc>
          <w:tcPr>
            <w:tcW w:w="1304" w:type="dxa"/>
            <w:gridSpan w:val="2"/>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eastAsia="it-IT"/>
              </w:rPr>
              <w:t>PLA</w:t>
            </w:r>
          </w:p>
        </w:tc>
        <w:tc>
          <w:tcPr>
            <w:tcW w:w="1304" w:type="dxa"/>
            <w:gridSpan w:val="2"/>
            <w:tcBorders>
              <w:top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eastAsia="it-IT"/>
              </w:rPr>
            </w:pPr>
            <w:r w:rsidRPr="00AA03FE">
              <w:rPr>
                <w:rFonts w:cstheme="minorHAnsi"/>
                <w:b/>
                <w:color w:val="000000"/>
                <w:lang w:eastAsia="it-IT"/>
              </w:rPr>
              <w:t>Washing</w:t>
            </w:r>
          </w:p>
        </w:tc>
      </w:tr>
      <w:tr w:rsidR="00387A07" w:rsidRPr="00AA03FE" w:rsidTr="00387A07">
        <w:trPr>
          <w:trHeight w:val="315"/>
        </w:trPr>
        <w:tc>
          <w:tcPr>
            <w:tcW w:w="1575"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Size  [nm]</w:t>
            </w:r>
          </w:p>
        </w:tc>
        <w:tc>
          <w:tcPr>
            <w:tcW w:w="1304" w:type="dxa"/>
            <w:tcBorders>
              <w:top w:val="single" w:sz="4" w:space="0" w:color="auto"/>
              <w:lef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197 ± 2</w:t>
            </w:r>
          </w:p>
        </w:tc>
        <w:tc>
          <w:tcPr>
            <w:tcW w:w="1304" w:type="dxa"/>
            <w:tcBorders>
              <w:top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178 ± 1</w:t>
            </w:r>
          </w:p>
        </w:tc>
        <w:tc>
          <w:tcPr>
            <w:tcW w:w="1304" w:type="dxa"/>
            <w:tcBorders>
              <w:top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204 ± 3</w:t>
            </w:r>
          </w:p>
        </w:tc>
        <w:tc>
          <w:tcPr>
            <w:tcW w:w="1304" w:type="dxa"/>
            <w:tcBorders>
              <w:top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181,9 ± 1</w:t>
            </w:r>
          </w:p>
        </w:tc>
        <w:tc>
          <w:tcPr>
            <w:tcW w:w="1304" w:type="dxa"/>
            <w:gridSpan w:val="2"/>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193 </w:t>
            </w:r>
            <w:r w:rsidRPr="00AA03FE">
              <w:rPr>
                <w:rFonts w:cstheme="minorHAnsi"/>
                <w:color w:val="000000"/>
                <w:lang w:eastAsia="it-IT"/>
              </w:rPr>
              <w:t>± 2</w:t>
            </w:r>
          </w:p>
        </w:tc>
        <w:tc>
          <w:tcPr>
            <w:tcW w:w="1304" w:type="dxa"/>
            <w:gridSpan w:val="2"/>
            <w:vMerge w:val="restart"/>
            <w:tcBorders>
              <w:top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val="it-IT" w:eastAsia="it-IT"/>
              </w:rPr>
              <w:t>Water</w:t>
            </w:r>
          </w:p>
        </w:tc>
      </w:tr>
      <w:tr w:rsidR="00387A07" w:rsidRPr="00AA03FE" w:rsidTr="00387A07">
        <w:trPr>
          <w:trHeight w:val="315"/>
        </w:trPr>
        <w:tc>
          <w:tcPr>
            <w:tcW w:w="1575" w:type="dxa"/>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PDI</w:t>
            </w:r>
          </w:p>
        </w:tc>
        <w:tc>
          <w:tcPr>
            <w:tcW w:w="1304" w:type="dxa"/>
            <w:tcBorders>
              <w:lef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0.11 ± 0.02</w:t>
            </w:r>
          </w:p>
        </w:tc>
        <w:tc>
          <w:tcPr>
            <w:tcW w:w="1304" w:type="dxa"/>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0.11 ± 0.02</w:t>
            </w:r>
          </w:p>
        </w:tc>
        <w:tc>
          <w:tcPr>
            <w:tcW w:w="1304" w:type="dxa"/>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0.06 ± 0.01</w:t>
            </w:r>
          </w:p>
        </w:tc>
        <w:tc>
          <w:tcPr>
            <w:tcW w:w="1304" w:type="dxa"/>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0.07 ± 0.03</w:t>
            </w:r>
          </w:p>
        </w:tc>
        <w:tc>
          <w:tcPr>
            <w:tcW w:w="1304" w:type="dxa"/>
            <w:gridSpan w:val="2"/>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0.14 </w:t>
            </w:r>
            <w:r w:rsidRPr="00AA03FE">
              <w:rPr>
                <w:rFonts w:cstheme="minorHAnsi"/>
                <w:color w:val="000000"/>
                <w:lang w:eastAsia="it-IT"/>
              </w:rPr>
              <w:t>± 0.02</w:t>
            </w:r>
          </w:p>
        </w:tc>
        <w:tc>
          <w:tcPr>
            <w:tcW w:w="1304" w:type="dxa"/>
            <w:gridSpan w:val="2"/>
            <w:vMerge/>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p>
        </w:tc>
      </w:tr>
      <w:tr w:rsidR="00387A07" w:rsidRPr="00AA03FE" w:rsidTr="00387A07">
        <w:trPr>
          <w:trHeight w:val="315"/>
        </w:trPr>
        <w:tc>
          <w:tcPr>
            <w:tcW w:w="1575" w:type="dxa"/>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Zeta Pot. [mV]</w:t>
            </w:r>
          </w:p>
        </w:tc>
        <w:tc>
          <w:tcPr>
            <w:tcW w:w="1304" w:type="dxa"/>
            <w:tcBorders>
              <w:left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-12.2 ± 0.6</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-9.4 ± 0.5</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-9.6 ± 0.4</w:t>
            </w:r>
          </w:p>
        </w:tc>
        <w:tc>
          <w:tcPr>
            <w:tcW w:w="1304" w:type="dxa"/>
            <w:tcBorders>
              <w:bottom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-24.4 ± 0.4</w:t>
            </w:r>
          </w:p>
        </w:tc>
        <w:tc>
          <w:tcPr>
            <w:tcW w:w="1304" w:type="dxa"/>
            <w:gridSpan w:val="2"/>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-22.0 </w:t>
            </w:r>
            <w:r w:rsidRPr="00AA03FE">
              <w:rPr>
                <w:rFonts w:cstheme="minorHAnsi"/>
                <w:color w:val="000000"/>
                <w:lang w:eastAsia="it-IT"/>
              </w:rPr>
              <w:t>± 0.9</w:t>
            </w:r>
          </w:p>
        </w:tc>
        <w:tc>
          <w:tcPr>
            <w:tcW w:w="1304" w:type="dxa"/>
            <w:gridSpan w:val="2"/>
            <w:vMerge/>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p>
        </w:tc>
      </w:tr>
      <w:tr w:rsidR="00387A07" w:rsidRPr="00AA03FE" w:rsidTr="00387A07">
        <w:trPr>
          <w:trHeight w:val="315"/>
        </w:trPr>
        <w:tc>
          <w:tcPr>
            <w:tcW w:w="1575"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Size  [nm]</w:t>
            </w:r>
          </w:p>
        </w:tc>
        <w:tc>
          <w:tcPr>
            <w:tcW w:w="1304" w:type="dxa"/>
            <w:tcBorders>
              <w:top w:val="single" w:sz="4" w:space="0" w:color="auto"/>
              <w:left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212 ± 1</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188 ± 2</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215 ± 2</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181 ± 2</w:t>
            </w:r>
          </w:p>
        </w:tc>
        <w:tc>
          <w:tcPr>
            <w:tcW w:w="1304" w:type="dxa"/>
            <w:gridSpan w:val="2"/>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193 </w:t>
            </w:r>
            <w:r w:rsidRPr="00AA03FE">
              <w:rPr>
                <w:rFonts w:cstheme="minorHAnsi"/>
                <w:color w:val="000000"/>
                <w:lang w:eastAsia="it-IT"/>
              </w:rPr>
              <w:t>± 1</w:t>
            </w:r>
          </w:p>
        </w:tc>
        <w:tc>
          <w:tcPr>
            <w:tcW w:w="1304" w:type="dxa"/>
            <w:gridSpan w:val="2"/>
            <w:vMerge w:val="restart"/>
            <w:tcBorders>
              <w:top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val="it-IT" w:eastAsia="it-IT"/>
              </w:rPr>
              <w:t>Poloxamer 1%</w:t>
            </w:r>
          </w:p>
        </w:tc>
      </w:tr>
      <w:tr w:rsidR="00387A07" w:rsidRPr="00AA03FE" w:rsidTr="00387A07">
        <w:trPr>
          <w:trHeight w:val="315"/>
        </w:trPr>
        <w:tc>
          <w:tcPr>
            <w:tcW w:w="1575" w:type="dxa"/>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PDI</w:t>
            </w:r>
          </w:p>
        </w:tc>
        <w:tc>
          <w:tcPr>
            <w:tcW w:w="1304" w:type="dxa"/>
            <w:tcBorders>
              <w:left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0.13 ± 0.01</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0.11 ± 0.01</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0.10 ± 0.02</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0.06 ± 0.02</w:t>
            </w:r>
          </w:p>
        </w:tc>
        <w:tc>
          <w:tcPr>
            <w:tcW w:w="1304" w:type="dxa"/>
            <w:gridSpan w:val="2"/>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0.08 </w:t>
            </w:r>
            <w:r w:rsidRPr="00AA03FE">
              <w:rPr>
                <w:rFonts w:cstheme="minorHAnsi"/>
                <w:color w:val="000000"/>
                <w:lang w:eastAsia="it-IT"/>
              </w:rPr>
              <w:t>± 0.02</w:t>
            </w:r>
          </w:p>
        </w:tc>
        <w:tc>
          <w:tcPr>
            <w:tcW w:w="1304" w:type="dxa"/>
            <w:gridSpan w:val="2"/>
            <w:vMerge/>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p>
        </w:tc>
      </w:tr>
      <w:tr w:rsidR="00387A07" w:rsidRPr="00AA03FE" w:rsidTr="00387A07">
        <w:trPr>
          <w:trHeight w:val="315"/>
        </w:trPr>
        <w:tc>
          <w:tcPr>
            <w:tcW w:w="1575" w:type="dxa"/>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Zeta Pot. [mV]</w:t>
            </w:r>
          </w:p>
        </w:tc>
        <w:tc>
          <w:tcPr>
            <w:tcW w:w="1304" w:type="dxa"/>
            <w:tcBorders>
              <w:left w:val="single" w:sz="4" w:space="0" w:color="auto"/>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-15.8 ± 0.2</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-14.3 ± 0.5</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-17.1 ± 1.7</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-24.4 ± 0.2</w:t>
            </w:r>
          </w:p>
        </w:tc>
        <w:tc>
          <w:tcPr>
            <w:tcW w:w="1304" w:type="dxa"/>
            <w:gridSpan w:val="2"/>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-22.5 </w:t>
            </w:r>
            <w:r w:rsidRPr="00AA03FE">
              <w:rPr>
                <w:rFonts w:cstheme="minorHAnsi"/>
                <w:color w:val="000000"/>
                <w:lang w:eastAsia="it-IT"/>
              </w:rPr>
              <w:t>± 1.4</w:t>
            </w:r>
          </w:p>
        </w:tc>
        <w:tc>
          <w:tcPr>
            <w:tcW w:w="1304" w:type="dxa"/>
            <w:gridSpan w:val="2"/>
            <w:vMerge/>
            <w:tcBorders>
              <w:bottom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p>
        </w:tc>
      </w:tr>
      <w:tr w:rsidR="00387A07" w:rsidRPr="00AA03FE" w:rsidTr="00387A07">
        <w:trPr>
          <w:trHeight w:val="315"/>
        </w:trPr>
        <w:tc>
          <w:tcPr>
            <w:tcW w:w="1575"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eastAsia="it-IT"/>
              </w:rPr>
              <w:t>Size  [nm]</w:t>
            </w:r>
          </w:p>
        </w:tc>
        <w:tc>
          <w:tcPr>
            <w:tcW w:w="1304" w:type="dxa"/>
            <w:tcBorders>
              <w:top w:val="single" w:sz="4" w:space="0" w:color="auto"/>
              <w:left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194 ± 2</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186 ± 2</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211 ± 3</w:t>
            </w:r>
          </w:p>
        </w:tc>
        <w:tc>
          <w:tcPr>
            <w:tcW w:w="1304" w:type="dxa"/>
            <w:tcBorders>
              <w:top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188 ± 1</w:t>
            </w:r>
          </w:p>
        </w:tc>
        <w:tc>
          <w:tcPr>
            <w:tcW w:w="1304" w:type="dxa"/>
            <w:gridSpan w:val="2"/>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196 ± 2</w:t>
            </w:r>
          </w:p>
        </w:tc>
        <w:tc>
          <w:tcPr>
            <w:tcW w:w="1304" w:type="dxa"/>
            <w:gridSpan w:val="2"/>
            <w:vMerge w:val="restart"/>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spacing w:after="0"/>
              <w:jc w:val="center"/>
              <w:rPr>
                <w:rFonts w:cstheme="minorHAnsi"/>
                <w:b/>
                <w:color w:val="000000"/>
                <w:lang w:val="it-IT" w:eastAsia="it-IT"/>
              </w:rPr>
            </w:pPr>
            <w:r w:rsidRPr="00AA03FE">
              <w:rPr>
                <w:rFonts w:cstheme="minorHAnsi"/>
                <w:b/>
                <w:color w:val="000000"/>
                <w:lang w:val="it-IT" w:eastAsia="it-IT"/>
              </w:rPr>
              <w:t>Poloxamer 2%</w:t>
            </w:r>
          </w:p>
        </w:tc>
      </w:tr>
      <w:tr w:rsidR="00387A07" w:rsidRPr="00AA03FE" w:rsidTr="00387A07">
        <w:trPr>
          <w:trHeight w:val="315"/>
        </w:trPr>
        <w:tc>
          <w:tcPr>
            <w:tcW w:w="1575" w:type="dxa"/>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val="it-IT" w:eastAsia="it-IT"/>
              </w:rPr>
              <w:t>PDI</w:t>
            </w:r>
          </w:p>
        </w:tc>
        <w:tc>
          <w:tcPr>
            <w:tcW w:w="1304" w:type="dxa"/>
            <w:tcBorders>
              <w:left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0.11 ±0.01</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0.07 ± 0.03</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0.09 ± 0.01</w:t>
            </w:r>
          </w:p>
        </w:tc>
        <w:tc>
          <w:tcPr>
            <w:tcW w:w="1304" w:type="dxa"/>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0.07 ± 0.02</w:t>
            </w:r>
          </w:p>
        </w:tc>
        <w:tc>
          <w:tcPr>
            <w:tcW w:w="1304" w:type="dxa"/>
            <w:gridSpan w:val="2"/>
            <w:tcBorders>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0.12 ± 0.08</w:t>
            </w:r>
          </w:p>
        </w:tc>
        <w:tc>
          <w:tcPr>
            <w:tcW w:w="1304" w:type="dxa"/>
            <w:gridSpan w:val="2"/>
            <w:vMerge/>
            <w:tcBorders>
              <w:bottom w:val="single" w:sz="4" w:space="0" w:color="auto"/>
            </w:tcBorders>
            <w:shd w:val="clear" w:color="auto" w:fill="F2F2F2" w:themeFill="background1" w:themeFillShade="F2"/>
          </w:tcPr>
          <w:p w:rsidR="00387A07" w:rsidRPr="00AA03FE" w:rsidRDefault="00387A07" w:rsidP="00387A07">
            <w:pPr>
              <w:spacing w:after="0"/>
              <w:jc w:val="center"/>
              <w:rPr>
                <w:rFonts w:cstheme="minorHAnsi"/>
                <w:color w:val="000000"/>
                <w:lang w:val="it-IT" w:eastAsia="it-IT"/>
              </w:rPr>
            </w:pPr>
          </w:p>
        </w:tc>
      </w:tr>
      <w:tr w:rsidR="00387A07" w:rsidRPr="00AA03FE" w:rsidTr="00387A07">
        <w:trPr>
          <w:trHeight w:val="300"/>
        </w:trPr>
        <w:tc>
          <w:tcPr>
            <w:tcW w:w="1575" w:type="dxa"/>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b/>
                <w:bCs/>
                <w:color w:val="000000"/>
                <w:lang w:val="it-IT" w:eastAsia="it-IT"/>
              </w:rPr>
            </w:pPr>
            <w:r w:rsidRPr="00AA03FE">
              <w:rPr>
                <w:rFonts w:cstheme="minorHAnsi"/>
                <w:b/>
                <w:bCs/>
                <w:color w:val="000000"/>
                <w:lang w:val="it-IT" w:eastAsia="it-IT"/>
              </w:rPr>
              <w:t>Zeta Pot. [mV]</w:t>
            </w:r>
          </w:p>
        </w:tc>
        <w:tc>
          <w:tcPr>
            <w:tcW w:w="1304" w:type="dxa"/>
            <w:tcBorders>
              <w:left w:val="single" w:sz="4" w:space="0" w:color="auto"/>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-18.8 ± 0.7</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-15.8 ± 0.1</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-1</w:t>
            </w:r>
            <w:r w:rsidRPr="00AA03FE">
              <w:rPr>
                <w:rFonts w:cstheme="minorHAnsi"/>
                <w:color w:val="000000"/>
                <w:lang w:eastAsia="it-IT"/>
              </w:rPr>
              <w:t>4.7 ± 0.8</w:t>
            </w:r>
          </w:p>
        </w:tc>
        <w:tc>
          <w:tcPr>
            <w:tcW w:w="1304" w:type="dxa"/>
            <w:tcBorders>
              <w:bottom w:val="single" w:sz="4" w:space="0" w:color="auto"/>
            </w:tcBorders>
            <w:shd w:val="clear" w:color="auto" w:fill="F2F2F2" w:themeFill="background1" w:themeFillShade="F2"/>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eastAsia="it-IT"/>
              </w:rPr>
              <w:t>-16.6 ± 1.4</w:t>
            </w:r>
          </w:p>
        </w:tc>
        <w:tc>
          <w:tcPr>
            <w:tcW w:w="1304" w:type="dxa"/>
            <w:gridSpan w:val="2"/>
            <w:tcBorders>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spacing w:after="0"/>
              <w:jc w:val="center"/>
              <w:rPr>
                <w:rFonts w:cstheme="minorHAnsi"/>
                <w:color w:val="000000"/>
                <w:lang w:val="it-IT" w:eastAsia="it-IT"/>
              </w:rPr>
            </w:pPr>
            <w:r w:rsidRPr="00AA03FE">
              <w:rPr>
                <w:rFonts w:cstheme="minorHAnsi"/>
                <w:color w:val="000000"/>
                <w:lang w:val="it-IT" w:eastAsia="it-IT"/>
              </w:rPr>
              <w:t xml:space="preserve">-17.1 </w:t>
            </w:r>
            <w:r w:rsidRPr="00AA03FE">
              <w:rPr>
                <w:rFonts w:cstheme="minorHAnsi"/>
                <w:color w:val="000000"/>
                <w:lang w:eastAsia="it-IT"/>
              </w:rPr>
              <w:t>± 0.5</w:t>
            </w:r>
          </w:p>
        </w:tc>
        <w:tc>
          <w:tcPr>
            <w:tcW w:w="1304" w:type="dxa"/>
            <w:gridSpan w:val="2"/>
            <w:vMerge/>
            <w:tcBorders>
              <w:bottom w:val="single" w:sz="4" w:space="0" w:color="auto"/>
            </w:tcBorders>
            <w:shd w:val="clear" w:color="auto" w:fill="F2F2F2" w:themeFill="background1" w:themeFillShade="F2"/>
          </w:tcPr>
          <w:p w:rsidR="00387A07" w:rsidRPr="00AA03FE" w:rsidRDefault="00387A07" w:rsidP="00387A07">
            <w:pPr>
              <w:spacing w:after="0"/>
              <w:jc w:val="center"/>
              <w:rPr>
                <w:rFonts w:cstheme="minorHAnsi"/>
                <w:color w:val="000000"/>
                <w:lang w:val="it-IT" w:eastAsia="it-IT"/>
              </w:rPr>
            </w:pPr>
          </w:p>
        </w:tc>
      </w:tr>
    </w:tbl>
    <w:p w:rsidR="00387A07" w:rsidRPr="00AA03FE" w:rsidRDefault="00387A07" w:rsidP="00387A07">
      <w:pPr>
        <w:pStyle w:val="Didascalia"/>
        <w:spacing w:before="120"/>
        <w:rPr>
          <w:rFonts w:ascii="Arial" w:hAnsi="Arial" w:cs="Arial"/>
          <w:bCs w:val="0"/>
          <w:sz w:val="24"/>
          <w:szCs w:val="24"/>
        </w:rPr>
      </w:pPr>
      <w:r w:rsidRPr="00AA03FE">
        <w:rPr>
          <w:rFonts w:ascii="Arial" w:hAnsi="Arial" w:cs="Arial"/>
          <w:bCs w:val="0"/>
          <w:sz w:val="24"/>
          <w:szCs w:val="24"/>
        </w:rPr>
        <w:t xml:space="preserve"> </w:t>
      </w:r>
      <w:r w:rsidRPr="00AA03FE">
        <w:t xml:space="preserve">Table 3. </w:t>
      </w:r>
      <w:fldSimple w:instr=" SEQ Table_3. \* ARABIC ">
        <w:r w:rsidRPr="00AA03FE">
          <w:rPr>
            <w:noProof/>
          </w:rPr>
          <w:t>5</w:t>
        </w:r>
      </w:fldSimple>
      <w:r w:rsidRPr="00AA03FE">
        <w:t xml:space="preserve"> Mean size, size distribution and zeta potential of nanoparticles prepared with different polymers, after washing with water or a water solution of Poloxamer F168 at two different concentrations.</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For this reason distilled water was selected as the optimal washing medium, since it brings to a sufficiently negative surface charge for all polymers.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The choice of the polymer did not significantly alter the size distribution of nanoparticles: the mean particles size ranges from 180nm for NS-BC2000 to 204nm for PCL nanoparticles. The two polyesterurethanes used in this study appear to be suitable materials for nanoparticles preparation with the Double Emulsion Technique. </w:t>
      </w:r>
    </w:p>
    <w:p w:rsidR="00387A07" w:rsidRPr="00AA03FE" w:rsidRDefault="00387A07" w:rsidP="00387A07">
      <w:pPr>
        <w:spacing w:before="240" w:after="240" w:line="360" w:lineRule="auto"/>
        <w:jc w:val="both"/>
        <w:rPr>
          <w:rFonts w:ascii="Arial" w:hAnsi="Arial" w:cs="Arial"/>
          <w:b/>
          <w:bCs/>
          <w:i/>
          <w:sz w:val="24"/>
          <w:szCs w:val="24"/>
        </w:rPr>
      </w:pPr>
      <w:r w:rsidRPr="00AA03FE">
        <w:rPr>
          <w:rFonts w:ascii="Arial" w:hAnsi="Arial" w:cs="Arial"/>
          <w:b/>
          <w:bCs/>
          <w:i/>
          <w:sz w:val="24"/>
          <w:szCs w:val="24"/>
        </w:rPr>
        <w:t>3.3.2.2 Preparation of Paclitaxel-loaded Nanoparticles.</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Paclitaxel loaded nanoparticles (5% w/v) were successfully prepared with all five polymers and size, PDI and zeta potential were measured before and after drug loading. </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Results are summarized in table 3.6 and in figure 3. 6. </w:t>
      </w:r>
    </w:p>
    <w:p w:rsidR="00387A07" w:rsidRPr="00AA03FE" w:rsidRDefault="00387A07" w:rsidP="00387A07">
      <w:pPr>
        <w:spacing w:after="0" w:line="360" w:lineRule="auto"/>
        <w:jc w:val="both"/>
        <w:rPr>
          <w:rFonts w:ascii="Arial" w:hAnsi="Arial" w:cs="Arial"/>
          <w:bCs/>
          <w:sz w:val="24"/>
          <w:szCs w:val="24"/>
        </w:rPr>
      </w:pPr>
    </w:p>
    <w:tbl>
      <w:tblPr>
        <w:tblStyle w:val="Grigliatabella"/>
        <w:tblW w:w="8537" w:type="dxa"/>
        <w:jc w:val="center"/>
        <w:tblBorders>
          <w:insideH w:val="none" w:sz="0" w:space="0" w:color="auto"/>
          <w:insideV w:val="none" w:sz="0" w:space="0" w:color="auto"/>
        </w:tblBorders>
        <w:shd w:val="clear" w:color="auto" w:fill="F2F2F2" w:themeFill="background1" w:themeFillShade="F2"/>
        <w:tblLook w:val="04A0"/>
      </w:tblPr>
      <w:tblGrid>
        <w:gridCol w:w="1304"/>
        <w:gridCol w:w="1134"/>
        <w:gridCol w:w="1247"/>
        <w:gridCol w:w="1235"/>
        <w:gridCol w:w="1134"/>
        <w:gridCol w:w="1247"/>
        <w:gridCol w:w="1236"/>
      </w:tblGrid>
      <w:tr w:rsidR="00387A07" w:rsidRPr="00AA03FE" w:rsidTr="00387A07">
        <w:trPr>
          <w:trHeight w:val="300"/>
          <w:jc w:val="center"/>
        </w:trPr>
        <w:tc>
          <w:tcPr>
            <w:tcW w:w="1304" w:type="dxa"/>
            <w:vMerge w:val="restart"/>
            <w:tcBorders>
              <w:top w:val="single" w:sz="4" w:space="0" w:color="000000" w:themeColor="text1"/>
              <w:left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lang w:eastAsia="it-IT"/>
              </w:rPr>
            </w:pPr>
            <w:r w:rsidRPr="00AA03FE">
              <w:rPr>
                <w:rFonts w:cstheme="minorHAnsi"/>
                <w:b/>
                <w:color w:val="000000"/>
                <w:lang w:eastAsia="it-IT"/>
              </w:rPr>
              <w:lastRenderedPageBreak/>
              <w:t>Material</w:t>
            </w:r>
          </w:p>
        </w:tc>
        <w:tc>
          <w:tcPr>
            <w:tcW w:w="3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Plain particles</w:t>
            </w:r>
          </w:p>
        </w:tc>
        <w:tc>
          <w:tcPr>
            <w:tcW w:w="3617" w:type="dxa"/>
            <w:gridSpan w:val="3"/>
            <w:tcBorders>
              <w:top w:val="single" w:sz="4" w:space="0" w:color="auto"/>
              <w:left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PX-loaded particles</w:t>
            </w:r>
          </w:p>
        </w:tc>
      </w:tr>
      <w:tr w:rsidR="00387A07" w:rsidRPr="00AA03FE" w:rsidTr="00387A07">
        <w:trPr>
          <w:trHeight w:val="300"/>
          <w:jc w:val="center"/>
        </w:trPr>
        <w:tc>
          <w:tcPr>
            <w:tcW w:w="1304" w:type="dxa"/>
            <w:vMerge/>
            <w:tcBorders>
              <w:top w:val="nil"/>
              <w:left w:val="nil"/>
              <w:bottom w:val="single" w:sz="4" w:space="0" w:color="auto"/>
              <w:right w:val="single" w:sz="4" w:space="0" w:color="auto"/>
            </w:tcBorders>
            <w:shd w:val="clear" w:color="auto" w:fill="F2F2F2" w:themeFill="background1" w:themeFillShade="F2"/>
            <w:noWrap/>
            <w:hideMark/>
          </w:tcPr>
          <w:p w:rsidR="00387A07" w:rsidRPr="00AA03FE" w:rsidRDefault="00387A07" w:rsidP="00387A07">
            <w:pPr>
              <w:jc w:val="center"/>
              <w:rPr>
                <w:rFonts w:cstheme="minorHAnsi"/>
                <w:b/>
                <w:color w:val="000000"/>
                <w:lang w:eastAsia="it-IT"/>
              </w:rPr>
            </w:pPr>
          </w:p>
        </w:tc>
        <w:tc>
          <w:tcPr>
            <w:tcW w:w="1134" w:type="dxa"/>
            <w:tcBorders>
              <w:top w:val="single" w:sz="4" w:space="0" w:color="auto"/>
              <w:left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247"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235" w:type="dxa"/>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c>
          <w:tcPr>
            <w:tcW w:w="1134" w:type="dxa"/>
            <w:tcBorders>
              <w:top w:val="single" w:sz="4" w:space="0" w:color="auto"/>
              <w:left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247"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236" w:type="dxa"/>
            <w:tcBorders>
              <w:top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r>
      <w:tr w:rsidR="00387A07" w:rsidRPr="00AA03FE" w:rsidTr="00387A07">
        <w:trPr>
          <w:trHeight w:val="300"/>
          <w:jc w:val="center"/>
        </w:trPr>
        <w:tc>
          <w:tcPr>
            <w:tcW w:w="1304" w:type="dxa"/>
            <w:tcBorders>
              <w:top w:val="single" w:sz="4" w:space="0" w:color="auto"/>
              <w:left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C-BC2000</w:t>
            </w:r>
          </w:p>
        </w:tc>
        <w:tc>
          <w:tcPr>
            <w:tcW w:w="1134" w:type="dxa"/>
            <w:tcBorders>
              <w:top w:val="single" w:sz="4" w:space="0" w:color="auto"/>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197 ± 2</w:t>
            </w:r>
          </w:p>
        </w:tc>
        <w:tc>
          <w:tcPr>
            <w:tcW w:w="1247"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0.11 ± 0.02</w:t>
            </w:r>
          </w:p>
        </w:tc>
        <w:tc>
          <w:tcPr>
            <w:tcW w:w="1235"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-12.2 ± 0.6</w:t>
            </w:r>
          </w:p>
        </w:tc>
        <w:tc>
          <w:tcPr>
            <w:tcW w:w="1134" w:type="dxa"/>
            <w:tcBorders>
              <w:top w:val="single" w:sz="4" w:space="0" w:color="auto"/>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208 </w:t>
            </w:r>
            <w:r w:rsidRPr="00AA03FE">
              <w:rPr>
                <w:rFonts w:cstheme="minorHAnsi"/>
                <w:color w:val="000000"/>
              </w:rPr>
              <w:t>± 3</w:t>
            </w:r>
          </w:p>
        </w:tc>
        <w:tc>
          <w:tcPr>
            <w:tcW w:w="1247"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0.06 </w:t>
            </w:r>
            <w:r w:rsidRPr="00AA03FE">
              <w:rPr>
                <w:rFonts w:cstheme="minorHAnsi"/>
                <w:color w:val="000000"/>
              </w:rPr>
              <w:t>± 0.03</w:t>
            </w:r>
          </w:p>
        </w:tc>
        <w:tc>
          <w:tcPr>
            <w:tcW w:w="1236" w:type="dxa"/>
            <w:tcBorders>
              <w:top w:val="single" w:sz="4" w:space="0" w:color="auto"/>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-17.5 </w:t>
            </w:r>
            <w:r w:rsidRPr="00AA03FE">
              <w:rPr>
                <w:rFonts w:cstheme="minorHAnsi"/>
                <w:color w:val="000000"/>
              </w:rPr>
              <w:t>± 0.4</w:t>
            </w:r>
          </w:p>
        </w:tc>
      </w:tr>
      <w:tr w:rsidR="00387A07" w:rsidRPr="00AA03FE" w:rsidTr="00387A07">
        <w:trPr>
          <w:trHeight w:val="300"/>
          <w:jc w:val="center"/>
        </w:trPr>
        <w:tc>
          <w:tcPr>
            <w:tcW w:w="1304" w:type="dxa"/>
            <w:tcBorders>
              <w:top w:val="nil"/>
              <w:left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NS-BC2000</w:t>
            </w:r>
          </w:p>
        </w:tc>
        <w:tc>
          <w:tcPr>
            <w:tcW w:w="1134"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178 ± 1</w:t>
            </w:r>
          </w:p>
        </w:tc>
        <w:tc>
          <w:tcPr>
            <w:tcW w:w="1247"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0.11 ± 0.03</w:t>
            </w:r>
          </w:p>
        </w:tc>
        <w:tc>
          <w:tcPr>
            <w:tcW w:w="1235"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-9.4 ± 0.4</w:t>
            </w:r>
          </w:p>
        </w:tc>
        <w:tc>
          <w:tcPr>
            <w:tcW w:w="1134" w:type="dxa"/>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color w:val="000000"/>
              </w:rPr>
              <w:t>193 ± 1</w:t>
            </w:r>
          </w:p>
        </w:tc>
        <w:tc>
          <w:tcPr>
            <w:tcW w:w="1247"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0.02 </w:t>
            </w:r>
            <w:r w:rsidRPr="00AA03FE">
              <w:rPr>
                <w:rFonts w:cstheme="minorHAnsi"/>
                <w:color w:val="000000"/>
              </w:rPr>
              <w:t>± 0.01</w:t>
            </w:r>
          </w:p>
        </w:tc>
        <w:tc>
          <w:tcPr>
            <w:tcW w:w="1236"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color w:val="000000"/>
              </w:rPr>
              <w:t>-12.8 ± 0.5</w:t>
            </w:r>
          </w:p>
        </w:tc>
      </w:tr>
      <w:tr w:rsidR="00387A07" w:rsidRPr="00AA03FE" w:rsidTr="00387A07">
        <w:trPr>
          <w:trHeight w:val="300"/>
          <w:jc w:val="center"/>
        </w:trPr>
        <w:tc>
          <w:tcPr>
            <w:tcW w:w="1304" w:type="dxa"/>
            <w:tcBorders>
              <w:top w:val="nil"/>
              <w:left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PCL</w:t>
            </w:r>
          </w:p>
        </w:tc>
        <w:tc>
          <w:tcPr>
            <w:tcW w:w="1134"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204 ± 3</w:t>
            </w:r>
          </w:p>
        </w:tc>
        <w:tc>
          <w:tcPr>
            <w:tcW w:w="1247"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0.06 ± 0.01</w:t>
            </w:r>
          </w:p>
        </w:tc>
        <w:tc>
          <w:tcPr>
            <w:tcW w:w="1235"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-9.6 ± 0.4</w:t>
            </w:r>
          </w:p>
        </w:tc>
        <w:tc>
          <w:tcPr>
            <w:tcW w:w="1134" w:type="dxa"/>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164 </w:t>
            </w:r>
            <w:r w:rsidRPr="00AA03FE">
              <w:rPr>
                <w:rFonts w:cstheme="minorHAnsi"/>
                <w:color w:val="000000"/>
              </w:rPr>
              <w:t>± 1</w:t>
            </w:r>
          </w:p>
        </w:tc>
        <w:tc>
          <w:tcPr>
            <w:tcW w:w="1247"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0.03 </w:t>
            </w:r>
            <w:r w:rsidRPr="00AA03FE">
              <w:rPr>
                <w:rFonts w:cstheme="minorHAnsi"/>
                <w:color w:val="000000"/>
              </w:rPr>
              <w:t>± 0.02</w:t>
            </w:r>
          </w:p>
        </w:tc>
        <w:tc>
          <w:tcPr>
            <w:tcW w:w="1236"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-6.3 </w:t>
            </w:r>
            <w:r w:rsidRPr="00AA03FE">
              <w:rPr>
                <w:rFonts w:cstheme="minorHAnsi"/>
                <w:color w:val="000000"/>
              </w:rPr>
              <w:t>± 1.1</w:t>
            </w:r>
          </w:p>
        </w:tc>
      </w:tr>
      <w:tr w:rsidR="00387A07" w:rsidRPr="00AA03FE" w:rsidTr="00387A07">
        <w:trPr>
          <w:trHeight w:val="300"/>
          <w:jc w:val="center"/>
        </w:trPr>
        <w:tc>
          <w:tcPr>
            <w:tcW w:w="1304" w:type="dxa"/>
            <w:tcBorders>
              <w:top w:val="nil"/>
              <w:left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PLGA</w:t>
            </w:r>
          </w:p>
        </w:tc>
        <w:tc>
          <w:tcPr>
            <w:tcW w:w="1134"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182 ± 1</w:t>
            </w:r>
          </w:p>
        </w:tc>
        <w:tc>
          <w:tcPr>
            <w:tcW w:w="1247"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0.07 ± 0.03</w:t>
            </w:r>
          </w:p>
        </w:tc>
        <w:tc>
          <w:tcPr>
            <w:tcW w:w="1235"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-24.4 ± 0.4</w:t>
            </w:r>
          </w:p>
        </w:tc>
        <w:tc>
          <w:tcPr>
            <w:tcW w:w="1134" w:type="dxa"/>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color w:val="000000"/>
              </w:rPr>
              <w:t>177 ± 2</w:t>
            </w:r>
          </w:p>
        </w:tc>
        <w:tc>
          <w:tcPr>
            <w:tcW w:w="1247"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0.14 </w:t>
            </w:r>
            <w:r w:rsidRPr="00AA03FE">
              <w:rPr>
                <w:rFonts w:cstheme="minorHAnsi"/>
                <w:color w:val="000000"/>
              </w:rPr>
              <w:t>± 0.01</w:t>
            </w:r>
          </w:p>
        </w:tc>
        <w:tc>
          <w:tcPr>
            <w:tcW w:w="1236"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-13.2 </w:t>
            </w:r>
            <w:r w:rsidRPr="00AA03FE">
              <w:rPr>
                <w:rFonts w:cstheme="minorHAnsi"/>
                <w:color w:val="000000"/>
              </w:rPr>
              <w:t>± 0.9</w:t>
            </w:r>
          </w:p>
        </w:tc>
      </w:tr>
      <w:tr w:rsidR="00387A07" w:rsidRPr="00AA03FE" w:rsidTr="00387A07">
        <w:trPr>
          <w:trHeight w:val="300"/>
          <w:jc w:val="center"/>
        </w:trPr>
        <w:tc>
          <w:tcPr>
            <w:tcW w:w="1304" w:type="dxa"/>
            <w:tcBorders>
              <w:top w:val="nil"/>
              <w:left w:val="nil"/>
              <w:bottom w:val="single" w:sz="4" w:space="0" w:color="000000" w:themeColor="text1"/>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PLA</w:t>
            </w:r>
          </w:p>
        </w:tc>
        <w:tc>
          <w:tcPr>
            <w:tcW w:w="1134" w:type="dxa"/>
            <w:tcBorders>
              <w:lef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193 ± 2</w:t>
            </w:r>
          </w:p>
        </w:tc>
        <w:tc>
          <w:tcPr>
            <w:tcW w:w="1247"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0.14 ± 0.02</w:t>
            </w:r>
          </w:p>
        </w:tc>
        <w:tc>
          <w:tcPr>
            <w:tcW w:w="1235" w:type="dxa"/>
            <w:tcBorders>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-22.0 ± 0.9</w:t>
            </w:r>
          </w:p>
        </w:tc>
        <w:tc>
          <w:tcPr>
            <w:tcW w:w="1134" w:type="dxa"/>
            <w:tcBorders>
              <w:left w:val="single" w:sz="4" w:space="0" w:color="auto"/>
              <w:bottom w:val="single" w:sz="4" w:space="0" w:color="000000" w:themeColor="text1"/>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color w:val="000000"/>
              </w:rPr>
              <w:t>223 ± 9</w:t>
            </w:r>
          </w:p>
        </w:tc>
        <w:tc>
          <w:tcPr>
            <w:tcW w:w="1247"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0.29 </w:t>
            </w:r>
            <w:r w:rsidRPr="00AA03FE">
              <w:rPr>
                <w:rFonts w:cstheme="minorHAnsi"/>
                <w:color w:val="000000"/>
              </w:rPr>
              <w:t>± 0.02</w:t>
            </w:r>
          </w:p>
        </w:tc>
        <w:tc>
          <w:tcPr>
            <w:tcW w:w="1236" w:type="dxa"/>
            <w:tcBorders>
              <w:top w:val="nil"/>
              <w:bottom w:val="single" w:sz="4" w:space="0" w:color="000000" w:themeColor="text1"/>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color w:val="000000"/>
              </w:rPr>
              <w:t>-18.0 ± 2.9</w:t>
            </w:r>
          </w:p>
        </w:tc>
      </w:tr>
    </w:tbl>
    <w:p w:rsidR="00387A07" w:rsidRPr="00AA03FE" w:rsidRDefault="00387A07" w:rsidP="00387A07">
      <w:pPr>
        <w:pStyle w:val="Didascalia"/>
        <w:spacing w:before="200"/>
      </w:pPr>
      <w:r w:rsidRPr="00AA03FE">
        <w:t xml:space="preserve">Table 3. </w:t>
      </w:r>
      <w:fldSimple w:instr=" SEQ Table_3. \* ARABIC ">
        <w:r w:rsidRPr="00AA03FE">
          <w:rPr>
            <w:noProof/>
          </w:rPr>
          <w:t>6</w:t>
        </w:r>
      </w:fldSimple>
      <w:r w:rsidRPr="00AA03FE">
        <w:t xml:space="preserve"> Mean size, size distribution and zeta potential of plain and Paclitaxel loaded nanoparticles prepared with different polymers. </w:t>
      </w:r>
    </w:p>
    <w:p w:rsidR="00387A07" w:rsidRPr="00AA03FE" w:rsidRDefault="00387A07" w:rsidP="00387A07">
      <w:pPr>
        <w:jc w:val="center"/>
      </w:pPr>
      <w:r w:rsidRPr="00AA03FE">
        <w:rPr>
          <w:noProof/>
          <w:lang w:val="it-IT" w:eastAsia="it-IT"/>
        </w:rPr>
        <w:drawing>
          <wp:inline distT="0" distB="0" distL="0" distR="0">
            <wp:extent cx="3649807" cy="2007394"/>
            <wp:effectExtent l="0" t="0" r="0" b="0"/>
            <wp:docPr id="145" name="Immagine 15" descr="effect of px loa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 of px loading.png"/>
                    <pic:cNvPicPr/>
                  </pic:nvPicPr>
                  <pic:blipFill>
                    <a:blip r:embed="rId47"/>
                    <a:stretch>
                      <a:fillRect/>
                    </a:stretch>
                  </pic:blipFill>
                  <pic:spPr>
                    <a:xfrm>
                      <a:off x="0" y="0"/>
                      <a:ext cx="3648115" cy="2006463"/>
                    </a:xfrm>
                    <a:prstGeom prst="rect">
                      <a:avLst/>
                    </a:prstGeom>
                  </pic:spPr>
                </pic:pic>
              </a:graphicData>
            </a:graphic>
          </wp:inline>
        </w:drawing>
      </w:r>
    </w:p>
    <w:p w:rsidR="00387A07" w:rsidRPr="00AA03FE" w:rsidRDefault="00387A07" w:rsidP="00387A07">
      <w:pPr>
        <w:pStyle w:val="Didascalia"/>
        <w:spacing w:before="200"/>
      </w:pPr>
      <w:r w:rsidRPr="00AA03FE">
        <w:t xml:space="preserve">Figure 3. </w:t>
      </w:r>
      <w:fldSimple w:instr=" SEQ Figure_3. \* ARABIC ">
        <w:r w:rsidRPr="00AA03FE">
          <w:rPr>
            <w:noProof/>
          </w:rPr>
          <w:t>6</w:t>
        </w:r>
      </w:fldSimple>
      <w:r w:rsidRPr="00AA03FE">
        <w:t xml:space="preserve"> Effect of drug loading on mean particles size.</w:t>
      </w:r>
    </w:p>
    <w:p w:rsidR="00387A07" w:rsidRPr="00AA03FE" w:rsidRDefault="00387A07" w:rsidP="00387A07">
      <w:pPr>
        <w:spacing w:line="360" w:lineRule="auto"/>
        <w:jc w:val="both"/>
        <w:rPr>
          <w:rFonts w:ascii="Arial" w:hAnsi="Arial" w:cs="Arial"/>
          <w:sz w:val="24"/>
          <w:szCs w:val="24"/>
        </w:rPr>
      </w:pPr>
      <w:r w:rsidRPr="00AA03FE">
        <w:rPr>
          <w:rFonts w:ascii="Arial" w:hAnsi="Arial" w:cs="Arial"/>
          <w:sz w:val="24"/>
          <w:szCs w:val="24"/>
        </w:rPr>
        <w:t xml:space="preserve">No evident changes in size or surface charge of nanoparticles can be detected after Paclitaxel loading.  </w:t>
      </w:r>
    </w:p>
    <w:p w:rsidR="00387A07" w:rsidRPr="00AA03FE" w:rsidRDefault="00387A07" w:rsidP="00387A07">
      <w:pPr>
        <w:spacing w:before="240" w:after="240" w:line="360" w:lineRule="auto"/>
        <w:jc w:val="both"/>
        <w:rPr>
          <w:rFonts w:ascii="Arial" w:hAnsi="Arial" w:cs="Arial"/>
          <w:b/>
          <w:sz w:val="24"/>
          <w:szCs w:val="24"/>
        </w:rPr>
      </w:pPr>
      <w:r w:rsidRPr="00AA03FE">
        <w:rPr>
          <w:rFonts w:ascii="Arial" w:hAnsi="Arial" w:cs="Arial"/>
          <w:b/>
          <w:sz w:val="24"/>
          <w:szCs w:val="24"/>
        </w:rPr>
        <w:t xml:space="preserve">3.3.3 Encapsulation efficiency </w:t>
      </w:r>
    </w:p>
    <w:p w:rsidR="00387A07" w:rsidRPr="00AA03FE" w:rsidRDefault="00387A07" w:rsidP="00387A07">
      <w:pPr>
        <w:spacing w:before="240" w:after="240" w:line="360" w:lineRule="auto"/>
        <w:jc w:val="both"/>
        <w:rPr>
          <w:rFonts w:ascii="Arial" w:hAnsi="Arial" w:cs="Arial"/>
          <w:sz w:val="24"/>
          <w:szCs w:val="24"/>
        </w:rPr>
      </w:pPr>
      <w:r w:rsidRPr="00AA03FE">
        <w:rPr>
          <w:rFonts w:ascii="Arial" w:hAnsi="Arial" w:cs="Arial"/>
          <w:sz w:val="24"/>
          <w:szCs w:val="24"/>
        </w:rPr>
        <w:t xml:space="preserve">Drug loading efficiency was calculated according to eq. 3.1 for all samples in triplicate and are presented in table 3.7. </w:t>
      </w:r>
    </w:p>
    <w:tbl>
      <w:tblPr>
        <w:tblStyle w:val="Sfondochiaro1"/>
        <w:tblW w:w="2438" w:type="dxa"/>
        <w:jc w:val="center"/>
        <w:shd w:val="clear" w:color="auto" w:fill="F2F2F2" w:themeFill="background1" w:themeFillShade="F2"/>
        <w:tblLook w:val="04A0"/>
      </w:tblPr>
      <w:tblGrid>
        <w:gridCol w:w="1304"/>
        <w:gridCol w:w="1134"/>
      </w:tblGrid>
      <w:tr w:rsidR="00387A07" w:rsidRPr="00AA03FE" w:rsidTr="00387A07">
        <w:trPr>
          <w:cnfStyle w:val="100000000000"/>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en-US" w:eastAsia="it-IT"/>
              </w:rPr>
            </w:pPr>
            <w:r w:rsidRPr="00AA03FE">
              <w:rPr>
                <w:rFonts w:ascii="Calibri" w:hAnsi="Calibri" w:cs="Calibri"/>
                <w:color w:val="000000"/>
                <w:lang w:val="en-US" w:eastAsia="it-IT"/>
              </w:rPr>
              <w:t>MATERIAL</w:t>
            </w:r>
          </w:p>
        </w:tc>
        <w:tc>
          <w:tcPr>
            <w:tcW w:w="1134" w:type="dxa"/>
            <w:shd w:val="clear" w:color="auto" w:fill="F2F2F2" w:themeFill="background1" w:themeFillShade="F2"/>
            <w:noWrap/>
            <w:vAlign w:val="center"/>
            <w:hideMark/>
          </w:tcPr>
          <w:p w:rsidR="00387A07" w:rsidRPr="00AA03FE" w:rsidRDefault="00387A07" w:rsidP="00387A07">
            <w:pPr>
              <w:cnfStyle w:val="100000000000"/>
              <w:rPr>
                <w:rFonts w:ascii="Calibri" w:hAnsi="Calibri" w:cs="Calibri"/>
                <w:color w:val="auto"/>
                <w:lang w:val="it-IT" w:eastAsia="it-IT"/>
              </w:rPr>
            </w:pPr>
            <w:r w:rsidRPr="00AA03FE">
              <w:rPr>
                <w:rFonts w:ascii="Calibri" w:hAnsi="Calibri" w:cs="Calibri"/>
                <w:color w:val="auto"/>
                <w:lang w:val="it-IT" w:eastAsia="it-IT"/>
              </w:rPr>
              <w:t>EE %</w:t>
            </w:r>
          </w:p>
        </w:tc>
      </w:tr>
      <w:tr w:rsidR="00387A07" w:rsidRPr="00AA03FE" w:rsidTr="00387A07">
        <w:trPr>
          <w:cnfStyle w:val="000000100000"/>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it-IT" w:eastAsia="it-IT"/>
              </w:rPr>
            </w:pPr>
            <w:r w:rsidRPr="00AA03FE">
              <w:rPr>
                <w:rFonts w:ascii="Calibri" w:hAnsi="Calibri" w:cs="Calibri"/>
                <w:color w:val="000000"/>
                <w:lang w:val="it-IT" w:eastAsia="it-IT"/>
              </w:rPr>
              <w:t>PCL</w:t>
            </w:r>
          </w:p>
        </w:tc>
        <w:tc>
          <w:tcPr>
            <w:tcW w:w="1134" w:type="dxa"/>
            <w:shd w:val="clear" w:color="auto" w:fill="F2F2F2" w:themeFill="background1" w:themeFillShade="F2"/>
            <w:noWrap/>
            <w:vAlign w:val="center"/>
            <w:hideMark/>
          </w:tcPr>
          <w:p w:rsidR="00387A07" w:rsidRPr="00AA03FE" w:rsidRDefault="00387A07" w:rsidP="00387A07">
            <w:pPr>
              <w:cnfStyle w:val="000000100000"/>
              <w:rPr>
                <w:rFonts w:ascii="Calibri" w:hAnsi="Calibri" w:cs="Calibri"/>
                <w:color w:val="auto"/>
                <w:lang w:val="it-IT" w:eastAsia="it-IT"/>
              </w:rPr>
            </w:pPr>
            <w:r w:rsidRPr="00AA03FE">
              <w:rPr>
                <w:rFonts w:ascii="Calibri" w:hAnsi="Calibri" w:cs="Calibri"/>
                <w:color w:val="auto"/>
                <w:lang w:val="it-IT" w:eastAsia="it-IT"/>
              </w:rPr>
              <w:t>30.0 ± 3.7</w:t>
            </w:r>
          </w:p>
        </w:tc>
      </w:tr>
      <w:tr w:rsidR="00387A07" w:rsidRPr="00AA03FE" w:rsidTr="00387A07">
        <w:trPr>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it-IT" w:eastAsia="it-IT"/>
              </w:rPr>
            </w:pPr>
            <w:r w:rsidRPr="00AA03FE">
              <w:rPr>
                <w:rFonts w:ascii="Calibri" w:hAnsi="Calibri" w:cs="Calibri"/>
                <w:color w:val="000000"/>
                <w:lang w:val="it-IT" w:eastAsia="it-IT"/>
              </w:rPr>
              <w:t>PLA</w:t>
            </w:r>
          </w:p>
        </w:tc>
        <w:tc>
          <w:tcPr>
            <w:tcW w:w="1134" w:type="dxa"/>
            <w:shd w:val="clear" w:color="auto" w:fill="F2F2F2" w:themeFill="background1" w:themeFillShade="F2"/>
            <w:noWrap/>
            <w:vAlign w:val="center"/>
            <w:hideMark/>
          </w:tcPr>
          <w:p w:rsidR="00387A07" w:rsidRPr="00AA03FE" w:rsidRDefault="00387A07" w:rsidP="00387A07">
            <w:pPr>
              <w:cnfStyle w:val="000000000000"/>
              <w:rPr>
                <w:rFonts w:ascii="Calibri" w:hAnsi="Calibri" w:cs="Calibri"/>
                <w:color w:val="auto"/>
                <w:lang w:val="it-IT" w:eastAsia="it-IT"/>
              </w:rPr>
            </w:pPr>
            <w:r w:rsidRPr="00AA03FE">
              <w:rPr>
                <w:rFonts w:ascii="Calibri" w:hAnsi="Calibri" w:cs="Calibri"/>
                <w:color w:val="auto"/>
                <w:lang w:val="it-IT" w:eastAsia="it-IT"/>
              </w:rPr>
              <w:t>45.0 ± 4.5</w:t>
            </w:r>
          </w:p>
        </w:tc>
      </w:tr>
      <w:tr w:rsidR="00387A07" w:rsidRPr="00AA03FE" w:rsidTr="00387A07">
        <w:trPr>
          <w:cnfStyle w:val="000000100000"/>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it-IT" w:eastAsia="it-IT"/>
              </w:rPr>
            </w:pPr>
            <w:r w:rsidRPr="00AA03FE">
              <w:rPr>
                <w:rFonts w:ascii="Calibri" w:hAnsi="Calibri" w:cs="Calibri"/>
                <w:color w:val="000000"/>
                <w:lang w:val="it-IT" w:eastAsia="it-IT"/>
              </w:rPr>
              <w:t>C-BC2000</w:t>
            </w:r>
          </w:p>
        </w:tc>
        <w:tc>
          <w:tcPr>
            <w:tcW w:w="1134" w:type="dxa"/>
            <w:shd w:val="clear" w:color="auto" w:fill="F2F2F2" w:themeFill="background1" w:themeFillShade="F2"/>
            <w:noWrap/>
            <w:vAlign w:val="center"/>
            <w:hideMark/>
          </w:tcPr>
          <w:p w:rsidR="00387A07" w:rsidRPr="00AA03FE" w:rsidRDefault="00387A07" w:rsidP="00387A07">
            <w:pPr>
              <w:cnfStyle w:val="000000100000"/>
              <w:rPr>
                <w:rFonts w:ascii="Calibri" w:hAnsi="Calibri" w:cs="Calibri"/>
                <w:color w:val="auto"/>
                <w:lang w:val="it-IT" w:eastAsia="it-IT"/>
              </w:rPr>
            </w:pPr>
            <w:r w:rsidRPr="00AA03FE">
              <w:rPr>
                <w:rFonts w:ascii="Calibri" w:hAnsi="Calibri" w:cs="Calibri"/>
                <w:color w:val="auto"/>
                <w:lang w:val="it-IT" w:eastAsia="it-IT"/>
              </w:rPr>
              <w:t>33.8 ± 4.2</w:t>
            </w:r>
          </w:p>
        </w:tc>
      </w:tr>
      <w:tr w:rsidR="00387A07" w:rsidRPr="00AA03FE" w:rsidTr="00387A07">
        <w:trPr>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it-IT" w:eastAsia="it-IT"/>
              </w:rPr>
            </w:pPr>
            <w:r w:rsidRPr="00AA03FE">
              <w:rPr>
                <w:rFonts w:ascii="Calibri" w:hAnsi="Calibri" w:cs="Calibri"/>
                <w:color w:val="000000"/>
                <w:lang w:val="it-IT" w:eastAsia="it-IT"/>
              </w:rPr>
              <w:t>NS-BC2000</w:t>
            </w:r>
          </w:p>
        </w:tc>
        <w:tc>
          <w:tcPr>
            <w:tcW w:w="1134" w:type="dxa"/>
            <w:shd w:val="clear" w:color="auto" w:fill="F2F2F2" w:themeFill="background1" w:themeFillShade="F2"/>
            <w:noWrap/>
            <w:vAlign w:val="center"/>
            <w:hideMark/>
          </w:tcPr>
          <w:p w:rsidR="00387A07" w:rsidRPr="00AA03FE" w:rsidRDefault="00387A07" w:rsidP="00387A07">
            <w:pPr>
              <w:cnfStyle w:val="000000000000"/>
              <w:rPr>
                <w:rFonts w:ascii="Calibri" w:hAnsi="Calibri" w:cs="Calibri"/>
                <w:color w:val="auto"/>
                <w:lang w:val="it-IT" w:eastAsia="it-IT"/>
              </w:rPr>
            </w:pPr>
            <w:r w:rsidRPr="00AA03FE">
              <w:rPr>
                <w:rFonts w:ascii="Calibri" w:hAnsi="Calibri" w:cs="Calibri"/>
                <w:color w:val="auto"/>
                <w:lang w:val="it-IT" w:eastAsia="it-IT"/>
              </w:rPr>
              <w:t>38.9 ± 9.3</w:t>
            </w:r>
          </w:p>
        </w:tc>
      </w:tr>
      <w:tr w:rsidR="00387A07" w:rsidRPr="00AA03FE" w:rsidTr="00387A07">
        <w:trPr>
          <w:cnfStyle w:val="000000100000"/>
          <w:trHeight w:val="300"/>
          <w:jc w:val="center"/>
        </w:trPr>
        <w:tc>
          <w:tcPr>
            <w:cnfStyle w:val="001000000000"/>
            <w:tcW w:w="1304" w:type="dxa"/>
            <w:shd w:val="clear" w:color="auto" w:fill="F2F2F2" w:themeFill="background1" w:themeFillShade="F2"/>
            <w:noWrap/>
            <w:vAlign w:val="center"/>
            <w:hideMark/>
          </w:tcPr>
          <w:p w:rsidR="00387A07" w:rsidRPr="00AA03FE" w:rsidRDefault="00387A07" w:rsidP="00387A07">
            <w:pPr>
              <w:rPr>
                <w:rFonts w:ascii="Calibri" w:hAnsi="Calibri" w:cs="Calibri"/>
                <w:color w:val="000000"/>
                <w:lang w:val="it-IT" w:eastAsia="it-IT"/>
              </w:rPr>
            </w:pPr>
            <w:r w:rsidRPr="00AA03FE">
              <w:rPr>
                <w:rFonts w:ascii="Calibri" w:hAnsi="Calibri" w:cs="Calibri"/>
                <w:color w:val="000000"/>
                <w:lang w:val="it-IT" w:eastAsia="it-IT"/>
              </w:rPr>
              <w:t>PLGA</w:t>
            </w:r>
          </w:p>
        </w:tc>
        <w:tc>
          <w:tcPr>
            <w:tcW w:w="1134" w:type="dxa"/>
            <w:shd w:val="clear" w:color="auto" w:fill="F2F2F2" w:themeFill="background1" w:themeFillShade="F2"/>
            <w:noWrap/>
            <w:vAlign w:val="center"/>
            <w:hideMark/>
          </w:tcPr>
          <w:p w:rsidR="00387A07" w:rsidRPr="00AA03FE" w:rsidRDefault="00387A07" w:rsidP="00387A07">
            <w:pPr>
              <w:cnfStyle w:val="000000100000"/>
              <w:rPr>
                <w:rFonts w:ascii="Calibri" w:hAnsi="Calibri" w:cs="Calibri"/>
                <w:color w:val="auto"/>
                <w:lang w:val="it-IT" w:eastAsia="it-IT"/>
              </w:rPr>
            </w:pPr>
            <w:r w:rsidRPr="00AA03FE">
              <w:rPr>
                <w:rFonts w:ascii="Calibri" w:hAnsi="Calibri" w:cs="Calibri"/>
                <w:color w:val="auto"/>
                <w:lang w:val="it-IT" w:eastAsia="it-IT"/>
              </w:rPr>
              <w:t>55.7 ± 6.4</w:t>
            </w:r>
          </w:p>
        </w:tc>
      </w:tr>
    </w:tbl>
    <w:p w:rsidR="00387A07" w:rsidRPr="00AA03FE" w:rsidRDefault="00387A07" w:rsidP="00387A07">
      <w:pPr>
        <w:pStyle w:val="Didascalia"/>
      </w:pPr>
      <w:r w:rsidRPr="00AA03FE">
        <w:t xml:space="preserve">Table 3. </w:t>
      </w:r>
      <w:fldSimple w:instr=" SEQ Table_3. \* ARABIC ">
        <w:r w:rsidRPr="00AA03FE">
          <w:rPr>
            <w:noProof/>
          </w:rPr>
          <w:t>7</w:t>
        </w:r>
      </w:fldSimple>
      <w:r w:rsidRPr="00AA03FE">
        <w:t xml:space="preserve">  Encapsulation efficiency calculated according to eq. 3.1. Results are expressed as mean ± SD (n=3).</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PLGA showed the highest encapsulation efficiency (55.7 ± 6.4 %), while all other samples displayed similar values, ranging from 33.8 ± 4.2 for C-BC2000 to 45.0 ± 4.5 for PLA nanoparticles.</w:t>
      </w:r>
    </w:p>
    <w:p w:rsidR="00387A07" w:rsidRPr="00AA03FE" w:rsidRDefault="00387A07" w:rsidP="00387A07">
      <w:pPr>
        <w:spacing w:line="360" w:lineRule="auto"/>
        <w:jc w:val="both"/>
        <w:rPr>
          <w:rFonts w:ascii="Arial" w:hAnsi="Arial" w:cs="Arial"/>
          <w:sz w:val="24"/>
          <w:szCs w:val="24"/>
        </w:rPr>
      </w:pPr>
      <w:r w:rsidRPr="00AA03FE">
        <w:rPr>
          <w:rFonts w:ascii="Arial" w:hAnsi="Arial" w:cs="Arial"/>
          <w:sz w:val="24"/>
          <w:szCs w:val="24"/>
        </w:rPr>
        <w:t>This result again shows that our polyesterurethanes are good candidates as matrix-forming materials for nanoparticles.</w:t>
      </w:r>
    </w:p>
    <w:p w:rsidR="00387A07" w:rsidRPr="00AA03FE" w:rsidRDefault="00387A07" w:rsidP="00387A07">
      <w:pPr>
        <w:spacing w:before="240" w:after="240" w:line="360" w:lineRule="auto"/>
        <w:jc w:val="both"/>
        <w:rPr>
          <w:rFonts w:ascii="Arial" w:hAnsi="Arial" w:cs="Arial"/>
          <w:b/>
          <w:sz w:val="24"/>
          <w:szCs w:val="24"/>
        </w:rPr>
      </w:pPr>
      <w:r w:rsidRPr="00AA03FE">
        <w:rPr>
          <w:rFonts w:ascii="Arial" w:hAnsi="Arial" w:cs="Arial"/>
          <w:b/>
          <w:sz w:val="24"/>
          <w:szCs w:val="24"/>
        </w:rPr>
        <w:lastRenderedPageBreak/>
        <w:t>3.3.4 Particles morphology (SEM)</w:t>
      </w:r>
    </w:p>
    <w:p w:rsidR="00387A07" w:rsidRPr="00AA03FE" w:rsidRDefault="00387A07" w:rsidP="00387A07">
      <w:pPr>
        <w:spacing w:before="240" w:after="240" w:line="360" w:lineRule="auto"/>
        <w:jc w:val="both"/>
        <w:rPr>
          <w:rFonts w:ascii="Arial" w:hAnsi="Arial" w:cs="Arial"/>
          <w:sz w:val="24"/>
          <w:szCs w:val="24"/>
        </w:rPr>
      </w:pPr>
      <w:r w:rsidRPr="00AA03FE">
        <w:rPr>
          <w:rFonts w:ascii="Arial" w:hAnsi="Arial" w:cs="Arial"/>
          <w:sz w:val="24"/>
          <w:szCs w:val="24"/>
        </w:rPr>
        <w:t>Morphology of nanoparticles prepared with the five different materials has been investigated by means of scanning electron microscopy. Figure 3.7 reports SEM micrographs for plain nanoparticles, which show good spherical morphology and negligible coalescence, regardless of the carrier material.</w:t>
      </w:r>
    </w:p>
    <w:p w:rsidR="00387A07" w:rsidRPr="00AA03FE" w:rsidRDefault="00387A07" w:rsidP="00387A07">
      <w:pPr>
        <w:spacing w:before="240" w:after="240" w:line="360" w:lineRule="auto"/>
        <w:jc w:val="both"/>
        <w:rPr>
          <w:rFonts w:ascii="Arial" w:hAnsi="Arial" w:cs="Arial"/>
          <w:sz w:val="24"/>
          <w:szCs w:val="24"/>
        </w:rPr>
      </w:pPr>
      <w:r w:rsidRPr="00AA03FE">
        <w:rPr>
          <w:rFonts w:ascii="Arial" w:hAnsi="Arial" w:cs="Arial"/>
          <w:noProof/>
          <w:sz w:val="24"/>
          <w:szCs w:val="24"/>
          <w:lang w:val="it-IT" w:eastAsia="it-IT"/>
        </w:rPr>
        <w:drawing>
          <wp:inline distT="0" distB="0" distL="0" distR="0">
            <wp:extent cx="5353050" cy="5842793"/>
            <wp:effectExtent l="19050" t="0" r="0" b="0"/>
            <wp:docPr id="146" name="Immagine 0" descr="SEM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C3.png"/>
                    <pic:cNvPicPr/>
                  </pic:nvPicPr>
                  <pic:blipFill>
                    <a:blip r:embed="rId48"/>
                    <a:stretch>
                      <a:fillRect/>
                    </a:stretch>
                  </pic:blipFill>
                  <pic:spPr>
                    <a:xfrm>
                      <a:off x="0" y="0"/>
                      <a:ext cx="5353050" cy="5842793"/>
                    </a:xfrm>
                    <a:prstGeom prst="rect">
                      <a:avLst/>
                    </a:prstGeom>
                  </pic:spPr>
                </pic:pic>
              </a:graphicData>
            </a:graphic>
          </wp:inline>
        </w:drawing>
      </w:r>
    </w:p>
    <w:p w:rsidR="00387A07" w:rsidRPr="00AA03FE" w:rsidRDefault="00387A07" w:rsidP="00387A07">
      <w:pPr>
        <w:pStyle w:val="Didascalia"/>
      </w:pPr>
      <w:r w:rsidRPr="00AA03FE">
        <w:t xml:space="preserve">Figure 3. </w:t>
      </w:r>
      <w:fldSimple w:instr=" SEQ Figure_3. \* ARABIC ">
        <w:r w:rsidRPr="00AA03FE">
          <w:rPr>
            <w:noProof/>
          </w:rPr>
          <w:t>7</w:t>
        </w:r>
      </w:fldSimple>
      <w:r w:rsidRPr="00AA03FE">
        <w:t xml:space="preserve"> SEM micrographs of nanoparticles prepared with different materials: A) PLGA; B) PCL; C) PLA; D) C-BC2000 and E) NS-BC2000.</w:t>
      </w:r>
    </w:p>
    <w:p w:rsidR="00387A07" w:rsidRPr="00AA03FE" w:rsidRDefault="00387A07" w:rsidP="00387A07"/>
    <w:p w:rsidR="00387A07" w:rsidRPr="00AA03FE" w:rsidRDefault="00387A07" w:rsidP="00387A07"/>
    <w:p w:rsidR="00387A07" w:rsidRPr="00AA03FE" w:rsidRDefault="00387A07" w:rsidP="00387A07"/>
    <w:p w:rsidR="00387A07" w:rsidRPr="00AA03FE" w:rsidRDefault="00387A07" w:rsidP="00387A07">
      <w:pPr>
        <w:spacing w:before="240" w:after="240" w:line="360" w:lineRule="auto"/>
        <w:jc w:val="both"/>
        <w:rPr>
          <w:rFonts w:ascii="Arial" w:hAnsi="Arial" w:cs="Arial"/>
          <w:b/>
          <w:sz w:val="24"/>
          <w:szCs w:val="24"/>
        </w:rPr>
      </w:pPr>
      <w:r w:rsidRPr="00AA03FE">
        <w:rPr>
          <w:rFonts w:ascii="Arial" w:hAnsi="Arial" w:cs="Arial"/>
          <w:b/>
          <w:sz w:val="24"/>
          <w:szCs w:val="24"/>
        </w:rPr>
        <w:lastRenderedPageBreak/>
        <w:t xml:space="preserve">3.3.5 Surface decoration </w:t>
      </w:r>
    </w:p>
    <w:p w:rsidR="00387A07" w:rsidRPr="00AA03FE" w:rsidRDefault="00387A07" w:rsidP="00387A07">
      <w:pPr>
        <w:spacing w:before="240" w:after="240" w:line="360" w:lineRule="auto"/>
        <w:jc w:val="both"/>
        <w:rPr>
          <w:rFonts w:ascii="Arial" w:hAnsi="Arial" w:cs="Arial"/>
          <w:b/>
          <w:sz w:val="24"/>
          <w:szCs w:val="24"/>
        </w:rPr>
      </w:pPr>
      <w:r w:rsidRPr="00AA03FE">
        <w:rPr>
          <w:rFonts w:ascii="Arial" w:hAnsi="Arial" w:cs="Arial"/>
          <w:b/>
          <w:sz w:val="24"/>
          <w:szCs w:val="24"/>
        </w:rPr>
        <w:t>3.3.5.1 Effect of the incubation time</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The optimal incubation time for surface decoration was determined for PLGA nanoparticles, by detecting the changes in particles size and zeta potential as well as the amount of antibody present on the surface of the carrier, at three different time points (1h, 6h and 24h).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These results are summarized in table 3.8 before and after incubation with mAb (n=3).</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Figures 3.3 and 3.9 represent the changes in zeta potential and particles size, respectively.</w:t>
      </w:r>
    </w:p>
    <w:p w:rsidR="00387A07" w:rsidRPr="00AA03FE" w:rsidRDefault="00387A07" w:rsidP="00387A07">
      <w:pPr>
        <w:tabs>
          <w:tab w:val="left" w:pos="5529"/>
        </w:tabs>
        <w:spacing w:line="360" w:lineRule="auto"/>
        <w:jc w:val="center"/>
        <w:rPr>
          <w:rFonts w:ascii="Arial" w:hAnsi="Arial" w:cs="Arial"/>
          <w:sz w:val="24"/>
          <w:szCs w:val="24"/>
        </w:rPr>
      </w:pPr>
      <w:r w:rsidRPr="00AA03FE">
        <w:rPr>
          <w:rFonts w:ascii="Arial" w:hAnsi="Arial" w:cs="Arial"/>
          <w:noProof/>
          <w:sz w:val="24"/>
          <w:szCs w:val="24"/>
          <w:lang w:val="it-IT" w:eastAsia="it-IT"/>
        </w:rPr>
        <w:drawing>
          <wp:inline distT="0" distB="0" distL="0" distR="0">
            <wp:extent cx="3362325" cy="2108888"/>
            <wp:effectExtent l="0" t="0" r="0" b="0"/>
            <wp:docPr id="147" name="Immagine 2" descr="zeta after her adsor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ta after her adsorption.png"/>
                    <pic:cNvPicPr/>
                  </pic:nvPicPr>
                  <pic:blipFill>
                    <a:blip r:embed="rId49"/>
                    <a:stretch>
                      <a:fillRect/>
                    </a:stretch>
                  </pic:blipFill>
                  <pic:spPr>
                    <a:xfrm>
                      <a:off x="0" y="0"/>
                      <a:ext cx="3362325" cy="2108888"/>
                    </a:xfrm>
                    <a:prstGeom prst="rect">
                      <a:avLst/>
                    </a:prstGeom>
                    <a:ln>
                      <a:noFill/>
                    </a:ln>
                  </pic:spPr>
                </pic:pic>
              </a:graphicData>
            </a:graphic>
          </wp:inline>
        </w:drawing>
      </w:r>
    </w:p>
    <w:p w:rsidR="00387A07" w:rsidRPr="00AA03FE" w:rsidRDefault="00387A07" w:rsidP="00387A07">
      <w:pPr>
        <w:pStyle w:val="Didascalia"/>
        <w:rPr>
          <w:rFonts w:ascii="Arial" w:hAnsi="Arial" w:cs="Arial"/>
          <w:sz w:val="24"/>
          <w:szCs w:val="24"/>
        </w:rPr>
      </w:pPr>
      <w:r w:rsidRPr="00AA03FE">
        <w:t xml:space="preserve">Figure 3. </w:t>
      </w:r>
      <w:fldSimple w:instr=" SEQ Figure_3. \* ARABIC ">
        <w:r w:rsidRPr="00AA03FE">
          <w:rPr>
            <w:noProof/>
          </w:rPr>
          <w:t>8</w:t>
        </w:r>
      </w:fldSimple>
      <w:r w:rsidRPr="00AA03FE">
        <w:t xml:space="preserve"> Changes in the zeta potential of PLGA nanoparticles after different incubation time-points in the presence of Herceptin</w:t>
      </w:r>
    </w:p>
    <w:p w:rsidR="00387A07" w:rsidRPr="00AA03FE" w:rsidRDefault="00387A07" w:rsidP="00387A07">
      <w:pPr>
        <w:tabs>
          <w:tab w:val="left" w:pos="5529"/>
        </w:tabs>
        <w:spacing w:line="360" w:lineRule="auto"/>
        <w:jc w:val="center"/>
        <w:rPr>
          <w:rFonts w:ascii="Arial" w:hAnsi="Arial" w:cs="Arial"/>
          <w:sz w:val="24"/>
          <w:szCs w:val="24"/>
        </w:rPr>
      </w:pPr>
      <w:r w:rsidRPr="00AA03FE">
        <w:rPr>
          <w:rFonts w:ascii="Arial" w:hAnsi="Arial" w:cs="Arial"/>
          <w:noProof/>
          <w:sz w:val="24"/>
          <w:szCs w:val="24"/>
          <w:lang w:val="it-IT" w:eastAsia="it-IT"/>
        </w:rPr>
        <w:drawing>
          <wp:inline distT="0" distB="0" distL="0" distR="0">
            <wp:extent cx="3419475" cy="2055322"/>
            <wp:effectExtent l="0" t="0" r="0" b="0"/>
            <wp:docPr id="148" name="Immagine 7" descr="size after her adsor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 after her adsorption.png"/>
                    <pic:cNvPicPr/>
                  </pic:nvPicPr>
                  <pic:blipFill>
                    <a:blip r:embed="rId50"/>
                    <a:stretch>
                      <a:fillRect/>
                    </a:stretch>
                  </pic:blipFill>
                  <pic:spPr>
                    <a:xfrm>
                      <a:off x="0" y="0"/>
                      <a:ext cx="3428571" cy="2060789"/>
                    </a:xfrm>
                    <a:prstGeom prst="rect">
                      <a:avLst/>
                    </a:prstGeom>
                    <a:ln>
                      <a:noFill/>
                    </a:ln>
                  </pic:spPr>
                </pic:pic>
              </a:graphicData>
            </a:graphic>
          </wp:inline>
        </w:drawing>
      </w:r>
    </w:p>
    <w:p w:rsidR="00387A07" w:rsidRPr="00AA03FE" w:rsidRDefault="00387A07" w:rsidP="00387A07">
      <w:pPr>
        <w:pStyle w:val="Didascalia"/>
        <w:rPr>
          <w:rFonts w:ascii="Arial" w:hAnsi="Arial" w:cs="Arial"/>
          <w:sz w:val="24"/>
          <w:szCs w:val="24"/>
        </w:rPr>
      </w:pPr>
      <w:r w:rsidRPr="00AA03FE">
        <w:t xml:space="preserve">Figure 3. </w:t>
      </w:r>
      <w:fldSimple w:instr=" SEQ Figure_3. \* ARABIC ">
        <w:r w:rsidRPr="00AA03FE">
          <w:rPr>
            <w:noProof/>
          </w:rPr>
          <w:t>9</w:t>
        </w:r>
      </w:fldSimple>
      <w:r w:rsidRPr="00AA03FE">
        <w:t xml:space="preserve"> Size measurements for PLGA nanoparticles after different incubation time-points in the presence of Herceptin</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The increase in mean particles diameter and surface charge of nanoparticles after incubation in the presence of the protein suggest that the surface has been successfully decorated with the antibody, as reported by other authors [20,26].</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The mean diameter increases with increasing incubation time for PLGA nanoparticles.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lastRenderedPageBreak/>
        <w:t>After one hour of incubation a sudden increase of the surface charge of nanoparticles is observed, which goes from –24.4mV to a slightly positive value of 1.4 mV. No further increase can be detected after increasing the incubation time.</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The amount of adsorbed Herceptin on the surface of nanoparticles, determined by standard Bradford assay, increases with increasing incubation time, as shown in figure 3.10.</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All this considered, an incubation time of 6 hours was selected to prepare surface-decorated nanoparticles with the other four polymers.</w:t>
      </w:r>
    </w:p>
    <w:p w:rsidR="00387A07" w:rsidRPr="00AA03FE" w:rsidRDefault="00387A07" w:rsidP="00387A07">
      <w:pPr>
        <w:spacing w:line="360" w:lineRule="auto"/>
        <w:jc w:val="center"/>
        <w:rPr>
          <w:rFonts w:ascii="Arial" w:hAnsi="Arial" w:cs="Arial"/>
          <w:sz w:val="24"/>
          <w:szCs w:val="24"/>
        </w:rPr>
      </w:pPr>
      <w:r w:rsidRPr="00AA03FE">
        <w:rPr>
          <w:rFonts w:ascii="Arial" w:hAnsi="Arial" w:cs="Arial"/>
          <w:noProof/>
          <w:sz w:val="24"/>
          <w:szCs w:val="24"/>
          <w:lang w:val="it-IT" w:eastAsia="it-IT"/>
        </w:rPr>
        <w:drawing>
          <wp:inline distT="0" distB="0" distL="0" distR="0">
            <wp:extent cx="3457575" cy="2183973"/>
            <wp:effectExtent l="0" t="0" r="0" b="0"/>
            <wp:docPr id="149" name="Immagine 9" descr="amount of her adsorb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ount of her adsorbed.png"/>
                    <pic:cNvPicPr/>
                  </pic:nvPicPr>
                  <pic:blipFill>
                    <a:blip r:embed="rId51"/>
                    <a:stretch>
                      <a:fillRect/>
                    </a:stretch>
                  </pic:blipFill>
                  <pic:spPr>
                    <a:xfrm>
                      <a:off x="0" y="0"/>
                      <a:ext cx="3459302" cy="2185064"/>
                    </a:xfrm>
                    <a:prstGeom prst="rect">
                      <a:avLst/>
                    </a:prstGeom>
                    <a:ln>
                      <a:noFill/>
                    </a:ln>
                  </pic:spPr>
                </pic:pic>
              </a:graphicData>
            </a:graphic>
          </wp:inline>
        </w:drawing>
      </w:r>
    </w:p>
    <w:p w:rsidR="00387A07" w:rsidRPr="00AA03FE" w:rsidRDefault="00387A07" w:rsidP="00387A07">
      <w:pPr>
        <w:pStyle w:val="Didascalia"/>
      </w:pPr>
      <w:r w:rsidRPr="00AA03FE">
        <w:t xml:space="preserve">Figure 3. </w:t>
      </w:r>
      <w:fldSimple w:instr=" SEQ Figure_3. \* ARABIC ">
        <w:r w:rsidRPr="00AA03FE">
          <w:rPr>
            <w:noProof/>
          </w:rPr>
          <w:t>10</w:t>
        </w:r>
      </w:fldSimple>
      <w:r w:rsidRPr="00AA03FE">
        <w:t xml:space="preserve"> Amount of Herceptin absorbed on the surface of PLGA nanoparticles at different incubation times.</w:t>
      </w:r>
    </w:p>
    <w:tbl>
      <w:tblPr>
        <w:tblStyle w:val="Grigliatabella"/>
        <w:tblpPr w:leftFromText="141" w:rightFromText="141" w:vertAnchor="text" w:horzAnchor="page" w:tblpXSpec="center" w:tblpY="73"/>
        <w:tblW w:w="0" w:type="auto"/>
        <w:tblBorders>
          <w:insideH w:val="none" w:sz="0" w:space="0" w:color="auto"/>
          <w:insideV w:val="none" w:sz="0" w:space="0" w:color="auto"/>
        </w:tblBorders>
        <w:shd w:val="clear" w:color="auto" w:fill="F2F2F2" w:themeFill="background1" w:themeFillShade="F2"/>
        <w:tblLook w:val="04A0"/>
      </w:tblPr>
      <w:tblGrid>
        <w:gridCol w:w="1809"/>
        <w:gridCol w:w="1644"/>
        <w:gridCol w:w="1134"/>
        <w:gridCol w:w="1304"/>
        <w:gridCol w:w="1304"/>
      </w:tblGrid>
      <w:tr w:rsidR="00387A07" w:rsidRPr="00AA03FE" w:rsidTr="00387A07">
        <w:trPr>
          <w:trHeight w:val="510"/>
        </w:trPr>
        <w:tc>
          <w:tcPr>
            <w:tcW w:w="1809" w:type="dxa"/>
            <w:tcBorders>
              <w:top w:val="single" w:sz="4" w:space="0" w:color="000000" w:themeColor="text1"/>
              <w:left w:val="nil"/>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Incubation time (h)</w:t>
            </w:r>
          </w:p>
        </w:tc>
        <w:tc>
          <w:tcPr>
            <w:tcW w:w="1644" w:type="dxa"/>
            <w:tcBorders>
              <w:top w:val="single" w:sz="4" w:space="0" w:color="000000" w:themeColor="text1"/>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Adsorbed HER (µg)</w:t>
            </w:r>
          </w:p>
        </w:tc>
        <w:tc>
          <w:tcPr>
            <w:tcW w:w="1134" w:type="dxa"/>
            <w:tcBorders>
              <w:top w:val="single" w:sz="4" w:space="0" w:color="000000" w:themeColor="text1"/>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Size [nm]</w:t>
            </w:r>
          </w:p>
        </w:tc>
        <w:tc>
          <w:tcPr>
            <w:tcW w:w="1304" w:type="dxa"/>
            <w:tcBorders>
              <w:top w:val="single" w:sz="4" w:space="0" w:color="000000" w:themeColor="text1"/>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PDI</w:t>
            </w:r>
          </w:p>
        </w:tc>
        <w:tc>
          <w:tcPr>
            <w:tcW w:w="1304" w:type="dxa"/>
            <w:tcBorders>
              <w:top w:val="single" w:sz="4" w:space="0" w:color="000000" w:themeColor="text1"/>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Zeta Pot. [mV]</w:t>
            </w:r>
          </w:p>
        </w:tc>
      </w:tr>
      <w:tr w:rsidR="00387A07" w:rsidRPr="00AA03FE" w:rsidTr="00387A07">
        <w:trPr>
          <w:trHeight w:val="227"/>
        </w:trPr>
        <w:tc>
          <w:tcPr>
            <w:tcW w:w="1809" w:type="dxa"/>
            <w:tcBorders>
              <w:top w:val="single" w:sz="4" w:space="0" w:color="auto"/>
              <w:left w:val="nil"/>
              <w:bottom w:val="nil"/>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1</w:t>
            </w:r>
          </w:p>
        </w:tc>
        <w:tc>
          <w:tcPr>
            <w:tcW w:w="1644"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0.5 </w:t>
            </w:r>
            <w:r w:rsidRPr="00AA03FE">
              <w:rPr>
                <w:rFonts w:cstheme="minorHAnsi"/>
                <w:color w:val="000000"/>
              </w:rPr>
              <w:t>± 0.3</w:t>
            </w:r>
          </w:p>
        </w:tc>
        <w:tc>
          <w:tcPr>
            <w:tcW w:w="1134"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220 </w:t>
            </w:r>
            <w:r w:rsidRPr="00AA03FE">
              <w:rPr>
                <w:rFonts w:cstheme="minorHAnsi"/>
                <w:color w:val="000000"/>
              </w:rPr>
              <w:t>± 4</w:t>
            </w:r>
          </w:p>
        </w:tc>
        <w:tc>
          <w:tcPr>
            <w:tcW w:w="1304" w:type="dxa"/>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0.14 </w:t>
            </w:r>
            <w:r w:rsidRPr="00AA03FE">
              <w:rPr>
                <w:rFonts w:cstheme="minorHAnsi"/>
                <w:color w:val="000000"/>
              </w:rPr>
              <w:t>± 0.01</w:t>
            </w:r>
          </w:p>
        </w:tc>
        <w:tc>
          <w:tcPr>
            <w:tcW w:w="1304" w:type="dxa"/>
            <w:tcBorders>
              <w:top w:val="single" w:sz="4" w:space="0" w:color="auto"/>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1.4 </w:t>
            </w:r>
            <w:r w:rsidRPr="00AA03FE">
              <w:rPr>
                <w:rFonts w:cstheme="minorHAnsi"/>
                <w:color w:val="000000"/>
              </w:rPr>
              <w:t>± 0.2</w:t>
            </w:r>
          </w:p>
        </w:tc>
      </w:tr>
      <w:tr w:rsidR="00387A07" w:rsidRPr="00AA03FE" w:rsidTr="00387A07">
        <w:trPr>
          <w:trHeight w:val="227"/>
        </w:trPr>
        <w:tc>
          <w:tcPr>
            <w:tcW w:w="1809" w:type="dxa"/>
            <w:tcBorders>
              <w:top w:val="nil"/>
              <w:left w:val="nil"/>
              <w:bottom w:val="nil"/>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6</w:t>
            </w:r>
          </w:p>
        </w:tc>
        <w:tc>
          <w:tcPr>
            <w:tcW w:w="164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0.7 </w:t>
            </w:r>
            <w:r w:rsidRPr="00AA03FE">
              <w:rPr>
                <w:rFonts w:cstheme="minorHAnsi"/>
                <w:color w:val="000000"/>
              </w:rPr>
              <w:t>± 0.5</w:t>
            </w:r>
          </w:p>
        </w:tc>
        <w:tc>
          <w:tcPr>
            <w:tcW w:w="113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242 </w:t>
            </w:r>
            <w:r w:rsidRPr="00AA03FE">
              <w:rPr>
                <w:rFonts w:cstheme="minorHAnsi"/>
                <w:color w:val="000000"/>
              </w:rPr>
              <w:t>± 2</w:t>
            </w:r>
          </w:p>
        </w:tc>
        <w:tc>
          <w:tcPr>
            <w:tcW w:w="130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0.17 </w:t>
            </w:r>
            <w:r w:rsidRPr="00AA03FE">
              <w:rPr>
                <w:rFonts w:cstheme="minorHAnsi"/>
                <w:color w:val="000000"/>
              </w:rPr>
              <w:t>± 0.03</w:t>
            </w:r>
          </w:p>
        </w:tc>
        <w:tc>
          <w:tcPr>
            <w:tcW w:w="1304"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-0.4 </w:t>
            </w:r>
            <w:r w:rsidRPr="00AA03FE">
              <w:rPr>
                <w:rFonts w:cstheme="minorHAnsi"/>
                <w:color w:val="000000"/>
              </w:rPr>
              <w:t>± 0.1</w:t>
            </w:r>
          </w:p>
        </w:tc>
      </w:tr>
      <w:tr w:rsidR="00387A07" w:rsidRPr="00AA03FE" w:rsidTr="00387A07">
        <w:trPr>
          <w:trHeight w:val="227"/>
        </w:trPr>
        <w:tc>
          <w:tcPr>
            <w:tcW w:w="1809" w:type="dxa"/>
            <w:tcBorders>
              <w:top w:val="nil"/>
              <w:left w:val="nil"/>
              <w:bottom w:val="single" w:sz="4" w:space="0" w:color="000000" w:themeColor="text1"/>
            </w:tcBorders>
            <w:shd w:val="clear" w:color="auto" w:fill="F2F2F2" w:themeFill="background1" w:themeFillShade="F2"/>
            <w:vAlign w:val="center"/>
          </w:tcPr>
          <w:p w:rsidR="00387A07" w:rsidRPr="00AA03FE" w:rsidRDefault="00387A07" w:rsidP="00387A07">
            <w:pPr>
              <w:jc w:val="center"/>
              <w:rPr>
                <w:rFonts w:cstheme="minorHAnsi"/>
                <w:b/>
              </w:rPr>
            </w:pPr>
            <w:r w:rsidRPr="00AA03FE">
              <w:rPr>
                <w:rFonts w:cstheme="minorHAnsi"/>
                <w:b/>
              </w:rPr>
              <w:t>24</w:t>
            </w:r>
          </w:p>
        </w:tc>
        <w:tc>
          <w:tcPr>
            <w:tcW w:w="164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1.8 </w:t>
            </w:r>
            <w:r w:rsidRPr="00AA03FE">
              <w:rPr>
                <w:rFonts w:cstheme="minorHAnsi"/>
                <w:color w:val="000000"/>
              </w:rPr>
              <w:t>± 0.9</w:t>
            </w:r>
          </w:p>
        </w:tc>
        <w:tc>
          <w:tcPr>
            <w:tcW w:w="113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240 </w:t>
            </w:r>
            <w:r w:rsidRPr="00AA03FE">
              <w:rPr>
                <w:rFonts w:cstheme="minorHAnsi"/>
                <w:color w:val="000000"/>
              </w:rPr>
              <w:t>± 3</w:t>
            </w:r>
          </w:p>
        </w:tc>
        <w:tc>
          <w:tcPr>
            <w:tcW w:w="1304" w:type="dxa"/>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0.15 </w:t>
            </w:r>
            <w:r w:rsidRPr="00AA03FE">
              <w:rPr>
                <w:rFonts w:cstheme="minorHAnsi"/>
                <w:color w:val="000000"/>
              </w:rPr>
              <w:t>± 0.02</w:t>
            </w:r>
          </w:p>
        </w:tc>
        <w:tc>
          <w:tcPr>
            <w:tcW w:w="1304" w:type="dxa"/>
            <w:tcBorders>
              <w:top w:val="nil"/>
              <w:bottom w:val="single" w:sz="4" w:space="0" w:color="000000" w:themeColor="text1"/>
              <w:right w:val="nil"/>
            </w:tcBorders>
            <w:shd w:val="clear" w:color="auto" w:fill="F2F2F2" w:themeFill="background1" w:themeFillShade="F2"/>
            <w:vAlign w:val="center"/>
          </w:tcPr>
          <w:p w:rsidR="00387A07" w:rsidRPr="00AA03FE" w:rsidRDefault="00387A07" w:rsidP="00387A07">
            <w:pPr>
              <w:jc w:val="center"/>
              <w:rPr>
                <w:rFonts w:cstheme="minorHAnsi"/>
              </w:rPr>
            </w:pPr>
            <w:r w:rsidRPr="00AA03FE">
              <w:rPr>
                <w:rFonts w:cstheme="minorHAnsi"/>
              </w:rPr>
              <w:t xml:space="preserve">-0.2 </w:t>
            </w:r>
            <w:r w:rsidRPr="00AA03FE">
              <w:rPr>
                <w:rFonts w:cstheme="minorHAnsi"/>
                <w:color w:val="000000"/>
              </w:rPr>
              <w:t>±0.1</w:t>
            </w:r>
          </w:p>
        </w:tc>
      </w:tr>
    </w:tbl>
    <w:p w:rsidR="00387A07" w:rsidRPr="00AA03FE" w:rsidRDefault="00387A07" w:rsidP="00387A07">
      <w:pPr>
        <w:spacing w:line="360" w:lineRule="auto"/>
        <w:rPr>
          <w:rFonts w:ascii="Arial" w:hAnsi="Arial" w:cs="Arial"/>
          <w:sz w:val="24"/>
          <w:szCs w:val="24"/>
        </w:rPr>
      </w:pPr>
    </w:p>
    <w:p w:rsidR="00387A07" w:rsidRPr="00AA03FE" w:rsidRDefault="00387A07" w:rsidP="00387A07">
      <w:pPr>
        <w:spacing w:line="360" w:lineRule="auto"/>
        <w:rPr>
          <w:rFonts w:ascii="Arial" w:hAnsi="Arial" w:cs="Arial"/>
          <w:sz w:val="24"/>
          <w:szCs w:val="24"/>
        </w:rPr>
      </w:pPr>
    </w:p>
    <w:p w:rsidR="00387A07" w:rsidRPr="00AA03FE" w:rsidRDefault="00387A07" w:rsidP="00387A07">
      <w:pPr>
        <w:pStyle w:val="Didascalia"/>
      </w:pPr>
    </w:p>
    <w:p w:rsidR="00387A07" w:rsidRPr="00AA03FE" w:rsidRDefault="00387A07" w:rsidP="00387A07">
      <w:pPr>
        <w:pStyle w:val="Didascalia"/>
        <w:rPr>
          <w:rFonts w:ascii="Arial" w:hAnsi="Arial" w:cs="Arial"/>
          <w:sz w:val="24"/>
          <w:szCs w:val="24"/>
        </w:rPr>
      </w:pPr>
      <w:r w:rsidRPr="00AA03FE">
        <w:t xml:space="preserve">Table 3. </w:t>
      </w:r>
      <w:fldSimple w:instr=" SEQ Table_3. \* ARABIC ">
        <w:r w:rsidRPr="00AA03FE">
          <w:rPr>
            <w:noProof/>
          </w:rPr>
          <w:t>8</w:t>
        </w:r>
      </w:fldSimple>
      <w:r w:rsidRPr="00AA03FE">
        <w:t xml:space="preserve"> Size, PDI, zeta potential after and amount of herceptin on the surface of nps after different incubation times in the presence of monoclonal antibody.</w:t>
      </w:r>
    </w:p>
    <w:p w:rsidR="00387A07" w:rsidRPr="00AA03FE" w:rsidRDefault="00387A07" w:rsidP="00387A07">
      <w:pPr>
        <w:spacing w:before="200" w:line="360" w:lineRule="auto"/>
        <w:rPr>
          <w:rFonts w:ascii="Arial" w:hAnsi="Arial" w:cs="Arial"/>
          <w:b/>
          <w:sz w:val="24"/>
          <w:szCs w:val="24"/>
        </w:rPr>
      </w:pPr>
      <w:r w:rsidRPr="00AA03FE">
        <w:rPr>
          <w:rFonts w:ascii="Arial" w:hAnsi="Arial" w:cs="Arial"/>
          <w:b/>
          <w:sz w:val="24"/>
          <w:szCs w:val="24"/>
        </w:rPr>
        <w:t>3.3.5.2 Preparation of Her-coated nanoparticles</w:t>
      </w:r>
    </w:p>
    <w:p w:rsidR="00387A07" w:rsidRPr="00AA03FE" w:rsidRDefault="00387A07" w:rsidP="00387A07">
      <w:pPr>
        <w:spacing w:before="120" w:after="0" w:line="360" w:lineRule="auto"/>
        <w:jc w:val="both"/>
        <w:rPr>
          <w:rFonts w:ascii="Arial" w:hAnsi="Arial" w:cs="Arial"/>
          <w:sz w:val="24"/>
          <w:szCs w:val="24"/>
        </w:rPr>
      </w:pPr>
      <w:r w:rsidRPr="00AA03FE">
        <w:rPr>
          <w:rFonts w:ascii="Arial" w:hAnsi="Arial" w:cs="Arial"/>
          <w:sz w:val="24"/>
          <w:szCs w:val="24"/>
        </w:rPr>
        <w:t xml:space="preserve">Size and zeta potential analysis was performed on particles prepared with all five polymers before and after 6 hours of incubation in the presence of Herceptin. Results are summarized in table 3.9 and show that in every case the surface charge of nanoparticles changed towards less negative values.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This indicates that the surface decoration was achieved successfully, as confirmed by the increase of the mean diameter. </w:t>
      </w:r>
    </w:p>
    <w:p w:rsidR="00387A07" w:rsidRPr="00AA03FE" w:rsidRDefault="00387A07" w:rsidP="00387A07">
      <w:pPr>
        <w:spacing w:before="120" w:line="360" w:lineRule="auto"/>
        <w:jc w:val="both"/>
        <w:rPr>
          <w:rFonts w:ascii="Arial" w:hAnsi="Arial" w:cs="Arial"/>
          <w:sz w:val="24"/>
          <w:szCs w:val="24"/>
        </w:rPr>
      </w:pPr>
    </w:p>
    <w:p w:rsidR="00387A07" w:rsidRPr="00AA03FE" w:rsidRDefault="00387A07" w:rsidP="00387A07">
      <w:pPr>
        <w:spacing w:before="120" w:line="360" w:lineRule="auto"/>
        <w:jc w:val="both"/>
        <w:rPr>
          <w:rFonts w:ascii="Arial" w:hAnsi="Arial" w:cs="Arial"/>
          <w:sz w:val="24"/>
          <w:szCs w:val="24"/>
        </w:rPr>
      </w:pPr>
    </w:p>
    <w:tbl>
      <w:tblPr>
        <w:tblStyle w:val="Grigliatabella"/>
        <w:tblW w:w="9326" w:type="dxa"/>
        <w:jc w:val="center"/>
        <w:tblInd w:w="108" w:type="dxa"/>
        <w:tblBorders>
          <w:insideH w:val="none" w:sz="0" w:space="0" w:color="auto"/>
          <w:insideV w:val="none" w:sz="0" w:space="0" w:color="auto"/>
        </w:tblBorders>
        <w:shd w:val="clear" w:color="auto" w:fill="F2F2F2" w:themeFill="background1" w:themeFillShade="F2"/>
        <w:tblLook w:val="04A0"/>
      </w:tblPr>
      <w:tblGrid>
        <w:gridCol w:w="1247"/>
        <w:gridCol w:w="1020"/>
        <w:gridCol w:w="1247"/>
        <w:gridCol w:w="1191"/>
        <w:gridCol w:w="9"/>
        <w:gridCol w:w="1008"/>
        <w:gridCol w:w="1235"/>
        <w:gridCol w:w="12"/>
        <w:gridCol w:w="1077"/>
        <w:gridCol w:w="56"/>
        <w:gridCol w:w="1224"/>
      </w:tblGrid>
      <w:tr w:rsidR="00387A07" w:rsidRPr="00AA03FE" w:rsidTr="00387A07">
        <w:trPr>
          <w:trHeight w:val="300"/>
          <w:jc w:val="center"/>
        </w:trPr>
        <w:tc>
          <w:tcPr>
            <w:tcW w:w="1247" w:type="dxa"/>
            <w:vMerge w:val="restart"/>
            <w:tcBorders>
              <w:top w:val="single" w:sz="4" w:space="0" w:color="000000" w:themeColor="text1"/>
              <w:left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lastRenderedPageBreak/>
              <w:t>MATERIAL</w:t>
            </w:r>
          </w:p>
        </w:tc>
        <w:tc>
          <w:tcPr>
            <w:tcW w:w="3467" w:type="dxa"/>
            <w:gridSpan w:val="4"/>
            <w:tcBorders>
              <w:top w:val="single" w:sz="4" w:space="0" w:color="000000" w:themeColor="text1"/>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Plain particles</w:t>
            </w:r>
          </w:p>
        </w:tc>
        <w:tc>
          <w:tcPr>
            <w:tcW w:w="4612" w:type="dxa"/>
            <w:gridSpan w:val="6"/>
            <w:tcBorders>
              <w:top w:val="single" w:sz="4" w:space="0" w:color="000000" w:themeColor="text1"/>
              <w:left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HER coated particles</w:t>
            </w:r>
          </w:p>
        </w:tc>
      </w:tr>
      <w:tr w:rsidR="00387A07" w:rsidRPr="00AA03FE" w:rsidTr="00387A07">
        <w:trPr>
          <w:trHeight w:val="397"/>
          <w:jc w:val="center"/>
        </w:trPr>
        <w:tc>
          <w:tcPr>
            <w:tcW w:w="1247" w:type="dxa"/>
            <w:vMerge/>
            <w:tcBorders>
              <w:top w:val="nil"/>
              <w:left w:val="nil"/>
              <w:bottom w:val="single" w:sz="4" w:space="0" w:color="auto"/>
            </w:tcBorders>
            <w:shd w:val="clear" w:color="auto" w:fill="F2F2F2" w:themeFill="background1" w:themeFillShade="F2"/>
            <w:noWrap/>
            <w:hideMark/>
          </w:tcPr>
          <w:p w:rsidR="00387A07" w:rsidRPr="00AA03FE" w:rsidRDefault="00387A07" w:rsidP="00387A07">
            <w:pPr>
              <w:jc w:val="center"/>
              <w:rPr>
                <w:rFonts w:cstheme="minorHAnsi"/>
                <w:b/>
                <w:color w:val="000000"/>
                <w:lang w:eastAsia="it-IT"/>
              </w:rPr>
            </w:pPr>
          </w:p>
        </w:tc>
        <w:tc>
          <w:tcPr>
            <w:tcW w:w="1020"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247" w:type="dxa"/>
            <w:tcBorders>
              <w:top w:val="single" w:sz="4" w:space="0" w:color="auto"/>
              <w:bottom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191" w:type="dxa"/>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c>
          <w:tcPr>
            <w:tcW w:w="1017" w:type="dxa"/>
            <w:gridSpan w:val="2"/>
            <w:tcBorders>
              <w:top w:val="single" w:sz="4" w:space="0" w:color="auto"/>
              <w:left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Size  [nm]</w:t>
            </w:r>
          </w:p>
        </w:tc>
        <w:tc>
          <w:tcPr>
            <w:tcW w:w="1235" w:type="dxa"/>
            <w:tcBorders>
              <w:top w:val="single" w:sz="4" w:space="0" w:color="auto"/>
              <w:bottom w:val="single" w:sz="4" w:space="0" w:color="auto"/>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PDI</w:t>
            </w:r>
          </w:p>
        </w:tc>
        <w:tc>
          <w:tcPr>
            <w:tcW w:w="1145" w:type="dxa"/>
            <w:gridSpan w:val="3"/>
            <w:tcBorders>
              <w:top w:val="single" w:sz="4" w:space="0" w:color="auto"/>
              <w:bottom w:val="single" w:sz="4" w:space="0" w:color="auto"/>
              <w:right w:val="nil"/>
            </w:tcBorders>
            <w:shd w:val="clear" w:color="auto" w:fill="F2F2F2" w:themeFill="background1" w:themeFillShade="F2"/>
            <w:vAlign w:val="center"/>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Zeta Pot.</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[mV]</w:t>
            </w:r>
          </w:p>
        </w:tc>
        <w:tc>
          <w:tcPr>
            <w:tcW w:w="1224" w:type="dxa"/>
            <w:tcBorders>
              <w:top w:val="single" w:sz="4" w:space="0" w:color="auto"/>
              <w:bottom w:val="single" w:sz="4" w:space="0" w:color="auto"/>
              <w:right w:val="nil"/>
            </w:tcBorders>
            <w:shd w:val="clear" w:color="auto" w:fill="F2F2F2" w:themeFill="background1" w:themeFillShade="F2"/>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 xml:space="preserve">Her on </w:t>
            </w:r>
          </w:p>
          <w:p w:rsidR="00387A07" w:rsidRPr="00AA03FE" w:rsidRDefault="00387A07" w:rsidP="00387A07">
            <w:pPr>
              <w:jc w:val="center"/>
              <w:rPr>
                <w:rFonts w:cstheme="minorHAnsi"/>
                <w:b/>
                <w:color w:val="000000"/>
                <w:lang w:eastAsia="it-IT"/>
              </w:rPr>
            </w:pPr>
            <w:r w:rsidRPr="00AA03FE">
              <w:rPr>
                <w:rFonts w:cstheme="minorHAnsi"/>
                <w:b/>
                <w:color w:val="000000"/>
                <w:lang w:eastAsia="it-IT"/>
              </w:rPr>
              <w:t xml:space="preserve"> surface (</w:t>
            </w:r>
            <w:r w:rsidRPr="00AA03FE">
              <w:rPr>
                <w:rFonts w:ascii="Calibri" w:hAnsi="Calibri" w:cs="Calibri"/>
                <w:b/>
                <w:color w:val="000000"/>
                <w:lang w:eastAsia="it-IT"/>
              </w:rPr>
              <w:t>µ</w:t>
            </w:r>
            <w:r w:rsidRPr="00AA03FE">
              <w:rPr>
                <w:rFonts w:cstheme="minorHAnsi"/>
                <w:b/>
                <w:color w:val="000000"/>
                <w:lang w:eastAsia="it-IT"/>
              </w:rPr>
              <w:t>g)</w:t>
            </w:r>
          </w:p>
        </w:tc>
      </w:tr>
      <w:tr w:rsidR="00387A07" w:rsidRPr="00AA03FE" w:rsidTr="00387A07">
        <w:trPr>
          <w:trHeight w:val="300"/>
          <w:jc w:val="center"/>
        </w:trPr>
        <w:tc>
          <w:tcPr>
            <w:tcW w:w="1247" w:type="dxa"/>
            <w:tcBorders>
              <w:top w:val="single" w:sz="4" w:space="0" w:color="auto"/>
              <w:left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C-BC2000</w:t>
            </w:r>
          </w:p>
        </w:tc>
        <w:tc>
          <w:tcPr>
            <w:tcW w:w="1020"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197 ± 2</w:t>
            </w:r>
          </w:p>
        </w:tc>
        <w:tc>
          <w:tcPr>
            <w:tcW w:w="1247" w:type="dxa"/>
            <w:tcBorders>
              <w:top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0.11 ± 0.02</w:t>
            </w:r>
          </w:p>
        </w:tc>
        <w:tc>
          <w:tcPr>
            <w:tcW w:w="1191" w:type="dxa"/>
            <w:tcBorders>
              <w:top w:val="single" w:sz="4" w:space="0" w:color="auto"/>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-12.2 ± 0.6</w:t>
            </w:r>
          </w:p>
        </w:tc>
        <w:tc>
          <w:tcPr>
            <w:tcW w:w="1017" w:type="dxa"/>
            <w:gridSpan w:val="2"/>
            <w:tcBorders>
              <w:top w:val="single" w:sz="4" w:space="0" w:color="auto"/>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201 </w:t>
            </w:r>
            <w:r w:rsidRPr="00AA03FE">
              <w:rPr>
                <w:rFonts w:cstheme="minorHAnsi"/>
                <w:color w:val="000000"/>
              </w:rPr>
              <w:t>± 2</w:t>
            </w:r>
          </w:p>
        </w:tc>
        <w:tc>
          <w:tcPr>
            <w:tcW w:w="1247" w:type="dxa"/>
            <w:gridSpan w:val="2"/>
            <w:tcBorders>
              <w:top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0.12 </w:t>
            </w:r>
            <w:r w:rsidRPr="00AA03FE">
              <w:rPr>
                <w:rFonts w:cstheme="minorHAnsi"/>
                <w:color w:val="000000"/>
              </w:rPr>
              <w:t>±0.05</w:t>
            </w:r>
          </w:p>
        </w:tc>
        <w:tc>
          <w:tcPr>
            <w:tcW w:w="1077" w:type="dxa"/>
            <w:tcBorders>
              <w:top w:val="single" w:sz="4" w:space="0" w:color="auto"/>
              <w:bottom w:val="nil"/>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-5.3 </w:t>
            </w:r>
            <w:r w:rsidRPr="00AA03FE">
              <w:rPr>
                <w:rFonts w:cstheme="minorHAnsi"/>
                <w:color w:val="000000"/>
              </w:rPr>
              <w:t>± 0.4</w:t>
            </w:r>
          </w:p>
        </w:tc>
        <w:tc>
          <w:tcPr>
            <w:tcW w:w="1280" w:type="dxa"/>
            <w:gridSpan w:val="2"/>
            <w:tcBorders>
              <w:top w:val="single" w:sz="4" w:space="0" w:color="auto"/>
              <w:bottom w:val="nil"/>
              <w:right w:val="nil"/>
            </w:tcBorders>
            <w:shd w:val="clear" w:color="auto" w:fill="F2F2F2" w:themeFill="background1" w:themeFillShade="F2"/>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1.3 </w:t>
            </w:r>
            <w:r w:rsidRPr="00AA03FE">
              <w:rPr>
                <w:rFonts w:ascii="Calibri" w:hAnsi="Calibri" w:cs="Calibri"/>
                <w:color w:val="000000"/>
                <w:lang w:eastAsia="it-IT"/>
              </w:rPr>
              <w:t>± 0.8</w:t>
            </w:r>
          </w:p>
        </w:tc>
      </w:tr>
      <w:tr w:rsidR="00387A07" w:rsidRPr="00AA03FE" w:rsidTr="00387A07">
        <w:trPr>
          <w:trHeight w:val="300"/>
          <w:jc w:val="center"/>
        </w:trPr>
        <w:tc>
          <w:tcPr>
            <w:tcW w:w="1247" w:type="dxa"/>
            <w:tcBorders>
              <w:top w:val="nil"/>
              <w:left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NS-BC2000</w:t>
            </w:r>
          </w:p>
        </w:tc>
        <w:tc>
          <w:tcPr>
            <w:tcW w:w="1020" w:type="dxa"/>
            <w:tcBorders>
              <w:bottom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178 ± 1</w:t>
            </w:r>
          </w:p>
        </w:tc>
        <w:tc>
          <w:tcPr>
            <w:tcW w:w="1247" w:type="dxa"/>
            <w:tcBorders>
              <w:bottom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0.11 ± 0.03</w:t>
            </w:r>
          </w:p>
        </w:tc>
        <w:tc>
          <w:tcPr>
            <w:tcW w:w="1191" w:type="dxa"/>
            <w:tcBorders>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-9.4 ± 0.4</w:t>
            </w:r>
          </w:p>
        </w:tc>
        <w:tc>
          <w:tcPr>
            <w:tcW w:w="1017" w:type="dxa"/>
            <w:gridSpan w:val="2"/>
            <w:tcBorders>
              <w:left w:val="single" w:sz="4" w:space="0" w:color="auto"/>
              <w:bottom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223 </w:t>
            </w:r>
            <w:r w:rsidRPr="00AA03FE">
              <w:rPr>
                <w:rFonts w:cstheme="minorHAnsi"/>
                <w:color w:val="000000"/>
              </w:rPr>
              <w:t>± 12</w:t>
            </w:r>
          </w:p>
        </w:tc>
        <w:tc>
          <w:tcPr>
            <w:tcW w:w="1247" w:type="dxa"/>
            <w:gridSpan w:val="2"/>
            <w:tcBorders>
              <w:bottom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0.15 </w:t>
            </w:r>
            <w:r w:rsidRPr="00AA03FE">
              <w:rPr>
                <w:rFonts w:cstheme="minorHAnsi"/>
                <w:color w:val="000000"/>
              </w:rPr>
              <w:t>± 0.01</w:t>
            </w:r>
          </w:p>
        </w:tc>
        <w:tc>
          <w:tcPr>
            <w:tcW w:w="1077"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-3.5 </w:t>
            </w:r>
            <w:r w:rsidRPr="00AA03FE">
              <w:rPr>
                <w:rFonts w:cstheme="minorHAnsi"/>
                <w:color w:val="000000"/>
              </w:rPr>
              <w:t>± 1.1</w:t>
            </w:r>
          </w:p>
        </w:tc>
        <w:tc>
          <w:tcPr>
            <w:tcW w:w="1280" w:type="dxa"/>
            <w:gridSpan w:val="2"/>
            <w:tcBorders>
              <w:top w:val="nil"/>
              <w:bottom w:val="nil"/>
              <w:right w:val="nil"/>
            </w:tcBorders>
            <w:shd w:val="clear" w:color="auto" w:fill="F2F2F2" w:themeFill="background1" w:themeFillShade="F2"/>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3.9 </w:t>
            </w:r>
            <w:r w:rsidRPr="00AA03FE">
              <w:rPr>
                <w:rFonts w:ascii="Calibri" w:hAnsi="Calibri" w:cs="Calibri"/>
                <w:color w:val="000000"/>
                <w:lang w:eastAsia="it-IT"/>
              </w:rPr>
              <w:t>± 0.6</w:t>
            </w:r>
          </w:p>
        </w:tc>
      </w:tr>
      <w:tr w:rsidR="00387A07" w:rsidRPr="00AA03FE" w:rsidTr="00387A07">
        <w:trPr>
          <w:trHeight w:val="300"/>
          <w:jc w:val="center"/>
        </w:trPr>
        <w:tc>
          <w:tcPr>
            <w:tcW w:w="1247" w:type="dxa"/>
            <w:tcBorders>
              <w:top w:val="nil"/>
              <w:left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PCL</w:t>
            </w:r>
          </w:p>
        </w:tc>
        <w:tc>
          <w:tcPr>
            <w:tcW w:w="1020" w:type="dxa"/>
            <w:tcBorders>
              <w:top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204 ± 3</w:t>
            </w:r>
          </w:p>
        </w:tc>
        <w:tc>
          <w:tcPr>
            <w:tcW w:w="1247" w:type="dxa"/>
            <w:tcBorders>
              <w:top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0.06 ± 0.01</w:t>
            </w:r>
          </w:p>
        </w:tc>
        <w:tc>
          <w:tcPr>
            <w:tcW w:w="1191" w:type="dxa"/>
            <w:tcBorders>
              <w:top w:val="nil"/>
              <w:bottom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-9.6 ± 0.4</w:t>
            </w:r>
          </w:p>
        </w:tc>
        <w:tc>
          <w:tcPr>
            <w:tcW w:w="1017" w:type="dxa"/>
            <w:gridSpan w:val="2"/>
            <w:tcBorders>
              <w:top w:val="nil"/>
              <w:left w:val="single" w:sz="4" w:space="0" w:color="auto"/>
              <w:bottom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240 </w:t>
            </w:r>
            <w:r w:rsidRPr="00AA03FE">
              <w:rPr>
                <w:rFonts w:cstheme="minorHAnsi"/>
                <w:color w:val="000000"/>
              </w:rPr>
              <w:t>± 4</w:t>
            </w:r>
          </w:p>
        </w:tc>
        <w:tc>
          <w:tcPr>
            <w:tcW w:w="1247" w:type="dxa"/>
            <w:gridSpan w:val="2"/>
            <w:tcBorders>
              <w:top w:val="nil"/>
              <w:bottom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0.07</w:t>
            </w:r>
            <w:r w:rsidRPr="00AA03FE">
              <w:rPr>
                <w:rFonts w:cstheme="minorHAnsi"/>
                <w:color w:val="000000"/>
              </w:rPr>
              <w:t>±0.01</w:t>
            </w:r>
          </w:p>
        </w:tc>
        <w:tc>
          <w:tcPr>
            <w:tcW w:w="1077"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-1.1 </w:t>
            </w:r>
            <w:r w:rsidRPr="00AA03FE">
              <w:rPr>
                <w:rFonts w:cstheme="minorHAnsi"/>
                <w:color w:val="000000"/>
              </w:rPr>
              <w:t>±0.1</w:t>
            </w:r>
          </w:p>
        </w:tc>
        <w:tc>
          <w:tcPr>
            <w:tcW w:w="1280" w:type="dxa"/>
            <w:gridSpan w:val="2"/>
            <w:tcBorders>
              <w:top w:val="nil"/>
              <w:bottom w:val="nil"/>
              <w:right w:val="nil"/>
            </w:tcBorders>
            <w:shd w:val="clear" w:color="auto" w:fill="F2F2F2" w:themeFill="background1" w:themeFillShade="F2"/>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4.2 </w:t>
            </w:r>
            <w:r w:rsidRPr="00AA03FE">
              <w:rPr>
                <w:rFonts w:ascii="Calibri" w:hAnsi="Calibri" w:cs="Calibri"/>
                <w:color w:val="000000"/>
                <w:lang w:eastAsia="it-IT"/>
              </w:rPr>
              <w:t>± 0.6</w:t>
            </w:r>
          </w:p>
        </w:tc>
      </w:tr>
      <w:tr w:rsidR="00387A07" w:rsidRPr="00AA03FE" w:rsidTr="00387A07">
        <w:trPr>
          <w:trHeight w:val="300"/>
          <w:jc w:val="center"/>
        </w:trPr>
        <w:tc>
          <w:tcPr>
            <w:tcW w:w="1247" w:type="dxa"/>
            <w:tcBorders>
              <w:top w:val="nil"/>
              <w:left w:val="nil"/>
              <w:bottom w:val="nil"/>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PLGA</w:t>
            </w:r>
          </w:p>
        </w:tc>
        <w:tc>
          <w:tcPr>
            <w:tcW w:w="1020" w:type="dxa"/>
            <w:tcBorders>
              <w:top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182 ± 1</w:t>
            </w:r>
          </w:p>
        </w:tc>
        <w:tc>
          <w:tcPr>
            <w:tcW w:w="1247" w:type="dxa"/>
            <w:tcBorders>
              <w:top w:val="nil"/>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0.07 ± 0.03</w:t>
            </w:r>
          </w:p>
        </w:tc>
        <w:tc>
          <w:tcPr>
            <w:tcW w:w="1191" w:type="dxa"/>
            <w:tcBorders>
              <w:top w:val="nil"/>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-24.4 ± 0.4</w:t>
            </w:r>
          </w:p>
        </w:tc>
        <w:tc>
          <w:tcPr>
            <w:tcW w:w="1017" w:type="dxa"/>
            <w:gridSpan w:val="2"/>
            <w:tcBorders>
              <w:top w:val="nil"/>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242 </w:t>
            </w:r>
            <w:r w:rsidRPr="00AA03FE">
              <w:rPr>
                <w:rFonts w:cstheme="minorHAnsi"/>
                <w:color w:val="000000"/>
              </w:rPr>
              <w:t>± 2</w:t>
            </w:r>
          </w:p>
        </w:tc>
        <w:tc>
          <w:tcPr>
            <w:tcW w:w="1247" w:type="dxa"/>
            <w:gridSpan w:val="2"/>
            <w:tcBorders>
              <w:top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0.17 </w:t>
            </w:r>
            <w:r w:rsidRPr="00AA03FE">
              <w:rPr>
                <w:rFonts w:cstheme="minorHAnsi"/>
                <w:color w:val="000000"/>
              </w:rPr>
              <w:t>± 0.03</w:t>
            </w:r>
          </w:p>
        </w:tc>
        <w:tc>
          <w:tcPr>
            <w:tcW w:w="1077" w:type="dxa"/>
            <w:tcBorders>
              <w:top w:val="nil"/>
              <w:bottom w:val="nil"/>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-0.4 </w:t>
            </w:r>
            <w:r w:rsidRPr="00AA03FE">
              <w:rPr>
                <w:rFonts w:cstheme="minorHAnsi"/>
                <w:color w:val="000000"/>
              </w:rPr>
              <w:t>± 0.1</w:t>
            </w:r>
          </w:p>
        </w:tc>
        <w:tc>
          <w:tcPr>
            <w:tcW w:w="1280" w:type="dxa"/>
            <w:gridSpan w:val="2"/>
            <w:tcBorders>
              <w:top w:val="nil"/>
              <w:bottom w:val="nil"/>
              <w:right w:val="nil"/>
            </w:tcBorders>
            <w:shd w:val="clear" w:color="auto" w:fill="F2F2F2" w:themeFill="background1" w:themeFillShade="F2"/>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0.7 </w:t>
            </w:r>
            <w:r w:rsidRPr="00AA03FE">
              <w:rPr>
                <w:rFonts w:ascii="Calibri" w:hAnsi="Calibri" w:cs="Calibri"/>
                <w:color w:val="000000"/>
                <w:lang w:eastAsia="it-IT"/>
              </w:rPr>
              <w:t>± 0.5</w:t>
            </w:r>
          </w:p>
        </w:tc>
      </w:tr>
      <w:tr w:rsidR="00387A07" w:rsidRPr="00AA03FE" w:rsidTr="00387A07">
        <w:trPr>
          <w:trHeight w:val="300"/>
          <w:jc w:val="center"/>
        </w:trPr>
        <w:tc>
          <w:tcPr>
            <w:tcW w:w="1247" w:type="dxa"/>
            <w:tcBorders>
              <w:top w:val="nil"/>
              <w:left w:val="nil"/>
              <w:bottom w:val="single" w:sz="4" w:space="0" w:color="000000" w:themeColor="text1"/>
            </w:tcBorders>
            <w:shd w:val="clear" w:color="auto" w:fill="F2F2F2" w:themeFill="background1" w:themeFillShade="F2"/>
            <w:noWrap/>
            <w:vAlign w:val="center"/>
            <w:hideMark/>
          </w:tcPr>
          <w:p w:rsidR="00387A07" w:rsidRPr="00AA03FE" w:rsidRDefault="00387A07" w:rsidP="00387A07">
            <w:pPr>
              <w:jc w:val="center"/>
              <w:rPr>
                <w:rFonts w:cstheme="minorHAnsi"/>
                <w:b/>
                <w:color w:val="000000"/>
                <w:lang w:eastAsia="it-IT"/>
              </w:rPr>
            </w:pPr>
            <w:r w:rsidRPr="00AA03FE">
              <w:rPr>
                <w:rFonts w:cstheme="minorHAnsi"/>
                <w:b/>
                <w:color w:val="000000"/>
                <w:lang w:eastAsia="it-IT"/>
              </w:rPr>
              <w:t>PLA</w:t>
            </w:r>
          </w:p>
        </w:tc>
        <w:tc>
          <w:tcPr>
            <w:tcW w:w="1020"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193 ± 2</w:t>
            </w:r>
          </w:p>
        </w:tc>
        <w:tc>
          <w:tcPr>
            <w:tcW w:w="1247" w:type="dxa"/>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0.14 ± 0.02</w:t>
            </w:r>
          </w:p>
        </w:tc>
        <w:tc>
          <w:tcPr>
            <w:tcW w:w="1191" w:type="dxa"/>
            <w:tcBorders>
              <w:bottom w:val="single" w:sz="4" w:space="0" w:color="000000" w:themeColor="text1"/>
              <w:right w:val="single" w:sz="4" w:space="0" w:color="auto"/>
            </w:tcBorders>
            <w:shd w:val="clear" w:color="auto" w:fill="F2F2F2" w:themeFill="background1" w:themeFillShade="F2"/>
            <w:noWrap/>
            <w:vAlign w:val="center"/>
            <w:hideMark/>
          </w:tcPr>
          <w:p w:rsidR="00387A07" w:rsidRPr="00AA03FE" w:rsidRDefault="00387A07" w:rsidP="00387A07">
            <w:pPr>
              <w:jc w:val="center"/>
              <w:rPr>
                <w:rFonts w:cstheme="minorHAnsi"/>
                <w:color w:val="000000"/>
              </w:rPr>
            </w:pPr>
            <w:r w:rsidRPr="00AA03FE">
              <w:rPr>
                <w:rFonts w:cstheme="minorHAnsi"/>
                <w:color w:val="000000"/>
              </w:rPr>
              <w:t>-22.0 ± 0.9</w:t>
            </w:r>
          </w:p>
        </w:tc>
        <w:tc>
          <w:tcPr>
            <w:tcW w:w="1017" w:type="dxa"/>
            <w:gridSpan w:val="2"/>
            <w:tcBorders>
              <w:left w:val="single" w:sz="4" w:space="0" w:color="auto"/>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231 </w:t>
            </w:r>
            <w:r w:rsidRPr="00AA03FE">
              <w:rPr>
                <w:rFonts w:cstheme="minorHAnsi"/>
                <w:color w:val="000000"/>
              </w:rPr>
              <w:t>± 2</w:t>
            </w:r>
          </w:p>
        </w:tc>
        <w:tc>
          <w:tcPr>
            <w:tcW w:w="1247" w:type="dxa"/>
            <w:gridSpan w:val="2"/>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0.13 </w:t>
            </w:r>
            <w:r w:rsidRPr="00AA03FE">
              <w:rPr>
                <w:rFonts w:cstheme="minorHAnsi"/>
                <w:color w:val="000000"/>
              </w:rPr>
              <w:t>± 0.03</w:t>
            </w:r>
          </w:p>
        </w:tc>
        <w:tc>
          <w:tcPr>
            <w:tcW w:w="1077" w:type="dxa"/>
            <w:tcBorders>
              <w:top w:val="nil"/>
              <w:bottom w:val="single" w:sz="4" w:space="0" w:color="000000" w:themeColor="text1"/>
              <w:right w:val="nil"/>
            </w:tcBorders>
            <w:shd w:val="clear" w:color="auto" w:fill="F2F2F2" w:themeFill="background1" w:themeFillShade="F2"/>
            <w:vAlign w:val="center"/>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-0.7 </w:t>
            </w:r>
            <w:r w:rsidRPr="00AA03FE">
              <w:rPr>
                <w:rFonts w:cstheme="minorHAnsi"/>
                <w:color w:val="000000"/>
              </w:rPr>
              <w:t>± 0.1</w:t>
            </w:r>
          </w:p>
        </w:tc>
        <w:tc>
          <w:tcPr>
            <w:tcW w:w="1280" w:type="dxa"/>
            <w:gridSpan w:val="2"/>
            <w:tcBorders>
              <w:top w:val="nil"/>
              <w:bottom w:val="single" w:sz="4" w:space="0" w:color="000000" w:themeColor="text1"/>
              <w:right w:val="nil"/>
            </w:tcBorders>
            <w:shd w:val="clear" w:color="auto" w:fill="F2F2F2" w:themeFill="background1" w:themeFillShade="F2"/>
          </w:tcPr>
          <w:p w:rsidR="00387A07" w:rsidRPr="00AA03FE" w:rsidRDefault="00387A07" w:rsidP="00387A07">
            <w:pPr>
              <w:jc w:val="center"/>
              <w:rPr>
                <w:rFonts w:cstheme="minorHAnsi"/>
                <w:color w:val="000000"/>
                <w:lang w:eastAsia="it-IT"/>
              </w:rPr>
            </w:pPr>
            <w:r w:rsidRPr="00AA03FE">
              <w:rPr>
                <w:rFonts w:cstheme="minorHAnsi"/>
                <w:color w:val="000000"/>
                <w:lang w:eastAsia="it-IT"/>
              </w:rPr>
              <w:t xml:space="preserve">2.5 </w:t>
            </w:r>
            <w:r w:rsidRPr="00AA03FE">
              <w:rPr>
                <w:rFonts w:ascii="Calibri" w:hAnsi="Calibri" w:cs="Calibri"/>
                <w:color w:val="000000"/>
                <w:lang w:eastAsia="it-IT"/>
              </w:rPr>
              <w:t>± 0.2</w:t>
            </w:r>
          </w:p>
        </w:tc>
      </w:tr>
    </w:tbl>
    <w:p w:rsidR="00387A07" w:rsidRPr="00AA03FE" w:rsidRDefault="00387A07" w:rsidP="00387A07">
      <w:pPr>
        <w:pStyle w:val="Didascalia"/>
        <w:spacing w:before="200"/>
        <w:rPr>
          <w:rFonts w:ascii="Arial" w:hAnsi="Arial" w:cs="Arial"/>
          <w:sz w:val="24"/>
          <w:szCs w:val="24"/>
        </w:rPr>
      </w:pPr>
      <w:r w:rsidRPr="00AA03FE">
        <w:t xml:space="preserve">Table 3. </w:t>
      </w:r>
      <w:fldSimple w:instr=" SEQ Table_3. \* ARABIC ">
        <w:r w:rsidRPr="00AA03FE">
          <w:rPr>
            <w:noProof/>
          </w:rPr>
          <w:t>9</w:t>
        </w:r>
      </w:fldSimple>
      <w:r w:rsidRPr="00AA03FE">
        <w:t xml:space="preserve"> Changes in size, PDI and zeta potential of nanoparticles prepared with different polymers, and amount of Herceptin oresent on the surface of the carriers after 6 hours of incubation in the presence of mAb.</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The amount of Herceptin on the surface of nanoparticles after 6 hours of incubation was also measured for all polymers, showing that </w:t>
      </w:r>
      <w:r w:rsidRPr="00AA03FE">
        <w:rPr>
          <w:rFonts w:ascii="Arial" w:hAnsi="Arial" w:cs="Arial"/>
          <w:sz w:val="24"/>
          <w:szCs w:val="24"/>
          <w:lang w:val="en-US"/>
        </w:rPr>
        <w:t xml:space="preserve">PCL and the polyesterurethane NS-BC2000 exhibit the higher amount of antibody on their surface. Accordingly these two polymers exhibit the higher increment in their mean diameter after surface decoration.   </w:t>
      </w:r>
    </w:p>
    <w:p w:rsidR="00387A07" w:rsidRPr="00AA03FE" w:rsidRDefault="00387A07" w:rsidP="00387A07">
      <w:pPr>
        <w:spacing w:before="240" w:after="240" w:line="360" w:lineRule="auto"/>
        <w:jc w:val="both"/>
        <w:rPr>
          <w:rFonts w:ascii="Arial" w:hAnsi="Arial" w:cs="Arial"/>
          <w:b/>
          <w:sz w:val="24"/>
          <w:szCs w:val="24"/>
          <w:lang w:val="en-US"/>
        </w:rPr>
      </w:pPr>
      <w:r w:rsidRPr="00AA03FE">
        <w:rPr>
          <w:rFonts w:ascii="Arial" w:hAnsi="Arial" w:cs="Arial"/>
          <w:b/>
          <w:sz w:val="24"/>
          <w:szCs w:val="24"/>
          <w:lang w:val="en-US"/>
        </w:rPr>
        <w:t>3.3.6 Drug release profiles</w:t>
      </w:r>
    </w:p>
    <w:p w:rsidR="00387A07" w:rsidRPr="00AA03FE" w:rsidRDefault="00387A07" w:rsidP="00387A07">
      <w:pPr>
        <w:spacing w:before="240" w:after="240" w:line="360" w:lineRule="auto"/>
        <w:jc w:val="both"/>
        <w:rPr>
          <w:rFonts w:ascii="Arial" w:hAnsi="Arial" w:cs="Arial"/>
          <w:sz w:val="24"/>
          <w:szCs w:val="24"/>
          <w:lang w:val="en-US"/>
        </w:rPr>
      </w:pPr>
      <w:r w:rsidRPr="00AA03FE">
        <w:rPr>
          <w:rFonts w:ascii="Arial" w:hAnsi="Arial" w:cs="Arial"/>
          <w:sz w:val="24"/>
          <w:szCs w:val="24"/>
          <w:lang w:val="en-US"/>
        </w:rPr>
        <w:t xml:space="preserve">Figure 3.11 and table 3.10 and 3.11 show the release kinetics and the amount of released drug at each time point, expressed in </w:t>
      </w:r>
      <w:r w:rsidRPr="00AA03FE">
        <w:rPr>
          <w:rFonts w:ascii="Calibri" w:hAnsi="Calibri" w:cs="Calibri"/>
          <w:sz w:val="24"/>
          <w:szCs w:val="24"/>
          <w:lang w:val="en-US"/>
        </w:rPr>
        <w:t>µ</w:t>
      </w:r>
      <w:r w:rsidRPr="00AA03FE">
        <w:rPr>
          <w:rFonts w:ascii="Arial" w:hAnsi="Arial" w:cs="Arial"/>
          <w:sz w:val="24"/>
          <w:szCs w:val="24"/>
          <w:lang w:val="en-US"/>
        </w:rPr>
        <w:t xml:space="preserve">g and as percent of encapsulated drug from HER-coated and uncoated nanoparticles prepared with different polymers. Results for PCL nanoparticles are not reported, since a small release from these carriers was observed only after the first day of incubation for non coated particles. </w:t>
      </w:r>
    </w:p>
    <w:p w:rsidR="00387A07" w:rsidRPr="00AA03FE" w:rsidRDefault="00387A07" w:rsidP="00387A07">
      <w:pPr>
        <w:spacing w:before="240" w:after="240" w:line="360" w:lineRule="auto"/>
        <w:jc w:val="both"/>
        <w:rPr>
          <w:rFonts w:ascii="Arial" w:hAnsi="Arial" w:cs="Arial"/>
          <w:b/>
          <w:sz w:val="24"/>
          <w:szCs w:val="24"/>
          <w:lang w:val="it-IT"/>
        </w:rPr>
      </w:pPr>
      <w:r w:rsidRPr="00AA03FE">
        <w:rPr>
          <w:rFonts w:ascii="Arial" w:hAnsi="Arial" w:cs="Arial"/>
          <w:b/>
          <w:noProof/>
          <w:sz w:val="24"/>
          <w:szCs w:val="24"/>
          <w:lang w:val="it-IT" w:eastAsia="it-IT"/>
        </w:rPr>
        <w:drawing>
          <wp:inline distT="0" distB="0" distL="0" distR="0">
            <wp:extent cx="5975985" cy="3641725"/>
            <wp:effectExtent l="0" t="0" r="0" b="0"/>
            <wp:docPr id="150" name="Immagine 1" descr="rilasci c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lasci cap 3.png"/>
                    <pic:cNvPicPr/>
                  </pic:nvPicPr>
                  <pic:blipFill>
                    <a:blip r:embed="rId52"/>
                    <a:stretch>
                      <a:fillRect/>
                    </a:stretch>
                  </pic:blipFill>
                  <pic:spPr>
                    <a:xfrm>
                      <a:off x="0" y="0"/>
                      <a:ext cx="5975985" cy="3641725"/>
                    </a:xfrm>
                    <a:prstGeom prst="rect">
                      <a:avLst/>
                    </a:prstGeom>
                  </pic:spPr>
                </pic:pic>
              </a:graphicData>
            </a:graphic>
          </wp:inline>
        </w:drawing>
      </w:r>
    </w:p>
    <w:p w:rsidR="00387A07" w:rsidRPr="00AA03FE" w:rsidRDefault="00387A07" w:rsidP="00387A07">
      <w:pPr>
        <w:pStyle w:val="Didascalia"/>
        <w:rPr>
          <w:rFonts w:ascii="Arial" w:hAnsi="Arial" w:cs="Arial"/>
          <w:b w:val="0"/>
          <w:sz w:val="24"/>
          <w:szCs w:val="24"/>
          <w:lang w:val="en-US"/>
        </w:rPr>
      </w:pPr>
      <w:r w:rsidRPr="00AA03FE">
        <w:rPr>
          <w:lang w:val="en-US"/>
        </w:rPr>
        <w:lastRenderedPageBreak/>
        <w:t xml:space="preserve">Figure 3. </w:t>
      </w:r>
      <w:r w:rsidR="00860AC7" w:rsidRPr="00AA03FE">
        <w:fldChar w:fldCharType="begin"/>
      </w:r>
      <w:r w:rsidRPr="00AA03FE">
        <w:rPr>
          <w:lang w:val="en-US"/>
        </w:rPr>
        <w:instrText xml:space="preserve"> SEQ Figure_3. \* ARABIC </w:instrText>
      </w:r>
      <w:r w:rsidR="00860AC7" w:rsidRPr="00AA03FE">
        <w:fldChar w:fldCharType="separate"/>
      </w:r>
      <w:r w:rsidRPr="00AA03FE">
        <w:rPr>
          <w:noProof/>
          <w:lang w:val="en-US"/>
        </w:rPr>
        <w:t>11</w:t>
      </w:r>
      <w:r w:rsidR="00860AC7" w:rsidRPr="00AA03FE">
        <w:fldChar w:fldCharType="end"/>
      </w:r>
      <w:r w:rsidRPr="00AA03FE">
        <w:rPr>
          <w:lang w:val="en-US"/>
        </w:rPr>
        <w:t xml:space="preserve"> Release profiles from HER-coated and non-coated nanoparticles prepared with different polymers</w:t>
      </w:r>
    </w:p>
    <w:p w:rsidR="00387A07" w:rsidRPr="00AA03FE" w:rsidRDefault="00387A07" w:rsidP="00387A07">
      <w:pPr>
        <w:spacing w:before="120" w:after="0" w:line="360" w:lineRule="auto"/>
        <w:jc w:val="both"/>
        <w:rPr>
          <w:rFonts w:ascii="Arial" w:hAnsi="Arial" w:cs="Arial"/>
          <w:sz w:val="24"/>
          <w:szCs w:val="24"/>
          <w:lang w:val="en-US"/>
        </w:rPr>
      </w:pPr>
      <w:r w:rsidRPr="00AA03FE">
        <w:rPr>
          <w:rFonts w:ascii="Arial" w:hAnsi="Arial" w:cs="Arial"/>
          <w:sz w:val="24"/>
          <w:szCs w:val="24"/>
          <w:lang w:val="en-US"/>
        </w:rPr>
        <w:t xml:space="preserve">Paclitaxel release rate is slower for Herceptin-coated nanoparticles, since the presence of the antibody may result in a barrier to water permeation into the polymeric core thus lowering the diffusion rate of the drug [14]. </w:t>
      </w:r>
    </w:p>
    <w:p w:rsidR="00387A07" w:rsidRPr="00AA03FE" w:rsidRDefault="00387A07" w:rsidP="00387A07">
      <w:pPr>
        <w:spacing w:after="240" w:line="360" w:lineRule="auto"/>
        <w:jc w:val="both"/>
        <w:rPr>
          <w:rFonts w:ascii="Arial" w:hAnsi="Arial" w:cs="Arial"/>
          <w:sz w:val="24"/>
          <w:szCs w:val="24"/>
          <w:lang w:val="en-US"/>
        </w:rPr>
      </w:pPr>
      <w:r w:rsidRPr="00AA03FE">
        <w:rPr>
          <w:rFonts w:ascii="Arial" w:hAnsi="Arial" w:cs="Arial"/>
          <w:sz w:val="24"/>
          <w:szCs w:val="24"/>
          <w:lang w:val="en-US"/>
        </w:rPr>
        <w:t xml:space="preserve">Appreciable drug release can be noticed after the second day from HER-coated PLGA, PLA and C-BC2000 nanoparticles while HER-coated NS-BC2000 nanoparticles start releasing their content from the first day of incubation. </w:t>
      </w:r>
    </w:p>
    <w:tbl>
      <w:tblPr>
        <w:tblStyle w:val="Grigliatabella"/>
        <w:tblW w:w="0" w:type="auto"/>
        <w:jc w:val="center"/>
        <w:shd w:val="clear" w:color="auto" w:fill="F2F2F2" w:themeFill="background1" w:themeFillShade="F2"/>
        <w:tblLook w:val="04A0"/>
      </w:tblPr>
      <w:tblGrid>
        <w:gridCol w:w="1587"/>
        <w:gridCol w:w="1587"/>
        <w:gridCol w:w="1587"/>
        <w:gridCol w:w="1587"/>
        <w:gridCol w:w="1361"/>
      </w:tblGrid>
      <w:tr w:rsidR="00387A07" w:rsidRPr="00AA03FE" w:rsidTr="00387A07">
        <w:trPr>
          <w:jc w:val="center"/>
        </w:trPr>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Release(days)</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1</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2</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3</w:t>
            </w:r>
          </w:p>
        </w:tc>
        <w:tc>
          <w:tcPr>
            <w:tcW w:w="1361"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4</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rPr>
            </w:pPr>
          </w:p>
        </w:tc>
        <w:tc>
          <w:tcPr>
            <w:tcW w:w="6122" w:type="dxa"/>
            <w:gridSpan w:val="4"/>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Uncoated nanoparticles</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PLGA</w:t>
            </w:r>
          </w:p>
        </w:tc>
        <w:tc>
          <w:tcPr>
            <w:tcW w:w="1587" w:type="dxa"/>
            <w:tcBorders>
              <w:top w:val="single" w:sz="4" w:space="0" w:color="auto"/>
              <w:left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0.50 ± 0.09</w:t>
            </w:r>
          </w:p>
        </w:tc>
        <w:tc>
          <w:tcPr>
            <w:tcW w:w="1587"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5.30 ± 1.20</w:t>
            </w:r>
          </w:p>
        </w:tc>
        <w:tc>
          <w:tcPr>
            <w:tcW w:w="1587"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10.20 ± 1.12</w:t>
            </w:r>
          </w:p>
        </w:tc>
        <w:tc>
          <w:tcPr>
            <w:tcW w:w="1361"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10.3 ± 1.0</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PLA</w:t>
            </w:r>
          </w:p>
        </w:tc>
        <w:tc>
          <w:tcPr>
            <w:tcW w:w="1587" w:type="dxa"/>
            <w:tcBorders>
              <w:top w:val="nil"/>
              <w:left w:val="single" w:sz="4" w:space="0" w:color="auto"/>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1.81 ± 0.02</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2.09 ± 0.28</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2.42 ± 0.34</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3.13 ± 0.51</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PCL</w:t>
            </w:r>
          </w:p>
        </w:tc>
        <w:tc>
          <w:tcPr>
            <w:tcW w:w="1587" w:type="dxa"/>
            <w:tcBorders>
              <w:top w:val="nil"/>
              <w:left w:val="single" w:sz="4" w:space="0" w:color="auto"/>
              <w:bottom w:val="nil"/>
              <w:right w:val="nil"/>
            </w:tcBorders>
            <w:shd w:val="clear" w:color="auto" w:fill="F2F2F2" w:themeFill="background1" w:themeFillShade="F2"/>
            <w:vAlign w:val="center"/>
          </w:tcPr>
          <w:p w:rsidR="00387A07" w:rsidRPr="00AA03FE" w:rsidRDefault="00387A07" w:rsidP="00387A07">
            <w:pPr>
              <w:rPr>
                <w:rFonts w:cstheme="minorHAnsi"/>
              </w:rPr>
            </w:pPr>
            <w:r w:rsidRPr="00AA03FE">
              <w:rPr>
                <w:rFonts w:cstheme="minorHAnsi"/>
              </w:rPr>
              <w:t xml:space="preserve">3.28 </w:t>
            </w:r>
            <w:r w:rsidRPr="00AA03FE">
              <w:rPr>
                <w:rFonts w:cstheme="minorHAnsi"/>
                <w:lang w:val="it-IT" w:eastAsia="it-IT"/>
              </w:rPr>
              <w:t>± 0.72</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C-BC 2000</w:t>
            </w:r>
          </w:p>
        </w:tc>
        <w:tc>
          <w:tcPr>
            <w:tcW w:w="1587" w:type="dxa"/>
            <w:tcBorders>
              <w:top w:val="nil"/>
              <w:left w:val="single" w:sz="4" w:space="0" w:color="auto"/>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14.73 ± 3.24</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18.01 ± 1.08</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26.38 ± 0.80</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35.46 ± 1.01</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bottom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NS-BC2000</w:t>
            </w:r>
          </w:p>
        </w:tc>
        <w:tc>
          <w:tcPr>
            <w:tcW w:w="1587" w:type="dxa"/>
            <w:tcBorders>
              <w:left w:val="single" w:sz="4" w:space="0" w:color="auto"/>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5.39 ± 0.47</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5.39 ± 0.51</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6.80 ± 0.61</w:t>
            </w:r>
          </w:p>
        </w:tc>
        <w:tc>
          <w:tcPr>
            <w:tcW w:w="1361"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7.87 ± 0.52</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p>
        </w:tc>
        <w:tc>
          <w:tcPr>
            <w:tcW w:w="6122" w:type="dxa"/>
            <w:gridSpan w:val="4"/>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Herceptin-coated nanoparticles</w:t>
            </w:r>
          </w:p>
        </w:tc>
      </w:tr>
      <w:tr w:rsidR="00387A07" w:rsidRPr="00AA03FE" w:rsidTr="00387A07">
        <w:trPr>
          <w:jc w:val="center"/>
        </w:trPr>
        <w:tc>
          <w:tcPr>
            <w:tcW w:w="1587" w:type="dxa"/>
            <w:tcBorders>
              <w:top w:val="single" w:sz="4" w:space="0" w:color="auto"/>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PLGA H</w:t>
            </w:r>
          </w:p>
        </w:tc>
        <w:tc>
          <w:tcPr>
            <w:tcW w:w="1587" w:type="dxa"/>
            <w:tcBorders>
              <w:top w:val="single" w:sz="4" w:space="0" w:color="auto"/>
              <w:left w:val="single" w:sz="4" w:space="0" w:color="auto"/>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single" w:sz="4" w:space="0" w:color="auto"/>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single" w:sz="4" w:space="0" w:color="auto"/>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rPr>
              <w:t xml:space="preserve">0.59 </w:t>
            </w:r>
            <w:r w:rsidRPr="00AA03FE">
              <w:rPr>
                <w:rFonts w:cstheme="minorHAnsi"/>
                <w:lang w:val="it-IT" w:eastAsia="it-IT"/>
              </w:rPr>
              <w:t>± 0.01</w:t>
            </w:r>
          </w:p>
        </w:tc>
        <w:tc>
          <w:tcPr>
            <w:tcW w:w="1361" w:type="dxa"/>
            <w:tcBorders>
              <w:top w:val="single" w:sz="4" w:space="0" w:color="auto"/>
              <w:left w:val="nil"/>
              <w:bottom w:val="nil"/>
              <w:right w:val="nil"/>
            </w:tcBorders>
            <w:shd w:val="clear" w:color="auto" w:fill="F2F2F2" w:themeFill="background1" w:themeFillShade="F2"/>
            <w:vAlign w:val="bottom"/>
          </w:tcPr>
          <w:p w:rsidR="00387A07" w:rsidRPr="00AA03FE" w:rsidRDefault="00387A07" w:rsidP="00387A07">
            <w:pPr>
              <w:rPr>
                <w:rFonts w:cstheme="minorHAnsi"/>
                <w:lang w:val="it-IT" w:eastAsia="it-IT"/>
              </w:rPr>
            </w:pPr>
            <w:r w:rsidRPr="00AA03FE">
              <w:rPr>
                <w:rFonts w:cstheme="minorHAnsi"/>
                <w:lang w:val="it-IT" w:eastAsia="it-IT"/>
              </w:rPr>
              <w:t>0.63 ± 0.00</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PLA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0.10 ± 0.05</w:t>
            </w:r>
          </w:p>
        </w:tc>
        <w:tc>
          <w:tcPr>
            <w:tcW w:w="1361"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0.37 ± 0.09</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PCL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361"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C-BC 2000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0.02 ± 0.00</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4.02 ± 0.25</w:t>
            </w:r>
          </w:p>
        </w:tc>
        <w:tc>
          <w:tcPr>
            <w:tcW w:w="1361"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7.09 ± 0.76</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bottom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NS-BC2000 H</w:t>
            </w:r>
          </w:p>
        </w:tc>
        <w:tc>
          <w:tcPr>
            <w:tcW w:w="1587" w:type="dxa"/>
            <w:tcBorders>
              <w:left w:val="single" w:sz="4" w:space="0" w:color="auto"/>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0.81 ± 0.06</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0.81 ± 0.06</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0.90 ± 0.01</w:t>
            </w:r>
          </w:p>
        </w:tc>
        <w:tc>
          <w:tcPr>
            <w:tcW w:w="1361"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0.90 ± 0.01</w:t>
            </w:r>
          </w:p>
        </w:tc>
      </w:tr>
    </w:tbl>
    <w:p w:rsidR="00387A07" w:rsidRPr="00AA03FE" w:rsidRDefault="00387A07" w:rsidP="00387A07">
      <w:pPr>
        <w:pStyle w:val="Didascalia"/>
        <w:spacing w:before="120"/>
        <w:rPr>
          <w:rFonts w:ascii="Arial" w:hAnsi="Arial" w:cs="Arial"/>
          <w:sz w:val="24"/>
          <w:szCs w:val="24"/>
          <w:lang w:val="en-US"/>
        </w:rPr>
      </w:pPr>
      <w:r w:rsidRPr="00AA03FE">
        <w:t xml:space="preserve">Table 3. </w:t>
      </w:r>
      <w:fldSimple w:instr=" SEQ Table_3. \* ARABIC ">
        <w:r w:rsidRPr="00AA03FE">
          <w:rPr>
            <w:noProof/>
          </w:rPr>
          <w:t>10</w:t>
        </w:r>
      </w:fldSimple>
      <w:r w:rsidRPr="00AA03FE">
        <w:t xml:space="preserve"> Cumulative drug release from nanoparticles prepared with different polymers, expressed as % of the encapsulated drug.</w:t>
      </w:r>
    </w:p>
    <w:tbl>
      <w:tblPr>
        <w:tblStyle w:val="Grigliatabella"/>
        <w:tblW w:w="0" w:type="auto"/>
        <w:jc w:val="center"/>
        <w:shd w:val="clear" w:color="auto" w:fill="F2F2F2" w:themeFill="background1" w:themeFillShade="F2"/>
        <w:tblLook w:val="04A0"/>
      </w:tblPr>
      <w:tblGrid>
        <w:gridCol w:w="1587"/>
        <w:gridCol w:w="1587"/>
        <w:gridCol w:w="1587"/>
        <w:gridCol w:w="1587"/>
        <w:gridCol w:w="1361"/>
      </w:tblGrid>
      <w:tr w:rsidR="00387A07" w:rsidRPr="00AA03FE" w:rsidTr="00387A07">
        <w:trPr>
          <w:jc w:val="center"/>
        </w:trPr>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Release(days)</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1</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2</w:t>
            </w:r>
          </w:p>
        </w:tc>
        <w:tc>
          <w:tcPr>
            <w:tcW w:w="1587"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3</w:t>
            </w:r>
          </w:p>
        </w:tc>
        <w:tc>
          <w:tcPr>
            <w:tcW w:w="1361" w:type="dxa"/>
            <w:tcBorders>
              <w:top w:val="single" w:sz="4" w:space="0" w:color="auto"/>
              <w:left w:val="nil"/>
              <w:bottom w:val="single" w:sz="4" w:space="0" w:color="auto"/>
              <w:right w:val="nil"/>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4</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rPr>
            </w:pPr>
          </w:p>
        </w:tc>
        <w:tc>
          <w:tcPr>
            <w:tcW w:w="6122" w:type="dxa"/>
            <w:gridSpan w:val="4"/>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Uncoated nanoparticles</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PLGA</w:t>
            </w:r>
          </w:p>
        </w:tc>
        <w:tc>
          <w:tcPr>
            <w:tcW w:w="1587" w:type="dxa"/>
            <w:tcBorders>
              <w:top w:val="single" w:sz="4" w:space="0" w:color="auto"/>
              <w:left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0.52 ± 0.09</w:t>
            </w:r>
          </w:p>
        </w:tc>
        <w:tc>
          <w:tcPr>
            <w:tcW w:w="1587"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1.49 ± 0.32</w:t>
            </w:r>
          </w:p>
        </w:tc>
        <w:tc>
          <w:tcPr>
            <w:tcW w:w="1587"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2.85 ± 0.31</w:t>
            </w:r>
          </w:p>
        </w:tc>
        <w:tc>
          <w:tcPr>
            <w:tcW w:w="1361" w:type="dxa"/>
            <w:tcBorders>
              <w:top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2.88 ± 0.29</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PLA</w:t>
            </w:r>
          </w:p>
        </w:tc>
        <w:tc>
          <w:tcPr>
            <w:tcW w:w="1587" w:type="dxa"/>
            <w:tcBorders>
              <w:top w:val="nil"/>
              <w:left w:val="single" w:sz="4" w:space="0" w:color="auto"/>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0.40 ± 0.01</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0.46 ± 0.06</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0.53 ± 0.07</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0.69 ± 0.11</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PCL</w:t>
            </w:r>
          </w:p>
        </w:tc>
        <w:tc>
          <w:tcPr>
            <w:tcW w:w="1587" w:type="dxa"/>
            <w:tcBorders>
              <w:top w:val="nil"/>
              <w:left w:val="single" w:sz="4" w:space="0" w:color="auto"/>
              <w:bottom w:val="nil"/>
              <w:right w:val="nil"/>
            </w:tcBorders>
            <w:shd w:val="clear" w:color="auto" w:fill="F2F2F2" w:themeFill="background1" w:themeFillShade="F2"/>
            <w:vAlign w:val="center"/>
          </w:tcPr>
          <w:p w:rsidR="00387A07" w:rsidRPr="00AA03FE" w:rsidRDefault="00387A07" w:rsidP="00387A07">
            <w:pPr>
              <w:rPr>
                <w:rFonts w:cstheme="minorHAnsi"/>
              </w:rPr>
            </w:pPr>
            <w:r w:rsidRPr="00AA03FE">
              <w:rPr>
                <w:rFonts w:cstheme="minorHAnsi"/>
              </w:rPr>
              <w:t xml:space="preserve">0.98 </w:t>
            </w:r>
            <w:r w:rsidRPr="00AA03FE">
              <w:rPr>
                <w:rFonts w:cstheme="minorHAnsi"/>
                <w:lang w:val="it-IT" w:eastAsia="it-IT"/>
              </w:rPr>
              <w:t xml:space="preserve">±0.21 </w:t>
            </w:r>
            <w:r w:rsidRPr="00AA03FE">
              <w:rPr>
                <w:rFonts w:cstheme="minorHAnsi"/>
              </w:rPr>
              <w:t xml:space="preserve"> </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r>
      <w:tr w:rsidR="00387A07" w:rsidRPr="00AA03FE" w:rsidTr="00387A07">
        <w:trPr>
          <w:jc w:val="center"/>
        </w:trPr>
        <w:tc>
          <w:tcPr>
            <w:tcW w:w="1587" w:type="dxa"/>
            <w:tcBorders>
              <w:top w:val="nil"/>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C-BC 2000</w:t>
            </w:r>
          </w:p>
        </w:tc>
        <w:tc>
          <w:tcPr>
            <w:tcW w:w="1587" w:type="dxa"/>
            <w:tcBorders>
              <w:top w:val="nil"/>
              <w:left w:val="single" w:sz="4" w:space="0" w:color="auto"/>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2.50 ± 0.55</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3.06 ± 0.18</w:t>
            </w:r>
          </w:p>
        </w:tc>
        <w:tc>
          <w:tcPr>
            <w:tcW w:w="1587"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4.48 ± 0.14</w:t>
            </w:r>
          </w:p>
        </w:tc>
        <w:tc>
          <w:tcPr>
            <w:tcW w:w="1361" w:type="dxa"/>
            <w:tcBorders>
              <w:top w:val="nil"/>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6.03 ± 0.17</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bottom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NS-BC2000</w:t>
            </w:r>
          </w:p>
        </w:tc>
        <w:tc>
          <w:tcPr>
            <w:tcW w:w="1587" w:type="dxa"/>
            <w:tcBorders>
              <w:left w:val="single" w:sz="4" w:space="0" w:color="auto"/>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1.02 ± 0.09</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1.02 ± 0.09</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1.29 ± 0.13</w:t>
            </w:r>
          </w:p>
        </w:tc>
        <w:tc>
          <w:tcPr>
            <w:tcW w:w="1361"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1.50 ± 0.09</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p>
        </w:tc>
        <w:tc>
          <w:tcPr>
            <w:tcW w:w="6122" w:type="dxa"/>
            <w:gridSpan w:val="4"/>
            <w:tcBorders>
              <w:top w:val="single" w:sz="4" w:space="0" w:color="auto"/>
              <w:bottom w:val="single" w:sz="4" w:space="0" w:color="auto"/>
            </w:tcBorders>
            <w:shd w:val="clear" w:color="auto" w:fill="F2F2F2" w:themeFill="background1" w:themeFillShade="F2"/>
          </w:tcPr>
          <w:p w:rsidR="00387A07" w:rsidRPr="00AA03FE" w:rsidRDefault="00387A07" w:rsidP="00387A07">
            <w:pPr>
              <w:jc w:val="center"/>
              <w:rPr>
                <w:rFonts w:cstheme="minorHAnsi"/>
                <w:b/>
              </w:rPr>
            </w:pPr>
            <w:r w:rsidRPr="00AA03FE">
              <w:rPr>
                <w:rFonts w:cstheme="minorHAnsi"/>
                <w:b/>
              </w:rPr>
              <w:t>Herceptin-coated nanoparticles</w:t>
            </w:r>
          </w:p>
        </w:tc>
      </w:tr>
      <w:tr w:rsidR="00387A07" w:rsidRPr="00AA03FE" w:rsidTr="00387A07">
        <w:trPr>
          <w:jc w:val="center"/>
        </w:trPr>
        <w:tc>
          <w:tcPr>
            <w:tcW w:w="1587" w:type="dxa"/>
            <w:tcBorders>
              <w:top w:val="single" w:sz="4" w:space="0" w:color="auto"/>
              <w:left w:val="nil"/>
              <w:bottom w:val="nil"/>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PLGA H</w:t>
            </w:r>
          </w:p>
        </w:tc>
        <w:tc>
          <w:tcPr>
            <w:tcW w:w="1587" w:type="dxa"/>
            <w:tcBorders>
              <w:top w:val="single" w:sz="4" w:space="0" w:color="auto"/>
              <w:left w:val="single" w:sz="4" w:space="0" w:color="auto"/>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single" w:sz="4" w:space="0" w:color="auto"/>
              <w:left w:val="nil"/>
              <w:bottom w:val="nil"/>
              <w:right w:val="nil"/>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tcBorders>
              <w:top w:val="single" w:sz="4" w:space="0" w:color="auto"/>
              <w:left w:val="nil"/>
              <w:bottom w:val="nil"/>
              <w:right w:val="nil"/>
            </w:tcBorders>
            <w:shd w:val="clear" w:color="auto" w:fill="F2F2F2" w:themeFill="background1" w:themeFillShade="F2"/>
          </w:tcPr>
          <w:p w:rsidR="00387A07" w:rsidRPr="00AA03FE" w:rsidRDefault="00387A07" w:rsidP="00387A07">
            <w:pPr>
              <w:rPr>
                <w:rFonts w:cstheme="minorHAnsi"/>
              </w:rPr>
            </w:pPr>
            <w:r w:rsidRPr="00AA03FE">
              <w:rPr>
                <w:rFonts w:cstheme="minorHAnsi"/>
              </w:rPr>
              <w:t xml:space="preserve">0.17 </w:t>
            </w:r>
            <w:r w:rsidRPr="00AA03FE">
              <w:rPr>
                <w:rFonts w:cstheme="minorHAnsi"/>
                <w:lang w:val="it-IT" w:eastAsia="it-IT"/>
              </w:rPr>
              <w:t>± 0.00</w:t>
            </w:r>
          </w:p>
        </w:tc>
        <w:tc>
          <w:tcPr>
            <w:tcW w:w="1361" w:type="dxa"/>
            <w:tcBorders>
              <w:top w:val="single" w:sz="4" w:space="0" w:color="auto"/>
              <w:left w:val="nil"/>
              <w:bottom w:val="nil"/>
              <w:right w:val="nil"/>
            </w:tcBorders>
            <w:shd w:val="clear" w:color="auto" w:fill="F2F2F2" w:themeFill="background1" w:themeFillShade="F2"/>
            <w:vAlign w:val="bottom"/>
          </w:tcPr>
          <w:p w:rsidR="00387A07" w:rsidRPr="00AA03FE" w:rsidRDefault="00387A07" w:rsidP="00387A07">
            <w:pPr>
              <w:rPr>
                <w:rFonts w:cstheme="minorHAnsi"/>
                <w:lang w:val="it-IT" w:eastAsia="it-IT"/>
              </w:rPr>
            </w:pPr>
            <w:r w:rsidRPr="00AA03FE">
              <w:rPr>
                <w:rFonts w:cstheme="minorHAnsi"/>
                <w:lang w:val="it-IT" w:eastAsia="it-IT"/>
              </w:rPr>
              <w:t>0.18 ± 0.00</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PLA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rPr>
              <w:t xml:space="preserve">0.02 </w:t>
            </w:r>
            <w:r w:rsidRPr="00AA03FE">
              <w:rPr>
                <w:rFonts w:cstheme="minorHAnsi"/>
                <w:lang w:val="it-IT" w:eastAsia="it-IT"/>
              </w:rPr>
              <w:t>± 0.01</w:t>
            </w:r>
          </w:p>
        </w:tc>
        <w:tc>
          <w:tcPr>
            <w:tcW w:w="1361" w:type="dxa"/>
            <w:shd w:val="clear" w:color="auto" w:fill="F2F2F2" w:themeFill="background1" w:themeFillShade="F2"/>
          </w:tcPr>
          <w:p w:rsidR="00387A07" w:rsidRPr="00AA03FE" w:rsidRDefault="00387A07" w:rsidP="00387A07">
            <w:pPr>
              <w:rPr>
                <w:rFonts w:cstheme="minorHAnsi"/>
              </w:rPr>
            </w:pPr>
            <w:r w:rsidRPr="00AA03FE">
              <w:rPr>
                <w:rFonts w:cstheme="minorHAnsi"/>
              </w:rPr>
              <w:t xml:space="preserve">0.08 </w:t>
            </w:r>
            <w:r w:rsidRPr="00AA03FE">
              <w:rPr>
                <w:rFonts w:cstheme="minorHAnsi"/>
                <w:lang w:val="it-IT" w:eastAsia="it-IT"/>
              </w:rPr>
              <w:t>± 0.02</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PCL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361" w:type="dxa"/>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C-BC 2000 H</w:t>
            </w:r>
          </w:p>
        </w:tc>
        <w:tc>
          <w:tcPr>
            <w:tcW w:w="1587" w:type="dxa"/>
            <w:tcBorders>
              <w:left w:val="single" w:sz="4" w:space="0" w:color="auto"/>
            </w:tcBorders>
            <w:shd w:val="clear" w:color="auto" w:fill="F2F2F2" w:themeFill="background1" w:themeFillShade="F2"/>
          </w:tcPr>
          <w:p w:rsidR="00387A07" w:rsidRPr="00AA03FE" w:rsidRDefault="00387A07" w:rsidP="00387A07">
            <w:pPr>
              <w:jc w:val="center"/>
              <w:rPr>
                <w:rFonts w:cstheme="minorHAnsi"/>
              </w:rPr>
            </w:pPr>
            <w:r w:rsidRPr="00AA03FE">
              <w:rPr>
                <w:rFonts w:cstheme="minorHAnsi"/>
              </w:rPr>
              <w:t>/</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0.003 ± 0.001</w:t>
            </w:r>
          </w:p>
        </w:tc>
        <w:tc>
          <w:tcPr>
            <w:tcW w:w="1587"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0.68 ± 0.04</w:t>
            </w:r>
          </w:p>
        </w:tc>
        <w:tc>
          <w:tcPr>
            <w:tcW w:w="1361" w:type="dxa"/>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1,21 ± 0,13</w:t>
            </w:r>
          </w:p>
        </w:tc>
      </w:tr>
      <w:tr w:rsidR="00387A07" w:rsidRPr="00AA03FE" w:rsidTr="00387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587" w:type="dxa"/>
            <w:tcBorders>
              <w:bottom w:val="single" w:sz="4" w:space="0" w:color="auto"/>
              <w:right w:val="single" w:sz="4" w:space="0" w:color="auto"/>
            </w:tcBorders>
            <w:shd w:val="clear" w:color="auto" w:fill="F2F2F2" w:themeFill="background1" w:themeFillShade="F2"/>
          </w:tcPr>
          <w:p w:rsidR="00387A07" w:rsidRPr="00AA03FE" w:rsidRDefault="00387A07" w:rsidP="00387A07">
            <w:pPr>
              <w:rPr>
                <w:rFonts w:cstheme="minorHAnsi"/>
                <w:b/>
              </w:rPr>
            </w:pPr>
            <w:r w:rsidRPr="00AA03FE">
              <w:rPr>
                <w:rFonts w:cstheme="minorHAnsi"/>
                <w:b/>
              </w:rPr>
              <w:t>NS-BC2000 H</w:t>
            </w:r>
          </w:p>
        </w:tc>
        <w:tc>
          <w:tcPr>
            <w:tcW w:w="1587" w:type="dxa"/>
            <w:tcBorders>
              <w:left w:val="single" w:sz="4" w:space="0" w:color="auto"/>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0.15 ± 0.01</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0.15 ± 0.01</w:t>
            </w:r>
          </w:p>
        </w:tc>
        <w:tc>
          <w:tcPr>
            <w:tcW w:w="1587"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0.17 ± 0.02</w:t>
            </w:r>
          </w:p>
        </w:tc>
        <w:tc>
          <w:tcPr>
            <w:tcW w:w="1361" w:type="dxa"/>
            <w:tcBorders>
              <w:bottom w:val="single" w:sz="4" w:space="0" w:color="auto"/>
            </w:tcBorders>
            <w:shd w:val="clear" w:color="auto" w:fill="F2F2F2" w:themeFill="background1" w:themeFillShade="F2"/>
          </w:tcPr>
          <w:p w:rsidR="00387A07" w:rsidRPr="00AA03FE" w:rsidRDefault="00387A07" w:rsidP="00387A07">
            <w:pPr>
              <w:rPr>
                <w:rFonts w:cstheme="minorHAnsi"/>
              </w:rPr>
            </w:pPr>
            <w:r w:rsidRPr="00AA03FE">
              <w:rPr>
                <w:rFonts w:cstheme="minorHAnsi"/>
                <w:lang w:val="it-IT" w:eastAsia="it-IT"/>
              </w:rPr>
              <w:t>0,17 ± 0.02</w:t>
            </w:r>
          </w:p>
        </w:tc>
      </w:tr>
    </w:tbl>
    <w:p w:rsidR="00387A07" w:rsidRPr="00AA03FE" w:rsidRDefault="00387A07" w:rsidP="00387A07">
      <w:pPr>
        <w:pStyle w:val="Didascalia"/>
        <w:spacing w:before="120"/>
        <w:rPr>
          <w:rFonts w:ascii="Arial" w:hAnsi="Arial" w:cs="Arial"/>
          <w:sz w:val="24"/>
          <w:szCs w:val="24"/>
          <w:lang w:val="en-US"/>
        </w:rPr>
      </w:pPr>
      <w:r w:rsidRPr="00AA03FE">
        <w:t xml:space="preserve">Table 3. </w:t>
      </w:r>
      <w:fldSimple w:instr=" SEQ Table_3. \* ARABIC ">
        <w:r w:rsidRPr="00AA03FE">
          <w:rPr>
            <w:noProof/>
          </w:rPr>
          <w:t>11</w:t>
        </w:r>
      </w:fldSimple>
      <w:r w:rsidRPr="00AA03FE">
        <w:t xml:space="preserve"> Cumulative drug release from nanoparticles prepared with different polymers (</w:t>
      </w:r>
      <w:r w:rsidRPr="00AA03FE">
        <w:rPr>
          <w:rFonts w:ascii="Calibri" w:hAnsi="Calibri" w:cs="Calibri"/>
        </w:rPr>
        <w:t>µ</w:t>
      </w:r>
      <w:r w:rsidRPr="00AA03FE">
        <w:t>g)</w:t>
      </w:r>
    </w:p>
    <w:p w:rsidR="00387A07" w:rsidRPr="00AA03FE" w:rsidRDefault="00387A07" w:rsidP="00387A07">
      <w:pPr>
        <w:spacing w:line="360" w:lineRule="auto"/>
        <w:jc w:val="both"/>
        <w:rPr>
          <w:rFonts w:ascii="Arial" w:hAnsi="Arial" w:cs="Arial"/>
          <w:sz w:val="24"/>
          <w:szCs w:val="24"/>
          <w:lang w:val="en-US"/>
        </w:rPr>
      </w:pPr>
      <w:r w:rsidRPr="00AA03FE">
        <w:rPr>
          <w:rFonts w:ascii="Arial" w:hAnsi="Arial" w:cs="Arial"/>
          <w:sz w:val="24"/>
          <w:szCs w:val="24"/>
          <w:lang w:val="en-US"/>
        </w:rPr>
        <w:t>A small burst release can be noticed for non coated nanoparticles followed by different profiles, depending on the material used. The moderate initial burst is needed to suppress the growth of cancer cells at the beginning of the treatment [14]. C-BC2000 nanoparticles are able to release a higher amount of drug at each time point, compared to particles prepared with other polymers.</w:t>
      </w:r>
    </w:p>
    <w:p w:rsidR="00387A07" w:rsidRPr="00AA03FE" w:rsidRDefault="00387A07" w:rsidP="00387A07">
      <w:pPr>
        <w:spacing w:line="360" w:lineRule="auto"/>
        <w:jc w:val="both"/>
        <w:rPr>
          <w:rFonts w:ascii="Arial" w:hAnsi="Arial" w:cs="Arial"/>
          <w:sz w:val="24"/>
          <w:szCs w:val="24"/>
          <w:lang w:val="en-US"/>
        </w:rPr>
      </w:pPr>
    </w:p>
    <w:p w:rsidR="00387A07" w:rsidRPr="00AA03FE" w:rsidRDefault="00387A07" w:rsidP="00387A07">
      <w:pPr>
        <w:spacing w:before="240" w:after="240" w:line="360" w:lineRule="auto"/>
        <w:jc w:val="both"/>
        <w:rPr>
          <w:rFonts w:ascii="Arial" w:hAnsi="Arial" w:cs="Arial"/>
          <w:b/>
          <w:sz w:val="24"/>
          <w:szCs w:val="24"/>
          <w:lang w:val="en-US"/>
        </w:rPr>
      </w:pPr>
      <w:r w:rsidRPr="00AA03FE">
        <w:rPr>
          <w:rFonts w:ascii="Arial" w:hAnsi="Arial" w:cs="Arial"/>
          <w:b/>
          <w:sz w:val="24"/>
          <w:szCs w:val="24"/>
          <w:lang w:val="en-US"/>
        </w:rPr>
        <w:lastRenderedPageBreak/>
        <w:t xml:space="preserve">3.3.7 Quantitative </w:t>
      </w:r>
      <w:r w:rsidRPr="00AA03FE">
        <w:rPr>
          <w:rFonts w:ascii="Arial" w:hAnsi="Arial" w:cs="Arial"/>
          <w:b/>
          <w:i/>
          <w:sz w:val="24"/>
          <w:szCs w:val="24"/>
          <w:lang w:val="en-US"/>
        </w:rPr>
        <w:t xml:space="preserve">in vitro </w:t>
      </w:r>
      <w:r w:rsidRPr="00AA03FE">
        <w:rPr>
          <w:rFonts w:ascii="Arial" w:hAnsi="Arial" w:cs="Arial"/>
          <w:b/>
          <w:sz w:val="24"/>
          <w:szCs w:val="24"/>
          <w:lang w:val="en-US"/>
        </w:rPr>
        <w:t>cellular uptake</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A quantitative investigation has been conducted by measuring the percentage of dye-loaded nanoparticles internalized by SKBR3 and MCF7 cells.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The cells were exposed to the same concentration of Herceptin-coated and uncoated particles (1mg/ml) for 2 hours.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Results from cellular uptake studies are summarized in figure 3.12 A and B, showing the uptake from MCF7 and SKBR3 cells respectively, for plain and Herceptin-coated nanoparticles.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For MCF7 cells, which show a moderate expression of the HER-2 receptors, the presence of the antibody on the surface of nanoparticles does not cause a detectable increase of cellular internalization for PCL and PLA particles. Only a slight increase in cellular uptake can be observed for Herceptin-coated carriers made of PLGA and the two polyesterurethanes, C-BC2000 and NS-BC2000 (fig. 3.12A).  </w:t>
      </w:r>
    </w:p>
    <w:p w:rsidR="00387A07" w:rsidRPr="00AA03FE" w:rsidRDefault="00860AC7" w:rsidP="00387A07">
      <w:pPr>
        <w:spacing w:line="360" w:lineRule="auto"/>
        <w:jc w:val="center"/>
        <w:rPr>
          <w:rFonts w:ascii="Arial" w:hAnsi="Arial" w:cs="Arial"/>
          <w:sz w:val="24"/>
          <w:szCs w:val="24"/>
          <w:lang w:val="it-IT"/>
        </w:rPr>
      </w:pPr>
      <w:r>
        <w:rPr>
          <w:rFonts w:ascii="Arial" w:hAnsi="Arial" w:cs="Arial"/>
          <w:noProof/>
          <w:sz w:val="24"/>
          <w:szCs w:val="24"/>
          <w:lang w:val="it-IT" w:eastAsia="it-IT"/>
        </w:rPr>
        <w:pict>
          <v:shapetype id="_x0000_t202" coordsize="21600,21600" o:spt="202" path="m,l,21600r21600,l21600,xe">
            <v:stroke joinstyle="miter"/>
            <v:path gradientshapeok="t" o:connecttype="rect"/>
          </v:shapetype>
          <v:shape id="_x0000_s1026" type="#_x0000_t202" style="position:absolute;left:0;text-align:left;margin-left:354.95pt;margin-top:6.2pt;width:21pt;height:23.25pt;z-index:251657728" stroked="f">
            <v:textbox>
              <w:txbxContent>
                <w:p w:rsidR="009925A1" w:rsidRPr="001C5FE6" w:rsidRDefault="009925A1" w:rsidP="00387A07">
                  <w:pPr>
                    <w:jc w:val="center"/>
                    <w:rPr>
                      <w:rFonts w:ascii="Arial" w:hAnsi="Arial" w:cs="Arial"/>
                      <w:b/>
                      <w:color w:val="FF0000"/>
                      <w:sz w:val="24"/>
                      <w:szCs w:val="24"/>
                      <w:lang w:val="it-IT"/>
                    </w:rPr>
                  </w:pPr>
                  <w:r w:rsidRPr="001C5FE6">
                    <w:rPr>
                      <w:rFonts w:ascii="Arial" w:hAnsi="Arial" w:cs="Arial"/>
                      <w:b/>
                      <w:color w:val="FF0000"/>
                      <w:sz w:val="24"/>
                      <w:szCs w:val="24"/>
                      <w:lang w:val="it-IT"/>
                    </w:rPr>
                    <w:t>A</w:t>
                  </w:r>
                </w:p>
              </w:txbxContent>
            </v:textbox>
          </v:shape>
        </w:pict>
      </w:r>
      <w:r w:rsidR="00387A07" w:rsidRPr="00AA03FE">
        <w:rPr>
          <w:rFonts w:ascii="Arial" w:hAnsi="Arial" w:cs="Arial"/>
          <w:noProof/>
          <w:sz w:val="24"/>
          <w:szCs w:val="24"/>
          <w:lang w:val="it-IT" w:eastAsia="it-IT"/>
        </w:rPr>
        <w:drawing>
          <wp:inline distT="0" distB="0" distL="0" distR="0">
            <wp:extent cx="3827571" cy="2295525"/>
            <wp:effectExtent l="0" t="0" r="0" b="0"/>
            <wp:docPr id="151" name="Immagine 13" descr="uptake MC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take MCF7.png"/>
                    <pic:cNvPicPr/>
                  </pic:nvPicPr>
                  <pic:blipFill>
                    <a:blip r:embed="rId53"/>
                    <a:stretch>
                      <a:fillRect/>
                    </a:stretch>
                  </pic:blipFill>
                  <pic:spPr>
                    <a:xfrm>
                      <a:off x="0" y="0"/>
                      <a:ext cx="3829482" cy="2296671"/>
                    </a:xfrm>
                    <a:prstGeom prst="rect">
                      <a:avLst/>
                    </a:prstGeom>
                  </pic:spPr>
                </pic:pic>
              </a:graphicData>
            </a:graphic>
          </wp:inline>
        </w:drawing>
      </w:r>
    </w:p>
    <w:p w:rsidR="00387A07" w:rsidRPr="00AA03FE" w:rsidRDefault="00860AC7" w:rsidP="00387A07">
      <w:pPr>
        <w:spacing w:line="360" w:lineRule="auto"/>
        <w:jc w:val="center"/>
        <w:rPr>
          <w:rFonts w:ascii="Arial" w:hAnsi="Arial" w:cs="Arial"/>
          <w:sz w:val="24"/>
          <w:szCs w:val="24"/>
          <w:lang w:val="it-IT"/>
        </w:rPr>
      </w:pPr>
      <w:r>
        <w:rPr>
          <w:rFonts w:ascii="Arial" w:hAnsi="Arial" w:cs="Arial"/>
          <w:noProof/>
          <w:sz w:val="24"/>
          <w:szCs w:val="24"/>
          <w:lang w:val="it-IT" w:eastAsia="it-IT"/>
        </w:rPr>
        <w:pict>
          <v:shape id="_x0000_s1027" type="#_x0000_t202" style="position:absolute;left:0;text-align:left;margin-left:361.6pt;margin-top:9.75pt;width:21pt;height:23.25pt;z-index:251658752" stroked="f">
            <v:textbox>
              <w:txbxContent>
                <w:p w:rsidR="009925A1" w:rsidRPr="001C5FE6" w:rsidRDefault="009925A1" w:rsidP="00387A07">
                  <w:pPr>
                    <w:jc w:val="center"/>
                    <w:rPr>
                      <w:rFonts w:ascii="Arial" w:hAnsi="Arial" w:cs="Arial"/>
                      <w:b/>
                      <w:color w:val="FF0000"/>
                      <w:sz w:val="24"/>
                      <w:szCs w:val="24"/>
                      <w:lang w:val="it-IT"/>
                    </w:rPr>
                  </w:pPr>
                  <w:r>
                    <w:rPr>
                      <w:rFonts w:ascii="Arial" w:hAnsi="Arial" w:cs="Arial"/>
                      <w:b/>
                      <w:color w:val="FF0000"/>
                      <w:sz w:val="24"/>
                      <w:szCs w:val="24"/>
                      <w:lang w:val="it-IT"/>
                    </w:rPr>
                    <w:t>B</w:t>
                  </w:r>
                </w:p>
              </w:txbxContent>
            </v:textbox>
          </v:shape>
        </w:pict>
      </w:r>
      <w:r w:rsidR="00387A07" w:rsidRPr="00AA03FE">
        <w:rPr>
          <w:rFonts w:ascii="Arial" w:hAnsi="Arial" w:cs="Arial"/>
          <w:noProof/>
          <w:sz w:val="24"/>
          <w:szCs w:val="24"/>
          <w:lang w:val="it-IT" w:eastAsia="it-IT"/>
        </w:rPr>
        <w:drawing>
          <wp:inline distT="0" distB="0" distL="0" distR="0">
            <wp:extent cx="3857625" cy="2313549"/>
            <wp:effectExtent l="0" t="0" r="0" b="0"/>
            <wp:docPr id="152" name="Immagine 14" descr="Uptake skb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take skbr 3.png"/>
                    <pic:cNvPicPr/>
                  </pic:nvPicPr>
                  <pic:blipFill>
                    <a:blip r:embed="rId54"/>
                    <a:stretch>
                      <a:fillRect/>
                    </a:stretch>
                  </pic:blipFill>
                  <pic:spPr>
                    <a:xfrm>
                      <a:off x="0" y="0"/>
                      <a:ext cx="3860820" cy="2315465"/>
                    </a:xfrm>
                    <a:prstGeom prst="rect">
                      <a:avLst/>
                    </a:prstGeom>
                  </pic:spPr>
                </pic:pic>
              </a:graphicData>
            </a:graphic>
          </wp:inline>
        </w:drawing>
      </w:r>
    </w:p>
    <w:p w:rsidR="00387A07" w:rsidRPr="00AA03FE" w:rsidRDefault="00387A07" w:rsidP="00387A07">
      <w:pPr>
        <w:pStyle w:val="Didascalia"/>
        <w:rPr>
          <w:rFonts w:ascii="Arial" w:hAnsi="Arial" w:cs="Arial"/>
          <w:sz w:val="24"/>
          <w:szCs w:val="24"/>
          <w:lang w:val="en-US"/>
        </w:rPr>
      </w:pPr>
      <w:r w:rsidRPr="00AA03FE">
        <w:t xml:space="preserve">Figure 3. </w:t>
      </w:r>
      <w:fldSimple w:instr=" SEQ Figure_3. \* ARABIC ">
        <w:r w:rsidRPr="00AA03FE">
          <w:rPr>
            <w:noProof/>
          </w:rPr>
          <w:t>12</w:t>
        </w:r>
      </w:fldSimple>
      <w:r w:rsidRPr="00AA03FE">
        <w:t xml:space="preserve"> Celluar uptake efficiency of dye-loaded, Herceptin-coated or uncoated particles prepared with different polymers, for MCF 7 cells (A) and SKBR3 cells (B)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lastRenderedPageBreak/>
        <w:t xml:space="preserve">Moreover, MCF7 cells show less particles uptake when compared to SKBR3 cells for both Herceptin coated and uncoated particles, regardless of constituent material of the matrix.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On the other hand surface-coated particles show increased internalization, when compared to uncoated ones, for SKBR3 cells which are of high HER-2 receptors over-expression. This behavior is observed for all polymers, excepted PLA, for which the presence of the antibody on the surface did not increase endocytosis.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For both cell lines, higher cellular internalization can be observed for nanoparticles prepared with the two novel polyesterurethanes, confirming that these materials can be optimal candidates as matrix-forming materials for nanoparticles. </w:t>
      </w:r>
    </w:p>
    <w:p w:rsidR="00387A07" w:rsidRPr="00AA03FE" w:rsidRDefault="00387A07" w:rsidP="00387A07">
      <w:pPr>
        <w:spacing w:before="240" w:after="240" w:line="360" w:lineRule="auto"/>
        <w:jc w:val="both"/>
        <w:rPr>
          <w:rFonts w:ascii="Arial" w:hAnsi="Arial" w:cs="Arial"/>
          <w:b/>
          <w:sz w:val="24"/>
          <w:szCs w:val="24"/>
          <w:lang w:val="en-US"/>
        </w:rPr>
      </w:pPr>
      <w:r w:rsidRPr="00AA03FE">
        <w:rPr>
          <w:rFonts w:ascii="Arial" w:hAnsi="Arial" w:cs="Arial"/>
          <w:b/>
          <w:sz w:val="24"/>
          <w:szCs w:val="24"/>
          <w:lang w:val="en-US"/>
        </w:rPr>
        <w:t>3.3.8 In vitro cellular uptake: confocal microscopy study</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The cellular uptake efficiency of Herceptin- coated and non coated particles was further investigated by confocal microscopy, on both SKBR3 and MCF7 cell lines to visualize the penetration of nanoparticles into the cells and to verify the targeting effect.</w:t>
      </w:r>
    </w:p>
    <w:p w:rsidR="00387A07" w:rsidRPr="00AA03FE" w:rsidRDefault="00387A07" w:rsidP="00387A07">
      <w:pPr>
        <w:spacing w:after="120" w:line="360" w:lineRule="auto"/>
        <w:jc w:val="both"/>
        <w:rPr>
          <w:rFonts w:ascii="Arial" w:hAnsi="Arial" w:cs="Arial"/>
          <w:sz w:val="24"/>
          <w:szCs w:val="24"/>
          <w:lang w:val="en-US"/>
        </w:rPr>
      </w:pPr>
      <w:r w:rsidRPr="00AA03FE">
        <w:rPr>
          <w:rFonts w:ascii="Arial" w:hAnsi="Arial" w:cs="Arial"/>
          <w:sz w:val="24"/>
          <w:szCs w:val="24"/>
          <w:lang w:val="en-US"/>
        </w:rPr>
        <w:t xml:space="preserve">The results are shown in figure 3.13 for MCF7 and in figure 3.14 for SKBR3. </w:t>
      </w:r>
    </w:p>
    <w:p w:rsidR="00387A07" w:rsidRPr="00AA03FE" w:rsidRDefault="00387A07" w:rsidP="00387A07">
      <w:pPr>
        <w:spacing w:line="360" w:lineRule="auto"/>
        <w:jc w:val="center"/>
        <w:rPr>
          <w:rFonts w:ascii="Arial" w:hAnsi="Arial" w:cs="Arial"/>
          <w:sz w:val="24"/>
          <w:szCs w:val="24"/>
          <w:lang w:val="en-US"/>
        </w:rPr>
      </w:pPr>
      <w:r w:rsidRPr="00AA03FE">
        <w:rPr>
          <w:rFonts w:ascii="Arial" w:hAnsi="Arial" w:cs="Arial"/>
          <w:noProof/>
          <w:sz w:val="24"/>
          <w:szCs w:val="24"/>
          <w:lang w:val="it-IT" w:eastAsia="it-IT"/>
        </w:rPr>
        <w:drawing>
          <wp:inline distT="0" distB="0" distL="0" distR="0">
            <wp:extent cx="6120130" cy="4201795"/>
            <wp:effectExtent l="19050" t="0" r="0" b="0"/>
            <wp:docPr id="32" name="Immagine 31" descr="Immagi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1.png"/>
                    <pic:cNvPicPr/>
                  </pic:nvPicPr>
                  <pic:blipFill>
                    <a:blip r:embed="rId55"/>
                    <a:stretch>
                      <a:fillRect/>
                    </a:stretch>
                  </pic:blipFill>
                  <pic:spPr>
                    <a:xfrm>
                      <a:off x="0" y="0"/>
                      <a:ext cx="6120130" cy="4201795"/>
                    </a:xfrm>
                    <a:prstGeom prst="rect">
                      <a:avLst/>
                    </a:prstGeom>
                  </pic:spPr>
                </pic:pic>
              </a:graphicData>
            </a:graphic>
          </wp:inline>
        </w:drawing>
      </w:r>
    </w:p>
    <w:p w:rsidR="00387A07" w:rsidRPr="00AA03FE" w:rsidRDefault="00387A07" w:rsidP="00387A07">
      <w:pPr>
        <w:pStyle w:val="Didascalia"/>
        <w:jc w:val="both"/>
      </w:pPr>
      <w:r w:rsidRPr="00AA03FE">
        <w:t xml:space="preserve">Figure 3. </w:t>
      </w:r>
      <w:fldSimple w:instr=" SEQ Figure_3. \* ARABIC ">
        <w:r w:rsidRPr="00AA03FE">
          <w:rPr>
            <w:noProof/>
          </w:rPr>
          <w:t>13</w:t>
        </w:r>
      </w:fldSimple>
      <w:r w:rsidRPr="00AA03FE">
        <w:t xml:space="preserve"> Confocal microscopy on MCF7 cells: images are obtained from the merged channels for red (nuclei) and green (Coumarin dye inside nanoparticles). </w:t>
      </w:r>
    </w:p>
    <w:p w:rsidR="00387A07" w:rsidRPr="00AA03FE" w:rsidRDefault="00387A07" w:rsidP="00387A07">
      <w:pPr>
        <w:spacing w:after="0" w:line="360" w:lineRule="auto"/>
        <w:jc w:val="both"/>
        <w:rPr>
          <w:rFonts w:ascii="Arial" w:hAnsi="Arial" w:cs="Arial"/>
          <w:b/>
          <w:color w:val="FF0000"/>
          <w:sz w:val="24"/>
          <w:szCs w:val="24"/>
          <w:lang w:val="en-US"/>
        </w:rPr>
      </w:pPr>
      <w:r w:rsidRPr="00AA03FE">
        <w:rPr>
          <w:rFonts w:ascii="Arial" w:hAnsi="Arial" w:cs="Arial"/>
          <w:b/>
          <w:noProof/>
          <w:color w:val="FF0000"/>
          <w:sz w:val="24"/>
          <w:szCs w:val="24"/>
          <w:lang w:val="it-IT" w:eastAsia="it-IT"/>
        </w:rPr>
        <w:lastRenderedPageBreak/>
        <w:drawing>
          <wp:inline distT="0" distB="0" distL="0" distR="0">
            <wp:extent cx="6120130" cy="4437380"/>
            <wp:effectExtent l="19050" t="0" r="0" b="0"/>
            <wp:docPr id="46" name="Immagine 45" descr="Immag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2.png"/>
                    <pic:cNvPicPr/>
                  </pic:nvPicPr>
                  <pic:blipFill>
                    <a:blip r:embed="rId56"/>
                    <a:stretch>
                      <a:fillRect/>
                    </a:stretch>
                  </pic:blipFill>
                  <pic:spPr>
                    <a:xfrm>
                      <a:off x="0" y="0"/>
                      <a:ext cx="6120130" cy="4437380"/>
                    </a:xfrm>
                    <a:prstGeom prst="rect">
                      <a:avLst/>
                    </a:prstGeom>
                  </pic:spPr>
                </pic:pic>
              </a:graphicData>
            </a:graphic>
          </wp:inline>
        </w:drawing>
      </w:r>
    </w:p>
    <w:p w:rsidR="00387A07" w:rsidRPr="00AA03FE" w:rsidRDefault="00387A07" w:rsidP="00387A07">
      <w:pPr>
        <w:pStyle w:val="Didascalia"/>
        <w:rPr>
          <w:rFonts w:ascii="Arial" w:hAnsi="Arial" w:cs="Arial"/>
          <w:sz w:val="24"/>
          <w:szCs w:val="24"/>
          <w:lang w:val="en-US"/>
        </w:rPr>
      </w:pPr>
      <w:r w:rsidRPr="00AA03FE">
        <w:t xml:space="preserve">Figure 3. </w:t>
      </w:r>
      <w:fldSimple w:instr=" SEQ Figure_3. \* ARABIC ">
        <w:r w:rsidRPr="00AA03FE">
          <w:rPr>
            <w:noProof/>
          </w:rPr>
          <w:t>14</w:t>
        </w:r>
      </w:fldSimple>
      <w:r w:rsidRPr="00AA03FE">
        <w:t xml:space="preserve"> Confocal microscopy on SKBR3 cells: images are obtained from the merged channels for red (nuclei) and green (Coumarin dye inside nanoparticles).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Confocal analysis shows that nanoparticles localize in the cell’s cytoplasm, since the nucleus (red) appears circumvented by the green fluorescence of the coumarin6 dye present inside the particles.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A more intense green fluorescence can be observed for Herceptin-coated nanoparticles for SKBR-3 and MCF-7 cells, indicating that a targeting effect can be achieved on both cell lines.</w:t>
      </w:r>
    </w:p>
    <w:p w:rsidR="00387A07" w:rsidRPr="00AA03FE" w:rsidRDefault="00387A07" w:rsidP="00387A07">
      <w:pPr>
        <w:spacing w:before="240" w:after="240" w:line="360" w:lineRule="auto"/>
        <w:jc w:val="both"/>
        <w:rPr>
          <w:rFonts w:ascii="Arial" w:hAnsi="Arial" w:cs="Arial"/>
          <w:b/>
          <w:sz w:val="24"/>
          <w:szCs w:val="24"/>
          <w:lang w:val="en-US"/>
        </w:rPr>
      </w:pPr>
      <w:r w:rsidRPr="00AA03FE">
        <w:rPr>
          <w:rFonts w:ascii="Arial" w:hAnsi="Arial" w:cs="Arial"/>
          <w:b/>
          <w:sz w:val="24"/>
          <w:szCs w:val="24"/>
          <w:lang w:val="en-US"/>
        </w:rPr>
        <w:t>3.3.9 In vitro cytotoxicity</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Quantitative analysis of the cytotoxicity of different Paclitaxel-containing nanoparticles formulations with or without mAb coating, was performed on SKBR3 cells.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A comparison between coated and uncoated samples for each polymer, is presented in figure 3.15.</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Uncoated particles show a similar behavior for all polymers, with a dose-dependent cytotoxic effect. In fact the percent of living cells linearly decreases with increasing drug dose. This is particularly evident for C-BC2000 non coated nanoparticles, which show the </w:t>
      </w:r>
      <w:r w:rsidRPr="00AA03FE">
        <w:rPr>
          <w:rFonts w:ascii="Arial" w:hAnsi="Arial" w:cs="Arial"/>
          <w:sz w:val="24"/>
          <w:szCs w:val="24"/>
          <w:lang w:val="en-US"/>
        </w:rPr>
        <w:lastRenderedPageBreak/>
        <w:t xml:space="preserve">highest cytotoxic activity against SKBR3 tumor cells especially at high drug doses. A Paclitaxel dose of 2.5µg/ml encapsulated into C-BC2000 uncoated particles possessed the ability to kill more than 50% of cancer cells during the first day of treatment. </w:t>
      </w:r>
    </w:p>
    <w:p w:rsidR="00387A07" w:rsidRPr="00AA03FE" w:rsidRDefault="00387A07" w:rsidP="00387A07">
      <w:pPr>
        <w:spacing w:line="360" w:lineRule="auto"/>
        <w:jc w:val="both"/>
        <w:rPr>
          <w:rFonts w:ascii="Arial" w:hAnsi="Arial" w:cs="Arial"/>
          <w:sz w:val="24"/>
          <w:szCs w:val="24"/>
          <w:lang w:val="en-US"/>
        </w:rPr>
      </w:pPr>
      <w:r w:rsidRPr="00AA03FE">
        <w:rPr>
          <w:rFonts w:ascii="Arial" w:hAnsi="Arial" w:cs="Arial"/>
          <w:noProof/>
          <w:sz w:val="24"/>
          <w:szCs w:val="24"/>
          <w:lang w:val="it-IT" w:eastAsia="it-IT"/>
        </w:rPr>
        <w:drawing>
          <wp:inline distT="0" distB="0" distL="0" distR="0">
            <wp:extent cx="5975985" cy="5386070"/>
            <wp:effectExtent l="0" t="0" r="0" b="0"/>
            <wp:docPr id="154" name="Immagine 18" descr="CITOTOSSICIT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OTOSSICITà.png"/>
                    <pic:cNvPicPr/>
                  </pic:nvPicPr>
                  <pic:blipFill>
                    <a:blip r:embed="rId57"/>
                    <a:stretch>
                      <a:fillRect/>
                    </a:stretch>
                  </pic:blipFill>
                  <pic:spPr>
                    <a:xfrm>
                      <a:off x="0" y="0"/>
                      <a:ext cx="5975985" cy="5386070"/>
                    </a:xfrm>
                    <a:prstGeom prst="rect">
                      <a:avLst/>
                    </a:prstGeom>
                  </pic:spPr>
                </pic:pic>
              </a:graphicData>
            </a:graphic>
          </wp:inline>
        </w:drawing>
      </w:r>
    </w:p>
    <w:p w:rsidR="00387A07" w:rsidRPr="00AA03FE" w:rsidRDefault="00387A07" w:rsidP="00387A07">
      <w:pPr>
        <w:pStyle w:val="Didascalia"/>
        <w:rPr>
          <w:rFonts w:ascii="Arial" w:hAnsi="Arial" w:cs="Arial"/>
          <w:sz w:val="24"/>
          <w:szCs w:val="24"/>
          <w:lang w:val="en-US"/>
        </w:rPr>
      </w:pPr>
      <w:r w:rsidRPr="00AA03FE">
        <w:t>Figure 3. 15 Cytotoxicity of different PX-nanoformulations.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At a fixed Paclitaxel dose, Herceptin-coated particles did not show increased cytotoxicity when compared to their uncoated counterparts. This indicates that the presence of the antibody on the surface of nanoparticles does not increase its activity in killing tumor cells, though increasing the extent of cellular internalization. These results are in accordance with what observed from the drug release tests, which showed that the presence of the mAb coating on the surface of nanoparticles resulted in a delayed release profile of the encapsulated drug, especially during the first day. For coated particles, cytotoxicity is also dependent on the matrix-forming material, since the amount of Herceptin on the surface is correlated with the polymer used to prepare nanoparticles.  </w:t>
      </w:r>
    </w:p>
    <w:p w:rsidR="00387A07" w:rsidRPr="00AA03FE" w:rsidRDefault="00387A07" w:rsidP="00387A07">
      <w:pPr>
        <w:spacing w:before="240" w:after="240" w:line="360" w:lineRule="auto"/>
        <w:jc w:val="both"/>
        <w:rPr>
          <w:rFonts w:ascii="Arial" w:hAnsi="Arial" w:cs="Arial"/>
          <w:b/>
          <w:sz w:val="28"/>
          <w:szCs w:val="28"/>
        </w:rPr>
      </w:pPr>
      <w:r w:rsidRPr="00AA03FE">
        <w:rPr>
          <w:rFonts w:ascii="Arial" w:hAnsi="Arial" w:cs="Arial"/>
          <w:b/>
          <w:sz w:val="28"/>
          <w:szCs w:val="28"/>
        </w:rPr>
        <w:lastRenderedPageBreak/>
        <w:t>3.4 Conclusions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In this chapter, nanoparticles with different polymers were successfully prepared by a modified single emulsion solvent extraction evaporation method for the active targeting of HER2 over-expressing breast cancer cells.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Regardless of the polymer used, all particles exhibited a spherical morphology and a small size, which could be exploited for the passive targeting of cancer cells through the EPR effect [4].</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To further increase targeting ability of these carriers, Herceptin, a monoclonal antibody known to selective bind to HER-2 over-expressing cells like pancreatic and breast cancer cells, was introduced on the surface of nanoparticles as a coating, through hydrophilic/hydrophobic interactions between the negatively charged polymer surface and the positively charged protein.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Surface modification was successfully achieved, as demonstrated by changes in size and zeta potential of the particles [20,26]. The amount of Herceptin on the surface of the carriers was measured by standard Bradford assay, confirming the presence of the antibody  on nanoparticles.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 xml:space="preserve">The targeting ability of the carriers was measured by quantifying cellular uptake on two different breast cancer cell lines: MCF7 which have moderate expression of the HER2 receptor and SKBR3, which exhibit high over-expression of the same receptor. Results showed that the presence of the mAb on the particles surface led to increased cellular internalization, regardless of the polymer used to prepare nanoparticles, for both cell lines. Moreover, Paclitaxel, one of the most potent anti-neoplastic drugs, was encapsulated inside nanoparticles, and the cytotoxicity of these drug nanoformulations was evaluated at three different drug concentrations (0.25; 1and 2.5 µg/ml) for both plain and HER-coated particles. </w:t>
      </w:r>
      <w:r w:rsidRPr="00AA03FE">
        <w:rPr>
          <w:rFonts w:ascii="Arial" w:hAnsi="Arial" w:cs="Arial"/>
          <w:i/>
          <w:sz w:val="24"/>
          <w:szCs w:val="24"/>
        </w:rPr>
        <w:t>In vitro</w:t>
      </w:r>
      <w:r w:rsidRPr="00AA03FE">
        <w:rPr>
          <w:rFonts w:ascii="Arial" w:hAnsi="Arial" w:cs="Arial"/>
          <w:sz w:val="24"/>
          <w:szCs w:val="24"/>
        </w:rPr>
        <w:t xml:space="preserve"> cytoxicity results showed that antibody-coated nanoparticles, which exhibited a delayed release profile, also had lower cytotoxicity against SKBR-3 cells. On the other hand, uncoated carriers showed a dose-dependent cytotoxic activity regardless of the polymer used.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Two novel biodegradable polyesterurethanes prepared with different chain extenders were proposed as matrix-forming materials for nanoparticles, obtaining satisfactory results. In fact PU nanoparticles, exhibited higher cellular internalization, targeting ability and cytoxic activity on SKBR-3 cells.</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lastRenderedPageBreak/>
        <w:t xml:space="preserve">Results indicate that these new materials show superior properties, when compared to standard, traditionally used matrix-forming materials. In this work, polyurethanes were synthesised with two different chain extenders: </w:t>
      </w:r>
      <w:r w:rsidRPr="00AA03FE">
        <w:rPr>
          <w:rStyle w:val="MacchinadascrivereHTML"/>
          <w:rFonts w:ascii="Arial" w:eastAsiaTheme="minorHAnsi" w:hAnsi="Arial" w:cs="Arial"/>
          <w:sz w:val="24"/>
          <w:szCs w:val="24"/>
        </w:rPr>
        <w:t>1,4-cyclohexane dimethanol CDM and N-Boc-serinol for C-BC2000 and NS-BC2000 respectively. The latter posses protected functional amino groups (NH</w:t>
      </w:r>
      <w:r w:rsidRPr="00AA03FE">
        <w:rPr>
          <w:rStyle w:val="MacchinadascrivereHTML"/>
          <w:rFonts w:ascii="Arial" w:eastAsiaTheme="minorHAnsi" w:hAnsi="Arial" w:cs="Arial"/>
          <w:sz w:val="24"/>
          <w:szCs w:val="24"/>
          <w:vertAlign w:val="subscript"/>
        </w:rPr>
        <w:t>2</w:t>
      </w:r>
      <w:r w:rsidRPr="00AA03FE">
        <w:rPr>
          <w:rStyle w:val="MacchinadascrivereHTML"/>
          <w:rFonts w:ascii="Arial" w:eastAsiaTheme="minorHAnsi" w:hAnsi="Arial" w:cs="Arial"/>
          <w:sz w:val="24"/>
          <w:szCs w:val="24"/>
        </w:rPr>
        <w:t xml:space="preserve">) which, after de-protection, could be exploited for future chemical coupling of antibodies or other targeting moieties. </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sz w:val="24"/>
          <w:szCs w:val="24"/>
        </w:rPr>
        <w:t>All this considered, PUs may be considered as optimal candidate for the preparation of nanoparticles, since they offer the possibility to modulate the final properties, by controlling their chemical composition [27]. Their potential as matrix-forming materials for novel nanomedicine formulations is therefore demonstrated.</w:t>
      </w:r>
    </w:p>
    <w:p w:rsidR="00387A07" w:rsidRPr="00AA03FE" w:rsidRDefault="00387A07" w:rsidP="00387A07">
      <w:pPr>
        <w:spacing w:before="240" w:after="240" w:line="360" w:lineRule="auto"/>
        <w:jc w:val="both"/>
        <w:rPr>
          <w:rFonts w:ascii="Arial" w:hAnsi="Arial" w:cs="Arial"/>
          <w:b/>
          <w:sz w:val="28"/>
          <w:szCs w:val="28"/>
        </w:rPr>
      </w:pPr>
      <w:r w:rsidRPr="00AA03FE">
        <w:rPr>
          <w:rFonts w:ascii="Arial" w:hAnsi="Arial" w:cs="Arial"/>
          <w:b/>
          <w:sz w:val="28"/>
          <w:szCs w:val="28"/>
        </w:rPr>
        <w:t>References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iCs/>
          <w:sz w:val="24"/>
          <w:szCs w:val="24"/>
          <w:lang w:val="en-US"/>
        </w:rPr>
        <w:t xml:space="preserve">[1] Haley B. et al </w:t>
      </w:r>
      <w:r w:rsidRPr="00AA03FE">
        <w:rPr>
          <w:rFonts w:ascii="Arial" w:hAnsi="Arial" w:cs="Arial"/>
          <w:b/>
          <w:iCs/>
          <w:sz w:val="24"/>
          <w:szCs w:val="24"/>
          <w:lang w:val="en-US"/>
        </w:rPr>
        <w:t>2008</w:t>
      </w:r>
      <w:r w:rsidRPr="00AA03FE">
        <w:rPr>
          <w:rFonts w:ascii="Arial" w:hAnsi="Arial" w:cs="Arial"/>
          <w:iCs/>
          <w:sz w:val="24"/>
          <w:szCs w:val="24"/>
          <w:lang w:val="en-US"/>
        </w:rPr>
        <w:t xml:space="preserve"> Urologic Oncology: Seminars and Original Investigations 26:57</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[3] Hans ML. et al. </w:t>
      </w:r>
      <w:r w:rsidRPr="00AA03FE">
        <w:rPr>
          <w:rFonts w:ascii="Arial" w:hAnsi="Arial" w:cs="Arial"/>
          <w:b/>
          <w:sz w:val="24"/>
          <w:szCs w:val="24"/>
          <w:lang w:val="en-US"/>
        </w:rPr>
        <w:t>2002</w:t>
      </w:r>
      <w:r w:rsidRPr="00AA03FE">
        <w:rPr>
          <w:rFonts w:ascii="Arial" w:hAnsi="Arial" w:cs="Arial"/>
          <w:sz w:val="24"/>
          <w:szCs w:val="24"/>
          <w:lang w:val="en-US"/>
        </w:rPr>
        <w:t xml:space="preserve"> Current Opinion in Solid State and Materials Science 6:319</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[4] Parveen S. et al </w:t>
      </w:r>
      <w:r w:rsidRPr="00AA03FE">
        <w:rPr>
          <w:rFonts w:ascii="Arial" w:hAnsi="Arial" w:cs="Arial"/>
          <w:b/>
          <w:sz w:val="24"/>
          <w:szCs w:val="24"/>
          <w:lang w:val="en-US"/>
        </w:rPr>
        <w:t>2011</w:t>
      </w:r>
      <w:r w:rsidRPr="00AA03FE">
        <w:rPr>
          <w:rFonts w:ascii="Arial" w:hAnsi="Arial" w:cs="Arial"/>
          <w:sz w:val="24"/>
          <w:szCs w:val="24"/>
          <w:lang w:val="en-US"/>
        </w:rPr>
        <w:t xml:space="preserve"> Nanomedicine: Nanotechnology, Biology, and Medicine in press</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[5]  McGuire WP. </w:t>
      </w:r>
      <w:r w:rsidRPr="00AA03FE">
        <w:rPr>
          <w:rFonts w:ascii="Arial" w:hAnsi="Arial" w:cs="Arial"/>
          <w:b/>
          <w:sz w:val="24"/>
          <w:szCs w:val="24"/>
          <w:lang w:val="en-US"/>
        </w:rPr>
        <w:t>2003</w:t>
      </w:r>
      <w:r w:rsidRPr="00AA03FE">
        <w:rPr>
          <w:rFonts w:ascii="Arial" w:hAnsi="Arial" w:cs="Arial"/>
          <w:sz w:val="24"/>
          <w:szCs w:val="24"/>
          <w:lang w:val="en-US"/>
        </w:rPr>
        <w:t xml:space="preserve"> Br. J. Cancer 89(3):S3</w:t>
      </w:r>
    </w:p>
    <w:p w:rsidR="00387A07" w:rsidRPr="00AA03FE" w:rsidRDefault="00387A07" w:rsidP="00387A07">
      <w:pPr>
        <w:spacing w:after="0" w:line="360" w:lineRule="auto"/>
        <w:jc w:val="both"/>
        <w:rPr>
          <w:rFonts w:ascii="Arial" w:hAnsi="Arial" w:cs="Arial"/>
          <w:sz w:val="24"/>
          <w:szCs w:val="24"/>
          <w:lang w:val="it-IT"/>
        </w:rPr>
      </w:pPr>
      <w:r w:rsidRPr="00AA03FE">
        <w:rPr>
          <w:rFonts w:ascii="Arial" w:hAnsi="Arial" w:cs="Arial"/>
          <w:sz w:val="24"/>
          <w:szCs w:val="24"/>
          <w:lang w:val="en-US"/>
        </w:rPr>
        <w:t xml:space="preserve">[6] [Parveen S. et al. </w:t>
      </w:r>
      <w:r w:rsidRPr="00AA03FE">
        <w:rPr>
          <w:rFonts w:ascii="Arial" w:hAnsi="Arial" w:cs="Arial"/>
          <w:b/>
          <w:sz w:val="24"/>
          <w:szCs w:val="24"/>
          <w:lang w:val="en-US"/>
        </w:rPr>
        <w:t>2008</w:t>
      </w:r>
      <w:r w:rsidRPr="00AA03FE">
        <w:rPr>
          <w:rFonts w:ascii="Arial" w:hAnsi="Arial" w:cs="Arial"/>
          <w:sz w:val="24"/>
          <w:szCs w:val="24"/>
          <w:lang w:val="en-US"/>
        </w:rPr>
        <w:t xml:space="preserve"> J. Drug Target. </w:t>
      </w:r>
      <w:r w:rsidRPr="00AA03FE">
        <w:rPr>
          <w:rFonts w:ascii="Arial" w:hAnsi="Arial" w:cs="Arial"/>
          <w:sz w:val="24"/>
          <w:szCs w:val="24"/>
          <w:lang w:val="it-IT"/>
        </w:rPr>
        <w:t>16:108].</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it-IT"/>
        </w:rPr>
        <w:t xml:space="preserve">[7] Garnett MC et al. </w:t>
      </w:r>
      <w:r w:rsidRPr="00AA03FE">
        <w:rPr>
          <w:rFonts w:ascii="Arial" w:hAnsi="Arial" w:cs="Arial"/>
          <w:b/>
          <w:sz w:val="24"/>
          <w:szCs w:val="24"/>
          <w:lang w:val="it-IT"/>
        </w:rPr>
        <w:t>2001</w:t>
      </w:r>
      <w:r w:rsidRPr="00AA03FE">
        <w:rPr>
          <w:rFonts w:ascii="Arial" w:hAnsi="Arial" w:cs="Arial"/>
          <w:sz w:val="24"/>
          <w:szCs w:val="24"/>
          <w:lang w:val="it-IT"/>
        </w:rPr>
        <w:t xml:space="preserve"> Adv. Drug del. </w:t>
      </w:r>
      <w:r w:rsidRPr="00AA03FE">
        <w:rPr>
          <w:rFonts w:ascii="Arial" w:hAnsi="Arial" w:cs="Arial"/>
          <w:sz w:val="24"/>
          <w:szCs w:val="24"/>
          <w:lang w:val="en-US"/>
        </w:rPr>
        <w:t>Rev. 53:171</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[8] Lambert JM </w:t>
      </w:r>
      <w:r w:rsidRPr="00AA03FE">
        <w:rPr>
          <w:rFonts w:ascii="Arial" w:hAnsi="Arial" w:cs="Arial"/>
          <w:b/>
          <w:sz w:val="24"/>
          <w:szCs w:val="24"/>
          <w:lang w:val="en-US"/>
        </w:rPr>
        <w:t>2005</w:t>
      </w:r>
      <w:r w:rsidRPr="00AA03FE">
        <w:rPr>
          <w:rFonts w:ascii="Arial" w:hAnsi="Arial" w:cs="Arial"/>
          <w:sz w:val="24"/>
          <w:szCs w:val="24"/>
          <w:lang w:val="en-US"/>
        </w:rPr>
        <w:t xml:space="preserve"> Curr. Opin. Pharmacol. 5:543</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[9] Kohler G. et al. </w:t>
      </w:r>
      <w:r w:rsidRPr="00AA03FE">
        <w:rPr>
          <w:rFonts w:ascii="Arial" w:hAnsi="Arial" w:cs="Arial"/>
          <w:b/>
          <w:sz w:val="24"/>
          <w:szCs w:val="24"/>
          <w:lang w:val="en-US"/>
        </w:rPr>
        <w:t>1975</w:t>
      </w:r>
      <w:r w:rsidRPr="00AA03FE">
        <w:rPr>
          <w:rFonts w:ascii="Arial" w:hAnsi="Arial" w:cs="Arial"/>
          <w:sz w:val="24"/>
          <w:szCs w:val="24"/>
          <w:lang w:val="en-US"/>
        </w:rPr>
        <w:t xml:space="preserve"> Nature 256:495 </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[10]Funaro A. et al. </w:t>
      </w:r>
      <w:r w:rsidRPr="00AA03FE">
        <w:rPr>
          <w:rFonts w:ascii="Arial" w:hAnsi="Arial" w:cs="Arial"/>
          <w:b/>
          <w:sz w:val="24"/>
          <w:szCs w:val="24"/>
          <w:lang w:val="en-US"/>
        </w:rPr>
        <w:t>2000</w:t>
      </w:r>
      <w:r w:rsidRPr="00AA03FE">
        <w:rPr>
          <w:rFonts w:ascii="Arial" w:hAnsi="Arial" w:cs="Arial"/>
          <w:sz w:val="24"/>
          <w:szCs w:val="24"/>
          <w:lang w:val="en-US"/>
        </w:rPr>
        <w:t xml:space="preserve"> Biotechnol. Adv.18:385</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[11] Kocbek P. et al. </w:t>
      </w:r>
      <w:r w:rsidRPr="00AA03FE">
        <w:rPr>
          <w:rFonts w:ascii="Arial" w:hAnsi="Arial" w:cs="Arial"/>
          <w:b/>
          <w:sz w:val="24"/>
          <w:szCs w:val="24"/>
          <w:lang w:val="en-US"/>
        </w:rPr>
        <w:t>2007</w:t>
      </w:r>
      <w:r w:rsidRPr="00AA03FE">
        <w:rPr>
          <w:rFonts w:ascii="Arial" w:hAnsi="Arial" w:cs="Arial"/>
          <w:sz w:val="24"/>
          <w:szCs w:val="24"/>
          <w:lang w:val="en-US"/>
        </w:rPr>
        <w:t xml:space="preserve"> J. Control. Rel. 120:18</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[12] [Cirstoiu-Hapca A. et al. </w:t>
      </w:r>
      <w:r w:rsidRPr="00AA03FE">
        <w:rPr>
          <w:rFonts w:ascii="Arial" w:hAnsi="Arial" w:cs="Arial"/>
          <w:b/>
          <w:sz w:val="24"/>
          <w:szCs w:val="24"/>
          <w:lang w:val="en-US"/>
        </w:rPr>
        <w:t>2010</w:t>
      </w:r>
      <w:r w:rsidRPr="00AA03FE">
        <w:rPr>
          <w:rFonts w:ascii="Arial" w:hAnsi="Arial" w:cs="Arial"/>
          <w:sz w:val="24"/>
          <w:szCs w:val="24"/>
          <w:lang w:val="en-US"/>
        </w:rPr>
        <w:t xml:space="preserve"> J. Control. Rel. 144:324</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[13] Pabari RM. Et al. </w:t>
      </w:r>
      <w:r w:rsidRPr="00AA03FE">
        <w:rPr>
          <w:rFonts w:ascii="Arial" w:hAnsi="Arial" w:cs="Arial"/>
          <w:b/>
          <w:sz w:val="24"/>
          <w:szCs w:val="24"/>
          <w:lang w:val="en-US"/>
        </w:rPr>
        <w:t xml:space="preserve">2011 </w:t>
      </w:r>
      <w:r w:rsidRPr="00AA03FE">
        <w:rPr>
          <w:rFonts w:ascii="Arial" w:hAnsi="Arial" w:cs="Arial"/>
          <w:sz w:val="24"/>
          <w:szCs w:val="24"/>
          <w:lang w:val="en-US"/>
        </w:rPr>
        <w:t>Pharmaceutics 3:510</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en-US"/>
        </w:rPr>
        <w:t xml:space="preserve">[14] Y. Liu et al. </w:t>
      </w:r>
      <w:r w:rsidRPr="00AA03FE">
        <w:rPr>
          <w:rFonts w:ascii="Arial" w:hAnsi="Arial" w:cs="Arial"/>
          <w:b/>
          <w:sz w:val="24"/>
          <w:szCs w:val="24"/>
          <w:lang w:val="en-US"/>
        </w:rPr>
        <w:t>2010</w:t>
      </w:r>
      <w:r w:rsidRPr="00AA03FE">
        <w:rPr>
          <w:rFonts w:ascii="Arial" w:hAnsi="Arial" w:cs="Arial"/>
          <w:sz w:val="24"/>
          <w:szCs w:val="24"/>
          <w:lang w:val="en-US"/>
        </w:rPr>
        <w:t xml:space="preserve"> Biomaterials 31:9145</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lang w:val="it-IT"/>
        </w:rPr>
        <w:t xml:space="preserve">[15] Arya G. et al. </w:t>
      </w:r>
      <w:r w:rsidRPr="00AA03FE">
        <w:rPr>
          <w:rFonts w:ascii="Arial" w:hAnsi="Arial" w:cs="Arial"/>
          <w:b/>
          <w:sz w:val="24"/>
          <w:szCs w:val="24"/>
          <w:lang w:val="it-IT"/>
        </w:rPr>
        <w:t>2011</w:t>
      </w:r>
      <w:r w:rsidRPr="00AA03FE">
        <w:rPr>
          <w:rFonts w:ascii="Arial" w:hAnsi="Arial" w:cs="Arial"/>
          <w:sz w:val="24"/>
          <w:szCs w:val="24"/>
          <w:lang w:val="it-IT"/>
        </w:rPr>
        <w:t xml:space="preserve"> Nanomed. </w:t>
      </w:r>
      <w:r w:rsidRPr="00AA03FE">
        <w:rPr>
          <w:rFonts w:ascii="Arial" w:hAnsi="Arial" w:cs="Arial"/>
          <w:sz w:val="24"/>
          <w:szCs w:val="24"/>
          <w:lang w:val="en-US"/>
        </w:rPr>
        <w:t>Nanotech. biol. med. 7:859</w:t>
      </w:r>
    </w:p>
    <w:p w:rsidR="00387A07" w:rsidRPr="00AA03FE" w:rsidRDefault="00387A07" w:rsidP="00387A07">
      <w:pPr>
        <w:spacing w:after="0" w:line="360" w:lineRule="auto"/>
        <w:jc w:val="both"/>
        <w:rPr>
          <w:rStyle w:val="MacchinadascrivereHTML"/>
          <w:rFonts w:ascii="Arial" w:eastAsiaTheme="minorHAnsi" w:hAnsi="Arial" w:cs="Arial"/>
          <w:sz w:val="24"/>
          <w:szCs w:val="24"/>
          <w:lang w:val="en-US"/>
        </w:rPr>
      </w:pPr>
      <w:r w:rsidRPr="00AA03FE">
        <w:rPr>
          <w:rFonts w:ascii="Arial" w:hAnsi="Arial" w:cs="Arial"/>
          <w:sz w:val="24"/>
          <w:szCs w:val="24"/>
          <w:lang w:val="en-US"/>
        </w:rPr>
        <w:t xml:space="preserve">[16] Cerrai P. et al. </w:t>
      </w:r>
      <w:r w:rsidRPr="00AA03FE">
        <w:rPr>
          <w:rFonts w:ascii="Arial" w:hAnsi="Arial" w:cs="Arial"/>
          <w:b/>
          <w:sz w:val="24"/>
          <w:szCs w:val="24"/>
          <w:lang w:val="en-US"/>
        </w:rPr>
        <w:t>1994</w:t>
      </w:r>
      <w:r w:rsidRPr="00AA03FE">
        <w:rPr>
          <w:rFonts w:ascii="Arial" w:hAnsi="Arial" w:cs="Arial"/>
          <w:color w:val="000000"/>
          <w:sz w:val="24"/>
          <w:szCs w:val="24"/>
          <w:lang w:val="en-US"/>
        </w:rPr>
        <w:t xml:space="preserve"> </w:t>
      </w:r>
      <w:r w:rsidRPr="00AA03FE">
        <w:rPr>
          <w:rFonts w:ascii="Arial" w:hAnsi="Arial" w:cs="Arial"/>
          <w:sz w:val="24"/>
          <w:szCs w:val="24"/>
          <w:lang w:val="en-US"/>
        </w:rPr>
        <w:t>J. Mat. Sci. Mat. Med., 5:33</w:t>
      </w:r>
    </w:p>
    <w:p w:rsidR="00387A07" w:rsidRPr="00AA03FE" w:rsidRDefault="00387A07" w:rsidP="00387A07">
      <w:pPr>
        <w:spacing w:after="0" w:line="360" w:lineRule="auto"/>
        <w:jc w:val="both"/>
        <w:rPr>
          <w:rFonts w:ascii="Arial" w:hAnsi="Arial" w:cs="Arial"/>
          <w:sz w:val="26"/>
          <w:szCs w:val="26"/>
        </w:rPr>
      </w:pPr>
      <w:r w:rsidRPr="00AA03FE">
        <w:rPr>
          <w:rStyle w:val="MacchinadascrivereHTML"/>
          <w:rFonts w:ascii="Arial" w:eastAsiaTheme="minorHAnsi" w:hAnsi="Arial" w:cs="Arial"/>
          <w:sz w:val="24"/>
          <w:szCs w:val="24"/>
          <w:lang w:val="en-US"/>
        </w:rPr>
        <w:t xml:space="preserve">[17] </w:t>
      </w:r>
      <w:r w:rsidRPr="00AA03FE">
        <w:rPr>
          <w:rFonts w:ascii="Arial" w:hAnsi="Arial" w:cs="Arial"/>
          <w:sz w:val="26"/>
          <w:szCs w:val="26"/>
        </w:rPr>
        <w:t>Rechichi A. et Al.</w:t>
      </w:r>
      <w:r w:rsidRPr="00AA03FE">
        <w:rPr>
          <w:rFonts w:ascii="Arial" w:hAnsi="Arial" w:cs="Arial"/>
          <w:color w:val="241F20"/>
          <w:sz w:val="26"/>
          <w:szCs w:val="26"/>
        </w:rPr>
        <w:t xml:space="preserve"> </w:t>
      </w:r>
      <w:r w:rsidRPr="00AA03FE">
        <w:rPr>
          <w:rFonts w:ascii="Arial" w:hAnsi="Arial" w:cs="Arial"/>
          <w:b/>
          <w:sz w:val="26"/>
          <w:szCs w:val="26"/>
        </w:rPr>
        <w:t xml:space="preserve">2008 </w:t>
      </w:r>
      <w:r w:rsidRPr="00AA03FE">
        <w:rPr>
          <w:rFonts w:ascii="Arial" w:hAnsi="Arial" w:cs="Arial"/>
          <w:sz w:val="26"/>
          <w:szCs w:val="26"/>
        </w:rPr>
        <w:t>J. Biomedical Mat. Res. Part A 84: 847</w:t>
      </w:r>
    </w:p>
    <w:p w:rsidR="00387A07" w:rsidRPr="00AA03FE" w:rsidRDefault="00387A07" w:rsidP="00387A07">
      <w:pPr>
        <w:spacing w:after="0" w:line="360" w:lineRule="auto"/>
        <w:jc w:val="both"/>
        <w:rPr>
          <w:rFonts w:ascii="Arial" w:hAnsi="Arial" w:cs="Arial"/>
          <w:color w:val="000000"/>
          <w:sz w:val="24"/>
          <w:szCs w:val="24"/>
        </w:rPr>
      </w:pPr>
      <w:r w:rsidRPr="00AA03FE">
        <w:rPr>
          <w:rFonts w:ascii="Arial" w:hAnsi="Arial" w:cs="Arial"/>
          <w:sz w:val="26"/>
          <w:szCs w:val="26"/>
        </w:rPr>
        <w:t xml:space="preserve">[18] </w:t>
      </w:r>
      <w:r w:rsidRPr="00AA03FE">
        <w:rPr>
          <w:rFonts w:ascii="Arial" w:hAnsi="Arial" w:cs="Arial"/>
          <w:color w:val="000000"/>
          <w:sz w:val="24"/>
          <w:szCs w:val="24"/>
        </w:rPr>
        <w:t xml:space="preserve">Illum L. et al. </w:t>
      </w:r>
      <w:r w:rsidRPr="00AA03FE">
        <w:rPr>
          <w:rFonts w:ascii="Arial" w:hAnsi="Arial" w:cs="Arial"/>
          <w:b/>
          <w:color w:val="000000"/>
          <w:sz w:val="24"/>
          <w:szCs w:val="24"/>
        </w:rPr>
        <w:t>1983</w:t>
      </w:r>
      <w:r w:rsidRPr="00AA03FE">
        <w:rPr>
          <w:rFonts w:ascii="Arial" w:hAnsi="Arial" w:cs="Arial"/>
          <w:color w:val="000000"/>
          <w:sz w:val="24"/>
          <w:szCs w:val="24"/>
        </w:rPr>
        <w:t xml:space="preserve"> Int. J. Pharm. 17:65</w:t>
      </w:r>
    </w:p>
    <w:p w:rsidR="00387A07" w:rsidRPr="00AA03FE" w:rsidRDefault="00387A07" w:rsidP="00387A07">
      <w:pPr>
        <w:spacing w:after="0" w:line="360" w:lineRule="auto"/>
        <w:jc w:val="both"/>
        <w:rPr>
          <w:rFonts w:ascii="Arial" w:hAnsi="Arial" w:cs="Arial"/>
          <w:iCs/>
          <w:sz w:val="24"/>
          <w:szCs w:val="24"/>
          <w:lang w:val="en-US"/>
        </w:rPr>
      </w:pPr>
      <w:r w:rsidRPr="00AA03FE">
        <w:rPr>
          <w:rFonts w:ascii="Arial" w:hAnsi="Arial" w:cs="Arial"/>
          <w:color w:val="000000"/>
          <w:sz w:val="24"/>
          <w:szCs w:val="24"/>
        </w:rPr>
        <w:t xml:space="preserve">[19] </w:t>
      </w:r>
      <w:r w:rsidRPr="00AA03FE">
        <w:rPr>
          <w:rFonts w:ascii="Arial" w:hAnsi="Arial" w:cs="Arial"/>
          <w:iCs/>
          <w:sz w:val="24"/>
          <w:szCs w:val="24"/>
          <w:lang w:val="en-US"/>
        </w:rPr>
        <w:t xml:space="preserve">M. Gaumet et al. </w:t>
      </w:r>
      <w:r w:rsidRPr="00AA03FE">
        <w:rPr>
          <w:rFonts w:ascii="Arial" w:hAnsi="Arial" w:cs="Arial"/>
          <w:b/>
          <w:iCs/>
          <w:sz w:val="24"/>
          <w:szCs w:val="24"/>
          <w:lang w:val="en-US"/>
        </w:rPr>
        <w:t>2008</w:t>
      </w:r>
      <w:r w:rsidRPr="00AA03FE">
        <w:rPr>
          <w:rFonts w:ascii="Arial" w:hAnsi="Arial" w:cs="Arial"/>
          <w:iCs/>
          <w:sz w:val="24"/>
          <w:szCs w:val="24"/>
          <w:lang w:val="en-US"/>
        </w:rPr>
        <w:t xml:space="preserve"> Eur. J. Pharm. Biopharm. 69:1</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iCs/>
          <w:sz w:val="24"/>
          <w:szCs w:val="24"/>
          <w:lang w:val="en-US"/>
        </w:rPr>
        <w:t xml:space="preserve">[20] </w:t>
      </w:r>
      <w:r w:rsidRPr="00AA03FE">
        <w:rPr>
          <w:rFonts w:ascii="Arial" w:hAnsi="Arial" w:cs="Arial"/>
          <w:sz w:val="24"/>
          <w:szCs w:val="24"/>
          <w:lang w:val="en-US"/>
        </w:rPr>
        <w:t xml:space="preserve">C. Cai et al. </w:t>
      </w:r>
      <w:r w:rsidRPr="00AA03FE">
        <w:rPr>
          <w:rFonts w:ascii="Arial" w:hAnsi="Arial" w:cs="Arial"/>
          <w:b/>
          <w:sz w:val="24"/>
          <w:szCs w:val="24"/>
          <w:lang w:val="en-US"/>
        </w:rPr>
        <w:t>2008</w:t>
      </w:r>
      <w:r w:rsidRPr="00AA03FE">
        <w:rPr>
          <w:rFonts w:ascii="Arial" w:hAnsi="Arial" w:cs="Arial"/>
          <w:sz w:val="24"/>
          <w:szCs w:val="24"/>
          <w:lang w:val="en-US"/>
        </w:rPr>
        <w:t xml:space="preserve"> Eur. J. Pharm. Biopharm. 69: 31</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[21] Goppert TM. </w:t>
      </w:r>
      <w:r w:rsidRPr="00AA03FE">
        <w:rPr>
          <w:rFonts w:ascii="Arial" w:hAnsi="Arial" w:cs="Arial"/>
          <w:b/>
          <w:bCs/>
          <w:sz w:val="24"/>
          <w:szCs w:val="24"/>
        </w:rPr>
        <w:t>2005</w:t>
      </w:r>
      <w:r w:rsidRPr="00AA03FE">
        <w:rPr>
          <w:rFonts w:ascii="Arial" w:hAnsi="Arial" w:cs="Arial"/>
          <w:bCs/>
          <w:sz w:val="24"/>
          <w:szCs w:val="24"/>
        </w:rPr>
        <w:t xml:space="preserve"> Eur. J. Pharm. Biopharm. 60:361</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bCs/>
          <w:sz w:val="24"/>
          <w:szCs w:val="24"/>
        </w:rPr>
        <w:t xml:space="preserve">[22] </w:t>
      </w:r>
      <w:r w:rsidRPr="00AA03FE">
        <w:rPr>
          <w:rFonts w:ascii="Arial" w:hAnsi="Arial" w:cs="Arial"/>
          <w:iCs/>
          <w:sz w:val="24"/>
          <w:szCs w:val="24"/>
          <w:lang w:val="en-US"/>
        </w:rPr>
        <w:t>Vanderoort J.</w:t>
      </w:r>
      <w:r w:rsidRPr="00AA03FE">
        <w:rPr>
          <w:rFonts w:ascii="Arial" w:hAnsi="Arial" w:cs="Arial"/>
          <w:sz w:val="24"/>
          <w:szCs w:val="24"/>
          <w:lang w:val="en-US"/>
        </w:rPr>
        <w:t xml:space="preserve"> </w:t>
      </w:r>
      <w:r w:rsidRPr="00AA03FE">
        <w:rPr>
          <w:rFonts w:ascii="Arial" w:hAnsi="Arial" w:cs="Arial"/>
          <w:b/>
          <w:sz w:val="24"/>
          <w:szCs w:val="24"/>
          <w:lang w:val="en-US"/>
        </w:rPr>
        <w:t>2002</w:t>
      </w:r>
      <w:r w:rsidRPr="00AA03FE">
        <w:rPr>
          <w:rFonts w:ascii="Arial" w:hAnsi="Arial" w:cs="Arial"/>
          <w:sz w:val="24"/>
          <w:szCs w:val="24"/>
          <w:lang w:val="en-US"/>
        </w:rPr>
        <w:t xml:space="preserve"> </w:t>
      </w:r>
      <w:r w:rsidRPr="00AA03FE">
        <w:rPr>
          <w:rFonts w:ascii="Arial" w:hAnsi="Arial" w:cs="Arial"/>
          <w:iCs/>
          <w:sz w:val="24"/>
          <w:szCs w:val="24"/>
          <w:lang w:val="en-US"/>
        </w:rPr>
        <w:t xml:space="preserve">Int. J. Pharm. </w:t>
      </w:r>
      <w:r w:rsidRPr="00AA03FE">
        <w:rPr>
          <w:rFonts w:ascii="Arial" w:hAnsi="Arial" w:cs="Arial"/>
          <w:sz w:val="24"/>
          <w:szCs w:val="24"/>
          <w:lang w:val="en-US"/>
        </w:rPr>
        <w:t>238:77</w:t>
      </w:r>
    </w:p>
    <w:p w:rsidR="00387A07" w:rsidRPr="00AA03FE" w:rsidRDefault="00387A07" w:rsidP="00387A07">
      <w:pPr>
        <w:spacing w:after="0" w:line="360" w:lineRule="auto"/>
        <w:jc w:val="both"/>
        <w:rPr>
          <w:rFonts w:ascii="Arial" w:hAnsi="Arial" w:cs="Arial"/>
          <w:bCs/>
          <w:sz w:val="24"/>
          <w:szCs w:val="24"/>
        </w:rPr>
      </w:pPr>
      <w:r w:rsidRPr="00AA03FE">
        <w:rPr>
          <w:rFonts w:ascii="Arial" w:hAnsi="Arial" w:cs="Arial"/>
          <w:bCs/>
          <w:sz w:val="24"/>
          <w:szCs w:val="24"/>
        </w:rPr>
        <w:t xml:space="preserve">[23] Scholes, P.D </w:t>
      </w:r>
      <w:r w:rsidRPr="00AA03FE">
        <w:rPr>
          <w:rFonts w:ascii="Arial" w:hAnsi="Arial" w:cs="Arial"/>
          <w:b/>
          <w:bCs/>
          <w:sz w:val="24"/>
          <w:szCs w:val="24"/>
        </w:rPr>
        <w:t>1999</w:t>
      </w:r>
      <w:r w:rsidRPr="00AA03FE">
        <w:rPr>
          <w:rFonts w:ascii="Arial" w:hAnsi="Arial" w:cs="Arial"/>
          <w:bCs/>
          <w:sz w:val="24"/>
          <w:szCs w:val="24"/>
        </w:rPr>
        <w:t xml:space="preserve"> Int. J. Pharm. 59:261</w:t>
      </w:r>
    </w:p>
    <w:p w:rsidR="00387A07" w:rsidRPr="00AA03FE" w:rsidRDefault="00387A07" w:rsidP="00387A07">
      <w:pPr>
        <w:spacing w:after="0" w:line="360" w:lineRule="auto"/>
        <w:jc w:val="both"/>
        <w:rPr>
          <w:rFonts w:ascii="Arial" w:hAnsi="Arial" w:cs="Arial"/>
          <w:sz w:val="24"/>
          <w:szCs w:val="24"/>
          <w:lang w:val="en-US"/>
        </w:rPr>
      </w:pPr>
      <w:r w:rsidRPr="00AA03FE">
        <w:rPr>
          <w:rFonts w:ascii="Arial" w:hAnsi="Arial" w:cs="Arial"/>
          <w:bCs/>
          <w:sz w:val="24"/>
          <w:szCs w:val="24"/>
        </w:rPr>
        <w:lastRenderedPageBreak/>
        <w:t xml:space="preserve">[24] </w:t>
      </w:r>
      <w:r w:rsidRPr="00AA03FE">
        <w:rPr>
          <w:rFonts w:ascii="Arial" w:hAnsi="Arial" w:cs="Arial"/>
          <w:iCs/>
          <w:sz w:val="24"/>
          <w:szCs w:val="24"/>
          <w:lang w:val="en-US"/>
        </w:rPr>
        <w:t>Coombes A. et al</w:t>
      </w:r>
      <w:r w:rsidRPr="00AA03FE">
        <w:rPr>
          <w:rFonts w:ascii="Arial" w:hAnsi="Arial" w:cs="Arial"/>
          <w:sz w:val="24"/>
          <w:szCs w:val="24"/>
          <w:lang w:val="en-US"/>
        </w:rPr>
        <w:t xml:space="preserve">. </w:t>
      </w:r>
      <w:r w:rsidRPr="00AA03FE">
        <w:rPr>
          <w:rFonts w:ascii="Arial" w:hAnsi="Arial" w:cs="Arial"/>
          <w:b/>
          <w:sz w:val="24"/>
          <w:szCs w:val="24"/>
          <w:lang w:val="en-US"/>
        </w:rPr>
        <w:t>1998</w:t>
      </w:r>
      <w:r w:rsidRPr="00AA03FE">
        <w:rPr>
          <w:rFonts w:ascii="Arial" w:hAnsi="Arial" w:cs="Arial"/>
          <w:sz w:val="24"/>
          <w:szCs w:val="24"/>
          <w:lang w:val="en-US"/>
        </w:rPr>
        <w:t xml:space="preserve"> </w:t>
      </w:r>
      <w:r w:rsidRPr="00AA03FE">
        <w:rPr>
          <w:rFonts w:ascii="Arial" w:hAnsi="Arial" w:cs="Arial"/>
          <w:iCs/>
          <w:sz w:val="24"/>
          <w:szCs w:val="24"/>
          <w:lang w:val="en-US"/>
        </w:rPr>
        <w:t xml:space="preserve">J. Control. Release </w:t>
      </w:r>
      <w:r w:rsidRPr="00AA03FE">
        <w:rPr>
          <w:rFonts w:ascii="Arial" w:hAnsi="Arial" w:cs="Arial"/>
          <w:sz w:val="24"/>
          <w:szCs w:val="24"/>
          <w:lang w:val="en-US"/>
        </w:rPr>
        <w:t>52:311</w:t>
      </w:r>
    </w:p>
    <w:p w:rsidR="00387A07" w:rsidRPr="00AA03FE" w:rsidRDefault="00387A07" w:rsidP="00387A07">
      <w:pPr>
        <w:spacing w:after="0" w:line="360" w:lineRule="auto"/>
        <w:jc w:val="both"/>
        <w:rPr>
          <w:rFonts w:ascii="Arial" w:hAnsi="Arial" w:cs="Arial"/>
          <w:iCs/>
          <w:sz w:val="24"/>
          <w:szCs w:val="24"/>
          <w:lang w:val="en-US"/>
        </w:rPr>
      </w:pPr>
      <w:r w:rsidRPr="00AA03FE">
        <w:rPr>
          <w:rFonts w:ascii="Arial" w:hAnsi="Arial" w:cs="Arial"/>
          <w:sz w:val="24"/>
          <w:szCs w:val="24"/>
          <w:lang w:val="en-US"/>
        </w:rPr>
        <w:t xml:space="preserve">[25] </w:t>
      </w:r>
      <w:r w:rsidRPr="00AA03FE">
        <w:rPr>
          <w:rFonts w:ascii="Arial" w:hAnsi="Arial" w:cs="Arial"/>
          <w:iCs/>
          <w:sz w:val="24"/>
          <w:szCs w:val="24"/>
          <w:lang w:val="en-US"/>
        </w:rPr>
        <w:t xml:space="preserve">Ye M. et al. </w:t>
      </w:r>
      <w:r w:rsidRPr="00AA03FE">
        <w:rPr>
          <w:rFonts w:ascii="Arial" w:hAnsi="Arial" w:cs="Arial"/>
          <w:b/>
          <w:iCs/>
          <w:sz w:val="24"/>
          <w:szCs w:val="24"/>
          <w:lang w:val="en-US"/>
        </w:rPr>
        <w:t>2010</w:t>
      </w:r>
      <w:r w:rsidRPr="00AA03FE">
        <w:rPr>
          <w:rFonts w:ascii="Arial" w:hAnsi="Arial" w:cs="Arial"/>
          <w:iCs/>
          <w:sz w:val="24"/>
          <w:szCs w:val="24"/>
          <w:lang w:val="en-US"/>
        </w:rPr>
        <w:t xml:space="preserve"> J. Control. Release 146:241</w:t>
      </w:r>
    </w:p>
    <w:p w:rsidR="00387A07" w:rsidRPr="00AA03FE" w:rsidRDefault="00387A07" w:rsidP="00387A07">
      <w:pPr>
        <w:spacing w:after="0" w:line="360" w:lineRule="auto"/>
        <w:jc w:val="both"/>
        <w:rPr>
          <w:rFonts w:ascii="Arial" w:hAnsi="Arial" w:cs="Arial"/>
          <w:sz w:val="24"/>
          <w:szCs w:val="24"/>
        </w:rPr>
      </w:pPr>
      <w:r w:rsidRPr="00AA03FE">
        <w:rPr>
          <w:rFonts w:ascii="Arial" w:hAnsi="Arial" w:cs="Arial"/>
          <w:iCs/>
          <w:sz w:val="24"/>
          <w:szCs w:val="24"/>
          <w:lang w:val="en-US"/>
        </w:rPr>
        <w:t xml:space="preserve">[26] </w:t>
      </w:r>
      <w:r w:rsidRPr="00AA03FE">
        <w:rPr>
          <w:rFonts w:ascii="Arial" w:hAnsi="Arial" w:cs="Arial"/>
          <w:sz w:val="24"/>
          <w:szCs w:val="24"/>
        </w:rPr>
        <w:t xml:space="preserve">Calvo P et al. </w:t>
      </w:r>
      <w:r w:rsidRPr="00AA03FE">
        <w:rPr>
          <w:rFonts w:ascii="Arial" w:hAnsi="Arial" w:cs="Arial"/>
          <w:b/>
          <w:sz w:val="24"/>
          <w:szCs w:val="24"/>
        </w:rPr>
        <w:t>1997</w:t>
      </w:r>
      <w:r w:rsidRPr="00AA03FE">
        <w:rPr>
          <w:rFonts w:ascii="Arial" w:hAnsi="Arial" w:cs="Arial"/>
          <w:sz w:val="24"/>
          <w:szCs w:val="24"/>
        </w:rPr>
        <w:t xml:space="preserve"> Biomaterials 18:1305</w:t>
      </w:r>
    </w:p>
    <w:p w:rsidR="00387A07" w:rsidRPr="004518B3" w:rsidRDefault="00387A07" w:rsidP="00387A07">
      <w:pPr>
        <w:spacing w:after="0" w:line="360" w:lineRule="auto"/>
        <w:jc w:val="both"/>
        <w:rPr>
          <w:rFonts w:ascii="Arial" w:hAnsi="Arial" w:cs="Arial"/>
          <w:sz w:val="24"/>
          <w:szCs w:val="24"/>
          <w:lang w:val="en-US"/>
        </w:rPr>
      </w:pPr>
      <w:r w:rsidRPr="00AA03FE">
        <w:rPr>
          <w:rFonts w:ascii="Arial" w:hAnsi="Arial" w:cs="Arial"/>
          <w:sz w:val="24"/>
          <w:szCs w:val="24"/>
        </w:rPr>
        <w:t xml:space="preserve">[27] Lamba NMK et al. </w:t>
      </w:r>
      <w:r w:rsidRPr="00AA03FE">
        <w:rPr>
          <w:rFonts w:ascii="Arial" w:hAnsi="Arial" w:cs="Arial"/>
          <w:b/>
          <w:sz w:val="24"/>
          <w:szCs w:val="24"/>
        </w:rPr>
        <w:t>1998</w:t>
      </w:r>
      <w:r w:rsidRPr="00AA03FE">
        <w:rPr>
          <w:rFonts w:ascii="Arial" w:hAnsi="Arial" w:cs="Arial"/>
          <w:sz w:val="24"/>
          <w:szCs w:val="24"/>
        </w:rPr>
        <w:t xml:space="preserve"> in Polyurethanes in biomedical applications CRC press</w:t>
      </w:r>
      <w:r>
        <w:rPr>
          <w:rFonts w:ascii="Arial" w:hAnsi="Arial" w:cs="Arial"/>
          <w:sz w:val="24"/>
          <w:szCs w:val="24"/>
        </w:rPr>
        <w:t xml:space="preserve">  </w:t>
      </w:r>
    </w:p>
    <w:p w:rsidR="00387A07" w:rsidRDefault="00387A07" w:rsidP="00387A07">
      <w:pPr>
        <w:spacing w:line="360" w:lineRule="auto"/>
        <w:jc w:val="right"/>
        <w:rPr>
          <w:rFonts w:ascii="Arial" w:hAnsi="Arial" w:cs="Arial"/>
          <w:b/>
          <w:sz w:val="120"/>
          <w:szCs w:val="120"/>
          <w:lang w:val="en-US"/>
        </w:rPr>
      </w:pPr>
    </w:p>
    <w:p w:rsidR="00387A07" w:rsidRDefault="00387A07" w:rsidP="00387A07">
      <w:pPr>
        <w:spacing w:line="360" w:lineRule="auto"/>
        <w:jc w:val="right"/>
        <w:rPr>
          <w:rFonts w:ascii="Arial" w:hAnsi="Arial" w:cs="Arial"/>
          <w:b/>
          <w:sz w:val="120"/>
          <w:szCs w:val="120"/>
          <w:lang w:val="en-US"/>
        </w:rPr>
      </w:pPr>
    </w:p>
    <w:p w:rsidR="00387A07" w:rsidRDefault="00387A07" w:rsidP="00387A07">
      <w:pPr>
        <w:spacing w:line="360" w:lineRule="auto"/>
        <w:jc w:val="right"/>
        <w:rPr>
          <w:rFonts w:ascii="Arial" w:hAnsi="Arial" w:cs="Arial"/>
          <w:b/>
          <w:sz w:val="120"/>
          <w:szCs w:val="120"/>
          <w:lang w:val="en-US"/>
        </w:rPr>
      </w:pPr>
    </w:p>
    <w:p w:rsidR="00387A07" w:rsidRDefault="00387A07" w:rsidP="00387A07">
      <w:pPr>
        <w:spacing w:line="360" w:lineRule="auto"/>
        <w:jc w:val="right"/>
        <w:rPr>
          <w:rFonts w:ascii="Arial" w:hAnsi="Arial" w:cs="Arial"/>
          <w:b/>
          <w:sz w:val="120"/>
          <w:szCs w:val="120"/>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387A07" w:rsidRDefault="00387A07"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550A30">
      <w:pPr>
        <w:jc w:val="right"/>
        <w:rPr>
          <w:rFonts w:ascii="Arial" w:hAnsi="Arial" w:cs="Arial"/>
          <w:b/>
          <w:color w:val="4F81BD" w:themeColor="accent1"/>
          <w:sz w:val="124"/>
          <w:szCs w:val="124"/>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Pr="00DC0DB7" w:rsidRDefault="00550A30" w:rsidP="00550A30">
      <w:pPr>
        <w:spacing w:line="360" w:lineRule="auto"/>
        <w:jc w:val="right"/>
        <w:rPr>
          <w:rFonts w:ascii="Arial" w:hAnsi="Arial" w:cs="Arial"/>
          <w:b/>
          <w:color w:val="002060"/>
          <w:sz w:val="120"/>
          <w:szCs w:val="120"/>
          <w:lang w:val="en-US"/>
        </w:rPr>
      </w:pPr>
      <w:r w:rsidRPr="00DC0DB7">
        <w:rPr>
          <w:rFonts w:ascii="Arial" w:hAnsi="Arial" w:cs="Arial"/>
          <w:b/>
          <w:color w:val="002060"/>
          <w:sz w:val="120"/>
          <w:szCs w:val="120"/>
          <w:lang w:val="en-US"/>
        </w:rPr>
        <w:t>Section III</w:t>
      </w: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550A30">
      <w:pPr>
        <w:pStyle w:val="Titolo1"/>
        <w:spacing w:line="360" w:lineRule="auto"/>
        <w:jc w:val="right"/>
        <w:rPr>
          <w:rFonts w:ascii="Arial" w:hAnsi="Arial" w:cs="Arial"/>
          <w:sz w:val="124"/>
          <w:szCs w:val="124"/>
          <w:lang w:val="en-US"/>
        </w:rPr>
      </w:pPr>
    </w:p>
    <w:p w:rsidR="00550A30" w:rsidRPr="00986F06" w:rsidRDefault="00550A30" w:rsidP="00550A30">
      <w:pPr>
        <w:pStyle w:val="Titolo1"/>
        <w:spacing w:line="360" w:lineRule="auto"/>
        <w:jc w:val="right"/>
        <w:rPr>
          <w:rFonts w:ascii="Arial" w:hAnsi="Arial" w:cs="Arial"/>
          <w:color w:val="002060"/>
          <w:sz w:val="124"/>
          <w:szCs w:val="124"/>
          <w:lang w:val="en-US"/>
        </w:rPr>
      </w:pPr>
      <w:r w:rsidRPr="00986F06">
        <w:rPr>
          <w:rFonts w:ascii="Arial" w:hAnsi="Arial" w:cs="Arial"/>
          <w:color w:val="002060"/>
          <w:sz w:val="124"/>
          <w:szCs w:val="124"/>
          <w:lang w:val="en-US"/>
        </w:rPr>
        <w:t>Chapter 4</w:t>
      </w:r>
    </w:p>
    <w:p w:rsidR="00550A30" w:rsidRPr="008F3CEA" w:rsidRDefault="00550A30" w:rsidP="00550A30">
      <w:pPr>
        <w:rPr>
          <w:lang w:val="en-US"/>
        </w:rPr>
      </w:pPr>
    </w:p>
    <w:p w:rsidR="00550A30" w:rsidRPr="008F3CEA" w:rsidRDefault="00550A30" w:rsidP="00550A30">
      <w:pPr>
        <w:spacing w:line="360" w:lineRule="auto"/>
        <w:jc w:val="right"/>
        <w:rPr>
          <w:rFonts w:ascii="Arial" w:hAnsi="Arial" w:cs="Arial"/>
          <w:b/>
          <w:sz w:val="50"/>
          <w:szCs w:val="50"/>
          <w:lang w:val="en-US"/>
        </w:rPr>
      </w:pPr>
      <w:r w:rsidRPr="008F3CEA">
        <w:rPr>
          <w:rFonts w:ascii="Arial" w:hAnsi="Arial" w:cs="Arial"/>
          <w:b/>
          <w:sz w:val="50"/>
          <w:szCs w:val="50"/>
          <w:lang w:val="en-US"/>
        </w:rPr>
        <w:t>Innovative bioactive and biodegradable polymeric bone cements for the repair of vertebral injuries.</w:t>
      </w:r>
    </w:p>
    <w:p w:rsidR="00550A30" w:rsidRPr="008F3CEA" w:rsidRDefault="00550A30" w:rsidP="00550A30">
      <w:pPr>
        <w:spacing w:line="360" w:lineRule="auto"/>
        <w:jc w:val="both"/>
        <w:rPr>
          <w:rFonts w:ascii="Arial" w:hAnsi="Arial" w:cs="Arial"/>
          <w:sz w:val="24"/>
          <w:szCs w:val="24"/>
          <w:lang w:val="en-US"/>
        </w:rPr>
      </w:pPr>
    </w:p>
    <w:p w:rsidR="00550A30" w:rsidRPr="008F3CEA" w:rsidRDefault="00550A30" w:rsidP="00550A30">
      <w:pPr>
        <w:pStyle w:val="Testonormale"/>
        <w:spacing w:before="240" w:after="240" w:line="360" w:lineRule="auto"/>
        <w:jc w:val="both"/>
        <w:rPr>
          <w:rFonts w:ascii="Arial" w:hAnsi="Arial" w:cs="Arial"/>
          <w:b/>
          <w:sz w:val="28"/>
          <w:szCs w:val="28"/>
          <w:lang w:val="en-GB"/>
        </w:rPr>
      </w:pPr>
      <w:r w:rsidRPr="008F3CEA">
        <w:rPr>
          <w:rFonts w:ascii="Arial" w:hAnsi="Arial" w:cs="Arial"/>
          <w:b/>
          <w:sz w:val="28"/>
          <w:szCs w:val="28"/>
          <w:lang w:val="en-GB"/>
        </w:rPr>
        <w:t>Abstract</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GB"/>
        </w:rPr>
        <w:t xml:space="preserve">Vertebral fractures, weather caused by age-related diseases or by trauma, often result in pain, significant physiological and functional impairment and deformity of the spine, which in turn leads to a decreased ventilatory capacity and shortened life expectancy [1]. Kyphoplasty and vertebroplasty are the most diffused percutaneous methods for the repair of vertebral injuries [2]. Both methods involve the use of bone cements (typically </w:t>
      </w:r>
      <w:r w:rsidRPr="008F3CEA">
        <w:rPr>
          <w:rFonts w:ascii="Arial" w:hAnsi="Arial" w:cs="Arial"/>
          <w:lang w:val="en-US"/>
        </w:rPr>
        <w:t>polymethyl methacrylate</w:t>
      </w:r>
      <w:r w:rsidRPr="008F3CEA">
        <w:rPr>
          <w:rFonts w:ascii="Arial" w:hAnsi="Arial" w:cs="Arial"/>
          <w:color w:val="231F20"/>
          <w:lang w:val="en-US"/>
        </w:rPr>
        <w:t xml:space="preserve"> PMMA) to restore the load-bearing capacity and stiffness of the bone [3]. To overcome limitations associated with use of PMMA (such as poor Osseo-integration, absence of biologic potential to stimulate remodeling and potential monomer toxicity) a new biomimetic and biocompatible bone cement is proposed. This material is based on an organic phase, composed of chitosan (CH) and collagen, cross linked with genipin (GP), and on an inorganic bioactive </w:t>
      </w:r>
      <w:r w:rsidRPr="008F3CEA">
        <w:rPr>
          <w:rFonts w:ascii="Arial" w:hAnsi="Arial" w:cs="Arial"/>
          <w:color w:val="231F20"/>
        </w:rPr>
        <w:t>β</w:t>
      </w:r>
      <w:r w:rsidRPr="008F3CEA">
        <w:rPr>
          <w:rFonts w:ascii="Arial" w:hAnsi="Arial" w:cs="Arial"/>
          <w:color w:val="231F20"/>
          <w:lang w:val="en-US"/>
        </w:rPr>
        <w:t xml:space="preserve"> tricalcium phosphate-based phase. Different </w:t>
      </w:r>
      <w:r w:rsidRPr="008F3CEA">
        <w:rPr>
          <w:rFonts w:ascii="Arial" w:hAnsi="Arial" w:cs="Arial"/>
          <w:color w:val="231F20"/>
          <w:lang w:val="en-US"/>
        </w:rPr>
        <w:lastRenderedPageBreak/>
        <w:t xml:space="preserve">compositions were tested, by varying the organic/inorganic phase ratio and the amount of cross linker. The proposed material showed good bioactivity after 14 days of soaking in simulated body fluids (SBF), good mechanical properties and dissolution behavior, as well as a low setting and hardening point. Moreover, the addition of Indomethacin (IND) loaded nanoparticles to the cement composition, added the ability to face post-operative infections, since the release rate of the drug is compatible with post-operative infections raising kinetics. </w:t>
      </w:r>
      <w:r w:rsidRPr="008F3CEA">
        <w:rPr>
          <w:rFonts w:ascii="Arial" w:hAnsi="Arial" w:cs="Arial"/>
          <w:lang w:val="en-US"/>
        </w:rPr>
        <w:t>The proposed material appears to be a promising candidate as injectable bioactive bone substitute for guided bone regeneration.</w:t>
      </w:r>
    </w:p>
    <w:p w:rsidR="00550A30" w:rsidRPr="008F3CEA" w:rsidRDefault="00550A30" w:rsidP="00550A30">
      <w:pPr>
        <w:spacing w:before="240" w:after="240" w:line="360" w:lineRule="auto"/>
        <w:jc w:val="both"/>
        <w:rPr>
          <w:rFonts w:ascii="Arial" w:hAnsi="Arial" w:cs="Arial"/>
          <w:b/>
          <w:sz w:val="28"/>
          <w:szCs w:val="28"/>
          <w:lang w:val="en-US"/>
        </w:rPr>
      </w:pPr>
      <w:r w:rsidRPr="008F3CEA">
        <w:rPr>
          <w:rFonts w:ascii="Arial" w:hAnsi="Arial" w:cs="Arial"/>
          <w:b/>
          <w:sz w:val="28"/>
          <w:szCs w:val="28"/>
          <w:lang w:val="en-US"/>
        </w:rPr>
        <w:t xml:space="preserve">4.1 </w:t>
      </w:r>
      <w:r w:rsidRPr="008F3CEA">
        <w:rPr>
          <w:rFonts w:ascii="Arial" w:hAnsi="Arial" w:cs="Arial"/>
          <w:b/>
          <w:sz w:val="28"/>
          <w:szCs w:val="28"/>
        </w:rPr>
        <w:t>Introduction</w:t>
      </w:r>
      <w:r w:rsidRPr="008F3CEA">
        <w:rPr>
          <w:rFonts w:ascii="Arial" w:hAnsi="Arial" w:cs="Arial"/>
          <w:b/>
          <w:sz w:val="28"/>
          <w:szCs w:val="28"/>
          <w:lang w:val="en-US"/>
        </w:rPr>
        <w:t xml:space="preserve"> </w:t>
      </w:r>
    </w:p>
    <w:p w:rsidR="00550A30" w:rsidRPr="008F3CEA" w:rsidRDefault="00550A30" w:rsidP="00550A30">
      <w:pPr>
        <w:autoSpaceDE w:val="0"/>
        <w:autoSpaceDN w:val="0"/>
        <w:adjustRightInd w:val="0"/>
        <w:spacing w:after="0" w:line="360" w:lineRule="auto"/>
        <w:jc w:val="both"/>
        <w:rPr>
          <w:rFonts w:ascii="Arial" w:hAnsi="Arial" w:cs="Arial"/>
          <w:color w:val="231F20"/>
          <w:sz w:val="24"/>
          <w:szCs w:val="24"/>
          <w:lang w:val="en-US"/>
        </w:rPr>
      </w:pPr>
      <w:r w:rsidRPr="008F3CEA">
        <w:rPr>
          <w:rFonts w:ascii="Arial" w:hAnsi="Arial" w:cs="Arial"/>
          <w:color w:val="231F20"/>
          <w:sz w:val="24"/>
          <w:szCs w:val="24"/>
          <w:lang w:val="en-US"/>
        </w:rPr>
        <w:t xml:space="preserve">The increased life expectancy in the developed countries has led to a serious rise in the number of musculoskeletal disorders, such as osteoporosis and osteoarthritis </w:t>
      </w:r>
      <w:r w:rsidRPr="008F3CEA">
        <w:rPr>
          <w:rFonts w:ascii="Arial" w:hAnsi="Arial" w:cs="Arial"/>
          <w:color w:val="2E3093"/>
          <w:sz w:val="24"/>
          <w:szCs w:val="24"/>
          <w:lang w:val="en-US"/>
        </w:rPr>
        <w:t>[1]</w:t>
      </w:r>
      <w:r w:rsidRPr="008F3CEA">
        <w:rPr>
          <w:rFonts w:ascii="Arial" w:hAnsi="Arial" w:cs="Arial"/>
          <w:color w:val="231F20"/>
          <w:sz w:val="24"/>
          <w:szCs w:val="24"/>
          <w:lang w:val="en-US"/>
        </w:rPr>
        <w:t>.</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rPr>
        <w:t>Osteoporosis is a systemic skeletal disease characterized by low bone mass and micro-architectural deterioration, with a consequent increase in bone fragility and susceptibility to fracture. These fractures include the vertebral body, distal forearm and proximal femur and</w:t>
      </w:r>
      <w:r w:rsidRPr="008F3CEA">
        <w:rPr>
          <w:rFonts w:ascii="Arial" w:hAnsi="Arial" w:cs="Arial"/>
          <w:sz w:val="24"/>
          <w:szCs w:val="24"/>
          <w:lang w:val="en-US"/>
        </w:rPr>
        <w:t xml:space="preserve"> may cause considerable morbidity and mortality [4].</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More than 700000 osteoporotic vertebral compression fractures (VCFs) are estimated each year in the United States which are associated with significant physiologic and functional impairment [5-7].</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A vertebral fracture, whether originating from osteoporosis or trauma, can be the cause of pain, disability and neurological deficit. Multiple vertebral compression fractures can,</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beside pain, lead to a considerable shortening and deformity of the spine, which in turn results in postural instability and decreased ventilatory capacity [8].</w:t>
      </w:r>
    </w:p>
    <w:p w:rsidR="00550A30" w:rsidRPr="008F3CEA" w:rsidRDefault="00550A30" w:rsidP="00550A30">
      <w:pPr>
        <w:autoSpaceDE w:val="0"/>
        <w:autoSpaceDN w:val="0"/>
        <w:adjustRightInd w:val="0"/>
        <w:spacing w:after="0" w:line="360" w:lineRule="auto"/>
        <w:jc w:val="both"/>
        <w:rPr>
          <w:rFonts w:ascii="Arial" w:hAnsi="Arial" w:cs="Arial"/>
          <w:color w:val="231F20"/>
          <w:sz w:val="24"/>
          <w:szCs w:val="24"/>
          <w:lang w:val="en-US"/>
        </w:rPr>
      </w:pPr>
      <w:r w:rsidRPr="008F3CEA">
        <w:rPr>
          <w:rFonts w:ascii="Arial" w:hAnsi="Arial" w:cs="Arial"/>
          <w:sz w:val="24"/>
          <w:szCs w:val="24"/>
          <w:lang w:val="en-US"/>
        </w:rPr>
        <w:t xml:space="preserve">Different treatments have been proposed for vertebral injuries, such as </w:t>
      </w:r>
      <w:r w:rsidRPr="008F3CEA">
        <w:rPr>
          <w:rFonts w:ascii="Arial" w:hAnsi="Arial" w:cs="Arial"/>
          <w:color w:val="231F20"/>
          <w:sz w:val="24"/>
          <w:szCs w:val="24"/>
          <w:lang w:val="en-US"/>
        </w:rPr>
        <w:t>open surgery and non-operative management, including medications and bracing. Unfortunately, large numbers of patients report intractable pain and inability to return to activities. The limitations of non-operative management have fostered increasing interest in new,</w:t>
      </w:r>
      <w:r w:rsidRPr="008F3CEA">
        <w:t xml:space="preserve"> </w:t>
      </w:r>
      <w:r w:rsidRPr="008F3CEA">
        <w:rPr>
          <w:rFonts w:ascii="Arial" w:hAnsi="Arial" w:cs="Arial"/>
          <w:color w:val="231F20"/>
          <w:sz w:val="24"/>
          <w:szCs w:val="24"/>
          <w:lang w:val="en-US"/>
        </w:rPr>
        <w:t>percutaneous methods of fracture stabilization that allow early return to activity and do not require fixation in weak bone [</w:t>
      </w:r>
      <w:r w:rsidRPr="008F3CEA">
        <w:rPr>
          <w:rFonts w:ascii="Arial" w:hAnsi="Arial" w:cs="Arial"/>
          <w:iCs/>
          <w:color w:val="231F20"/>
          <w:sz w:val="24"/>
          <w:szCs w:val="24"/>
          <w:lang w:val="en-US"/>
        </w:rPr>
        <w:t>2</w:t>
      </w:r>
      <w:r w:rsidRPr="008F3CEA">
        <w:rPr>
          <w:rFonts w:ascii="Arial" w:hAnsi="Arial" w:cs="Arial"/>
          <w:color w:val="231F20"/>
          <w:sz w:val="24"/>
          <w:szCs w:val="24"/>
          <w:lang w:val="en-US"/>
        </w:rPr>
        <w:t>].</w:t>
      </w:r>
    </w:p>
    <w:p w:rsidR="00550A30" w:rsidRPr="008F3CEA" w:rsidRDefault="00550A30" w:rsidP="00550A30">
      <w:pPr>
        <w:autoSpaceDE w:val="0"/>
        <w:autoSpaceDN w:val="0"/>
        <w:adjustRightInd w:val="0"/>
        <w:spacing w:after="0" w:line="360" w:lineRule="auto"/>
        <w:jc w:val="both"/>
        <w:rPr>
          <w:rFonts w:ascii="Arial" w:hAnsi="Arial" w:cs="Arial"/>
          <w:color w:val="231F20"/>
          <w:sz w:val="24"/>
          <w:szCs w:val="24"/>
          <w:lang w:val="en-US"/>
        </w:rPr>
      </w:pPr>
      <w:r w:rsidRPr="008F3CEA">
        <w:rPr>
          <w:rFonts w:ascii="Arial" w:hAnsi="Arial" w:cs="Arial"/>
          <w:color w:val="231F20"/>
          <w:sz w:val="24"/>
          <w:szCs w:val="24"/>
          <w:lang w:val="en-US"/>
        </w:rPr>
        <w:t>The most common percutaneous methods are</w:t>
      </w:r>
      <w:r w:rsidRPr="008F3CEA">
        <w:t xml:space="preserve"> </w:t>
      </w:r>
      <w:r w:rsidRPr="008F3CEA">
        <w:rPr>
          <w:rFonts w:ascii="Arial" w:hAnsi="Arial" w:cs="Arial"/>
          <w:color w:val="231F20"/>
          <w:sz w:val="24"/>
          <w:szCs w:val="24"/>
          <w:lang w:val="en-US"/>
        </w:rPr>
        <w:t>vertebroplasty and kyphoplasty. Both of them involve the use of injectable bone cements (in particular polymethylmethacrylate - PMMA) to restore the load-bearing capacity and stiffness of the treated vertebral body [9-11].</w:t>
      </w:r>
    </w:p>
    <w:p w:rsidR="00550A30" w:rsidRPr="008F3CEA" w:rsidRDefault="00550A30" w:rsidP="00550A30">
      <w:pPr>
        <w:autoSpaceDE w:val="0"/>
        <w:autoSpaceDN w:val="0"/>
        <w:adjustRightInd w:val="0"/>
        <w:spacing w:after="0" w:line="360" w:lineRule="auto"/>
        <w:jc w:val="both"/>
        <w:rPr>
          <w:rFonts w:ascii="Arial" w:hAnsi="Arial" w:cs="Arial"/>
          <w:color w:val="231F20"/>
          <w:sz w:val="24"/>
          <w:szCs w:val="24"/>
          <w:lang w:val="en-US"/>
        </w:rPr>
      </w:pPr>
      <w:r w:rsidRPr="008F3CEA">
        <w:rPr>
          <w:rFonts w:ascii="Arial" w:hAnsi="Arial" w:cs="Arial"/>
          <w:color w:val="231F20"/>
          <w:sz w:val="24"/>
          <w:szCs w:val="24"/>
          <w:lang w:val="en-US"/>
        </w:rPr>
        <w:lastRenderedPageBreak/>
        <w:t>Vertebroplasty involves the injection of PMMA into the compressed vertebral body [12]. Kyphoplasty employs a balloon tamp to create a void in the vertebral body and restore physiological height [13]. Viscous PMMA is then applied into the created defect These procedures are well tolerated and associated with high rates of pain relief [14].</w:t>
      </w:r>
    </w:p>
    <w:p w:rsidR="00550A30" w:rsidRPr="008F3CEA" w:rsidRDefault="00550A30" w:rsidP="00550A30">
      <w:pPr>
        <w:autoSpaceDE w:val="0"/>
        <w:autoSpaceDN w:val="0"/>
        <w:adjustRightInd w:val="0"/>
        <w:spacing w:after="0" w:line="360" w:lineRule="auto"/>
        <w:jc w:val="both"/>
        <w:rPr>
          <w:rFonts w:ascii="Arial" w:hAnsi="Arial" w:cs="Arial"/>
          <w:color w:val="231F20"/>
          <w:sz w:val="24"/>
          <w:szCs w:val="24"/>
          <w:lang w:val="en-US"/>
        </w:rPr>
      </w:pPr>
      <w:r w:rsidRPr="008F3CEA">
        <w:rPr>
          <w:rFonts w:ascii="Arial" w:hAnsi="Arial" w:cs="Arial"/>
          <w:color w:val="231F20"/>
          <w:sz w:val="24"/>
          <w:szCs w:val="24"/>
          <w:lang w:val="en-US"/>
        </w:rPr>
        <w:t xml:space="preserve">Polymethylmethacrylate bone cements have been used for many years for the fixation of the metal and plastic components of joint replacement. PMMA has been reported to be bioinert and to show good biocompatibility over long-term follow-up. Several inherent advantages of PMMA include familiarity for orthopedic surgeons, ease of handling, good biomechanical strength and stiffness, and cost-effectiveness [15]. </w:t>
      </w:r>
    </w:p>
    <w:p w:rsidR="00550A30" w:rsidRPr="008F3CEA" w:rsidRDefault="00550A30" w:rsidP="00550A30">
      <w:pPr>
        <w:spacing w:after="0" w:line="360" w:lineRule="auto"/>
        <w:jc w:val="both"/>
        <w:rPr>
          <w:rFonts w:ascii="Arial" w:hAnsi="Arial" w:cs="Arial"/>
          <w:b/>
          <w:color w:val="FF0000"/>
          <w:sz w:val="24"/>
          <w:szCs w:val="24"/>
          <w:lang w:val="en-US"/>
        </w:rPr>
      </w:pPr>
      <w:r w:rsidRPr="008F3CEA">
        <w:rPr>
          <w:rFonts w:ascii="Arial" w:hAnsi="Arial" w:cs="Arial"/>
          <w:color w:val="231F20"/>
          <w:sz w:val="24"/>
          <w:szCs w:val="24"/>
          <w:lang w:val="en-US"/>
        </w:rPr>
        <w:t>On the other hand, several problems associated with the use of PMMA have been reported, including: (i) absence of biologic potential to remodel or integrate into the surrounding bone, resulting in</w:t>
      </w:r>
      <w:r w:rsidRPr="008F3CEA">
        <w:rPr>
          <w:rFonts w:ascii="Arial" w:hAnsi="Arial" w:cs="Arial"/>
          <w:sz w:val="24"/>
          <w:szCs w:val="24"/>
        </w:rPr>
        <w:t xml:space="preserve"> the formation of a fibrous layer between the bone surface and the cement [3]</w:t>
      </w:r>
      <w:r w:rsidRPr="008F3CEA">
        <w:rPr>
          <w:rFonts w:ascii="Arial" w:hAnsi="Arial" w:cs="Arial"/>
          <w:color w:val="231F20"/>
          <w:sz w:val="24"/>
          <w:szCs w:val="24"/>
          <w:lang w:val="en-US"/>
        </w:rPr>
        <w:t>, (ii) no direct bone apposition, (iii) excessive inherent stiffness, (iv) high polymerization temperature, and (v) potential monomer toxicity. Although good clinical results have been reported for both vertebroplasty and kyphoplasty procedures, it is still unclear whether some component of the pain relief is secondary to the mechanical stabilization, chemical toxicity, or thermal necrosis of surrounding tissues and nerve ends [3].</w:t>
      </w:r>
    </w:p>
    <w:p w:rsidR="00550A30" w:rsidRPr="008F3CEA" w:rsidRDefault="00550A30" w:rsidP="00550A30">
      <w:pPr>
        <w:autoSpaceDE w:val="0"/>
        <w:autoSpaceDN w:val="0"/>
        <w:adjustRightInd w:val="0"/>
        <w:spacing w:after="0" w:line="360" w:lineRule="auto"/>
        <w:jc w:val="both"/>
        <w:rPr>
          <w:rFonts w:ascii="Arial" w:hAnsi="Arial" w:cs="Arial"/>
          <w:i/>
          <w:color w:val="231F20"/>
          <w:sz w:val="24"/>
          <w:szCs w:val="24"/>
          <w:lang w:val="en-US"/>
        </w:rPr>
      </w:pPr>
      <w:r w:rsidRPr="008F3CEA">
        <w:rPr>
          <w:rFonts w:ascii="Arial" w:hAnsi="Arial" w:cs="Arial"/>
          <w:color w:val="231F20"/>
          <w:sz w:val="24"/>
          <w:szCs w:val="24"/>
          <w:lang w:val="en-US"/>
        </w:rPr>
        <w:t>To overcome limitations associated with the use of PMMA, bioactive and biodegradable bone cements have been proposed. These bone cements are generally based on bioactive calcium phosphate compounds, like Hydroxyapatite (HA), β tricalcium phosphate (βTCP) or bioactive glasses [17]</w:t>
      </w:r>
      <w:r w:rsidRPr="008F3CEA">
        <w:rPr>
          <w:rFonts w:ascii="Arial" w:hAnsi="Arial" w:cs="Arial"/>
          <w:i/>
          <w:color w:val="231F20"/>
          <w:sz w:val="24"/>
          <w:szCs w:val="24"/>
          <w:lang w:val="en-US"/>
        </w:rPr>
        <w:t>.</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iCs/>
          <w:sz w:val="24"/>
          <w:szCs w:val="24"/>
          <w:lang w:val="en-US"/>
        </w:rPr>
        <w:t>These materials possess numerous advantages, such</w:t>
      </w:r>
      <w:r w:rsidRPr="008F3CEA">
        <w:rPr>
          <w:rFonts w:ascii="Arial" w:hAnsi="Arial" w:cs="Arial"/>
          <w:i/>
          <w:iCs/>
          <w:sz w:val="24"/>
          <w:szCs w:val="24"/>
          <w:lang w:val="en-US"/>
        </w:rPr>
        <w:t xml:space="preserve"> </w:t>
      </w:r>
      <w:r w:rsidRPr="008F3CEA">
        <w:rPr>
          <w:rFonts w:ascii="Arial" w:hAnsi="Arial" w:cs="Arial"/>
          <w:iCs/>
          <w:sz w:val="24"/>
          <w:szCs w:val="24"/>
          <w:lang w:val="en-US"/>
        </w:rPr>
        <w:t>as</w:t>
      </w:r>
      <w:r w:rsidRPr="008F3CEA">
        <w:rPr>
          <w:rFonts w:ascii="Arial" w:hAnsi="Arial" w:cs="Arial"/>
          <w:sz w:val="24"/>
          <w:szCs w:val="24"/>
          <w:lang w:val="en-US"/>
        </w:rPr>
        <w:t xml:space="preserve"> self-setting ability in vivo,  injectability (which allows cement implantation by means of minimally invasive surgical techniques) and the ability of perfectly fit the implant site, which assures good bone–material contact, even in geometrically complex defects.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Moreover the low-temperature setting allows incorporation of different drugs: from antibiotics and anti-inflammatory drugs to growth factors which are able to stimulate certain biological responses. This aspect gives a great potential to this type of materials for the controlled drug delivery in target sites of the skeletal system [</w:t>
      </w:r>
      <w:r w:rsidRPr="008F3CEA">
        <w:rPr>
          <w:rFonts w:ascii="Arial" w:hAnsi="Arial" w:cs="Arial"/>
          <w:color w:val="231F20"/>
          <w:sz w:val="24"/>
          <w:szCs w:val="24"/>
          <w:lang w:val="en-US"/>
        </w:rPr>
        <w:t>17</w:t>
      </w:r>
      <w:r w:rsidRPr="008F3CEA">
        <w:rPr>
          <w:rFonts w:ascii="Arial" w:hAnsi="Arial" w:cs="Arial"/>
          <w:sz w:val="24"/>
          <w:szCs w:val="24"/>
          <w:lang w:val="en-US"/>
        </w:rPr>
        <w:t>].</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In this chapter the preparation and characterization of a new biodegradable and bioactive bone cement is described.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This material is composed of an organic phase made of chitosan (CH), which is expected to improve the injectability, as well as of β tricalcium phosphate as inorganic phase able to </w:t>
      </w:r>
      <w:r w:rsidRPr="008F3CEA">
        <w:rPr>
          <w:rFonts w:ascii="Arial" w:hAnsi="Arial" w:cs="Arial"/>
          <w:sz w:val="24"/>
          <w:szCs w:val="24"/>
          <w:lang w:val="en-US"/>
        </w:rPr>
        <w:lastRenderedPageBreak/>
        <w:t>increase the bioactivity (i.e. the ability to stimulate new bone deposition) of the material [18].</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Genipin (GP) was selected as cross-linker for chitosan, due to its natural origin and biocompatibility [19].</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The cement composition was optimized to obtain the desired hardening time and dissolution rate and then reinforced with collagen, which is known to confer biomimetic ability and to increase the mechanical strength [20] of the material.</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Moreover, anti-inflammatory properties were given by including Indometacin-loaded biodegradable nanoparticles based on Poly(ε-caprolactone) (PCL) in the cement composition.</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Nanoparticles were prepared by the Solvent Displacement Method [21] and their size, encapsulation efficiency as well as release profiles were characterized.</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Injectability, compressive strength and bioactivity of the final cement composition were also investigated.</w:t>
      </w:r>
    </w:p>
    <w:p w:rsidR="00550A30" w:rsidRPr="008F3CEA" w:rsidRDefault="00550A30" w:rsidP="00550A30">
      <w:pPr>
        <w:spacing w:before="240" w:after="240" w:line="360" w:lineRule="auto"/>
        <w:jc w:val="both"/>
        <w:rPr>
          <w:rFonts w:ascii="Arial" w:hAnsi="Arial" w:cs="Arial"/>
          <w:b/>
          <w:sz w:val="28"/>
          <w:szCs w:val="28"/>
        </w:rPr>
      </w:pPr>
      <w:r w:rsidRPr="008F3CEA">
        <w:rPr>
          <w:rFonts w:ascii="Arial" w:hAnsi="Arial" w:cs="Arial"/>
          <w:b/>
          <w:sz w:val="28"/>
          <w:szCs w:val="28"/>
        </w:rPr>
        <w:t>4.2 Materials &amp; methods</w:t>
      </w:r>
    </w:p>
    <w:p w:rsidR="00550A30" w:rsidRPr="008F3CEA" w:rsidRDefault="00550A30" w:rsidP="00550A30">
      <w:pPr>
        <w:spacing w:before="240" w:after="240" w:line="360" w:lineRule="auto"/>
        <w:jc w:val="both"/>
        <w:rPr>
          <w:rFonts w:ascii="Arial" w:hAnsi="Arial" w:cs="Arial"/>
          <w:b/>
          <w:sz w:val="24"/>
          <w:szCs w:val="24"/>
        </w:rPr>
      </w:pPr>
      <w:r w:rsidRPr="008F3CEA">
        <w:rPr>
          <w:rFonts w:ascii="Arial" w:hAnsi="Arial" w:cs="Arial"/>
          <w:b/>
          <w:sz w:val="24"/>
          <w:szCs w:val="24"/>
        </w:rPr>
        <w:t>4.2.1 Materials</w:t>
      </w:r>
    </w:p>
    <w:p w:rsidR="00550A30" w:rsidRPr="008F3CEA" w:rsidRDefault="00550A30" w:rsidP="00550A30">
      <w:pPr>
        <w:pStyle w:val="Titolo1"/>
        <w:spacing w:before="0" w:line="360" w:lineRule="auto"/>
        <w:jc w:val="both"/>
        <w:rPr>
          <w:rFonts w:ascii="Arial" w:hAnsi="Arial" w:cs="Arial"/>
          <w:b w:val="0"/>
          <w:color w:val="auto"/>
          <w:sz w:val="24"/>
          <w:szCs w:val="24"/>
        </w:rPr>
      </w:pPr>
      <w:r w:rsidRPr="008F3CEA">
        <w:rPr>
          <w:rFonts w:ascii="Arial" w:hAnsi="Arial" w:cs="Arial"/>
          <w:b w:val="0"/>
          <w:color w:val="auto"/>
          <w:sz w:val="24"/>
          <w:szCs w:val="24"/>
        </w:rPr>
        <w:t xml:space="preserve">Chitosan (Mn 1000, 75%-85% deacetilation), collagen (from calf skin), </w:t>
      </w:r>
      <w:r w:rsidRPr="008F3CEA">
        <w:rPr>
          <w:rFonts w:ascii="Arial" w:eastAsiaTheme="minorHAnsi" w:hAnsi="Arial" w:cs="Arial"/>
          <w:b w:val="0"/>
          <w:color w:val="auto"/>
          <w:sz w:val="24"/>
          <w:szCs w:val="24"/>
          <w:lang w:val="en-US"/>
        </w:rPr>
        <w:t>β tricalcium phosphate</w:t>
      </w:r>
      <w:r w:rsidRPr="008F3CEA">
        <w:rPr>
          <w:rFonts w:ascii="Arial" w:hAnsi="Arial" w:cs="Arial"/>
          <w:b w:val="0"/>
          <w:color w:val="auto"/>
          <w:sz w:val="24"/>
          <w:szCs w:val="24"/>
        </w:rPr>
        <w:t xml:space="preserve"> (310.2 g/mol), tween80, vitamin E TPGS and Indomethacin were all purchased from Sigma Aldrich Italy. Simulated Body Fluids (SBF) were prepared according to the protocol proposed by Kokubo et al [22]. </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Poly(ε-caprolactone) (Mn 30000) was from Polysciences Inc, Genipin was supplied by Challange Bioproducts Co, Taichung – Taiwan.</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All other reagents and solvents were from Sigma Aldrich Italy. Solvents were of analytical grade. Deionized water was produced by a Millipore purification system.</w:t>
      </w:r>
    </w:p>
    <w:p w:rsidR="00550A30" w:rsidRPr="008F3CEA" w:rsidRDefault="00550A30" w:rsidP="00550A30">
      <w:pPr>
        <w:spacing w:before="240" w:after="240" w:line="360" w:lineRule="auto"/>
        <w:jc w:val="both"/>
        <w:rPr>
          <w:rFonts w:ascii="Arial" w:hAnsi="Arial" w:cs="Arial"/>
          <w:b/>
          <w:color w:val="000000"/>
          <w:sz w:val="24"/>
          <w:szCs w:val="24"/>
          <w:lang w:eastAsia="it-IT"/>
        </w:rPr>
      </w:pPr>
      <w:r w:rsidRPr="008F3CEA">
        <w:rPr>
          <w:rFonts w:ascii="Arial" w:hAnsi="Arial" w:cs="Arial"/>
          <w:b/>
          <w:color w:val="000000"/>
          <w:sz w:val="24"/>
          <w:szCs w:val="24"/>
          <w:lang w:eastAsia="it-IT"/>
        </w:rPr>
        <w:t>4.2.2 Preparation of Chitosan/βTCP bone cement: optimization of processing parameters.</w:t>
      </w:r>
    </w:p>
    <w:p w:rsidR="00550A30" w:rsidRPr="008F3CEA" w:rsidRDefault="00550A30" w:rsidP="00550A30">
      <w:pPr>
        <w:spacing w:after="0" w:line="360" w:lineRule="auto"/>
        <w:jc w:val="both"/>
        <w:rPr>
          <w:rFonts w:ascii="Arial" w:hAnsi="Arial" w:cs="Arial"/>
          <w:color w:val="000000"/>
          <w:sz w:val="24"/>
          <w:szCs w:val="24"/>
          <w:lang w:eastAsia="it-IT"/>
        </w:rPr>
      </w:pPr>
      <w:r w:rsidRPr="008F3CEA">
        <w:rPr>
          <w:rFonts w:ascii="Arial" w:hAnsi="Arial" w:cs="Arial"/>
          <w:color w:val="000000"/>
          <w:sz w:val="24"/>
          <w:szCs w:val="24"/>
          <w:lang w:eastAsia="it-IT"/>
        </w:rPr>
        <w:t>Crosslinking and hardening properties of different CH/βTCP blends were analyzed in order to optimise the ratio between the two components, as well as the amount of crosslinking agent (GP) with respect to the initial amount of chitosan.</w:t>
      </w:r>
    </w:p>
    <w:p w:rsidR="00550A30" w:rsidRPr="008F3CEA" w:rsidRDefault="00550A30" w:rsidP="00550A30">
      <w:pPr>
        <w:spacing w:after="120" w:line="360" w:lineRule="auto"/>
        <w:jc w:val="both"/>
        <w:rPr>
          <w:rFonts w:ascii="Arial" w:hAnsi="Arial" w:cs="Arial"/>
          <w:color w:val="000000"/>
          <w:sz w:val="24"/>
          <w:szCs w:val="24"/>
          <w:lang w:eastAsia="it-IT"/>
        </w:rPr>
      </w:pPr>
      <w:r w:rsidRPr="008F3CEA">
        <w:rPr>
          <w:rFonts w:ascii="Arial" w:hAnsi="Arial" w:cs="Arial"/>
          <w:color w:val="000000"/>
          <w:sz w:val="24"/>
          <w:szCs w:val="24"/>
          <w:lang w:eastAsia="it-IT"/>
        </w:rPr>
        <w:t>Five different CH/βTCP ratios (90/10, 70/30, 50/50, 30/70, 10/90 w/w) and four Genipin concentrations (2.5%, 3.5%, 5%, 7.5% w/w) were tested (see table 4.1).</w:t>
      </w:r>
    </w:p>
    <w:p w:rsidR="00550A30" w:rsidRPr="008F3CEA" w:rsidRDefault="00550A30" w:rsidP="00550A30">
      <w:pPr>
        <w:spacing w:after="120" w:line="360" w:lineRule="auto"/>
        <w:jc w:val="both"/>
        <w:rPr>
          <w:rFonts w:ascii="Arial" w:hAnsi="Arial" w:cs="Arial"/>
          <w:color w:val="000000"/>
          <w:sz w:val="24"/>
          <w:szCs w:val="24"/>
          <w:lang w:eastAsia="it-IT"/>
        </w:rPr>
      </w:pPr>
    </w:p>
    <w:tbl>
      <w:tblPr>
        <w:tblStyle w:val="Grigliatabella"/>
        <w:tblW w:w="0" w:type="auto"/>
        <w:jc w:val="center"/>
        <w:shd w:val="clear" w:color="auto" w:fill="EEECE1" w:themeFill="background2"/>
        <w:tblLook w:val="04A0"/>
      </w:tblPr>
      <w:tblGrid>
        <w:gridCol w:w="1757"/>
        <w:gridCol w:w="1757"/>
        <w:gridCol w:w="1757"/>
        <w:gridCol w:w="1757"/>
        <w:gridCol w:w="1757"/>
      </w:tblGrid>
      <w:tr w:rsidR="00550A30" w:rsidRPr="008F3CEA" w:rsidTr="009925A1">
        <w:trPr>
          <w:trHeight w:val="340"/>
          <w:jc w:val="center"/>
        </w:trPr>
        <w:tc>
          <w:tcPr>
            <w:tcW w:w="1757" w:type="dxa"/>
            <w:vMerge w:val="restart"/>
            <w:tcBorders>
              <w:right w:val="single" w:sz="4" w:space="0" w:color="auto"/>
            </w:tcBorders>
            <w:shd w:val="clear" w:color="auto" w:fill="EEECE1" w:themeFill="background2"/>
          </w:tcPr>
          <w:p w:rsidR="00550A30" w:rsidRPr="008F3CEA" w:rsidRDefault="00550A30" w:rsidP="009925A1">
            <w:pPr>
              <w:jc w:val="center"/>
              <w:rPr>
                <w:rFonts w:cstheme="minorHAnsi"/>
                <w:b/>
                <w:color w:val="000000"/>
                <w:lang w:eastAsia="it-IT"/>
              </w:rPr>
            </w:pPr>
            <w:r w:rsidRPr="008F3CEA">
              <w:rPr>
                <w:rFonts w:cstheme="minorHAnsi"/>
                <w:b/>
                <w:color w:val="000000"/>
                <w:lang w:eastAsia="it-IT"/>
              </w:rPr>
              <w:t>CH-TCP ratio (w/w)</w:t>
            </w:r>
          </w:p>
        </w:tc>
        <w:tc>
          <w:tcPr>
            <w:tcW w:w="7028" w:type="dxa"/>
            <w:gridSpan w:val="4"/>
            <w:tcBorders>
              <w:left w:val="single" w:sz="4" w:space="0" w:color="auto"/>
            </w:tcBorders>
            <w:shd w:val="clear" w:color="auto" w:fill="EEECE1" w:themeFill="background2"/>
          </w:tcPr>
          <w:p w:rsidR="00550A30" w:rsidRPr="008F3CEA" w:rsidRDefault="00550A30" w:rsidP="009925A1">
            <w:pPr>
              <w:jc w:val="center"/>
              <w:rPr>
                <w:rFonts w:cstheme="minorHAnsi"/>
                <w:b/>
                <w:color w:val="000000"/>
                <w:lang w:eastAsia="it-IT"/>
              </w:rPr>
            </w:pPr>
            <w:r w:rsidRPr="008F3CEA">
              <w:rPr>
                <w:rFonts w:cstheme="minorHAnsi"/>
                <w:b/>
                <w:color w:val="000000"/>
                <w:lang w:eastAsia="it-IT"/>
              </w:rPr>
              <w:t>GP concentration (w/w)</w:t>
            </w:r>
          </w:p>
        </w:tc>
      </w:tr>
      <w:tr w:rsidR="00550A30" w:rsidRPr="008F3CEA" w:rsidTr="009925A1">
        <w:trPr>
          <w:trHeight w:val="340"/>
          <w:jc w:val="center"/>
        </w:trPr>
        <w:tc>
          <w:tcPr>
            <w:tcW w:w="1757" w:type="dxa"/>
            <w:vMerge/>
            <w:tcBorders>
              <w:bottom w:val="single" w:sz="4" w:space="0" w:color="000000" w:themeColor="text1"/>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p>
        </w:tc>
        <w:tc>
          <w:tcPr>
            <w:tcW w:w="1757" w:type="dxa"/>
            <w:tcBorders>
              <w:left w:val="single" w:sz="4" w:space="0" w:color="auto"/>
              <w:bottom w:val="single" w:sz="4" w:space="0" w:color="000000" w:themeColor="text1"/>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2.5%</w:t>
            </w:r>
          </w:p>
        </w:tc>
        <w:tc>
          <w:tcPr>
            <w:tcW w:w="1757" w:type="dxa"/>
            <w:tcBorders>
              <w:left w:val="single" w:sz="4" w:space="0" w:color="auto"/>
              <w:bottom w:val="single" w:sz="4" w:space="0" w:color="000000" w:themeColor="text1"/>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3.5%</w:t>
            </w:r>
          </w:p>
        </w:tc>
        <w:tc>
          <w:tcPr>
            <w:tcW w:w="1757" w:type="dxa"/>
            <w:tcBorders>
              <w:left w:val="single" w:sz="4" w:space="0" w:color="auto"/>
              <w:bottom w:val="single" w:sz="4" w:space="0" w:color="000000" w:themeColor="text1"/>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5%</w:t>
            </w:r>
          </w:p>
        </w:tc>
        <w:tc>
          <w:tcPr>
            <w:tcW w:w="1757" w:type="dxa"/>
            <w:tcBorders>
              <w:left w:val="single" w:sz="4" w:space="0" w:color="auto"/>
              <w:bottom w:val="single" w:sz="4" w:space="0" w:color="000000" w:themeColor="text1"/>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7.5%</w:t>
            </w:r>
          </w:p>
        </w:tc>
      </w:tr>
      <w:tr w:rsidR="00550A30" w:rsidRPr="008F3CEA" w:rsidTr="009925A1">
        <w:trPr>
          <w:trHeight w:val="340"/>
          <w:jc w:val="center"/>
        </w:trPr>
        <w:tc>
          <w:tcPr>
            <w:tcW w:w="1757" w:type="dxa"/>
            <w:tcBorders>
              <w:bottom w:val="nil"/>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90/10</w:t>
            </w:r>
          </w:p>
        </w:tc>
        <w:tc>
          <w:tcPr>
            <w:tcW w:w="1757" w:type="dxa"/>
            <w:tcBorders>
              <w:left w:val="single" w:sz="4" w:space="0" w:color="auto"/>
              <w:bottom w:val="nil"/>
              <w:right w:val="single" w:sz="4" w:space="0" w:color="auto"/>
            </w:tcBorders>
            <w:shd w:val="clear" w:color="auto" w:fill="EEECE1" w:themeFill="background2"/>
          </w:tcPr>
          <w:p w:rsidR="00550A30" w:rsidRPr="008F3CEA" w:rsidRDefault="00550A30" w:rsidP="009925A1">
            <w:pPr>
              <w:jc w:val="both"/>
              <w:rPr>
                <w:rFonts w:cstheme="minorHAnsi"/>
                <w:color w:val="000000"/>
                <w:lang w:eastAsia="it-IT"/>
              </w:rPr>
            </w:pPr>
            <w:r w:rsidRPr="008F3CEA">
              <w:rPr>
                <w:rFonts w:cstheme="minorHAnsi"/>
                <w:color w:val="000000"/>
                <w:lang w:eastAsia="it-IT"/>
              </w:rPr>
              <w:t>90/10_ GP2.5</w:t>
            </w:r>
          </w:p>
        </w:tc>
        <w:tc>
          <w:tcPr>
            <w:tcW w:w="1757" w:type="dxa"/>
            <w:tcBorders>
              <w:left w:val="single" w:sz="4" w:space="0" w:color="auto"/>
              <w:bottom w:val="nil"/>
              <w:right w:val="single" w:sz="4" w:space="0" w:color="auto"/>
            </w:tcBorders>
            <w:shd w:val="clear" w:color="auto" w:fill="EEECE1" w:themeFill="background2"/>
          </w:tcPr>
          <w:p w:rsidR="00550A30" w:rsidRPr="008F3CEA" w:rsidRDefault="00550A30" w:rsidP="009925A1">
            <w:pPr>
              <w:jc w:val="both"/>
              <w:rPr>
                <w:rFonts w:cstheme="minorHAnsi"/>
                <w:color w:val="000000"/>
                <w:lang w:eastAsia="it-IT"/>
              </w:rPr>
            </w:pPr>
            <w:r w:rsidRPr="008F3CEA">
              <w:rPr>
                <w:rFonts w:cstheme="minorHAnsi"/>
                <w:color w:val="000000"/>
                <w:lang w:eastAsia="it-IT"/>
              </w:rPr>
              <w:t>90/10_ GP3.5</w:t>
            </w:r>
          </w:p>
        </w:tc>
        <w:tc>
          <w:tcPr>
            <w:tcW w:w="1757" w:type="dxa"/>
            <w:tcBorders>
              <w:left w:val="single" w:sz="4" w:space="0" w:color="auto"/>
              <w:bottom w:val="nil"/>
              <w:right w:val="single" w:sz="4" w:space="0" w:color="auto"/>
            </w:tcBorders>
            <w:shd w:val="clear" w:color="auto" w:fill="EEECE1" w:themeFill="background2"/>
          </w:tcPr>
          <w:p w:rsidR="00550A30" w:rsidRPr="008F3CEA" w:rsidRDefault="00550A30" w:rsidP="009925A1">
            <w:pPr>
              <w:jc w:val="both"/>
              <w:rPr>
                <w:rFonts w:cstheme="minorHAnsi"/>
                <w:color w:val="000000"/>
                <w:lang w:eastAsia="it-IT"/>
              </w:rPr>
            </w:pPr>
            <w:r w:rsidRPr="008F3CEA">
              <w:rPr>
                <w:rFonts w:cstheme="minorHAnsi"/>
                <w:color w:val="000000"/>
                <w:lang w:eastAsia="it-IT"/>
              </w:rPr>
              <w:t>90/10_ GP5</w:t>
            </w:r>
          </w:p>
        </w:tc>
        <w:tc>
          <w:tcPr>
            <w:tcW w:w="1757" w:type="dxa"/>
            <w:tcBorders>
              <w:left w:val="single" w:sz="4" w:space="0" w:color="auto"/>
              <w:bottom w:val="nil"/>
            </w:tcBorders>
            <w:shd w:val="clear" w:color="auto" w:fill="EEECE1" w:themeFill="background2"/>
          </w:tcPr>
          <w:p w:rsidR="00550A30" w:rsidRPr="008F3CEA" w:rsidRDefault="00550A30" w:rsidP="009925A1">
            <w:pPr>
              <w:jc w:val="both"/>
              <w:rPr>
                <w:rFonts w:cstheme="minorHAnsi"/>
                <w:color w:val="000000"/>
                <w:lang w:eastAsia="it-IT"/>
              </w:rPr>
            </w:pPr>
            <w:r w:rsidRPr="008F3CEA">
              <w:rPr>
                <w:rFonts w:cstheme="minorHAnsi"/>
                <w:color w:val="000000"/>
                <w:lang w:eastAsia="it-IT"/>
              </w:rPr>
              <w:t>90/10_ GP7.5</w:t>
            </w:r>
          </w:p>
        </w:tc>
      </w:tr>
      <w:tr w:rsidR="00550A30" w:rsidRPr="008F3CEA" w:rsidTr="009925A1">
        <w:trPr>
          <w:trHeight w:val="340"/>
          <w:jc w:val="center"/>
        </w:trPr>
        <w:tc>
          <w:tcPr>
            <w:tcW w:w="1757" w:type="dxa"/>
            <w:tcBorders>
              <w:top w:val="nil"/>
              <w:bottom w:val="nil"/>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70/30</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70/30_ GP2.5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70/30_ GP3.5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70/30_ GP5</w:t>
            </w:r>
          </w:p>
        </w:tc>
        <w:tc>
          <w:tcPr>
            <w:tcW w:w="1757" w:type="dxa"/>
            <w:tcBorders>
              <w:top w:val="nil"/>
              <w:left w:val="single" w:sz="4" w:space="0" w:color="auto"/>
              <w:bottom w:val="nil"/>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70/30_ GP7.5</w:t>
            </w:r>
          </w:p>
        </w:tc>
      </w:tr>
      <w:tr w:rsidR="00550A30" w:rsidRPr="008F3CEA" w:rsidTr="009925A1">
        <w:trPr>
          <w:trHeight w:val="340"/>
          <w:jc w:val="center"/>
        </w:trPr>
        <w:tc>
          <w:tcPr>
            <w:tcW w:w="1757" w:type="dxa"/>
            <w:tcBorders>
              <w:top w:val="nil"/>
              <w:bottom w:val="nil"/>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50/50</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50/50_ GP2.5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50/50_ GP3.5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50/50_ GP5</w:t>
            </w:r>
          </w:p>
        </w:tc>
        <w:tc>
          <w:tcPr>
            <w:tcW w:w="1757" w:type="dxa"/>
            <w:tcBorders>
              <w:top w:val="nil"/>
              <w:left w:val="single" w:sz="4" w:space="0" w:color="auto"/>
              <w:bottom w:val="nil"/>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50/50_ GP7.5</w:t>
            </w:r>
          </w:p>
        </w:tc>
      </w:tr>
      <w:tr w:rsidR="00550A30" w:rsidRPr="008F3CEA" w:rsidTr="009925A1">
        <w:trPr>
          <w:trHeight w:val="340"/>
          <w:jc w:val="center"/>
        </w:trPr>
        <w:tc>
          <w:tcPr>
            <w:tcW w:w="1757" w:type="dxa"/>
            <w:tcBorders>
              <w:top w:val="nil"/>
              <w:bottom w:val="nil"/>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30/70</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30/70_ GP2.5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30/70_ GP3.5</w:t>
            </w:r>
          </w:p>
        </w:tc>
        <w:tc>
          <w:tcPr>
            <w:tcW w:w="1757" w:type="dxa"/>
            <w:tcBorders>
              <w:top w:val="nil"/>
              <w:left w:val="single" w:sz="4" w:space="0" w:color="auto"/>
              <w:bottom w:val="nil"/>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30/70_ GP5</w:t>
            </w:r>
          </w:p>
        </w:tc>
        <w:tc>
          <w:tcPr>
            <w:tcW w:w="1757" w:type="dxa"/>
            <w:tcBorders>
              <w:top w:val="nil"/>
              <w:left w:val="single" w:sz="4" w:space="0" w:color="auto"/>
              <w:bottom w:val="nil"/>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30/70_ GP7.5</w:t>
            </w:r>
          </w:p>
        </w:tc>
      </w:tr>
      <w:tr w:rsidR="00550A30" w:rsidRPr="008F3CEA" w:rsidTr="009925A1">
        <w:trPr>
          <w:trHeight w:val="340"/>
          <w:jc w:val="center"/>
        </w:trPr>
        <w:tc>
          <w:tcPr>
            <w:tcW w:w="1757" w:type="dxa"/>
            <w:tcBorders>
              <w:top w:val="nil"/>
              <w:bottom w:val="single" w:sz="4" w:space="0" w:color="auto"/>
              <w:right w:val="single" w:sz="4" w:space="0" w:color="auto"/>
            </w:tcBorders>
            <w:shd w:val="clear" w:color="auto" w:fill="EEECE1" w:themeFill="background2"/>
          </w:tcPr>
          <w:p w:rsidR="00550A30" w:rsidRPr="008F3CEA" w:rsidRDefault="00550A30" w:rsidP="009925A1">
            <w:pPr>
              <w:jc w:val="both"/>
              <w:rPr>
                <w:rFonts w:cstheme="minorHAnsi"/>
                <w:b/>
                <w:color w:val="000000"/>
                <w:lang w:eastAsia="it-IT"/>
              </w:rPr>
            </w:pPr>
            <w:r w:rsidRPr="008F3CEA">
              <w:rPr>
                <w:rFonts w:cstheme="minorHAnsi"/>
                <w:b/>
                <w:color w:val="000000"/>
                <w:lang w:eastAsia="it-IT"/>
              </w:rPr>
              <w:t>10/90</w:t>
            </w:r>
          </w:p>
        </w:tc>
        <w:tc>
          <w:tcPr>
            <w:tcW w:w="1757" w:type="dxa"/>
            <w:tcBorders>
              <w:top w:val="nil"/>
              <w:left w:val="single" w:sz="4" w:space="0" w:color="auto"/>
              <w:bottom w:val="single" w:sz="4" w:space="0" w:color="auto"/>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10/90_ GP2.5</w:t>
            </w:r>
          </w:p>
        </w:tc>
        <w:tc>
          <w:tcPr>
            <w:tcW w:w="1757" w:type="dxa"/>
            <w:tcBorders>
              <w:top w:val="nil"/>
              <w:left w:val="single" w:sz="4" w:space="0" w:color="auto"/>
              <w:bottom w:val="single" w:sz="4" w:space="0" w:color="auto"/>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10/90_ GP3.5</w:t>
            </w:r>
          </w:p>
        </w:tc>
        <w:tc>
          <w:tcPr>
            <w:tcW w:w="1757" w:type="dxa"/>
            <w:tcBorders>
              <w:top w:val="nil"/>
              <w:left w:val="single" w:sz="4" w:space="0" w:color="auto"/>
              <w:bottom w:val="single" w:sz="4" w:space="0" w:color="auto"/>
              <w:right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10/90_ GP5</w:t>
            </w:r>
          </w:p>
        </w:tc>
        <w:tc>
          <w:tcPr>
            <w:tcW w:w="1757" w:type="dxa"/>
            <w:tcBorders>
              <w:top w:val="nil"/>
              <w:left w:val="single" w:sz="4" w:space="0" w:color="auto"/>
              <w:bottom w:val="single" w:sz="4" w:space="0" w:color="auto"/>
            </w:tcBorders>
            <w:shd w:val="clear" w:color="auto" w:fill="EEECE1" w:themeFill="background2"/>
          </w:tcPr>
          <w:p w:rsidR="00550A30" w:rsidRPr="008F3CEA" w:rsidRDefault="00550A30" w:rsidP="009925A1">
            <w:pPr>
              <w:rPr>
                <w:rFonts w:cstheme="minorHAnsi"/>
              </w:rPr>
            </w:pPr>
            <w:r w:rsidRPr="008F3CEA">
              <w:rPr>
                <w:rFonts w:cstheme="minorHAnsi"/>
                <w:color w:val="000000"/>
                <w:lang w:eastAsia="it-IT"/>
              </w:rPr>
              <w:t>10/90_ GP7.5</w:t>
            </w:r>
          </w:p>
        </w:tc>
      </w:tr>
    </w:tbl>
    <w:p w:rsidR="00550A30" w:rsidRPr="008F3CEA" w:rsidRDefault="00550A30" w:rsidP="00550A30">
      <w:pPr>
        <w:pStyle w:val="Didascalia"/>
        <w:spacing w:before="120"/>
        <w:rPr>
          <w:rFonts w:ascii="Arial" w:hAnsi="Arial" w:cs="Arial"/>
          <w:b w:val="0"/>
          <w:color w:val="000000"/>
          <w:sz w:val="24"/>
          <w:szCs w:val="24"/>
          <w:lang w:eastAsia="it-IT"/>
        </w:rPr>
      </w:pPr>
      <w:r w:rsidRPr="008F3CEA">
        <w:t xml:space="preserve">Table 4. </w:t>
      </w:r>
      <w:fldSimple w:instr=" SEQ Table_4. \* ARABIC ">
        <w:r w:rsidRPr="008F3CEA">
          <w:rPr>
            <w:noProof/>
          </w:rPr>
          <w:t>1</w:t>
        </w:r>
      </w:fldSimple>
      <w:r w:rsidRPr="008F3CEA">
        <w:t xml:space="preserve"> Sample nomenclature according to the concentration of cross linking agent and to the ratio of organic/inolrganic phase </w:t>
      </w:r>
      <w:r w:rsidRPr="008F3CEA">
        <w:rPr>
          <w:rFonts w:ascii="Arial" w:hAnsi="Arial" w:cs="Arial"/>
          <w:color w:val="000000"/>
          <w:sz w:val="24"/>
          <w:szCs w:val="24"/>
          <w:lang w:eastAsia="it-IT"/>
        </w:rPr>
        <w:t xml:space="preserve"> </w:t>
      </w:r>
      <w:r w:rsidRPr="008F3CEA">
        <w:rPr>
          <w:rFonts w:ascii="Arial" w:hAnsi="Arial" w:cs="Arial"/>
          <w:b w:val="0"/>
          <w:color w:val="000000"/>
          <w:sz w:val="24"/>
          <w:szCs w:val="24"/>
          <w:lang w:eastAsia="it-IT"/>
        </w:rPr>
        <w:t xml:space="preserve"> </w:t>
      </w:r>
    </w:p>
    <w:p w:rsidR="00550A30" w:rsidRPr="008F3CEA" w:rsidRDefault="00550A30" w:rsidP="00550A30">
      <w:pPr>
        <w:spacing w:after="0" w:line="360" w:lineRule="auto"/>
        <w:jc w:val="both"/>
        <w:rPr>
          <w:rFonts w:ascii="Arial" w:hAnsi="Arial" w:cs="Arial"/>
          <w:sz w:val="24"/>
          <w:szCs w:val="24"/>
          <w:lang w:eastAsia="it-IT"/>
        </w:rPr>
      </w:pPr>
      <w:r w:rsidRPr="008F3CEA">
        <w:rPr>
          <w:rFonts w:ascii="Arial" w:hAnsi="Arial" w:cs="Arial"/>
          <w:sz w:val="24"/>
          <w:szCs w:val="24"/>
          <w:lang w:eastAsia="it-IT"/>
        </w:rPr>
        <w:t>Chitosan (2%w/v) was dissolved in 0.5M acetic acid under magnetic stirring for 12 hours. The pH of the solution was adjusted to 6 by addition of 1M NaOH.</w:t>
      </w:r>
    </w:p>
    <w:p w:rsidR="00550A30" w:rsidRPr="008F3CEA" w:rsidRDefault="00550A30" w:rsidP="00550A30">
      <w:pPr>
        <w:spacing w:after="0" w:line="360" w:lineRule="auto"/>
        <w:jc w:val="both"/>
        <w:rPr>
          <w:rFonts w:ascii="Arial" w:hAnsi="Arial" w:cs="Arial"/>
          <w:sz w:val="24"/>
          <w:szCs w:val="24"/>
          <w:lang w:eastAsia="it-IT"/>
        </w:rPr>
      </w:pPr>
      <w:r w:rsidRPr="008F3CEA">
        <w:rPr>
          <w:rFonts w:ascii="Arial" w:hAnsi="Arial" w:cs="Arial"/>
          <w:sz w:val="24"/>
          <w:szCs w:val="24"/>
          <w:lang w:eastAsia="it-IT"/>
        </w:rPr>
        <w:t>Blends were prepared by adding the inorganic phase (βTCP) and the cross-linker (GP) to known amount of the chitosan solution, under magnetic stirring at 40°C.</w:t>
      </w:r>
    </w:p>
    <w:p w:rsidR="00550A30" w:rsidRPr="008F3CEA" w:rsidRDefault="00550A30" w:rsidP="00550A30">
      <w:pPr>
        <w:spacing w:after="0" w:line="360" w:lineRule="auto"/>
        <w:jc w:val="both"/>
        <w:rPr>
          <w:rFonts w:ascii="Arial" w:hAnsi="Arial" w:cs="Arial"/>
          <w:sz w:val="24"/>
          <w:szCs w:val="24"/>
          <w:lang w:eastAsia="it-IT"/>
        </w:rPr>
      </w:pPr>
      <w:r w:rsidRPr="008F3CEA">
        <w:rPr>
          <w:rFonts w:ascii="Arial" w:hAnsi="Arial" w:cs="Arial"/>
          <w:sz w:val="24"/>
          <w:szCs w:val="24"/>
          <w:lang w:eastAsia="it-IT"/>
        </w:rPr>
        <w:t>The obtained solutions were kept under stirring until complete setting was achieved, then poured into 24 well plates and incubated at 37°C for 24 hours to complete the cross linking reaction. Samples were stored at 4°C and used for further analysis.</w:t>
      </w:r>
    </w:p>
    <w:p w:rsidR="00550A30" w:rsidRPr="008F3CEA" w:rsidRDefault="00550A30" w:rsidP="00550A30">
      <w:pPr>
        <w:spacing w:before="240" w:after="240" w:line="360" w:lineRule="auto"/>
        <w:jc w:val="both"/>
        <w:rPr>
          <w:rFonts w:ascii="Arial" w:hAnsi="Arial" w:cs="Arial"/>
          <w:b/>
          <w:sz w:val="24"/>
          <w:szCs w:val="24"/>
        </w:rPr>
      </w:pPr>
      <w:r w:rsidRPr="008F3CEA">
        <w:rPr>
          <w:rFonts w:ascii="Arial" w:hAnsi="Arial" w:cs="Arial"/>
          <w:b/>
          <w:sz w:val="24"/>
          <w:szCs w:val="24"/>
        </w:rPr>
        <w:t>4.2.3 Dissolution tests</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Dried samples were accurately weighted immersed in 5ml of 0,1M Phosphate buffer (PBS, pH 7.4) and incubated at 37°C for 3, 7 and 14 days.</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After each time period, samples were washed several times with de-ionized distilled water, dried for 48/72 hours and then weighed.</w:t>
      </w:r>
    </w:p>
    <w:p w:rsidR="00550A30" w:rsidRPr="008F3CEA" w:rsidRDefault="00550A30" w:rsidP="00550A30">
      <w:pPr>
        <w:spacing w:after="120" w:line="360" w:lineRule="auto"/>
        <w:jc w:val="both"/>
        <w:rPr>
          <w:rFonts w:ascii="Arial" w:hAnsi="Arial" w:cs="Arial"/>
          <w:sz w:val="24"/>
          <w:szCs w:val="24"/>
        </w:rPr>
      </w:pPr>
      <w:r w:rsidRPr="008F3CEA">
        <w:rPr>
          <w:rFonts w:ascii="Arial" w:hAnsi="Arial" w:cs="Arial"/>
          <w:sz w:val="24"/>
          <w:szCs w:val="24"/>
        </w:rPr>
        <w:t>Weight loss was measured as follows:</w:t>
      </w:r>
    </w:p>
    <w:p w:rsidR="00550A30" w:rsidRPr="008F3CEA" w:rsidRDefault="00550A30" w:rsidP="00550A30">
      <w:pPr>
        <w:spacing w:after="0" w:line="360" w:lineRule="auto"/>
        <w:jc w:val="center"/>
        <w:rPr>
          <w:rFonts w:ascii="Arial" w:hAnsi="Arial" w:cs="Arial"/>
          <w:sz w:val="24"/>
          <w:szCs w:val="24"/>
        </w:rPr>
      </w:pPr>
      <m:oMathPara>
        <m:oMath>
          <m:r>
            <w:rPr>
              <w:rFonts w:ascii="Cambria Math" w:hAnsi="Cambria Math" w:cs="Arial"/>
              <w:sz w:val="24"/>
              <w:szCs w:val="24"/>
            </w:rPr>
            <m:t>%D=</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i</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f</m:t>
                  </m:r>
                </m:sub>
              </m:sSub>
            </m:num>
            <m:den>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i</m:t>
                  </m:r>
                </m:sub>
              </m:sSub>
            </m:den>
          </m:f>
          <m:r>
            <w:rPr>
              <w:rFonts w:ascii="Cambria Math" w:hAnsi="Cambria Math" w:cs="Arial"/>
              <w:sz w:val="24"/>
              <w:szCs w:val="24"/>
            </w:rPr>
            <m:t>*100          Eq 4.1</m:t>
          </m:r>
        </m:oMath>
      </m:oMathPara>
    </w:p>
    <w:p w:rsidR="00550A30" w:rsidRPr="008F3CEA" w:rsidRDefault="00550A30" w:rsidP="00550A30">
      <w:pPr>
        <w:spacing w:before="120" w:after="0" w:line="360" w:lineRule="auto"/>
        <w:jc w:val="both"/>
        <w:rPr>
          <w:rFonts w:ascii="Arial" w:hAnsi="Arial" w:cs="Arial"/>
          <w:sz w:val="24"/>
          <w:szCs w:val="24"/>
          <w:lang w:eastAsia="it-IT"/>
        </w:rPr>
      </w:pPr>
      <w:r w:rsidRPr="008F3CEA">
        <w:rPr>
          <w:rFonts w:ascii="Arial" w:hAnsi="Arial" w:cs="Arial"/>
          <w:sz w:val="24"/>
          <w:szCs w:val="24"/>
          <w:lang w:eastAsia="it-IT"/>
        </w:rPr>
        <w:t>Where W</w:t>
      </w:r>
      <w:r w:rsidRPr="008F3CEA">
        <w:rPr>
          <w:rFonts w:ascii="Arial" w:hAnsi="Arial" w:cs="Arial"/>
          <w:sz w:val="24"/>
          <w:szCs w:val="24"/>
          <w:vertAlign w:val="subscript"/>
          <w:lang w:eastAsia="it-IT"/>
        </w:rPr>
        <w:t xml:space="preserve">i </w:t>
      </w:r>
      <w:r w:rsidRPr="008F3CEA">
        <w:rPr>
          <w:rFonts w:ascii="Arial" w:hAnsi="Arial" w:cs="Arial"/>
          <w:sz w:val="24"/>
          <w:szCs w:val="24"/>
          <w:lang w:eastAsia="it-IT"/>
        </w:rPr>
        <w:t>and W</w:t>
      </w:r>
      <w:r w:rsidRPr="008F3CEA">
        <w:rPr>
          <w:rFonts w:ascii="Arial" w:hAnsi="Arial" w:cs="Arial"/>
          <w:sz w:val="24"/>
          <w:szCs w:val="24"/>
          <w:vertAlign w:val="subscript"/>
          <w:lang w:eastAsia="it-IT"/>
        </w:rPr>
        <w:t>f</w:t>
      </w:r>
      <w:r w:rsidRPr="008F3CEA">
        <w:rPr>
          <w:rFonts w:ascii="Arial" w:hAnsi="Arial" w:cs="Arial"/>
          <w:sz w:val="24"/>
          <w:szCs w:val="24"/>
          <w:lang w:eastAsia="it-IT"/>
        </w:rPr>
        <w:t xml:space="preserve"> are the initial and final weight of each sample, respectively.</w:t>
      </w:r>
    </w:p>
    <w:p w:rsidR="00550A30" w:rsidRPr="008F3CEA" w:rsidRDefault="00550A30" w:rsidP="00550A30">
      <w:pPr>
        <w:spacing w:after="0" w:line="360" w:lineRule="auto"/>
        <w:jc w:val="both"/>
        <w:rPr>
          <w:rFonts w:ascii="Arial" w:hAnsi="Arial" w:cs="Arial"/>
          <w:sz w:val="24"/>
          <w:szCs w:val="24"/>
          <w:lang w:eastAsia="it-IT"/>
        </w:rPr>
      </w:pPr>
      <w:r w:rsidRPr="008F3CEA">
        <w:rPr>
          <w:rFonts w:ascii="Arial" w:hAnsi="Arial" w:cs="Arial"/>
          <w:sz w:val="24"/>
          <w:szCs w:val="24"/>
          <w:lang w:eastAsia="it-IT"/>
        </w:rPr>
        <w:t xml:space="preserve">Experiments were carried out in triplicate and results are expressed as mean ± standard deviation. </w:t>
      </w:r>
    </w:p>
    <w:p w:rsidR="00550A30" w:rsidRPr="008F3CEA" w:rsidRDefault="00550A30" w:rsidP="00550A30">
      <w:pPr>
        <w:spacing w:before="240" w:after="240" w:line="360" w:lineRule="auto"/>
        <w:jc w:val="both"/>
        <w:rPr>
          <w:rFonts w:ascii="Arial" w:hAnsi="Arial" w:cs="Arial"/>
          <w:b/>
          <w:sz w:val="24"/>
          <w:szCs w:val="24"/>
          <w:lang w:val="en-US"/>
        </w:rPr>
      </w:pPr>
      <w:r w:rsidRPr="008F3CEA">
        <w:rPr>
          <w:rFonts w:ascii="Arial" w:hAnsi="Arial" w:cs="Arial"/>
          <w:b/>
          <w:sz w:val="24"/>
          <w:szCs w:val="24"/>
          <w:lang w:val="en-US"/>
        </w:rPr>
        <w:t>4.2.4 Bioactivity assessment</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To assess the bioactivity, all samples were immersed in simulated body fluids (SBF pH 7,4) and incubated at 37°C for 14 and 30 days.</w:t>
      </w:r>
    </w:p>
    <w:p w:rsidR="00550A30" w:rsidRPr="008F3CEA" w:rsidRDefault="00550A30" w:rsidP="00550A30">
      <w:pPr>
        <w:spacing w:after="120" w:line="360" w:lineRule="auto"/>
        <w:jc w:val="both"/>
        <w:rPr>
          <w:rFonts w:ascii="Arial" w:hAnsi="Arial" w:cs="Arial"/>
          <w:sz w:val="24"/>
          <w:szCs w:val="24"/>
          <w:lang w:val="en-US"/>
        </w:rPr>
      </w:pPr>
      <w:r w:rsidRPr="008F3CEA">
        <w:rPr>
          <w:rFonts w:ascii="Arial" w:hAnsi="Arial" w:cs="Arial"/>
          <w:sz w:val="24"/>
          <w:szCs w:val="24"/>
          <w:lang w:val="en-US"/>
        </w:rPr>
        <w:lastRenderedPageBreak/>
        <w:t>SBF was prepared according to the protocol proposed by Kokubo et al. [22] at 37°C, by adding the following reagents (Sigma Aldrich) in de-ionized distilled water:</w:t>
      </w:r>
    </w:p>
    <w:p w:rsidR="00550A30" w:rsidRPr="008F3CEA" w:rsidRDefault="00550A30" w:rsidP="00550A30">
      <w:pPr>
        <w:spacing w:after="0" w:line="360" w:lineRule="auto"/>
        <w:rPr>
          <w:rFonts w:ascii="Arial" w:hAnsi="Arial" w:cs="Arial"/>
          <w:sz w:val="24"/>
          <w:szCs w:val="24"/>
          <w:lang w:val="en-US"/>
        </w:rPr>
      </w:pPr>
      <w:r w:rsidRPr="008F3CEA">
        <w:rPr>
          <w:rFonts w:ascii="Arial" w:hAnsi="Arial" w:cs="Arial"/>
          <w:sz w:val="24"/>
          <w:szCs w:val="24"/>
          <w:lang w:val="en-US"/>
        </w:rPr>
        <w:t>1. NaCl (8.035 g)</w:t>
      </w:r>
    </w:p>
    <w:p w:rsidR="00550A30" w:rsidRPr="008F3CEA" w:rsidRDefault="00550A30" w:rsidP="00550A30">
      <w:pPr>
        <w:spacing w:after="0" w:line="360" w:lineRule="auto"/>
        <w:rPr>
          <w:rFonts w:ascii="Arial" w:hAnsi="Arial" w:cs="Arial"/>
          <w:sz w:val="24"/>
          <w:szCs w:val="24"/>
          <w:lang w:val="en-US"/>
        </w:rPr>
      </w:pPr>
      <w:r w:rsidRPr="008F3CEA">
        <w:rPr>
          <w:rFonts w:ascii="Arial" w:hAnsi="Arial" w:cs="Arial"/>
          <w:sz w:val="24"/>
          <w:szCs w:val="24"/>
          <w:lang w:val="en-US"/>
        </w:rPr>
        <w:t>2. NaHCO</w:t>
      </w:r>
      <w:r w:rsidRPr="008F3CEA">
        <w:rPr>
          <w:rFonts w:ascii="Arial" w:hAnsi="Arial" w:cs="Arial"/>
          <w:sz w:val="24"/>
          <w:szCs w:val="24"/>
          <w:vertAlign w:val="subscript"/>
          <w:lang w:val="en-US"/>
        </w:rPr>
        <w:t>3</w:t>
      </w:r>
      <w:r w:rsidRPr="008F3CEA">
        <w:rPr>
          <w:rFonts w:ascii="Arial" w:hAnsi="Arial" w:cs="Arial"/>
          <w:sz w:val="24"/>
          <w:szCs w:val="24"/>
          <w:lang w:val="en-US"/>
        </w:rPr>
        <w:t xml:space="preserve"> (0.355 g)</w:t>
      </w:r>
    </w:p>
    <w:p w:rsidR="00550A30" w:rsidRPr="008F3CEA" w:rsidRDefault="00550A30" w:rsidP="00550A30">
      <w:pPr>
        <w:spacing w:after="0" w:line="360" w:lineRule="auto"/>
        <w:rPr>
          <w:rFonts w:ascii="Arial" w:hAnsi="Arial" w:cs="Arial"/>
          <w:sz w:val="24"/>
          <w:szCs w:val="24"/>
          <w:lang w:val="en-US"/>
        </w:rPr>
      </w:pPr>
      <w:r w:rsidRPr="008F3CEA">
        <w:rPr>
          <w:rFonts w:ascii="Arial" w:hAnsi="Arial" w:cs="Arial"/>
          <w:sz w:val="24"/>
          <w:szCs w:val="24"/>
          <w:lang w:val="en-US"/>
        </w:rPr>
        <w:t>3. KCl (0.225 g)</w:t>
      </w:r>
    </w:p>
    <w:p w:rsidR="00550A30" w:rsidRPr="008F3CEA" w:rsidRDefault="00550A30" w:rsidP="00550A30">
      <w:pPr>
        <w:spacing w:after="0" w:line="360" w:lineRule="auto"/>
        <w:rPr>
          <w:rFonts w:ascii="Arial" w:hAnsi="Arial" w:cs="Arial"/>
          <w:sz w:val="24"/>
          <w:szCs w:val="24"/>
          <w:lang w:val="it-IT"/>
        </w:rPr>
      </w:pPr>
      <w:r w:rsidRPr="008F3CEA">
        <w:rPr>
          <w:rFonts w:ascii="Arial" w:hAnsi="Arial" w:cs="Arial"/>
          <w:sz w:val="24"/>
          <w:szCs w:val="24"/>
          <w:lang w:val="it-IT"/>
        </w:rPr>
        <w:t>4. K</w:t>
      </w:r>
      <w:r w:rsidRPr="008F3CEA">
        <w:rPr>
          <w:rFonts w:ascii="Arial" w:hAnsi="Arial" w:cs="Arial"/>
          <w:sz w:val="24"/>
          <w:szCs w:val="24"/>
          <w:vertAlign w:val="subscript"/>
          <w:lang w:val="it-IT"/>
        </w:rPr>
        <w:t>2</w:t>
      </w:r>
      <w:r w:rsidRPr="008F3CEA">
        <w:rPr>
          <w:rFonts w:ascii="Arial" w:hAnsi="Arial" w:cs="Arial"/>
          <w:sz w:val="24"/>
          <w:szCs w:val="24"/>
          <w:lang w:val="it-IT"/>
        </w:rPr>
        <w:t>HPO</w:t>
      </w:r>
      <w:r w:rsidRPr="008F3CEA">
        <w:rPr>
          <w:rFonts w:ascii="Arial" w:hAnsi="Arial" w:cs="Arial"/>
          <w:sz w:val="24"/>
          <w:szCs w:val="24"/>
          <w:vertAlign w:val="subscript"/>
          <w:lang w:val="it-IT"/>
        </w:rPr>
        <w:t>4</w:t>
      </w:r>
      <w:r w:rsidRPr="008F3CEA">
        <w:rPr>
          <w:rFonts w:ascii="Arial" w:hAnsi="Arial" w:cs="Arial"/>
          <w:sz w:val="24"/>
          <w:szCs w:val="24"/>
          <w:lang w:val="it-IT"/>
        </w:rPr>
        <w:t xml:space="preserve"> 3H</w:t>
      </w:r>
      <w:r w:rsidRPr="008F3CEA">
        <w:rPr>
          <w:rFonts w:ascii="Arial" w:hAnsi="Arial" w:cs="Arial"/>
          <w:sz w:val="24"/>
          <w:szCs w:val="24"/>
          <w:vertAlign w:val="subscript"/>
          <w:lang w:val="it-IT"/>
        </w:rPr>
        <w:t>2</w:t>
      </w:r>
      <w:r w:rsidRPr="008F3CEA">
        <w:rPr>
          <w:rFonts w:ascii="Arial" w:hAnsi="Arial" w:cs="Arial"/>
          <w:sz w:val="24"/>
          <w:szCs w:val="24"/>
          <w:lang w:val="it-IT"/>
        </w:rPr>
        <w:t>O (0.231g)</w:t>
      </w:r>
    </w:p>
    <w:p w:rsidR="00550A30" w:rsidRPr="008F3CEA" w:rsidRDefault="00550A30" w:rsidP="00550A30">
      <w:pPr>
        <w:spacing w:after="0" w:line="360" w:lineRule="auto"/>
        <w:rPr>
          <w:rFonts w:ascii="Arial" w:hAnsi="Arial" w:cs="Arial"/>
          <w:sz w:val="24"/>
          <w:szCs w:val="24"/>
          <w:lang w:val="it-IT"/>
        </w:rPr>
      </w:pPr>
      <w:r w:rsidRPr="008F3CEA">
        <w:rPr>
          <w:rFonts w:ascii="Arial" w:hAnsi="Arial" w:cs="Arial"/>
          <w:sz w:val="24"/>
          <w:szCs w:val="24"/>
          <w:lang w:val="it-IT"/>
        </w:rPr>
        <w:t>5. MgCl</w:t>
      </w:r>
      <w:r w:rsidRPr="008F3CEA">
        <w:rPr>
          <w:rFonts w:ascii="Arial" w:hAnsi="Arial" w:cs="Arial"/>
          <w:sz w:val="24"/>
          <w:szCs w:val="24"/>
          <w:vertAlign w:val="subscript"/>
          <w:lang w:val="it-IT"/>
        </w:rPr>
        <w:t>2</w:t>
      </w:r>
      <w:r w:rsidRPr="008F3CEA">
        <w:rPr>
          <w:rFonts w:ascii="Arial" w:hAnsi="Arial" w:cs="Arial"/>
          <w:sz w:val="24"/>
          <w:szCs w:val="24"/>
          <w:lang w:val="it-IT"/>
        </w:rPr>
        <w:t xml:space="preserve"> 6H</w:t>
      </w:r>
      <w:r w:rsidRPr="008F3CEA">
        <w:rPr>
          <w:rFonts w:ascii="Arial" w:hAnsi="Arial" w:cs="Arial"/>
          <w:sz w:val="24"/>
          <w:szCs w:val="24"/>
          <w:vertAlign w:val="subscript"/>
          <w:lang w:val="it-IT"/>
        </w:rPr>
        <w:t>2</w:t>
      </w:r>
      <w:r w:rsidRPr="008F3CEA">
        <w:rPr>
          <w:rFonts w:ascii="Arial" w:hAnsi="Arial" w:cs="Arial"/>
          <w:sz w:val="24"/>
          <w:szCs w:val="24"/>
          <w:lang w:val="it-IT"/>
        </w:rPr>
        <w:t>O (0.311g)</w:t>
      </w:r>
    </w:p>
    <w:p w:rsidR="00550A30" w:rsidRPr="008F3CEA" w:rsidRDefault="00550A30" w:rsidP="00550A30">
      <w:pPr>
        <w:spacing w:after="0" w:line="360" w:lineRule="auto"/>
        <w:rPr>
          <w:rFonts w:ascii="Arial" w:hAnsi="Arial" w:cs="Arial"/>
          <w:sz w:val="24"/>
          <w:szCs w:val="24"/>
          <w:lang w:val="en-US"/>
        </w:rPr>
      </w:pPr>
      <w:r w:rsidRPr="008F3CEA">
        <w:rPr>
          <w:rFonts w:ascii="Arial" w:hAnsi="Arial" w:cs="Arial"/>
          <w:sz w:val="24"/>
          <w:szCs w:val="24"/>
          <w:lang w:val="en-US"/>
        </w:rPr>
        <w:t>6. CaCl</w:t>
      </w:r>
      <w:r w:rsidRPr="008F3CEA">
        <w:rPr>
          <w:rFonts w:ascii="Arial" w:hAnsi="Arial" w:cs="Arial"/>
          <w:sz w:val="24"/>
          <w:szCs w:val="24"/>
          <w:vertAlign w:val="subscript"/>
          <w:lang w:val="en-US"/>
        </w:rPr>
        <w:t>2</w:t>
      </w:r>
      <w:r w:rsidRPr="008F3CEA">
        <w:rPr>
          <w:rFonts w:ascii="Arial" w:hAnsi="Arial" w:cs="Arial"/>
          <w:sz w:val="24"/>
          <w:szCs w:val="24"/>
          <w:lang w:val="en-US"/>
        </w:rPr>
        <w:t xml:space="preserve"> (0.292 g)</w:t>
      </w:r>
    </w:p>
    <w:p w:rsidR="00550A30" w:rsidRPr="008F3CEA" w:rsidRDefault="00550A30" w:rsidP="00550A30">
      <w:pPr>
        <w:spacing w:after="0" w:line="360" w:lineRule="auto"/>
        <w:rPr>
          <w:rFonts w:ascii="Arial" w:hAnsi="Arial" w:cs="Arial"/>
          <w:sz w:val="24"/>
          <w:szCs w:val="24"/>
          <w:lang w:val="en-US"/>
        </w:rPr>
      </w:pPr>
      <w:r w:rsidRPr="008F3CEA">
        <w:rPr>
          <w:rFonts w:ascii="Arial" w:hAnsi="Arial" w:cs="Arial"/>
          <w:sz w:val="24"/>
          <w:szCs w:val="24"/>
          <w:lang w:val="en-US"/>
        </w:rPr>
        <w:t>7. Na</w:t>
      </w:r>
      <w:r w:rsidRPr="008F3CEA">
        <w:rPr>
          <w:rFonts w:ascii="Arial" w:hAnsi="Arial" w:cs="Arial"/>
          <w:sz w:val="24"/>
          <w:szCs w:val="24"/>
          <w:vertAlign w:val="subscript"/>
          <w:lang w:val="en-US"/>
        </w:rPr>
        <w:t>2</w:t>
      </w:r>
      <w:r w:rsidRPr="008F3CEA">
        <w:rPr>
          <w:rFonts w:ascii="Arial" w:hAnsi="Arial" w:cs="Arial"/>
          <w:sz w:val="24"/>
          <w:szCs w:val="24"/>
          <w:lang w:val="en-US"/>
        </w:rPr>
        <w:t>SO</w:t>
      </w:r>
      <w:r w:rsidRPr="008F3CEA">
        <w:rPr>
          <w:rFonts w:ascii="Arial" w:hAnsi="Arial" w:cs="Arial"/>
          <w:sz w:val="24"/>
          <w:szCs w:val="24"/>
          <w:vertAlign w:val="subscript"/>
          <w:lang w:val="en-US"/>
        </w:rPr>
        <w:t xml:space="preserve">4 </w:t>
      </w:r>
      <w:r w:rsidRPr="008F3CEA">
        <w:rPr>
          <w:rFonts w:ascii="Arial" w:hAnsi="Arial" w:cs="Arial"/>
          <w:sz w:val="24"/>
          <w:szCs w:val="24"/>
          <w:lang w:val="en-US"/>
        </w:rPr>
        <w:t>(0.072 g)</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 pH of the solution was adjusted to 7.4 by adding 6.118 g TRIS and 39ml HCl. </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After incubation, samples were washed with distilled water, dried for 72hours and prepared for scanning electron microscopy (SEM-EDS) analysis, to assess the amount of apatite (Calcium Phosphate) present on the surface which is an indicator of the ability of a material to stimulate new bone formation.</w:t>
      </w:r>
    </w:p>
    <w:p w:rsidR="00550A30" w:rsidRPr="008F3CEA" w:rsidRDefault="00550A30" w:rsidP="00550A30">
      <w:pPr>
        <w:spacing w:line="360" w:lineRule="auto"/>
        <w:jc w:val="both"/>
        <w:rPr>
          <w:rFonts w:ascii="Arial" w:eastAsia="AdvTimes" w:hAnsi="Arial" w:cs="Arial"/>
          <w:color w:val="000000"/>
          <w:sz w:val="24"/>
          <w:szCs w:val="24"/>
        </w:rPr>
      </w:pPr>
      <w:r w:rsidRPr="008F3CEA">
        <w:rPr>
          <w:rFonts w:ascii="Arial" w:hAnsi="Arial" w:cs="Arial"/>
          <w:sz w:val="24"/>
          <w:szCs w:val="24"/>
        </w:rPr>
        <w:t>For SEM analysis</w:t>
      </w:r>
      <w:r w:rsidRPr="008F3CEA">
        <w:rPr>
          <w:rFonts w:ascii="Arial" w:eastAsia="AdvTimes" w:hAnsi="Arial" w:cs="Arial"/>
          <w:color w:val="000000"/>
          <w:sz w:val="24"/>
          <w:szCs w:val="24"/>
        </w:rPr>
        <w:t xml:space="preserve"> samples were mounted on aluminium stabs and coated with gold, by using an Agar Auto Sputter Coater. The analysis was performed at a working distance of 15mm and a voltage of  20kV.  </w:t>
      </w:r>
    </w:p>
    <w:p w:rsidR="00550A30" w:rsidRPr="008F3CEA" w:rsidRDefault="00550A30" w:rsidP="00550A30">
      <w:pPr>
        <w:spacing w:before="240" w:after="240" w:line="360" w:lineRule="auto"/>
        <w:jc w:val="both"/>
        <w:rPr>
          <w:rFonts w:ascii="Arial" w:hAnsi="Arial" w:cs="Arial"/>
          <w:b/>
          <w:sz w:val="24"/>
          <w:szCs w:val="24"/>
          <w:lang w:val="en-US"/>
        </w:rPr>
      </w:pPr>
      <w:r w:rsidRPr="008F3CEA">
        <w:rPr>
          <w:rFonts w:ascii="Arial" w:hAnsi="Arial" w:cs="Arial"/>
          <w:b/>
          <w:sz w:val="24"/>
          <w:szCs w:val="24"/>
          <w:lang w:val="en-US"/>
        </w:rPr>
        <w:t>4.2.5 Compressive strength</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MTS testing machine was used to determine the compressive Young Modulus (E) of samples prepared with different organic/inorganic ratio an cross linker concentrations.</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 xml:space="preserve">A 10N load was applied at 1mm/min, after selecting an initial preload of 0.05N and a maximum compression of 80% of the initial height of the sample.   </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Young Modulus for compression was determined from the slope of the stress-strain curve in the elastic/linear region for low deformations.</w:t>
      </w:r>
    </w:p>
    <w:p w:rsidR="00550A30" w:rsidRPr="008F3CEA" w:rsidRDefault="00550A30" w:rsidP="00550A30">
      <w:pPr>
        <w:spacing w:before="240" w:after="240" w:line="360" w:lineRule="auto"/>
        <w:jc w:val="both"/>
        <w:rPr>
          <w:rFonts w:ascii="Arial" w:hAnsi="Arial" w:cs="Arial"/>
          <w:b/>
          <w:sz w:val="24"/>
          <w:szCs w:val="24"/>
        </w:rPr>
      </w:pPr>
      <w:r w:rsidRPr="008F3CEA">
        <w:rPr>
          <w:rFonts w:ascii="Arial" w:hAnsi="Arial" w:cs="Arial"/>
          <w:b/>
          <w:sz w:val="24"/>
          <w:szCs w:val="24"/>
        </w:rPr>
        <w:t>4.2.6 Preparation of Indometacin-loaded PCL nanoparticles</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 xml:space="preserve">Nanoparticles were prepared by the Solvent Displacement Technique using PCL as matrix-forming material and TWEEN 80 or Vitamin E TPGS as emulsifiers. </w:t>
      </w:r>
    </w:p>
    <w:p w:rsidR="00550A30" w:rsidRPr="008F3CEA" w:rsidRDefault="00550A30" w:rsidP="00550A30">
      <w:pPr>
        <w:spacing w:line="360" w:lineRule="auto"/>
        <w:jc w:val="both"/>
        <w:rPr>
          <w:rFonts w:ascii="Arial" w:hAnsi="Arial" w:cs="Arial"/>
          <w:sz w:val="24"/>
          <w:szCs w:val="24"/>
        </w:rPr>
      </w:pPr>
      <w:r w:rsidRPr="008F3CEA">
        <w:rPr>
          <w:rFonts w:ascii="Arial" w:hAnsi="Arial" w:cs="Arial"/>
          <w:sz w:val="24"/>
          <w:szCs w:val="24"/>
        </w:rPr>
        <w:t xml:space="preserve">For particles preparation, the polymer and the drug (3% w/w) were dissolved in 10 ml acetone and then slowly added dropwise into 20 ml of water containing the emulsifier under moderate magnetic stirring. Particles formed instantaneously for the fast diffusion of the solvent from the core of the droplets towards the water phase. Acetone was removed </w:t>
      </w:r>
      <w:r w:rsidRPr="008F3CEA">
        <w:rPr>
          <w:rFonts w:ascii="Arial" w:hAnsi="Arial" w:cs="Arial"/>
          <w:sz w:val="24"/>
          <w:szCs w:val="24"/>
        </w:rPr>
        <w:lastRenderedPageBreak/>
        <w:t xml:space="preserve">from the colloidal suspension </w:t>
      </w:r>
      <w:r w:rsidRPr="008F3CEA">
        <w:rPr>
          <w:rFonts w:ascii="Arial" w:eastAsia="AdvTimes" w:hAnsi="Arial" w:cs="Arial"/>
          <w:color w:val="000000"/>
          <w:sz w:val="24"/>
          <w:szCs w:val="24"/>
        </w:rPr>
        <w:t xml:space="preserve">under reduced </w:t>
      </w:r>
      <w:r w:rsidRPr="008F3CEA">
        <w:rPr>
          <w:rFonts w:ascii="Arial" w:eastAsia="AdvTimes" w:hAnsi="Arial" w:cs="Arial"/>
          <w:color w:val="000000"/>
          <w:sz w:val="24"/>
          <w:szCs w:val="24"/>
          <w:lang w:val="en-US"/>
        </w:rPr>
        <w:t>pressure</w:t>
      </w:r>
      <w:r w:rsidRPr="008F3CEA">
        <w:rPr>
          <w:rFonts w:ascii="Arial" w:eastAsia="AdvTimes" w:hAnsi="Arial" w:cs="Arial"/>
          <w:color w:val="000000"/>
          <w:sz w:val="24"/>
          <w:szCs w:val="24"/>
        </w:rPr>
        <w:t>,</w:t>
      </w:r>
      <w:r w:rsidRPr="008F3CEA">
        <w:rPr>
          <w:rFonts w:ascii="Arial" w:hAnsi="Arial" w:cs="Arial"/>
          <w:sz w:val="24"/>
          <w:szCs w:val="24"/>
        </w:rPr>
        <w:t xml:space="preserve"> by </w:t>
      </w:r>
      <w:r w:rsidRPr="008F3CEA">
        <w:rPr>
          <w:rFonts w:ascii="Arial" w:eastAsia="AdvTimes" w:hAnsi="Arial" w:cs="Arial"/>
          <w:color w:val="000000"/>
          <w:sz w:val="24"/>
          <w:szCs w:val="24"/>
          <w:lang w:val="en-US"/>
        </w:rPr>
        <w:t>using a ro</w:t>
      </w:r>
      <w:r w:rsidRPr="008F3CEA">
        <w:rPr>
          <w:rFonts w:ascii="Arial" w:eastAsia="AdvTimes" w:hAnsi="Arial" w:cs="Arial"/>
          <w:color w:val="000000"/>
          <w:sz w:val="24"/>
          <w:szCs w:val="24"/>
        </w:rPr>
        <w:t>tary evaporator (Buchi).</w:t>
      </w:r>
      <w:r w:rsidRPr="008F3CEA">
        <w:rPr>
          <w:rFonts w:ascii="Arial" w:eastAsia="AdvTimes" w:hAnsi="Arial" w:cs="Arial"/>
          <w:color w:val="000000"/>
          <w:sz w:val="24"/>
          <w:szCs w:val="24"/>
          <w:lang w:val="en-US"/>
        </w:rPr>
        <w:t xml:space="preserve"> </w:t>
      </w:r>
      <w:r w:rsidRPr="008F3CEA">
        <w:rPr>
          <w:rFonts w:ascii="Arial" w:hAnsi="Arial" w:cs="Arial"/>
          <w:sz w:val="24"/>
          <w:szCs w:val="24"/>
        </w:rPr>
        <w:t xml:space="preserve">After dialysis (24h) against distilled water, particles were collected by centrifugation, frozen at -80°C and freeze-dried in the presence of Trehalose as cryo-preserving agent. </w:t>
      </w:r>
    </w:p>
    <w:p w:rsidR="00550A30" w:rsidRPr="008F3CEA" w:rsidRDefault="00550A30" w:rsidP="00550A30">
      <w:pPr>
        <w:autoSpaceDE w:val="0"/>
        <w:autoSpaceDN w:val="0"/>
        <w:adjustRightInd w:val="0"/>
        <w:spacing w:before="240" w:after="240" w:line="360" w:lineRule="auto"/>
        <w:jc w:val="both"/>
        <w:rPr>
          <w:rFonts w:ascii="Arial" w:hAnsi="Arial" w:cs="Arial"/>
          <w:b/>
          <w:color w:val="000000"/>
          <w:sz w:val="24"/>
          <w:szCs w:val="24"/>
          <w:lang w:val="en-US"/>
        </w:rPr>
      </w:pPr>
      <w:r w:rsidRPr="008F3CEA">
        <w:rPr>
          <w:rFonts w:ascii="Arial" w:hAnsi="Arial" w:cs="Arial"/>
          <w:b/>
          <w:color w:val="000000"/>
          <w:sz w:val="24"/>
          <w:szCs w:val="24"/>
          <w:lang w:val="en-US"/>
        </w:rPr>
        <w:t>4.2.7 Characterization of nanoparticles</w:t>
      </w:r>
    </w:p>
    <w:p w:rsidR="00550A30" w:rsidRPr="008F3CEA" w:rsidRDefault="00550A30" w:rsidP="00550A30">
      <w:pPr>
        <w:autoSpaceDE w:val="0"/>
        <w:autoSpaceDN w:val="0"/>
        <w:adjustRightInd w:val="0"/>
        <w:spacing w:before="240" w:after="240" w:line="360" w:lineRule="auto"/>
        <w:rPr>
          <w:rFonts w:ascii="Arial" w:hAnsi="Arial" w:cs="Arial"/>
          <w:b/>
          <w:i/>
          <w:color w:val="000000"/>
          <w:sz w:val="24"/>
          <w:szCs w:val="24"/>
          <w:lang w:val="en-US"/>
        </w:rPr>
      </w:pPr>
      <w:r w:rsidRPr="008F3CEA">
        <w:rPr>
          <w:rFonts w:ascii="Arial" w:hAnsi="Arial" w:cs="Arial"/>
          <w:b/>
          <w:i/>
          <w:color w:val="000000"/>
          <w:sz w:val="24"/>
          <w:szCs w:val="24"/>
          <w:lang w:val="en-US"/>
        </w:rPr>
        <w:t>4.2.7.1 Process Yield</w:t>
      </w:r>
    </w:p>
    <w:p w:rsidR="00550A30" w:rsidRPr="008F3CEA" w:rsidRDefault="00550A30" w:rsidP="00550A30">
      <w:pPr>
        <w:spacing w:after="120" w:line="360" w:lineRule="auto"/>
        <w:jc w:val="both"/>
        <w:rPr>
          <w:rFonts w:ascii="Arial" w:hAnsi="Arial" w:cs="Arial"/>
          <w:sz w:val="24"/>
          <w:szCs w:val="24"/>
        </w:rPr>
      </w:pPr>
      <w:r w:rsidRPr="008F3CEA">
        <w:rPr>
          <w:rFonts w:ascii="Arial" w:hAnsi="Arial" w:cs="Arial"/>
          <w:sz w:val="24"/>
          <w:szCs w:val="24"/>
        </w:rPr>
        <w:t>Process Yield (R%) was calculated according to equation 4.2, where W</w:t>
      </w:r>
      <w:r w:rsidRPr="008F3CEA">
        <w:rPr>
          <w:rFonts w:ascii="Arial" w:hAnsi="Arial" w:cs="Arial"/>
          <w:i/>
          <w:sz w:val="24"/>
          <w:szCs w:val="24"/>
          <w:vertAlign w:val="subscript"/>
        </w:rPr>
        <w:t>pcl</w:t>
      </w:r>
      <w:r w:rsidRPr="008F3CEA">
        <w:rPr>
          <w:rFonts w:ascii="Arial" w:hAnsi="Arial" w:cs="Arial"/>
          <w:sz w:val="24"/>
          <w:szCs w:val="24"/>
          <w:vertAlign w:val="subscript"/>
        </w:rPr>
        <w:t xml:space="preserve"> </w:t>
      </w:r>
      <w:r w:rsidRPr="008F3CEA">
        <w:rPr>
          <w:rFonts w:ascii="Arial" w:hAnsi="Arial" w:cs="Arial"/>
          <w:sz w:val="24"/>
          <w:szCs w:val="24"/>
        </w:rPr>
        <w:t>and W</w:t>
      </w:r>
      <w:r w:rsidRPr="008F3CEA">
        <w:rPr>
          <w:rFonts w:ascii="Arial" w:hAnsi="Arial" w:cs="Arial"/>
          <w:i/>
          <w:sz w:val="24"/>
          <w:szCs w:val="24"/>
          <w:vertAlign w:val="subscript"/>
        </w:rPr>
        <w:t>Ind</w:t>
      </w:r>
      <w:r w:rsidRPr="008F3CEA">
        <w:rPr>
          <w:rFonts w:ascii="Arial" w:hAnsi="Arial" w:cs="Arial"/>
          <w:sz w:val="24"/>
          <w:szCs w:val="24"/>
        </w:rPr>
        <w:t xml:space="preserve"> are the initial weight of polymer and drug and W</w:t>
      </w:r>
      <w:r w:rsidRPr="008F3CEA">
        <w:rPr>
          <w:rFonts w:ascii="Arial" w:hAnsi="Arial" w:cs="Arial"/>
          <w:i/>
          <w:sz w:val="24"/>
          <w:szCs w:val="24"/>
          <w:vertAlign w:val="subscript"/>
        </w:rPr>
        <w:t>NPS</w:t>
      </w:r>
      <w:r w:rsidRPr="008F3CEA">
        <w:rPr>
          <w:rFonts w:ascii="Arial" w:hAnsi="Arial" w:cs="Arial"/>
          <w:sz w:val="24"/>
          <w:szCs w:val="24"/>
        </w:rPr>
        <w:t xml:space="preserve"> is the final weight of nanoparticles after freeze drying.</w:t>
      </w:r>
    </w:p>
    <w:p w:rsidR="00550A30" w:rsidRPr="008F3CEA" w:rsidRDefault="00860AC7" w:rsidP="00550A30">
      <w:pPr>
        <w:spacing w:line="360" w:lineRule="auto"/>
        <w:jc w:val="center"/>
        <w:rPr>
          <w:rFonts w:ascii="Arial" w:hAnsi="Arial" w:cs="Arial"/>
          <w:sz w:val="24"/>
          <w:szCs w:val="24"/>
        </w:rPr>
      </w:pPr>
      <m:oMathPara>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pcl</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ind</m:t>
                  </m:r>
                </m:sub>
              </m:sSub>
            </m:num>
            <m:den>
              <m:sSub>
                <m:sSubPr>
                  <m:ctrlPr>
                    <w:rPr>
                      <w:rFonts w:ascii="Cambria Math" w:hAnsi="Cambria Math" w:cs="Arial"/>
                      <w:i/>
                      <w:sz w:val="24"/>
                      <w:szCs w:val="24"/>
                    </w:rPr>
                  </m:ctrlPr>
                </m:sSubPr>
                <m:e>
                  <m:r>
                    <w:rPr>
                      <w:rFonts w:ascii="Cambria Math" w:hAnsi="Cambria Math" w:cs="Arial"/>
                      <w:sz w:val="24"/>
                      <w:szCs w:val="24"/>
                    </w:rPr>
                    <m:t>W</m:t>
                  </m:r>
                </m:e>
                <m:sub>
                  <m:r>
                    <w:rPr>
                      <w:rFonts w:ascii="Cambria Math" w:hAnsi="Cambria Math" w:cs="Arial"/>
                      <w:sz w:val="24"/>
                      <w:szCs w:val="24"/>
                    </w:rPr>
                    <m:t>nps</m:t>
                  </m:r>
                </m:sub>
              </m:sSub>
            </m:den>
          </m:f>
          <m:r>
            <w:rPr>
              <w:rFonts w:ascii="Cambria Math" w:hAnsi="Cambria Math" w:cs="Arial"/>
              <w:sz w:val="24"/>
              <w:szCs w:val="24"/>
            </w:rPr>
            <m:t>*100         Eq 4.2</m:t>
          </m:r>
        </m:oMath>
      </m:oMathPara>
    </w:p>
    <w:p w:rsidR="00550A30" w:rsidRPr="008F3CEA" w:rsidRDefault="00550A30" w:rsidP="00550A30">
      <w:pPr>
        <w:autoSpaceDE w:val="0"/>
        <w:autoSpaceDN w:val="0"/>
        <w:adjustRightInd w:val="0"/>
        <w:spacing w:before="240" w:after="240" w:line="360" w:lineRule="auto"/>
        <w:jc w:val="both"/>
        <w:rPr>
          <w:rFonts w:ascii="Arial" w:eastAsia="AdvTimes" w:hAnsi="Arial" w:cs="Arial"/>
          <w:b/>
          <w:i/>
          <w:color w:val="000000"/>
          <w:sz w:val="24"/>
          <w:szCs w:val="24"/>
        </w:rPr>
      </w:pPr>
      <w:r w:rsidRPr="008F3CEA">
        <w:rPr>
          <w:rFonts w:ascii="Arial" w:eastAsia="AdvTimes" w:hAnsi="Arial" w:cs="Arial"/>
          <w:b/>
          <w:i/>
          <w:color w:val="000000"/>
          <w:sz w:val="24"/>
          <w:szCs w:val="24"/>
        </w:rPr>
        <w:t>4.2.7.2 Particle morphology</w:t>
      </w:r>
    </w:p>
    <w:p w:rsidR="00550A30" w:rsidRPr="008F3CEA" w:rsidRDefault="00550A30" w:rsidP="00550A30">
      <w:pPr>
        <w:autoSpaceDE w:val="0"/>
        <w:autoSpaceDN w:val="0"/>
        <w:adjustRightInd w:val="0"/>
        <w:spacing w:line="360" w:lineRule="auto"/>
        <w:jc w:val="both"/>
        <w:rPr>
          <w:rFonts w:ascii="Arial" w:eastAsia="AdvTimes" w:hAnsi="Arial" w:cs="Arial"/>
          <w:color w:val="000000"/>
          <w:sz w:val="24"/>
          <w:szCs w:val="24"/>
        </w:rPr>
      </w:pPr>
      <w:r w:rsidRPr="008F3CEA">
        <w:rPr>
          <w:rFonts w:ascii="Arial" w:eastAsia="AdvTimes" w:hAnsi="Arial" w:cs="Arial"/>
          <w:color w:val="000000"/>
          <w:sz w:val="24"/>
          <w:szCs w:val="24"/>
        </w:rPr>
        <w:t xml:space="preserve">NPs Morphology was examined by Scanning Electron Microscopy (SEM Leo Instruments). Particles were mounted on aluminium stabs and coated with gold, by using an Agar Auto Sputter Coater. The analysis was performed at a working distance of 10mm and a voltage of  20kV.  </w:t>
      </w:r>
    </w:p>
    <w:p w:rsidR="00550A30" w:rsidRPr="008F3CEA" w:rsidRDefault="00550A30" w:rsidP="00550A30">
      <w:pPr>
        <w:autoSpaceDE w:val="0"/>
        <w:autoSpaceDN w:val="0"/>
        <w:adjustRightInd w:val="0"/>
        <w:spacing w:before="240" w:after="240" w:line="360" w:lineRule="auto"/>
        <w:jc w:val="both"/>
        <w:rPr>
          <w:rFonts w:ascii="Arial" w:hAnsi="Arial" w:cs="Arial"/>
          <w:b/>
          <w:i/>
          <w:color w:val="000000"/>
          <w:sz w:val="24"/>
          <w:szCs w:val="24"/>
        </w:rPr>
      </w:pPr>
      <w:r w:rsidRPr="008F3CEA">
        <w:rPr>
          <w:rFonts w:ascii="Arial" w:hAnsi="Arial" w:cs="Arial"/>
          <w:b/>
          <w:i/>
          <w:color w:val="000000"/>
          <w:sz w:val="24"/>
          <w:szCs w:val="24"/>
          <w:lang w:val="en-US"/>
        </w:rPr>
        <w:t xml:space="preserve">4.2.7.3 Determination of </w:t>
      </w:r>
      <w:r w:rsidRPr="008F3CEA">
        <w:rPr>
          <w:rFonts w:ascii="Arial" w:hAnsi="Arial" w:cs="Arial"/>
          <w:b/>
          <w:i/>
          <w:color w:val="000000"/>
          <w:sz w:val="24"/>
          <w:szCs w:val="24"/>
        </w:rPr>
        <w:t>Indometacin loading and release profiles</w:t>
      </w:r>
    </w:p>
    <w:p w:rsidR="00550A30" w:rsidRPr="008F3CEA" w:rsidRDefault="00550A30" w:rsidP="00550A30">
      <w:pPr>
        <w:autoSpaceDE w:val="0"/>
        <w:autoSpaceDN w:val="0"/>
        <w:adjustRightInd w:val="0"/>
        <w:spacing w:after="120" w:line="360" w:lineRule="auto"/>
        <w:jc w:val="both"/>
        <w:rPr>
          <w:rFonts w:ascii="Arial" w:hAnsi="Arial" w:cs="Arial"/>
          <w:color w:val="000000"/>
          <w:sz w:val="24"/>
          <w:szCs w:val="24"/>
        </w:rPr>
      </w:pPr>
      <w:r w:rsidRPr="008F3CEA">
        <w:rPr>
          <w:rFonts w:ascii="Arial" w:hAnsi="Arial" w:cs="Arial"/>
          <w:color w:val="000000"/>
          <w:sz w:val="24"/>
          <w:szCs w:val="24"/>
        </w:rPr>
        <w:t xml:space="preserve">The amount of encapsulated Indometacin was quantified by using UV spectrophotometer (Perkin Elmer Lamba25) at an absorbance wavelength of 319nm. For drug loading measurements, 10mg of freeze dried nanoparticles were accurately weighed and dissolved in acetone. After solvent evaporation the encapsulated dru g was extracted with ethanol and distilled water (3:1) and its concentration analyzed. Encapsulation efficiency (EE) was determined as follows: </w:t>
      </w:r>
    </w:p>
    <w:p w:rsidR="00550A30" w:rsidRPr="008F3CEA" w:rsidRDefault="00550A30" w:rsidP="00550A30">
      <w:pPr>
        <w:autoSpaceDE w:val="0"/>
        <w:autoSpaceDN w:val="0"/>
        <w:adjustRightInd w:val="0"/>
        <w:spacing w:line="360" w:lineRule="auto"/>
        <w:jc w:val="both"/>
        <w:rPr>
          <w:rFonts w:ascii="Arial" w:hAnsi="Arial" w:cs="Arial"/>
          <w:color w:val="000000"/>
          <w:sz w:val="24"/>
          <w:szCs w:val="24"/>
        </w:rPr>
      </w:pPr>
      <m:oMathPara>
        <m:oMath>
          <m:r>
            <w:rPr>
              <w:rFonts w:ascii="Cambria Math" w:hAnsi="Cambria Math" w:cs="Arial"/>
              <w:color w:val="000000"/>
              <w:sz w:val="24"/>
              <w:szCs w:val="24"/>
            </w:rPr>
            <m:t>EE</m:t>
          </m:r>
          <m:r>
            <w:rPr>
              <w:rFonts w:ascii="Cambria Math" w:hAnsi="Arial" w:cs="Arial"/>
              <w:color w:val="000000"/>
              <w:sz w:val="24"/>
              <w:szCs w:val="24"/>
            </w:rPr>
            <m:t>%=</m:t>
          </m:r>
          <m:d>
            <m:dPr>
              <m:ctrlPr>
                <w:rPr>
                  <w:rFonts w:ascii="Cambria Math" w:hAnsi="Arial" w:cs="Arial"/>
                  <w:i/>
                  <w:color w:val="000000"/>
                  <w:sz w:val="24"/>
                  <w:szCs w:val="24"/>
                </w:rPr>
              </m:ctrlPr>
            </m:dPr>
            <m:e>
              <m:f>
                <m:fPr>
                  <m:ctrlPr>
                    <w:rPr>
                      <w:rFonts w:ascii="Cambria Math" w:hAnsi="Arial" w:cs="Arial"/>
                      <w:i/>
                      <w:color w:val="000000"/>
                      <w:sz w:val="24"/>
                      <w:szCs w:val="24"/>
                    </w:rPr>
                  </m:ctrlPr>
                </m:fPr>
                <m:num>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Ind</m:t>
                      </m:r>
                    </m:sub>
                  </m:sSub>
                </m:num>
                <m:den>
                  <m:sSub>
                    <m:sSubPr>
                      <m:ctrlPr>
                        <w:rPr>
                          <w:rFonts w:ascii="Cambria Math" w:hAnsi="Arial" w:cs="Arial"/>
                          <w:i/>
                          <w:color w:val="000000"/>
                          <w:sz w:val="24"/>
                          <w:szCs w:val="24"/>
                        </w:rPr>
                      </m:ctrlPr>
                    </m:sSubPr>
                    <m:e>
                      <m:r>
                        <w:rPr>
                          <w:rFonts w:ascii="Cambria Math" w:hAnsi="Cambria Math" w:cs="Arial"/>
                          <w:color w:val="000000"/>
                          <w:sz w:val="24"/>
                          <w:szCs w:val="24"/>
                        </w:rPr>
                        <m:t>W</m:t>
                      </m:r>
                    </m:e>
                    <m:sub>
                      <m:r>
                        <w:rPr>
                          <w:rFonts w:ascii="Cambria Math" w:hAnsi="Cambria Math" w:cs="Arial"/>
                          <w:color w:val="000000"/>
                          <w:sz w:val="24"/>
                          <w:szCs w:val="24"/>
                        </w:rPr>
                        <m:t>Ind-t</m:t>
                      </m:r>
                    </m:sub>
                  </m:sSub>
                </m:den>
              </m:f>
            </m:e>
          </m:d>
          <m:r>
            <w:rPr>
              <w:rFonts w:ascii="Cambria Math" w:hAnsi="Arial" w:cs="Arial"/>
              <w:color w:val="000000"/>
              <w:sz w:val="24"/>
              <w:szCs w:val="24"/>
            </w:rPr>
            <m:t>×</m:t>
          </m:r>
          <m:r>
            <w:rPr>
              <w:rFonts w:ascii="Cambria Math" w:hAnsi="Arial" w:cs="Arial"/>
              <w:color w:val="000000"/>
              <w:sz w:val="24"/>
              <w:szCs w:val="24"/>
            </w:rPr>
            <m:t>100         (Eq. 2.2)</m:t>
          </m:r>
        </m:oMath>
      </m:oMathPara>
    </w:p>
    <w:p w:rsidR="00550A30" w:rsidRPr="008F3CEA" w:rsidRDefault="00550A30" w:rsidP="00550A30">
      <w:pPr>
        <w:autoSpaceDE w:val="0"/>
        <w:autoSpaceDN w:val="0"/>
        <w:adjustRightInd w:val="0"/>
        <w:spacing w:before="120" w:after="0" w:line="360" w:lineRule="auto"/>
        <w:jc w:val="both"/>
        <w:rPr>
          <w:rFonts w:ascii="Arial" w:hAnsi="Arial" w:cs="Arial"/>
          <w:color w:val="000000"/>
          <w:sz w:val="24"/>
          <w:szCs w:val="24"/>
        </w:rPr>
      </w:pPr>
      <w:r w:rsidRPr="008F3CEA">
        <w:rPr>
          <w:rFonts w:ascii="Arial" w:hAnsi="Arial" w:cs="Arial"/>
          <w:color w:val="000000"/>
          <w:sz w:val="24"/>
          <w:szCs w:val="24"/>
        </w:rPr>
        <w:t>where, W</w:t>
      </w:r>
      <w:r w:rsidRPr="008F3CEA">
        <w:rPr>
          <w:rFonts w:ascii="Arial" w:hAnsi="Arial" w:cs="Arial"/>
          <w:color w:val="000000"/>
          <w:sz w:val="24"/>
          <w:szCs w:val="24"/>
          <w:vertAlign w:val="subscript"/>
        </w:rPr>
        <w:t xml:space="preserve">ind </w:t>
      </w:r>
      <w:r w:rsidRPr="008F3CEA">
        <w:rPr>
          <w:rFonts w:ascii="Arial" w:hAnsi="Arial" w:cs="Arial"/>
          <w:color w:val="000000"/>
          <w:sz w:val="24"/>
          <w:szCs w:val="24"/>
        </w:rPr>
        <w:t>is the weight (mg) of drug detected by UV spectroscopy and W</w:t>
      </w:r>
      <w:r w:rsidRPr="008F3CEA">
        <w:rPr>
          <w:rFonts w:ascii="Arial" w:hAnsi="Arial" w:cs="Arial"/>
          <w:color w:val="000000"/>
          <w:sz w:val="24"/>
          <w:szCs w:val="24"/>
          <w:vertAlign w:val="subscript"/>
        </w:rPr>
        <w:t xml:space="preserve">ind-t </w:t>
      </w:r>
      <w:r w:rsidRPr="008F3CEA">
        <w:rPr>
          <w:rFonts w:ascii="Arial" w:hAnsi="Arial" w:cs="Arial"/>
          <w:color w:val="000000"/>
          <w:sz w:val="24"/>
          <w:szCs w:val="24"/>
        </w:rPr>
        <w:t>is the theoretical amount of drug expected in 10mg of nanoparticles.</w:t>
      </w:r>
    </w:p>
    <w:p w:rsidR="00550A30" w:rsidRPr="008F3CEA" w:rsidRDefault="00550A30" w:rsidP="00550A30">
      <w:pPr>
        <w:autoSpaceDE w:val="0"/>
        <w:autoSpaceDN w:val="0"/>
        <w:adjustRightInd w:val="0"/>
        <w:spacing w:line="360" w:lineRule="auto"/>
        <w:jc w:val="both"/>
        <w:rPr>
          <w:rFonts w:ascii="Arial" w:hAnsi="Arial" w:cs="Arial"/>
          <w:color w:val="000000"/>
          <w:sz w:val="24"/>
          <w:szCs w:val="24"/>
        </w:rPr>
      </w:pPr>
      <w:r w:rsidRPr="008F3CEA">
        <w:rPr>
          <w:rFonts w:ascii="Arial" w:hAnsi="Arial" w:cs="Arial"/>
          <w:color w:val="000000"/>
          <w:sz w:val="24"/>
          <w:szCs w:val="24"/>
        </w:rPr>
        <w:t xml:space="preserve">For the determination of Indometacin release profiles, 10mg of nanoparticles were accurately weighted, dispersed in 1.5 ml distilled water and incubated at 37°C under </w:t>
      </w:r>
      <w:r w:rsidRPr="008F3CEA">
        <w:rPr>
          <w:rFonts w:ascii="Arial" w:hAnsi="Arial" w:cs="Arial"/>
          <w:color w:val="000000"/>
          <w:sz w:val="24"/>
          <w:szCs w:val="24"/>
        </w:rPr>
        <w:lastRenderedPageBreak/>
        <w:t>constant shaking in a IKA KS 4000</w:t>
      </w:r>
      <w:r w:rsidRPr="008F3CEA">
        <w:rPr>
          <w:color w:val="000000"/>
        </w:rPr>
        <w:t xml:space="preserve"> </w:t>
      </w:r>
      <w:r w:rsidRPr="008F3CEA">
        <w:rPr>
          <w:rFonts w:ascii="Arial" w:hAnsi="Arial" w:cs="Arial"/>
          <w:color w:val="000000"/>
          <w:sz w:val="24"/>
          <w:szCs w:val="24"/>
        </w:rPr>
        <w:t>incubator. The amount of drug released was measured daily for up to four days. At predetermined time points, the release medium was replaced with fresh water, the old solution was diluted with proper volumes of ethanol and analyzed by UV spectroscopy to determine the amount of drug released over time.</w:t>
      </w:r>
    </w:p>
    <w:p w:rsidR="00550A30" w:rsidRPr="008F3CEA" w:rsidRDefault="00550A30" w:rsidP="00550A30">
      <w:pPr>
        <w:spacing w:before="240" w:after="240" w:line="360" w:lineRule="auto"/>
        <w:jc w:val="both"/>
        <w:rPr>
          <w:rFonts w:ascii="Arial" w:hAnsi="Arial" w:cs="Arial"/>
          <w:b/>
          <w:i/>
          <w:sz w:val="24"/>
          <w:szCs w:val="24"/>
          <w:lang w:val="en-US"/>
        </w:rPr>
      </w:pPr>
      <w:r w:rsidRPr="008F3CEA">
        <w:rPr>
          <w:rFonts w:ascii="Arial" w:hAnsi="Arial" w:cs="Arial"/>
          <w:b/>
          <w:i/>
          <w:sz w:val="24"/>
          <w:szCs w:val="24"/>
          <w:lang w:val="en-US"/>
        </w:rPr>
        <w:t>4.2.7.4 DSC analysis</w:t>
      </w:r>
    </w:p>
    <w:p w:rsidR="00550A30" w:rsidRPr="008F3CEA" w:rsidRDefault="00550A30" w:rsidP="00550A30">
      <w:pPr>
        <w:spacing w:after="0" w:line="360" w:lineRule="auto"/>
        <w:jc w:val="both"/>
        <w:rPr>
          <w:rFonts w:ascii="Arial" w:hAnsi="Arial" w:cs="Arial"/>
          <w:sz w:val="24"/>
          <w:szCs w:val="24"/>
        </w:rPr>
      </w:pPr>
      <w:r w:rsidRPr="008F3CEA">
        <w:rPr>
          <w:rFonts w:ascii="Arial" w:hAnsi="Arial" w:cs="Arial"/>
          <w:sz w:val="24"/>
          <w:szCs w:val="24"/>
        </w:rPr>
        <w:t xml:space="preserve">Physical state of the encapsulated drug was studied by Differential Scanning Calorimetry (DSC) (TA Instruments DSC Q20). Approximately 5 mg of the sample were encapsulated in hermetic aluminium pans and cooled from room temperature to -20 °C. The pan was then heated from -20 °C to 200 °C at 10 °C/min, isothermally maintained at 200 °C for 3 minutes, quenched to -20°C at 10°C/min and reheated from -20 °C to 200 °C at 10 °C/min under nitrogen atmosphere. All Thermograms were analyzed using the TA Universal Analysis software. </w:t>
      </w:r>
    </w:p>
    <w:p w:rsidR="00550A30" w:rsidRPr="008F3CEA" w:rsidRDefault="00550A30" w:rsidP="00550A30">
      <w:pPr>
        <w:spacing w:line="360" w:lineRule="auto"/>
        <w:jc w:val="both"/>
        <w:rPr>
          <w:rFonts w:ascii="Arial" w:eastAsiaTheme="majorEastAsia" w:hAnsi="Arial" w:cs="Arial"/>
          <w:sz w:val="24"/>
          <w:szCs w:val="24"/>
        </w:rPr>
      </w:pPr>
      <w:r w:rsidRPr="008F3CEA">
        <w:rPr>
          <w:rFonts w:ascii="Arial" w:hAnsi="Arial" w:cs="Arial"/>
          <w:sz w:val="24"/>
          <w:szCs w:val="24"/>
          <w:lang w:val="en-US"/>
        </w:rPr>
        <w:t>DSC analysis was performed on plain and drug loaded particles, emulsifiers (Tween 80 e Vitamin E-TPGS) as well as on the polymer (PCL) and the drug (IND).</w:t>
      </w:r>
    </w:p>
    <w:p w:rsidR="00550A30" w:rsidRPr="008F3CEA" w:rsidRDefault="00550A30" w:rsidP="00550A30">
      <w:pPr>
        <w:spacing w:before="240" w:after="240" w:line="360" w:lineRule="auto"/>
        <w:jc w:val="both"/>
        <w:rPr>
          <w:rFonts w:ascii="Arial" w:hAnsi="Arial" w:cs="Arial"/>
          <w:b/>
          <w:sz w:val="24"/>
          <w:szCs w:val="24"/>
          <w:lang w:val="en-US"/>
        </w:rPr>
      </w:pPr>
      <w:r w:rsidRPr="008F3CEA">
        <w:rPr>
          <w:rFonts w:ascii="Arial" w:hAnsi="Arial" w:cs="Arial"/>
          <w:b/>
          <w:sz w:val="24"/>
          <w:szCs w:val="24"/>
          <w:lang w:val="en-US"/>
        </w:rPr>
        <w:t xml:space="preserve">4.2.8 Characterization of collagen and nanoparticles-containing bone cement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Based on the results of the above-described characterization, the best cement composition was determined and used to prepare a reinforced material, containing nanoparticles loaded with the anti-inflammatory drug Indometacin and collagen as an additional organic phase.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Collagen was added to better mimic the characteristics of bone tissue and to impart higher mechanical strength to the material. </w:t>
      </w:r>
    </w:p>
    <w:p w:rsidR="00550A30" w:rsidRPr="008F3CEA" w:rsidRDefault="00550A30" w:rsidP="00550A30">
      <w:pPr>
        <w:pStyle w:val="Default"/>
        <w:spacing w:after="120" w:line="360" w:lineRule="auto"/>
        <w:jc w:val="both"/>
        <w:rPr>
          <w:rFonts w:ascii="Arial" w:hAnsi="Arial" w:cs="Arial"/>
          <w:bCs/>
          <w:iCs/>
          <w:lang w:val="en-US"/>
        </w:rPr>
      </w:pPr>
      <w:r w:rsidRPr="008F3CEA">
        <w:rPr>
          <w:rFonts w:ascii="Arial" w:hAnsi="Arial" w:cs="Arial"/>
          <w:bCs/>
          <w:iCs/>
          <w:lang w:val="en-US"/>
        </w:rPr>
        <w:t>The composition of the tested material was:</w:t>
      </w:r>
    </w:p>
    <w:p w:rsidR="00550A30" w:rsidRPr="008F3CEA" w:rsidRDefault="00550A30" w:rsidP="00550A30">
      <w:pPr>
        <w:pStyle w:val="Default"/>
        <w:spacing w:line="360" w:lineRule="auto"/>
        <w:jc w:val="both"/>
        <w:rPr>
          <w:rFonts w:ascii="Arial" w:hAnsi="Arial" w:cs="Arial"/>
          <w:bCs/>
          <w:iCs/>
          <w:lang w:val="en-US"/>
        </w:rPr>
      </w:pPr>
      <w:r w:rsidRPr="008F3CEA">
        <w:rPr>
          <w:rFonts w:ascii="Arial" w:hAnsi="Arial" w:cs="Arial"/>
          <w:bCs/>
          <w:iCs/>
          <w:lang w:val="en-US"/>
        </w:rPr>
        <w:t>1. Percent of organic phase, composed of a blend of chitosan and collagen (3% w/v), of 30%</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2. Percent of inorganic phase (βTCP) of 70%</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3. 10% w/v of PCL nanoparticles, containing the anti-inflammatory agent Indomethacin</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4. Amount of cross-linker (Genipin) 7.5% (w/v).</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This material was characterized in terms of morphology, hardening time and injectability as well as mechanical strength under compression.</w:t>
      </w:r>
    </w:p>
    <w:p w:rsidR="00550A30" w:rsidRPr="008F3CEA" w:rsidRDefault="00550A30" w:rsidP="00550A30">
      <w:pPr>
        <w:pStyle w:val="Default"/>
        <w:spacing w:after="120" w:line="360" w:lineRule="auto"/>
        <w:jc w:val="both"/>
        <w:rPr>
          <w:rFonts w:ascii="Arial" w:hAnsi="Arial" w:cs="Arial"/>
          <w:lang w:val="en-US"/>
        </w:rPr>
      </w:pPr>
      <w:r w:rsidRPr="008F3CEA">
        <w:rPr>
          <w:rFonts w:ascii="Arial" w:hAnsi="Arial" w:cs="Arial"/>
          <w:bCs/>
          <w:lang w:val="en-US"/>
        </w:rPr>
        <w:t>Injectability was determined according the equation proposed by</w:t>
      </w:r>
      <w:r w:rsidRPr="008F3CEA">
        <w:rPr>
          <w:rFonts w:ascii="Arial" w:hAnsi="Arial" w:cs="Arial"/>
          <w:lang w:val="en-US"/>
        </w:rPr>
        <w:t xml:space="preserve"> Xiaopeng Qi et al [23]:</w:t>
      </w:r>
    </w:p>
    <w:p w:rsidR="00550A30" w:rsidRPr="008F3CEA" w:rsidRDefault="00550A30" w:rsidP="00550A30">
      <w:pPr>
        <w:pStyle w:val="Default"/>
        <w:spacing w:line="360" w:lineRule="auto"/>
        <w:jc w:val="both"/>
        <w:rPr>
          <w:rFonts w:ascii="Arial" w:hAnsi="Arial" w:cs="Arial"/>
          <w:lang w:val="en-US"/>
        </w:rPr>
      </w:pPr>
      <m:oMathPara>
        <m:oMath>
          <m:r>
            <w:rPr>
              <w:rFonts w:ascii="Cambria Math" w:hAnsi="Cambria Math" w:cs="Arial"/>
              <w:lang w:val="en-US"/>
            </w:rPr>
            <m:t xml:space="preserve">Injectability </m:t>
          </m:r>
          <m:d>
            <m:dPr>
              <m:ctrlPr>
                <w:rPr>
                  <w:rFonts w:ascii="Cambria Math" w:hAnsi="Cambria Math" w:cs="Arial"/>
                  <w:i/>
                  <w:lang w:val="en-US"/>
                </w:rPr>
              </m:ctrlPr>
            </m:dPr>
            <m:e>
              <m:r>
                <w:rPr>
                  <w:rFonts w:ascii="Cambria Math" w:hAnsi="Cambria Math" w:cs="Arial"/>
                  <w:lang w:val="en-US"/>
                </w:rPr>
                <m:t>%</m:t>
              </m:r>
            </m:e>
          </m:d>
          <m:r>
            <w:rPr>
              <w:rFonts w:ascii="Cambria Math" w:hAnsi="Cambria Math" w:cs="Arial"/>
              <w:lang w:val="en-US"/>
            </w:rPr>
            <m:t xml:space="preserve">= </m:t>
          </m:r>
          <m:f>
            <m:fPr>
              <m:ctrlPr>
                <w:rPr>
                  <w:rFonts w:ascii="Cambria Math" w:hAnsi="Cambria Math" w:cs="Arial"/>
                  <w:i/>
                  <w:lang w:val="en-US"/>
                </w:rPr>
              </m:ctrlPr>
            </m:fPr>
            <m:num>
              <m:r>
                <w:rPr>
                  <w:rFonts w:ascii="Cambria Math" w:hAnsi="Cambria Math" w:cs="Arial"/>
                  <w:lang w:val="en-US"/>
                </w:rPr>
                <m:t>Injected volume</m:t>
              </m:r>
            </m:num>
            <m:den>
              <m:r>
                <w:rPr>
                  <w:rFonts w:ascii="Cambria Math" w:hAnsi="Cambria Math" w:cs="Arial"/>
                  <w:lang w:val="en-US"/>
                </w:rPr>
                <m:t>Initial volume</m:t>
              </m:r>
            </m:den>
          </m:f>
          <m:r>
            <w:rPr>
              <w:rFonts w:ascii="Cambria Math" w:hAnsi="Cambria Math" w:cs="Arial"/>
              <w:lang w:val="en-US"/>
            </w:rPr>
            <m:t>*100              Eq 4.3</m:t>
          </m:r>
        </m:oMath>
      </m:oMathPara>
    </w:p>
    <w:p w:rsidR="00550A30" w:rsidRPr="008F3CEA" w:rsidRDefault="00550A30" w:rsidP="00550A30">
      <w:pPr>
        <w:pStyle w:val="Default"/>
        <w:spacing w:before="120" w:line="360" w:lineRule="auto"/>
        <w:jc w:val="both"/>
        <w:rPr>
          <w:rFonts w:ascii="Arial" w:hAnsi="Arial" w:cs="Arial"/>
          <w:lang w:val="en-US"/>
        </w:rPr>
      </w:pPr>
      <w:r w:rsidRPr="008F3CEA">
        <w:rPr>
          <w:rFonts w:ascii="Arial" w:hAnsi="Arial" w:cs="Arial"/>
          <w:lang w:val="en-US"/>
        </w:rPr>
        <w:lastRenderedPageBreak/>
        <w:t>Briefly, 5ml of bone cement solution were sucked up by using a syringe and then injected in a graduated cylinder, to measure the injected volume.</w:t>
      </w:r>
    </w:p>
    <w:p w:rsidR="00550A30" w:rsidRPr="008F3CEA" w:rsidRDefault="00550A30" w:rsidP="00550A30">
      <w:pPr>
        <w:spacing w:before="240" w:after="240" w:line="360" w:lineRule="auto"/>
        <w:jc w:val="both"/>
        <w:rPr>
          <w:rFonts w:ascii="Arial" w:hAnsi="Arial" w:cs="Arial"/>
          <w:b/>
          <w:sz w:val="28"/>
          <w:szCs w:val="28"/>
        </w:rPr>
      </w:pPr>
      <w:r w:rsidRPr="008F3CEA">
        <w:rPr>
          <w:rFonts w:ascii="Arial" w:hAnsi="Arial" w:cs="Arial"/>
          <w:b/>
          <w:sz w:val="28"/>
          <w:szCs w:val="28"/>
        </w:rPr>
        <w:t>4.3 Results &amp; Discussion</w:t>
      </w:r>
    </w:p>
    <w:p w:rsidR="00550A30" w:rsidRPr="008F3CEA" w:rsidRDefault="00550A30" w:rsidP="00550A30">
      <w:pPr>
        <w:spacing w:before="240" w:after="240" w:line="360" w:lineRule="auto"/>
        <w:jc w:val="both"/>
        <w:rPr>
          <w:rFonts w:ascii="Arial" w:hAnsi="Arial" w:cs="Arial"/>
          <w:b/>
          <w:color w:val="000000"/>
          <w:sz w:val="24"/>
          <w:szCs w:val="24"/>
          <w:lang w:eastAsia="it-IT"/>
        </w:rPr>
      </w:pPr>
      <w:r w:rsidRPr="008F3CEA">
        <w:rPr>
          <w:rFonts w:ascii="Arial" w:hAnsi="Arial" w:cs="Arial"/>
          <w:b/>
          <w:color w:val="000000"/>
          <w:sz w:val="24"/>
          <w:szCs w:val="24"/>
          <w:lang w:eastAsia="it-IT"/>
        </w:rPr>
        <w:t>4.3.1 Optimization of the processing parameters</w:t>
      </w:r>
    </w:p>
    <w:p w:rsidR="00550A30" w:rsidRPr="008F3CEA" w:rsidRDefault="00550A30" w:rsidP="00550A30">
      <w:pPr>
        <w:spacing w:before="240" w:after="240" w:line="360" w:lineRule="auto"/>
        <w:jc w:val="both"/>
        <w:rPr>
          <w:rFonts w:ascii="Arial" w:hAnsi="Arial" w:cs="Arial"/>
          <w:b/>
          <w:i/>
          <w:color w:val="000000"/>
          <w:sz w:val="24"/>
          <w:szCs w:val="24"/>
          <w:lang w:eastAsia="it-IT"/>
        </w:rPr>
      </w:pPr>
      <w:r w:rsidRPr="008F3CEA">
        <w:rPr>
          <w:rFonts w:ascii="Arial" w:hAnsi="Arial" w:cs="Arial"/>
          <w:b/>
          <w:i/>
          <w:color w:val="000000"/>
          <w:sz w:val="24"/>
          <w:szCs w:val="24"/>
          <w:lang w:eastAsia="it-IT"/>
        </w:rPr>
        <w:t>4.3.1.1 Determination of the setting time</w:t>
      </w:r>
    </w:p>
    <w:p w:rsidR="00550A30" w:rsidRPr="008F3CEA" w:rsidRDefault="00550A30" w:rsidP="00550A30">
      <w:pPr>
        <w:spacing w:after="0" w:line="360" w:lineRule="auto"/>
        <w:jc w:val="both"/>
        <w:rPr>
          <w:color w:val="000000"/>
          <w:sz w:val="23"/>
          <w:szCs w:val="23"/>
          <w:lang w:val="en-US"/>
        </w:rPr>
      </w:pPr>
      <w:r w:rsidRPr="008F3CEA">
        <w:rPr>
          <w:rFonts w:ascii="Arial" w:hAnsi="Arial" w:cs="Arial"/>
          <w:color w:val="000000"/>
          <w:sz w:val="24"/>
          <w:szCs w:val="24"/>
          <w:lang w:val="en-US" w:eastAsia="it-IT"/>
        </w:rPr>
        <w:t xml:space="preserve">To evaluate the effect of the organic/inorganic ratio and of the concentration of cross linker on the final properties of the material, setting time was recorded for all the bone cement formulations described in the previous section. </w:t>
      </w:r>
    </w:p>
    <w:p w:rsidR="00550A30" w:rsidRPr="008F3CEA" w:rsidRDefault="00550A30" w:rsidP="00550A30">
      <w:pPr>
        <w:spacing w:after="120" w:line="360" w:lineRule="auto"/>
        <w:jc w:val="both"/>
        <w:rPr>
          <w:rFonts w:ascii="Arial" w:hAnsi="Arial" w:cs="Arial"/>
          <w:color w:val="000000"/>
          <w:sz w:val="24"/>
          <w:szCs w:val="24"/>
          <w:lang w:val="en-US"/>
        </w:rPr>
      </w:pPr>
      <w:r w:rsidRPr="008F3CEA">
        <w:rPr>
          <w:rFonts w:ascii="Arial" w:hAnsi="Arial" w:cs="Arial"/>
          <w:color w:val="000000"/>
          <w:sz w:val="24"/>
          <w:szCs w:val="24"/>
          <w:lang w:val="en-US"/>
        </w:rPr>
        <w:t>Results are reported in figure 4.1 and show that setting time increases with increasing cross/linker concentration, as well as with increasing inorganic phase content.</w:t>
      </w:r>
    </w:p>
    <w:p w:rsidR="00550A30" w:rsidRPr="008F3CEA" w:rsidRDefault="00550A30" w:rsidP="00550A30">
      <w:pPr>
        <w:pStyle w:val="Paragrafoelenco"/>
        <w:spacing w:after="120" w:line="360" w:lineRule="auto"/>
        <w:ind w:left="0"/>
        <w:jc w:val="center"/>
        <w:rPr>
          <w:rFonts w:ascii="Arial" w:hAnsi="Arial" w:cs="Arial"/>
          <w:b/>
          <w:sz w:val="28"/>
          <w:szCs w:val="28"/>
        </w:rPr>
      </w:pPr>
      <w:r w:rsidRPr="008F3CEA">
        <w:rPr>
          <w:rFonts w:ascii="Arial" w:hAnsi="Arial" w:cs="Arial"/>
          <w:b/>
          <w:noProof/>
          <w:sz w:val="28"/>
          <w:szCs w:val="28"/>
          <w:lang w:val="it-IT" w:eastAsia="it-IT"/>
        </w:rPr>
        <w:drawing>
          <wp:inline distT="0" distB="0" distL="0" distR="0">
            <wp:extent cx="4842510" cy="3773772"/>
            <wp:effectExtent l="19050" t="0" r="0" b="0"/>
            <wp:docPr id="10" name="Immagine 9" descr="dis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olution.png"/>
                    <pic:cNvPicPr/>
                  </pic:nvPicPr>
                  <pic:blipFill>
                    <a:blip r:embed="rId58"/>
                    <a:stretch>
                      <a:fillRect/>
                    </a:stretch>
                  </pic:blipFill>
                  <pic:spPr>
                    <a:xfrm>
                      <a:off x="0" y="0"/>
                      <a:ext cx="4842510" cy="3773772"/>
                    </a:xfrm>
                    <a:prstGeom prst="rect">
                      <a:avLst/>
                    </a:prstGeom>
                  </pic:spPr>
                </pic:pic>
              </a:graphicData>
            </a:graphic>
          </wp:inline>
        </w:drawing>
      </w:r>
    </w:p>
    <w:p w:rsidR="00550A30" w:rsidRPr="008F3CEA" w:rsidRDefault="00550A30" w:rsidP="00550A30">
      <w:pPr>
        <w:pStyle w:val="Didascalia"/>
        <w:rPr>
          <w:rFonts w:ascii="Arial" w:hAnsi="Arial" w:cs="Arial"/>
          <w:b w:val="0"/>
          <w:sz w:val="28"/>
          <w:szCs w:val="28"/>
        </w:rPr>
      </w:pPr>
      <w:r w:rsidRPr="008F3CEA">
        <w:t xml:space="preserve">Figure 4. </w:t>
      </w:r>
      <w:fldSimple w:instr=" SEQ Figure_4. \* ARABIC ">
        <w:r w:rsidRPr="008F3CEA">
          <w:rPr>
            <w:noProof/>
          </w:rPr>
          <w:t>1</w:t>
        </w:r>
      </w:fldSimple>
      <w:r w:rsidRPr="008F3CEA">
        <w:t xml:space="preserve"> Hardening time of samples prepared with different organic/inorganic ratio and different cross-linker concentrations.</w:t>
      </w:r>
    </w:p>
    <w:p w:rsidR="00550A30" w:rsidRPr="008F3CEA" w:rsidRDefault="00550A30" w:rsidP="00550A30">
      <w:pPr>
        <w:pStyle w:val="Paragrafoelenco"/>
        <w:spacing w:line="360" w:lineRule="auto"/>
        <w:ind w:left="0"/>
        <w:jc w:val="both"/>
        <w:rPr>
          <w:rFonts w:ascii="Arial" w:hAnsi="Arial" w:cs="Arial"/>
          <w:sz w:val="24"/>
          <w:szCs w:val="24"/>
        </w:rPr>
      </w:pPr>
      <w:r w:rsidRPr="008F3CEA">
        <w:rPr>
          <w:rFonts w:ascii="Arial" w:hAnsi="Arial" w:cs="Arial"/>
          <w:sz w:val="24"/>
          <w:szCs w:val="24"/>
        </w:rPr>
        <w:t>In particular, at a constant GP concentration, increasing the βTCP ratio up to 70% w/w leads to a drastic reduction in the hardening time. Interestingly, a higher βTCP content (90%) results in longer hardening time, probably because the complete cross linking of the organic phase could be hampered by the massive presence of the inorganic component.</w:t>
      </w:r>
    </w:p>
    <w:p w:rsidR="00550A30" w:rsidRPr="008F3CEA" w:rsidRDefault="00550A30" w:rsidP="00550A30">
      <w:pPr>
        <w:pStyle w:val="Paragrafoelenco"/>
        <w:spacing w:line="360" w:lineRule="auto"/>
        <w:ind w:left="0"/>
        <w:jc w:val="both"/>
        <w:rPr>
          <w:rFonts w:ascii="Arial" w:hAnsi="Arial" w:cs="Arial"/>
          <w:sz w:val="24"/>
          <w:szCs w:val="24"/>
          <w:lang w:val="en-US"/>
        </w:rPr>
      </w:pPr>
      <w:r w:rsidRPr="008F3CEA">
        <w:rPr>
          <w:rFonts w:ascii="Arial" w:hAnsi="Arial" w:cs="Arial"/>
          <w:sz w:val="24"/>
          <w:szCs w:val="24"/>
        </w:rPr>
        <w:lastRenderedPageBreak/>
        <w:t xml:space="preserve">As an example, the series of samples obtained at a 2.5% GP concentration, show how an increased βTCP content led to shorter hardening time, ranging from 75min, for sample 90/10_GP2.5, to 44min for sample 70/30_GP2.5. </w:t>
      </w:r>
      <w:r w:rsidRPr="008F3CEA">
        <w:rPr>
          <w:rFonts w:ascii="Arial" w:hAnsi="Arial" w:cs="Arial"/>
          <w:sz w:val="24"/>
          <w:szCs w:val="24"/>
          <w:lang w:val="en-US"/>
        </w:rPr>
        <w:t>Sample 10/90_GP2.5 displayed a higher hardening time (52min).</w:t>
      </w:r>
    </w:p>
    <w:p w:rsidR="00550A30" w:rsidRPr="008F3CEA" w:rsidRDefault="00550A30" w:rsidP="00550A30">
      <w:pPr>
        <w:pStyle w:val="Paragrafoelenco"/>
        <w:spacing w:after="0" w:line="360" w:lineRule="auto"/>
        <w:ind w:left="0"/>
        <w:jc w:val="both"/>
        <w:rPr>
          <w:rFonts w:ascii="Arial" w:hAnsi="Arial" w:cs="Arial"/>
          <w:sz w:val="24"/>
          <w:szCs w:val="24"/>
          <w:lang w:val="en-US"/>
        </w:rPr>
      </w:pPr>
      <w:r w:rsidRPr="008F3CEA">
        <w:rPr>
          <w:rFonts w:ascii="Arial" w:hAnsi="Arial" w:cs="Arial"/>
          <w:sz w:val="24"/>
          <w:szCs w:val="24"/>
          <w:lang w:val="en-US"/>
        </w:rPr>
        <w:t>Similar profiles can be detected for all other formulations, obtained at higher GP concentrations, as summarized in table 4.2.</w:t>
      </w:r>
    </w:p>
    <w:p w:rsidR="00550A30" w:rsidRPr="008F3CEA" w:rsidRDefault="00550A30" w:rsidP="00550A30">
      <w:pPr>
        <w:spacing w:after="120" w:line="360" w:lineRule="auto"/>
        <w:jc w:val="both"/>
        <w:outlineLvl w:val="0"/>
        <w:rPr>
          <w:rFonts w:ascii="Arial" w:hAnsi="Arial" w:cs="Arial"/>
          <w:sz w:val="24"/>
          <w:szCs w:val="24"/>
          <w:lang w:val="en-US"/>
        </w:rPr>
      </w:pPr>
      <w:r w:rsidRPr="008F3CEA">
        <w:rPr>
          <w:rFonts w:ascii="Arial" w:hAnsi="Arial" w:cs="Arial"/>
          <w:sz w:val="24"/>
          <w:szCs w:val="24"/>
          <w:lang w:val="en-US"/>
        </w:rPr>
        <w:t>Sample 30/70_GP7.5 shows the best behavior with a setting time of 24 minutes, which meets the requirements indicated in literature [24].</w:t>
      </w:r>
    </w:p>
    <w:tbl>
      <w:tblPr>
        <w:tblStyle w:val="Grigliatabella"/>
        <w:tblW w:w="7370" w:type="dxa"/>
        <w:jc w:val="center"/>
        <w:tblBorders>
          <w:left w:val="none" w:sz="0" w:space="0" w:color="auto"/>
          <w:right w:val="none" w:sz="0" w:space="0" w:color="auto"/>
          <w:insideH w:val="none" w:sz="0" w:space="0" w:color="auto"/>
          <w:insideV w:val="none" w:sz="0" w:space="0" w:color="auto"/>
        </w:tblBorders>
        <w:shd w:val="clear" w:color="auto" w:fill="D9D9D9" w:themeFill="background1" w:themeFillShade="D9"/>
        <w:tblLook w:val="04A0"/>
      </w:tblPr>
      <w:tblGrid>
        <w:gridCol w:w="1474"/>
        <w:gridCol w:w="1474"/>
        <w:gridCol w:w="1474"/>
        <w:gridCol w:w="1474"/>
        <w:gridCol w:w="1474"/>
      </w:tblGrid>
      <w:tr w:rsidR="00550A30" w:rsidRPr="008F3CEA" w:rsidTr="009925A1">
        <w:trPr>
          <w:jc w:val="center"/>
        </w:trPr>
        <w:tc>
          <w:tcPr>
            <w:tcW w:w="1474" w:type="dxa"/>
            <w:tcBorders>
              <w:top w:val="single" w:sz="4" w:space="0" w:color="000000" w:themeColor="text1"/>
              <w:bottom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b/>
                <w:lang w:val="en-US"/>
              </w:rPr>
            </w:pPr>
            <w:r w:rsidRPr="008F3CEA">
              <w:rPr>
                <w:rFonts w:cstheme="minorHAnsi"/>
                <w:b/>
                <w:lang w:val="en-US"/>
              </w:rPr>
              <w:t>% CH/βTCP (w/w)</w:t>
            </w:r>
          </w:p>
        </w:tc>
        <w:tc>
          <w:tcPr>
            <w:tcW w:w="1474" w:type="dxa"/>
            <w:tcBorders>
              <w:top w:val="single" w:sz="4" w:space="0" w:color="000000" w:themeColor="text1"/>
              <w:bottom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b/>
                <w:lang w:val="en-US"/>
              </w:rPr>
            </w:pPr>
            <w:r w:rsidRPr="008F3CEA">
              <w:rPr>
                <w:rFonts w:cstheme="minorHAnsi"/>
                <w:b/>
                <w:lang w:val="en-US"/>
              </w:rPr>
              <w:t>GP 2.5% (w/w)</w:t>
            </w:r>
          </w:p>
        </w:tc>
        <w:tc>
          <w:tcPr>
            <w:tcW w:w="1474" w:type="dxa"/>
            <w:tcBorders>
              <w:top w:val="single" w:sz="4" w:space="0" w:color="000000" w:themeColor="text1"/>
              <w:bottom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b/>
                <w:lang w:val="en-US"/>
              </w:rPr>
            </w:pPr>
            <w:r w:rsidRPr="008F3CEA">
              <w:rPr>
                <w:rFonts w:cstheme="minorHAnsi"/>
                <w:b/>
                <w:lang w:val="en-US"/>
              </w:rPr>
              <w:t>GP 3.5% (w/w)</w:t>
            </w:r>
          </w:p>
        </w:tc>
        <w:tc>
          <w:tcPr>
            <w:tcW w:w="1474" w:type="dxa"/>
            <w:tcBorders>
              <w:top w:val="single" w:sz="4" w:space="0" w:color="000000" w:themeColor="text1"/>
              <w:bottom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b/>
                <w:lang w:val="en-US"/>
              </w:rPr>
            </w:pPr>
            <w:r w:rsidRPr="008F3CEA">
              <w:rPr>
                <w:rFonts w:cstheme="minorHAnsi"/>
                <w:b/>
                <w:lang w:val="en-US"/>
              </w:rPr>
              <w:t xml:space="preserve">GP 5% </w:t>
            </w:r>
          </w:p>
          <w:p w:rsidR="00550A30" w:rsidRPr="008F3CEA" w:rsidRDefault="00550A30" w:rsidP="009925A1">
            <w:pPr>
              <w:pStyle w:val="Paragrafoelenco"/>
              <w:ind w:left="0"/>
              <w:jc w:val="center"/>
              <w:rPr>
                <w:rFonts w:cstheme="minorHAnsi"/>
                <w:b/>
                <w:lang w:val="en-US"/>
              </w:rPr>
            </w:pPr>
            <w:r w:rsidRPr="008F3CEA">
              <w:rPr>
                <w:rFonts w:cstheme="minorHAnsi"/>
                <w:b/>
                <w:lang w:val="en-US"/>
              </w:rPr>
              <w:t>(w/w)</w:t>
            </w:r>
          </w:p>
        </w:tc>
        <w:tc>
          <w:tcPr>
            <w:tcW w:w="1474" w:type="dxa"/>
            <w:tcBorders>
              <w:top w:val="single" w:sz="4" w:space="0" w:color="000000" w:themeColor="text1"/>
              <w:bottom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b/>
                <w:lang w:val="en-US"/>
              </w:rPr>
            </w:pPr>
            <w:r w:rsidRPr="008F3CEA">
              <w:rPr>
                <w:rFonts w:cstheme="minorHAnsi"/>
                <w:b/>
                <w:lang w:val="en-US"/>
              </w:rPr>
              <w:t>GP 7.5% (w/w)</w:t>
            </w:r>
          </w:p>
        </w:tc>
      </w:tr>
      <w:tr w:rsidR="00550A30" w:rsidRPr="008F3CEA" w:rsidTr="009925A1">
        <w:trPr>
          <w:jc w:val="center"/>
        </w:trPr>
        <w:tc>
          <w:tcPr>
            <w:tcW w:w="1474" w:type="dxa"/>
            <w:tcBorders>
              <w:top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90/10</w:t>
            </w:r>
          </w:p>
        </w:tc>
        <w:tc>
          <w:tcPr>
            <w:tcW w:w="1474" w:type="dxa"/>
            <w:tcBorders>
              <w:top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75±5</w:t>
            </w:r>
          </w:p>
        </w:tc>
        <w:tc>
          <w:tcPr>
            <w:tcW w:w="1474" w:type="dxa"/>
            <w:tcBorders>
              <w:top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66±5</w:t>
            </w:r>
          </w:p>
        </w:tc>
        <w:tc>
          <w:tcPr>
            <w:tcW w:w="1474" w:type="dxa"/>
            <w:tcBorders>
              <w:top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46±6</w:t>
            </w:r>
          </w:p>
        </w:tc>
        <w:tc>
          <w:tcPr>
            <w:tcW w:w="1474" w:type="dxa"/>
            <w:tcBorders>
              <w:top w:val="single" w:sz="4" w:space="0" w:color="auto"/>
            </w:tcBorders>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48±2</w:t>
            </w:r>
          </w:p>
        </w:tc>
      </w:tr>
      <w:tr w:rsidR="00550A30" w:rsidRPr="008F3CEA" w:rsidTr="009925A1">
        <w:trPr>
          <w:jc w:val="center"/>
        </w:trPr>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70/30</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59±17</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52±13</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40±8</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32±3</w:t>
            </w:r>
          </w:p>
        </w:tc>
      </w:tr>
      <w:tr w:rsidR="00550A30" w:rsidRPr="008F3CEA" w:rsidTr="009925A1">
        <w:trPr>
          <w:jc w:val="center"/>
        </w:trPr>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50/50</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46±19</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40±20</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29±14</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25±4</w:t>
            </w:r>
          </w:p>
        </w:tc>
      </w:tr>
      <w:tr w:rsidR="00550A30" w:rsidRPr="008F3CEA" w:rsidTr="009925A1">
        <w:trPr>
          <w:jc w:val="center"/>
        </w:trPr>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30/70</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44±13</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36±9</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25±2</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24±2</w:t>
            </w:r>
          </w:p>
        </w:tc>
      </w:tr>
      <w:tr w:rsidR="00550A30" w:rsidRPr="008F3CEA" w:rsidTr="009925A1">
        <w:trPr>
          <w:jc w:val="center"/>
        </w:trPr>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10/90</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52±3</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47±3</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31±2</w:t>
            </w:r>
          </w:p>
        </w:tc>
        <w:tc>
          <w:tcPr>
            <w:tcW w:w="1474" w:type="dxa"/>
            <w:shd w:val="clear" w:color="auto" w:fill="D9D9D9" w:themeFill="background1" w:themeFillShade="D9"/>
          </w:tcPr>
          <w:p w:rsidR="00550A30" w:rsidRPr="008F3CEA" w:rsidRDefault="00550A30" w:rsidP="009925A1">
            <w:pPr>
              <w:pStyle w:val="Paragrafoelenco"/>
              <w:ind w:left="0"/>
              <w:jc w:val="center"/>
              <w:rPr>
                <w:rFonts w:cstheme="minorHAnsi"/>
                <w:lang w:val="en-US"/>
              </w:rPr>
            </w:pPr>
            <w:r w:rsidRPr="008F3CEA">
              <w:rPr>
                <w:rFonts w:cstheme="minorHAnsi"/>
                <w:lang w:val="en-US"/>
              </w:rPr>
              <w:t>27±2</w:t>
            </w:r>
          </w:p>
        </w:tc>
      </w:tr>
    </w:tbl>
    <w:p w:rsidR="00550A30" w:rsidRPr="008F3CEA" w:rsidRDefault="00550A30" w:rsidP="00550A30">
      <w:pPr>
        <w:pStyle w:val="Didascalia"/>
        <w:spacing w:before="120" w:line="360" w:lineRule="auto"/>
        <w:rPr>
          <w:rFonts w:ascii="Arial" w:hAnsi="Arial" w:cs="Arial"/>
          <w:b w:val="0"/>
          <w:sz w:val="28"/>
          <w:szCs w:val="28"/>
          <w:lang w:val="en-US"/>
        </w:rPr>
      </w:pPr>
      <w:r w:rsidRPr="008F3CEA">
        <w:rPr>
          <w:lang w:val="en-US"/>
        </w:rPr>
        <w:t xml:space="preserve">Table 4. </w:t>
      </w:r>
      <w:r w:rsidR="00860AC7" w:rsidRPr="008F3CEA">
        <w:fldChar w:fldCharType="begin"/>
      </w:r>
      <w:r w:rsidRPr="008F3CEA">
        <w:rPr>
          <w:lang w:val="en-US"/>
        </w:rPr>
        <w:instrText xml:space="preserve"> SEQ Table_4. \* ARABIC </w:instrText>
      </w:r>
      <w:r w:rsidR="00860AC7" w:rsidRPr="008F3CEA">
        <w:fldChar w:fldCharType="separate"/>
      </w:r>
      <w:r w:rsidRPr="008F3CEA">
        <w:rPr>
          <w:noProof/>
          <w:lang w:val="en-US"/>
        </w:rPr>
        <w:t>2</w:t>
      </w:r>
      <w:r w:rsidR="00860AC7" w:rsidRPr="008F3CEA">
        <w:fldChar w:fldCharType="end"/>
      </w:r>
      <w:r w:rsidRPr="008F3CEA">
        <w:rPr>
          <w:lang w:val="en-US"/>
        </w:rPr>
        <w:t xml:space="preserve">  Setting times recorded for all samples.</w:t>
      </w:r>
    </w:p>
    <w:p w:rsidR="00550A30" w:rsidRPr="008F3CEA" w:rsidRDefault="00550A30" w:rsidP="00550A30">
      <w:pPr>
        <w:spacing w:before="240" w:after="240" w:line="360" w:lineRule="auto"/>
        <w:jc w:val="both"/>
        <w:rPr>
          <w:rFonts w:ascii="Arial" w:hAnsi="Arial" w:cs="Arial"/>
          <w:b/>
          <w:i/>
          <w:color w:val="000000"/>
          <w:sz w:val="24"/>
          <w:szCs w:val="24"/>
          <w:lang w:eastAsia="it-IT"/>
        </w:rPr>
      </w:pPr>
      <w:r w:rsidRPr="008F3CEA">
        <w:rPr>
          <w:rFonts w:ascii="Arial" w:hAnsi="Arial" w:cs="Arial"/>
          <w:b/>
          <w:i/>
          <w:color w:val="000000"/>
          <w:sz w:val="24"/>
          <w:szCs w:val="24"/>
          <w:lang w:eastAsia="it-IT"/>
        </w:rPr>
        <w:t xml:space="preserve">4.3.1.2 </w:t>
      </w:r>
      <w:r w:rsidRPr="008F3CEA">
        <w:rPr>
          <w:rFonts w:ascii="Arial" w:hAnsi="Arial" w:cs="Arial"/>
          <w:b/>
          <w:bCs/>
          <w:i/>
          <w:iCs/>
          <w:sz w:val="24"/>
          <w:szCs w:val="24"/>
          <w:lang w:val="en-US"/>
        </w:rPr>
        <w:t>In vitro dissolution tests</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In order to assess the optimal GP concentration, dissolution tests were performed on all samples, by measuring their weight loss after 3, 7 and 14 days of soaking in phosphate buffer saline (PBS) at 37°C.</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Results are reported in figures 4.2–4.5 and show that no evident weight loss was recorded, regardless of the sample composition.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The highest dissolution rate (17%) was observed for sample 50/50_GP5 after 14 day of incubation.</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As expected, the dissolution rate slightly increased with increasing soaking time and decreased at higher GP concentration. In fact the best behavior was observed for samples with the highest GP content (7.5%).</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In these conditions, samples prepared with an organic/inorganic ratio of 30/70 were the most stable, with a dissolution rate ranging from 0.8 ± 0.1% to 2.6 ± 0.5% after 3 and 14 days in PBS respectively (see table 4.3).</w:t>
      </w:r>
    </w:p>
    <w:p w:rsidR="00550A30" w:rsidRPr="008F3CEA" w:rsidRDefault="00550A30" w:rsidP="00550A30">
      <w:pPr>
        <w:pStyle w:val="Default"/>
        <w:spacing w:line="360" w:lineRule="auto"/>
        <w:jc w:val="both"/>
        <w:rPr>
          <w:lang w:val="en-US"/>
        </w:rPr>
      </w:pPr>
    </w:p>
    <w:p w:rsidR="00550A30" w:rsidRPr="008F3CEA" w:rsidRDefault="00550A30" w:rsidP="00550A30">
      <w:pPr>
        <w:spacing w:after="0" w:line="360" w:lineRule="auto"/>
        <w:jc w:val="center"/>
        <w:rPr>
          <w:rFonts w:ascii="Arial" w:hAnsi="Arial" w:cs="Arial"/>
          <w:b/>
          <w:sz w:val="24"/>
          <w:szCs w:val="24"/>
          <w:lang w:val="it-IT"/>
        </w:rPr>
      </w:pPr>
      <w:r w:rsidRPr="008F3CEA">
        <w:rPr>
          <w:rFonts w:ascii="Arial" w:hAnsi="Arial" w:cs="Arial"/>
          <w:b/>
          <w:noProof/>
          <w:sz w:val="24"/>
          <w:szCs w:val="24"/>
          <w:lang w:val="it-IT" w:eastAsia="it-IT"/>
        </w:rPr>
        <w:lastRenderedPageBreak/>
        <w:drawing>
          <wp:inline distT="0" distB="0" distL="0" distR="0">
            <wp:extent cx="4791060" cy="3285473"/>
            <wp:effectExtent l="19050" t="0" r="0" b="0"/>
            <wp:docPr id="11" name="Immagine 10" descr="DISSOLU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OLUTION 1.png"/>
                    <pic:cNvPicPr/>
                  </pic:nvPicPr>
                  <pic:blipFill>
                    <a:blip r:embed="rId59"/>
                    <a:stretch>
                      <a:fillRect/>
                    </a:stretch>
                  </pic:blipFill>
                  <pic:spPr>
                    <a:xfrm>
                      <a:off x="0" y="0"/>
                      <a:ext cx="4791060" cy="3285473"/>
                    </a:xfrm>
                    <a:prstGeom prst="rect">
                      <a:avLst/>
                    </a:prstGeom>
                  </pic:spPr>
                </pic:pic>
              </a:graphicData>
            </a:graphic>
          </wp:inline>
        </w:drawing>
      </w:r>
    </w:p>
    <w:p w:rsidR="00550A30" w:rsidRPr="008F3CEA" w:rsidRDefault="00550A30" w:rsidP="00550A30">
      <w:pPr>
        <w:pStyle w:val="Didascalia"/>
        <w:rPr>
          <w:rFonts w:ascii="Arial" w:hAnsi="Arial" w:cs="Arial"/>
          <w:b w:val="0"/>
          <w:sz w:val="24"/>
          <w:szCs w:val="24"/>
          <w:lang w:val="en-US"/>
        </w:rPr>
      </w:pPr>
      <w:r w:rsidRPr="008F3CEA">
        <w:t xml:space="preserve">Figure 4. </w:t>
      </w:r>
      <w:fldSimple w:instr=" SEQ Figure_4. \* ARABIC ">
        <w:r w:rsidRPr="008F3CEA">
          <w:rPr>
            <w:noProof/>
          </w:rPr>
          <w:t>2</w:t>
        </w:r>
      </w:fldSimple>
      <w:r w:rsidRPr="008F3CEA">
        <w:t xml:space="preserve"> Dissolution tests performed on bone cements prepared with different organic/inorganic phase ratios and with a cross linker concentration of 2.5% w/v</w:t>
      </w:r>
    </w:p>
    <w:p w:rsidR="00550A30" w:rsidRPr="008F3CEA" w:rsidRDefault="00550A30" w:rsidP="00550A30">
      <w:pPr>
        <w:spacing w:after="0" w:line="360" w:lineRule="auto"/>
        <w:jc w:val="center"/>
        <w:rPr>
          <w:rFonts w:ascii="Arial" w:hAnsi="Arial" w:cs="Arial"/>
          <w:b/>
          <w:sz w:val="24"/>
          <w:szCs w:val="24"/>
          <w:lang w:val="it-IT"/>
        </w:rPr>
      </w:pPr>
      <w:r w:rsidRPr="008F3CEA">
        <w:rPr>
          <w:rFonts w:ascii="Arial" w:hAnsi="Arial" w:cs="Arial"/>
          <w:b/>
          <w:noProof/>
          <w:sz w:val="24"/>
          <w:szCs w:val="24"/>
          <w:lang w:val="it-IT" w:eastAsia="it-IT"/>
        </w:rPr>
        <w:drawing>
          <wp:inline distT="0" distB="0" distL="0" distR="0">
            <wp:extent cx="4888588" cy="3078226"/>
            <wp:effectExtent l="19050" t="0" r="7262" b="0"/>
            <wp:docPr id="12" name="Immagine 11" descr="DISSOLU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OLUTION 2.png"/>
                    <pic:cNvPicPr/>
                  </pic:nvPicPr>
                  <pic:blipFill>
                    <a:blip r:embed="rId60"/>
                    <a:stretch>
                      <a:fillRect/>
                    </a:stretch>
                  </pic:blipFill>
                  <pic:spPr>
                    <a:xfrm>
                      <a:off x="0" y="0"/>
                      <a:ext cx="4888588" cy="3078226"/>
                    </a:xfrm>
                    <a:prstGeom prst="rect">
                      <a:avLst/>
                    </a:prstGeom>
                  </pic:spPr>
                </pic:pic>
              </a:graphicData>
            </a:graphic>
          </wp:inline>
        </w:drawing>
      </w:r>
    </w:p>
    <w:p w:rsidR="00550A30" w:rsidRPr="008F3CEA" w:rsidRDefault="00550A30" w:rsidP="00550A30">
      <w:pPr>
        <w:pStyle w:val="Didascalia"/>
        <w:rPr>
          <w:rFonts w:ascii="Arial" w:hAnsi="Arial" w:cs="Arial"/>
          <w:b w:val="0"/>
          <w:sz w:val="24"/>
          <w:szCs w:val="24"/>
          <w:lang w:val="en-US"/>
        </w:rPr>
      </w:pPr>
      <w:r w:rsidRPr="008F3CEA">
        <w:t xml:space="preserve">Figure 4. </w:t>
      </w:r>
      <w:fldSimple w:instr=" SEQ Figure_4. \* ARABIC ">
        <w:r w:rsidRPr="008F3CEA">
          <w:rPr>
            <w:noProof/>
          </w:rPr>
          <w:t>3</w:t>
        </w:r>
      </w:fldSimple>
      <w:r w:rsidRPr="008F3CEA">
        <w:t xml:space="preserve"> Dissolution tests performed on bone cements prepared with different organic/inorganic phase ratios and with a cross linker concentration of 3.5% w/v</w:t>
      </w:r>
    </w:p>
    <w:p w:rsidR="00550A30" w:rsidRPr="008F3CEA" w:rsidRDefault="00550A30" w:rsidP="00550A30">
      <w:pPr>
        <w:pStyle w:val="Didascalia"/>
        <w:rPr>
          <w:rFonts w:ascii="Arial" w:hAnsi="Arial" w:cs="Arial"/>
          <w:b w:val="0"/>
          <w:sz w:val="24"/>
          <w:szCs w:val="24"/>
          <w:lang w:val="en-US"/>
        </w:rPr>
      </w:pPr>
    </w:p>
    <w:p w:rsidR="00550A30" w:rsidRPr="008F3CEA" w:rsidRDefault="00550A30" w:rsidP="00550A30">
      <w:pPr>
        <w:spacing w:after="0" w:line="360" w:lineRule="auto"/>
        <w:jc w:val="center"/>
        <w:rPr>
          <w:rFonts w:ascii="Arial" w:hAnsi="Arial" w:cs="Arial"/>
          <w:b/>
          <w:sz w:val="24"/>
          <w:szCs w:val="24"/>
          <w:lang w:val="it-IT"/>
        </w:rPr>
      </w:pPr>
      <w:r w:rsidRPr="008F3CEA">
        <w:rPr>
          <w:rFonts w:ascii="Arial" w:hAnsi="Arial" w:cs="Arial"/>
          <w:b/>
          <w:noProof/>
          <w:sz w:val="24"/>
          <w:szCs w:val="24"/>
          <w:lang w:val="it-IT" w:eastAsia="it-IT"/>
        </w:rPr>
        <w:lastRenderedPageBreak/>
        <w:drawing>
          <wp:inline distT="0" distB="0" distL="0" distR="0">
            <wp:extent cx="4980021" cy="2870979"/>
            <wp:effectExtent l="19050" t="0" r="0" b="0"/>
            <wp:docPr id="13" name="Immagine 12" descr="DISSOLUT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OLUTION 3.png"/>
                    <pic:cNvPicPr/>
                  </pic:nvPicPr>
                  <pic:blipFill>
                    <a:blip r:embed="rId61"/>
                    <a:stretch>
                      <a:fillRect/>
                    </a:stretch>
                  </pic:blipFill>
                  <pic:spPr>
                    <a:xfrm>
                      <a:off x="0" y="0"/>
                      <a:ext cx="4980021" cy="2870979"/>
                    </a:xfrm>
                    <a:prstGeom prst="rect">
                      <a:avLst/>
                    </a:prstGeom>
                  </pic:spPr>
                </pic:pic>
              </a:graphicData>
            </a:graphic>
          </wp:inline>
        </w:drawing>
      </w:r>
    </w:p>
    <w:p w:rsidR="00550A30" w:rsidRPr="008F3CEA" w:rsidRDefault="00550A30" w:rsidP="00550A30">
      <w:pPr>
        <w:pStyle w:val="Didascalia"/>
        <w:rPr>
          <w:rFonts w:ascii="Arial" w:hAnsi="Arial" w:cs="Arial"/>
          <w:b w:val="0"/>
          <w:sz w:val="24"/>
          <w:szCs w:val="24"/>
          <w:lang w:val="en-US"/>
        </w:rPr>
      </w:pPr>
      <w:r w:rsidRPr="008F3CEA">
        <w:t xml:space="preserve">Figure 4. </w:t>
      </w:r>
      <w:fldSimple w:instr=" SEQ Figure_4. \* ARABIC ">
        <w:r w:rsidRPr="008F3CEA">
          <w:rPr>
            <w:noProof/>
          </w:rPr>
          <w:t>4</w:t>
        </w:r>
      </w:fldSimple>
      <w:r w:rsidRPr="008F3CEA">
        <w:t xml:space="preserve"> Dissolution tests performed on bone cements prepared with different organic/inorganic phase ratios and with a cross linker concentration of 5% w/v</w:t>
      </w:r>
    </w:p>
    <w:p w:rsidR="00550A30" w:rsidRPr="008F3CEA" w:rsidRDefault="00550A30" w:rsidP="00550A30">
      <w:pPr>
        <w:spacing w:after="0" w:line="360" w:lineRule="auto"/>
        <w:jc w:val="center"/>
        <w:rPr>
          <w:rFonts w:ascii="Arial" w:hAnsi="Arial" w:cs="Arial"/>
          <w:b/>
          <w:sz w:val="24"/>
          <w:szCs w:val="24"/>
          <w:lang w:val="it-IT"/>
        </w:rPr>
      </w:pPr>
      <w:r w:rsidRPr="008F3CEA">
        <w:rPr>
          <w:rFonts w:ascii="Arial" w:hAnsi="Arial" w:cs="Arial"/>
          <w:b/>
          <w:noProof/>
          <w:sz w:val="24"/>
          <w:szCs w:val="24"/>
          <w:lang w:val="it-IT" w:eastAsia="it-IT"/>
        </w:rPr>
        <w:drawing>
          <wp:inline distT="0" distB="0" distL="0" distR="0">
            <wp:extent cx="4943448" cy="3084321"/>
            <wp:effectExtent l="19050" t="0" r="0" b="0"/>
            <wp:docPr id="14" name="Immagine 13" descr="DISSOLUT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OLUTION 4.png"/>
                    <pic:cNvPicPr/>
                  </pic:nvPicPr>
                  <pic:blipFill>
                    <a:blip r:embed="rId62"/>
                    <a:stretch>
                      <a:fillRect/>
                    </a:stretch>
                  </pic:blipFill>
                  <pic:spPr>
                    <a:xfrm>
                      <a:off x="0" y="0"/>
                      <a:ext cx="4943448" cy="3084321"/>
                    </a:xfrm>
                    <a:prstGeom prst="rect">
                      <a:avLst/>
                    </a:prstGeom>
                  </pic:spPr>
                </pic:pic>
              </a:graphicData>
            </a:graphic>
          </wp:inline>
        </w:drawing>
      </w:r>
    </w:p>
    <w:p w:rsidR="00550A30" w:rsidRPr="008F3CEA" w:rsidRDefault="00550A30" w:rsidP="00550A30">
      <w:pPr>
        <w:pStyle w:val="Didascalia"/>
      </w:pPr>
      <w:r w:rsidRPr="008F3CEA">
        <w:t xml:space="preserve">Figure 4. </w:t>
      </w:r>
      <w:fldSimple w:instr=" SEQ Figure_4. \* ARABIC ">
        <w:r w:rsidRPr="008F3CEA">
          <w:rPr>
            <w:noProof/>
          </w:rPr>
          <w:t>5</w:t>
        </w:r>
      </w:fldSimple>
      <w:r w:rsidRPr="008F3CEA">
        <w:t xml:space="preserve"> Dissolution tests performed on bone cements prepared with different organic/inorganic phase ratios and with a cross linker concentration of 7.5% w/v</w:t>
      </w:r>
    </w:p>
    <w:tbl>
      <w:tblPr>
        <w:tblStyle w:val="Grigliatabella"/>
        <w:tblW w:w="0" w:type="auto"/>
        <w:jc w:val="center"/>
        <w:tblInd w:w="1145" w:type="dxa"/>
        <w:tblBorders>
          <w:left w:val="none" w:sz="0" w:space="0" w:color="auto"/>
          <w:right w:val="none" w:sz="0" w:space="0" w:color="auto"/>
          <w:insideH w:val="none" w:sz="0" w:space="0" w:color="auto"/>
          <w:insideV w:val="none" w:sz="0" w:space="0" w:color="auto"/>
        </w:tblBorders>
        <w:shd w:val="clear" w:color="auto" w:fill="D9D9D9" w:themeFill="background1" w:themeFillShade="D9"/>
        <w:tblLook w:val="04A0"/>
      </w:tblPr>
      <w:tblGrid>
        <w:gridCol w:w="2925"/>
        <w:gridCol w:w="2302"/>
      </w:tblGrid>
      <w:tr w:rsidR="00550A30" w:rsidRPr="008F3CEA" w:rsidTr="009925A1">
        <w:trPr>
          <w:trHeight w:val="340"/>
          <w:jc w:val="center"/>
        </w:trPr>
        <w:tc>
          <w:tcPr>
            <w:tcW w:w="2925" w:type="dxa"/>
            <w:tcBorders>
              <w:top w:val="single" w:sz="4" w:space="0" w:color="000000" w:themeColor="text1"/>
              <w:bottom w:val="single" w:sz="4" w:space="0" w:color="auto"/>
            </w:tcBorders>
            <w:shd w:val="clear" w:color="auto" w:fill="D9D9D9" w:themeFill="background1" w:themeFillShade="D9"/>
            <w:vAlign w:val="center"/>
          </w:tcPr>
          <w:p w:rsidR="00550A30" w:rsidRPr="008F3CEA" w:rsidRDefault="00550A30" w:rsidP="009925A1">
            <w:pPr>
              <w:jc w:val="center"/>
              <w:rPr>
                <w:rFonts w:cstheme="minorHAnsi"/>
                <w:b/>
                <w:lang w:val="en-US"/>
              </w:rPr>
            </w:pPr>
            <w:r w:rsidRPr="008F3CEA">
              <w:rPr>
                <w:rFonts w:cstheme="minorHAnsi"/>
                <w:b/>
                <w:lang w:val="en-US"/>
              </w:rPr>
              <w:t>Soaking time in PBS (days)</w:t>
            </w:r>
          </w:p>
        </w:tc>
        <w:tc>
          <w:tcPr>
            <w:tcW w:w="2302" w:type="dxa"/>
            <w:tcBorders>
              <w:top w:val="single" w:sz="4" w:space="0" w:color="000000" w:themeColor="text1"/>
              <w:bottom w:val="single" w:sz="4" w:space="0" w:color="auto"/>
            </w:tcBorders>
            <w:shd w:val="clear" w:color="auto" w:fill="D9D9D9" w:themeFill="background1" w:themeFillShade="D9"/>
            <w:vAlign w:val="center"/>
          </w:tcPr>
          <w:p w:rsidR="00550A30" w:rsidRPr="008F3CEA" w:rsidRDefault="00550A30" w:rsidP="009925A1">
            <w:pPr>
              <w:jc w:val="center"/>
              <w:rPr>
                <w:rFonts w:cstheme="minorHAnsi"/>
                <w:b/>
                <w:lang w:val="en-US"/>
              </w:rPr>
            </w:pPr>
            <w:r w:rsidRPr="008F3CEA">
              <w:rPr>
                <w:rFonts w:cstheme="minorHAnsi"/>
                <w:b/>
                <w:lang w:val="en-US"/>
              </w:rPr>
              <w:t>Dissolution rate (%)</w:t>
            </w:r>
          </w:p>
        </w:tc>
      </w:tr>
      <w:tr w:rsidR="00550A30" w:rsidRPr="008F3CEA" w:rsidTr="009925A1">
        <w:trPr>
          <w:trHeight w:val="283"/>
          <w:jc w:val="center"/>
        </w:trPr>
        <w:tc>
          <w:tcPr>
            <w:tcW w:w="2925" w:type="dxa"/>
            <w:tcBorders>
              <w:top w:val="single" w:sz="4" w:space="0" w:color="auto"/>
            </w:tcBorders>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3</w:t>
            </w:r>
          </w:p>
        </w:tc>
        <w:tc>
          <w:tcPr>
            <w:tcW w:w="2302" w:type="dxa"/>
            <w:tcBorders>
              <w:top w:val="single" w:sz="4" w:space="0" w:color="auto"/>
            </w:tcBorders>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0.8 ± 0.1</w:t>
            </w:r>
          </w:p>
        </w:tc>
      </w:tr>
      <w:tr w:rsidR="00550A30" w:rsidRPr="008F3CEA" w:rsidTr="009925A1">
        <w:trPr>
          <w:trHeight w:val="283"/>
          <w:jc w:val="center"/>
        </w:trPr>
        <w:tc>
          <w:tcPr>
            <w:tcW w:w="2925" w:type="dxa"/>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7</w:t>
            </w:r>
          </w:p>
        </w:tc>
        <w:tc>
          <w:tcPr>
            <w:tcW w:w="2302" w:type="dxa"/>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1.5 ± 0.1</w:t>
            </w:r>
          </w:p>
        </w:tc>
      </w:tr>
      <w:tr w:rsidR="00550A30" w:rsidRPr="008F3CEA" w:rsidTr="009925A1">
        <w:trPr>
          <w:trHeight w:val="283"/>
          <w:jc w:val="center"/>
        </w:trPr>
        <w:tc>
          <w:tcPr>
            <w:tcW w:w="2925" w:type="dxa"/>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14</w:t>
            </w:r>
          </w:p>
        </w:tc>
        <w:tc>
          <w:tcPr>
            <w:tcW w:w="2302" w:type="dxa"/>
            <w:shd w:val="clear" w:color="auto" w:fill="D9D9D9" w:themeFill="background1" w:themeFillShade="D9"/>
            <w:vAlign w:val="center"/>
          </w:tcPr>
          <w:p w:rsidR="00550A30" w:rsidRPr="008F3CEA" w:rsidRDefault="00550A30" w:rsidP="009925A1">
            <w:pPr>
              <w:jc w:val="center"/>
              <w:rPr>
                <w:rFonts w:cstheme="minorHAnsi"/>
                <w:lang w:val="en-US"/>
              </w:rPr>
            </w:pPr>
            <w:r w:rsidRPr="008F3CEA">
              <w:rPr>
                <w:rFonts w:cstheme="minorHAnsi"/>
                <w:lang w:val="en-US"/>
              </w:rPr>
              <w:t>2.6 ± 0.5</w:t>
            </w:r>
          </w:p>
        </w:tc>
      </w:tr>
    </w:tbl>
    <w:p w:rsidR="00550A30" w:rsidRPr="008F3CEA" w:rsidRDefault="00550A30" w:rsidP="00550A30">
      <w:pPr>
        <w:pStyle w:val="Didascalia"/>
        <w:spacing w:before="120" w:line="360" w:lineRule="auto"/>
        <w:rPr>
          <w:rFonts w:ascii="Arial" w:hAnsi="Arial" w:cs="Arial"/>
          <w:b w:val="0"/>
          <w:sz w:val="24"/>
          <w:szCs w:val="24"/>
          <w:lang w:val="en-US"/>
        </w:rPr>
      </w:pPr>
      <w:r w:rsidRPr="008F3CEA">
        <w:t xml:space="preserve">Table 4. </w:t>
      </w:r>
      <w:fldSimple w:instr=" SEQ Table_4. \* ARABIC ">
        <w:r w:rsidRPr="008F3CEA">
          <w:rPr>
            <w:noProof/>
          </w:rPr>
          <w:t>3</w:t>
        </w:r>
      </w:fldSimple>
      <w:r w:rsidRPr="008F3CEA">
        <w:t xml:space="preserve"> Dissolution rates of sample 30/70 GP 7.5 which showed the best behaviour in this test.</w:t>
      </w:r>
    </w:p>
    <w:p w:rsidR="00550A30" w:rsidRPr="008F3CEA" w:rsidRDefault="00550A30" w:rsidP="00550A30">
      <w:pPr>
        <w:pStyle w:val="Default"/>
        <w:spacing w:before="240" w:after="240" w:line="360" w:lineRule="auto"/>
        <w:rPr>
          <w:rFonts w:ascii="Arial" w:hAnsi="Arial" w:cs="Arial"/>
          <w:b/>
          <w:bCs/>
          <w:i/>
          <w:iCs/>
          <w:lang w:val="en-US"/>
        </w:rPr>
      </w:pPr>
    </w:p>
    <w:p w:rsidR="00550A30" w:rsidRPr="008F3CEA" w:rsidRDefault="00550A30" w:rsidP="00550A30">
      <w:pPr>
        <w:pStyle w:val="Default"/>
        <w:spacing w:before="240" w:after="240" w:line="360" w:lineRule="auto"/>
        <w:rPr>
          <w:rFonts w:ascii="Arial" w:hAnsi="Arial" w:cs="Arial"/>
          <w:b/>
          <w:bCs/>
          <w:i/>
          <w:iCs/>
          <w:lang w:val="en-US"/>
        </w:rPr>
      </w:pPr>
    </w:p>
    <w:p w:rsidR="00550A30" w:rsidRPr="008F3CEA" w:rsidRDefault="00550A30" w:rsidP="00550A30">
      <w:pPr>
        <w:pStyle w:val="Default"/>
        <w:spacing w:before="240" w:after="240" w:line="360" w:lineRule="auto"/>
        <w:rPr>
          <w:rFonts w:ascii="Arial" w:hAnsi="Arial" w:cs="Arial"/>
          <w:b/>
          <w:bCs/>
          <w:i/>
          <w:iCs/>
          <w:lang w:val="en-US"/>
        </w:rPr>
      </w:pPr>
      <w:r w:rsidRPr="008F3CEA">
        <w:rPr>
          <w:rFonts w:ascii="Arial" w:hAnsi="Arial" w:cs="Arial"/>
          <w:b/>
          <w:bCs/>
          <w:i/>
          <w:iCs/>
          <w:lang w:val="en-US"/>
        </w:rPr>
        <w:lastRenderedPageBreak/>
        <w:t>4.3.1.3 Determination of the compressive strength</w:t>
      </w:r>
    </w:p>
    <w:p w:rsidR="00550A30" w:rsidRPr="008F3CEA" w:rsidRDefault="00550A30" w:rsidP="00550A30">
      <w:pPr>
        <w:pStyle w:val="Default"/>
        <w:spacing w:line="360" w:lineRule="auto"/>
        <w:rPr>
          <w:sz w:val="23"/>
          <w:szCs w:val="23"/>
          <w:lang w:val="en-US"/>
        </w:rPr>
      </w:pPr>
    </w:p>
    <w:p w:rsidR="00550A30" w:rsidRPr="008F3CEA" w:rsidRDefault="00550A30" w:rsidP="00550A30">
      <w:pPr>
        <w:pStyle w:val="Default"/>
        <w:spacing w:after="120" w:line="360" w:lineRule="auto"/>
        <w:jc w:val="both"/>
        <w:rPr>
          <w:rFonts w:ascii="Arial" w:hAnsi="Arial" w:cs="Arial"/>
          <w:lang w:val="en-US"/>
        </w:rPr>
      </w:pPr>
      <w:r w:rsidRPr="008F3CEA">
        <w:rPr>
          <w:rFonts w:ascii="Arial" w:hAnsi="Arial" w:cs="Arial"/>
          <w:lang w:val="en-US"/>
        </w:rPr>
        <w:t xml:space="preserve">The samples behavior under compression has been assessed by determining the Young Modulus for compression (E). Results are summarized in figure 4.6, and show a Young Modulus for all samples ranging between 7.7 ± 1.2 kPa, for sample </w:t>
      </w:r>
      <w:r w:rsidRPr="008F3CEA">
        <w:rPr>
          <w:rFonts w:ascii="Arial" w:hAnsi="Arial" w:cs="Arial"/>
          <w:iCs/>
          <w:lang w:val="en-US"/>
        </w:rPr>
        <w:t xml:space="preserve">90/10_GP2.5, </w:t>
      </w:r>
      <w:r w:rsidRPr="008F3CEA">
        <w:rPr>
          <w:rFonts w:ascii="Arial" w:hAnsi="Arial" w:cs="Arial"/>
          <w:lang w:val="en-US"/>
        </w:rPr>
        <w:t xml:space="preserve">and 188.6 ± 36.3 kPa, for sample </w:t>
      </w:r>
      <w:r w:rsidRPr="008F3CEA">
        <w:rPr>
          <w:rFonts w:ascii="Arial" w:hAnsi="Arial" w:cs="Arial"/>
          <w:iCs/>
          <w:lang w:val="en-US"/>
        </w:rPr>
        <w:t>10/90_GP7.5.</w:t>
      </w:r>
      <w:r w:rsidRPr="008F3CEA">
        <w:rPr>
          <w:rFonts w:ascii="Arial" w:hAnsi="Arial" w:cs="Arial"/>
          <w:lang w:val="en-US"/>
        </w:rPr>
        <w:t xml:space="preserve"> </w:t>
      </w:r>
    </w:p>
    <w:p w:rsidR="00550A30" w:rsidRPr="008F3CEA" w:rsidRDefault="00550A30" w:rsidP="00550A30">
      <w:pPr>
        <w:spacing w:after="120" w:line="360" w:lineRule="auto"/>
        <w:jc w:val="center"/>
        <w:rPr>
          <w:rFonts w:ascii="Arial" w:hAnsi="Arial" w:cs="Arial"/>
          <w:b/>
          <w:bCs/>
          <w:sz w:val="24"/>
          <w:szCs w:val="24"/>
          <w:lang w:val="it-IT"/>
        </w:rPr>
      </w:pPr>
      <w:r w:rsidRPr="008F3CEA">
        <w:rPr>
          <w:rFonts w:ascii="Arial" w:hAnsi="Arial" w:cs="Arial"/>
          <w:b/>
          <w:bCs/>
          <w:noProof/>
          <w:sz w:val="24"/>
          <w:szCs w:val="24"/>
          <w:lang w:val="it-IT" w:eastAsia="it-IT"/>
        </w:rPr>
        <w:drawing>
          <wp:inline distT="0" distB="0" distL="0" distR="0">
            <wp:extent cx="5324475" cy="3638476"/>
            <wp:effectExtent l="19050" t="0" r="9525" b="0"/>
            <wp:docPr id="15" name="Immagine 14" descr="modulo elas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o elastico.png"/>
                    <pic:cNvPicPr/>
                  </pic:nvPicPr>
                  <pic:blipFill>
                    <a:blip r:embed="rId63"/>
                    <a:stretch>
                      <a:fillRect/>
                    </a:stretch>
                  </pic:blipFill>
                  <pic:spPr>
                    <a:xfrm>
                      <a:off x="0" y="0"/>
                      <a:ext cx="5324475" cy="3638476"/>
                    </a:xfrm>
                    <a:prstGeom prst="rect">
                      <a:avLst/>
                    </a:prstGeom>
                  </pic:spPr>
                </pic:pic>
              </a:graphicData>
            </a:graphic>
          </wp:inline>
        </w:drawing>
      </w:r>
    </w:p>
    <w:p w:rsidR="00550A30" w:rsidRPr="008F3CEA" w:rsidRDefault="00550A30" w:rsidP="00550A30">
      <w:pPr>
        <w:pStyle w:val="Didascalia"/>
        <w:rPr>
          <w:rFonts w:ascii="Arial" w:hAnsi="Arial" w:cs="Arial"/>
          <w:b w:val="0"/>
          <w:bCs w:val="0"/>
          <w:sz w:val="24"/>
          <w:szCs w:val="24"/>
          <w:lang w:val="en-US"/>
        </w:rPr>
      </w:pPr>
      <w:r w:rsidRPr="008F3CEA">
        <w:rPr>
          <w:lang w:val="en-US"/>
        </w:rPr>
        <w:t xml:space="preserve">Figure 4. </w:t>
      </w:r>
      <w:r w:rsidR="00860AC7" w:rsidRPr="008F3CEA">
        <w:fldChar w:fldCharType="begin"/>
      </w:r>
      <w:r w:rsidRPr="008F3CEA">
        <w:rPr>
          <w:lang w:val="en-US"/>
        </w:rPr>
        <w:instrText xml:space="preserve"> SEQ Figure_4. \* ARABIC </w:instrText>
      </w:r>
      <w:r w:rsidR="00860AC7" w:rsidRPr="008F3CEA">
        <w:fldChar w:fldCharType="separate"/>
      </w:r>
      <w:r w:rsidRPr="008F3CEA">
        <w:rPr>
          <w:noProof/>
          <w:lang w:val="en-US"/>
        </w:rPr>
        <w:t>6</w:t>
      </w:r>
      <w:r w:rsidR="00860AC7" w:rsidRPr="008F3CEA">
        <w:fldChar w:fldCharType="end"/>
      </w:r>
      <w:r w:rsidRPr="008F3CEA">
        <w:t xml:space="preserve"> Elastic modulus of samples prepared with different organic/inorganic phase ration and concentration of cross linker.</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An increase in the amount of inorganic (βTCP) phase results in a considerable increase in the Young modulus for compression. This effect is particularly evident for samples cross-linked with the higher amount of Genipin (7.5%) which also showed the best hardening and dissolution behavior in the previous tests. In fact, Young Modulus values for these samples range from 51.1 ± 25.8 kPa for samples containing 10% inorganic phase, to 188.6 ± 36.3 for samples prepared with higher amount of βTCP (90%). </w:t>
      </w:r>
    </w:p>
    <w:p w:rsidR="00550A30" w:rsidRPr="008F3CEA" w:rsidRDefault="00550A30" w:rsidP="00550A30">
      <w:pPr>
        <w:pStyle w:val="Default"/>
        <w:spacing w:line="360" w:lineRule="auto"/>
        <w:jc w:val="both"/>
        <w:rPr>
          <w:rFonts w:ascii="Arial" w:hAnsi="Arial" w:cs="Arial"/>
          <w:lang w:val="en-GB"/>
        </w:rPr>
      </w:pPr>
      <w:r w:rsidRPr="008F3CEA">
        <w:rPr>
          <w:rFonts w:ascii="Arial" w:hAnsi="Arial" w:cs="Arial"/>
          <w:lang w:val="en-GB"/>
        </w:rPr>
        <w:t>The amount of cross-linker also showed an effect on the Young modulus for compression. In particular, increasing  GP content results in increased mechanical strength especially for those samples prepared with higher inorganic/organic phase ratio.</w:t>
      </w:r>
    </w:p>
    <w:p w:rsidR="00550A30" w:rsidRPr="008F3CEA" w:rsidRDefault="00550A30" w:rsidP="00550A30">
      <w:pPr>
        <w:pStyle w:val="Default"/>
        <w:spacing w:line="360" w:lineRule="auto"/>
        <w:jc w:val="both"/>
        <w:rPr>
          <w:sz w:val="23"/>
          <w:szCs w:val="23"/>
          <w:lang w:val="en-US"/>
        </w:rPr>
      </w:pPr>
      <w:r w:rsidRPr="008F3CEA">
        <w:rPr>
          <w:rFonts w:ascii="Arial" w:hAnsi="Arial" w:cs="Arial"/>
          <w:lang w:val="en-US"/>
        </w:rPr>
        <w:t xml:space="preserve">The obtained values are, in every case, superior to those reported in the literature for different polymeric bone cements of similar compositions [25]. The addition of natural </w:t>
      </w:r>
      <w:r w:rsidRPr="008F3CEA">
        <w:rPr>
          <w:rFonts w:ascii="Arial" w:hAnsi="Arial" w:cs="Arial"/>
          <w:lang w:val="en-US"/>
        </w:rPr>
        <w:lastRenderedPageBreak/>
        <w:t>collagen to the organic phase of the cement is expected to lead to a further increase in the cement mechanical properties.</w:t>
      </w:r>
      <w:r w:rsidRPr="008F3CEA">
        <w:rPr>
          <w:sz w:val="23"/>
          <w:szCs w:val="23"/>
          <w:lang w:val="en-US"/>
        </w:rPr>
        <w:t xml:space="preserve"> </w:t>
      </w:r>
    </w:p>
    <w:p w:rsidR="00550A30" w:rsidRPr="008F3CEA" w:rsidRDefault="00550A30" w:rsidP="00550A30">
      <w:pPr>
        <w:spacing w:before="240" w:after="240" w:line="360" w:lineRule="auto"/>
        <w:jc w:val="both"/>
        <w:rPr>
          <w:rFonts w:ascii="Arial" w:hAnsi="Arial" w:cs="Arial"/>
          <w:b/>
          <w:i/>
          <w:sz w:val="24"/>
          <w:szCs w:val="24"/>
          <w:lang w:val="en-US"/>
        </w:rPr>
      </w:pPr>
      <w:r w:rsidRPr="008F3CEA">
        <w:rPr>
          <w:rFonts w:ascii="Arial" w:hAnsi="Arial" w:cs="Arial"/>
          <w:b/>
          <w:i/>
          <w:sz w:val="24"/>
          <w:szCs w:val="24"/>
          <w:lang w:val="en-US"/>
        </w:rPr>
        <w:t>4.3.1.4 In Vitro bioactivity tests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In order to be classified as biocompatible, a material must create an environment able to stimulate new tissue in-growth (osteogenesis) leading to the formation a natural mineralized junction between the surrounding tissue and the host material [26].</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Materials for bone regeneration may be classified into two main categories: (i) osteoconductive materials, which are able to actively stimulate new tissue in-growth, by promoting precipitation of apatite (Calcium phosphate) crystals and (ii) osteoinductive materials, which simply offer a favorable environment for tissue growth without any active stimulation [27].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β-TCP, used as inorganic phase during the preparation of the bone cement, is a calcium phosphate ceramic material, known to show bioactive and osteoconductive properties [28].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The ability of the GP-cross-linked βTCP-based bone cements to actively stimulate the deposition of new apatite crystals after immersion in SBF was therefore tested.</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Apatite deposition after two different immersion time-points (14 and 30 days) was qualitatively and semi-quantitatively investigated, by means of Scanning Electron Microscopy and EDS respectively.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Since no difference has been observed in the bioactivity of samples cross-linked with different amounts of Genipin, results of bioactivity tests are reported only for samples containing 5% and 7.5% w/w cross-linker.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SEM micrographs are summarized in figures 4.7-4.26, while the atomic content of the elements detected by EDS analysis are reported in tables 4.4 and 4.5.</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After 14 days of immersion in SBF, the formation of Hydroxyapatite crystals has been detected on the surface of all samples regardless of their composition. Samples prepared with higher inorganic/organic phase ratio showed higher bioactivity, as confirmed by EDS results which detected higher Ca and P content, indicating that the composition is a key parameter for a successful osteointegration.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As already observed, the amount of cross-linker added to the cement composition, does not affect the sample bioactivity. No difference in the percent of Ca and P between samples prepared with 5% and 7.5% GP was detected by EDS analysis, confirming  this observation.</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lastRenderedPageBreak/>
        <w:t xml:space="preserve">After 30 days of incubation the density of apatite crystals as well as the atomic percent of Ca and P ions increased for all samples, as shown by SEM micrographs and EDS analysis. </w:t>
      </w:r>
    </w:p>
    <w:p w:rsidR="00550A30" w:rsidRPr="008F3CEA" w:rsidRDefault="00550A30" w:rsidP="00550A30">
      <w:pPr>
        <w:spacing w:after="120" w:line="360" w:lineRule="auto"/>
        <w:jc w:val="both"/>
        <w:rPr>
          <w:rFonts w:ascii="Arial" w:hAnsi="Arial" w:cs="Arial"/>
          <w:sz w:val="24"/>
          <w:szCs w:val="24"/>
          <w:lang w:val="en-US"/>
        </w:rPr>
      </w:pPr>
      <w:r w:rsidRPr="008F3CEA">
        <w:rPr>
          <w:rFonts w:ascii="Arial" w:hAnsi="Arial" w:cs="Arial"/>
          <w:sz w:val="24"/>
          <w:szCs w:val="24"/>
          <w:lang w:val="en-US"/>
        </w:rPr>
        <w:t>Moreover, the molar ratio between Ca and P after 39 days of incubation ranges from 1.64 to 1.92, and is therefore very close to the theoretical ratio for hydroxyapatite (1.67) [26].</w:t>
      </w:r>
    </w:p>
    <w:p w:rsidR="00550A30" w:rsidRPr="008F3CEA" w:rsidRDefault="00550A30" w:rsidP="00550A30">
      <w:pPr>
        <w:spacing w:after="120"/>
      </w:pPr>
      <w:r w:rsidRPr="008F3CEA">
        <w:rPr>
          <w:noProof/>
          <w:lang w:val="it-IT" w:eastAsia="it-IT"/>
        </w:rPr>
        <w:drawing>
          <wp:inline distT="0" distB="0" distL="0" distR="0">
            <wp:extent cx="6120130" cy="2513033"/>
            <wp:effectExtent l="1905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6120130" cy="2513033"/>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7</w:t>
        </w:r>
      </w:fldSimple>
      <w:r w:rsidRPr="008F3CEA">
        <w:t xml:space="preserve"> SEM micrographs of sample 90/10_GP 7.5 after 14 days of incubation</w:t>
      </w:r>
    </w:p>
    <w:p w:rsidR="00550A30" w:rsidRPr="008F3CEA" w:rsidRDefault="00550A30" w:rsidP="00550A30">
      <w:pPr>
        <w:spacing w:after="120"/>
      </w:pPr>
      <w:r w:rsidRPr="008F3CEA">
        <w:rPr>
          <w:noProof/>
          <w:lang w:val="it-IT" w:eastAsia="it-IT"/>
        </w:rPr>
        <w:drawing>
          <wp:inline distT="0" distB="0" distL="0" distR="0">
            <wp:extent cx="6120130" cy="2526294"/>
            <wp:effectExtent l="19050" t="0" r="0" b="0"/>
            <wp:docPr id="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6120130" cy="2526294"/>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8</w:t>
        </w:r>
      </w:fldSimple>
      <w:r w:rsidRPr="008F3CEA">
        <w:t xml:space="preserve"> SEM micrographs of sample 70/30_GP 7.5 after 14 days of incubation</w:t>
      </w:r>
    </w:p>
    <w:p w:rsidR="00550A30" w:rsidRPr="008F3CEA" w:rsidRDefault="00550A30" w:rsidP="00550A30">
      <w:pPr>
        <w:pStyle w:val="Didascalia"/>
        <w:rPr>
          <w:b w:val="0"/>
          <w:bCs w:val="0"/>
          <w:color w:val="000000"/>
          <w:sz w:val="23"/>
          <w:szCs w:val="23"/>
          <w:lang w:val="en-US"/>
        </w:rPr>
      </w:pPr>
    </w:p>
    <w:p w:rsidR="00550A30" w:rsidRPr="008F3CEA" w:rsidRDefault="00550A30" w:rsidP="00550A30">
      <w:pPr>
        <w:pStyle w:val="Didascalia"/>
        <w:spacing w:after="120"/>
      </w:pPr>
      <w:r w:rsidRPr="008F3CEA">
        <w:rPr>
          <w:b w:val="0"/>
          <w:bCs w:val="0"/>
          <w:noProof/>
          <w:color w:val="000000"/>
          <w:sz w:val="23"/>
          <w:szCs w:val="23"/>
          <w:lang w:val="it-IT" w:eastAsia="it-IT"/>
        </w:rPr>
        <w:lastRenderedPageBreak/>
        <w:drawing>
          <wp:inline distT="0" distB="0" distL="0" distR="0">
            <wp:extent cx="6120130" cy="2510130"/>
            <wp:effectExtent l="19050" t="0" r="0" b="0"/>
            <wp:docPr id="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6120130" cy="2510130"/>
                    </a:xfrm>
                    <a:prstGeom prst="rect">
                      <a:avLst/>
                    </a:prstGeom>
                    <a:noFill/>
                    <a:ln w="9525">
                      <a:noFill/>
                      <a:miter lim="800000"/>
                      <a:headEnd/>
                      <a:tailEnd/>
                    </a:ln>
                  </pic:spPr>
                </pic:pic>
              </a:graphicData>
            </a:graphic>
          </wp:inline>
        </w:drawing>
      </w:r>
    </w:p>
    <w:p w:rsidR="00550A30" w:rsidRPr="008F3CEA" w:rsidRDefault="00550A30" w:rsidP="00550A30">
      <w:pPr>
        <w:pStyle w:val="Didascalia"/>
      </w:pPr>
      <w:r w:rsidRPr="008F3CEA">
        <w:t xml:space="preserve">Figure 4. </w:t>
      </w:r>
      <w:fldSimple w:instr=" SEQ Figure_4. \* ARABIC ">
        <w:r w:rsidRPr="008F3CEA">
          <w:rPr>
            <w:noProof/>
          </w:rPr>
          <w:t>9</w:t>
        </w:r>
      </w:fldSimple>
      <w:r w:rsidRPr="008F3CEA">
        <w:t xml:space="preserve"> SEM micrographs of sample 50/50_GP 7.5 after 14 days of incubation</w:t>
      </w:r>
    </w:p>
    <w:p w:rsidR="00550A30" w:rsidRPr="008F3CEA" w:rsidRDefault="00550A30" w:rsidP="00550A30">
      <w:pPr>
        <w:autoSpaceDE w:val="0"/>
        <w:autoSpaceDN w:val="0"/>
        <w:adjustRightInd w:val="0"/>
        <w:spacing w:after="120"/>
        <w:rPr>
          <w:b/>
          <w:bCs/>
          <w:color w:val="000000"/>
          <w:sz w:val="23"/>
          <w:szCs w:val="23"/>
          <w:lang w:val="en-US"/>
        </w:rPr>
      </w:pPr>
      <w:r w:rsidRPr="008F3CEA">
        <w:rPr>
          <w:b/>
          <w:bCs/>
          <w:noProof/>
          <w:color w:val="000000"/>
          <w:sz w:val="23"/>
          <w:szCs w:val="23"/>
          <w:lang w:val="it-IT" w:eastAsia="it-IT"/>
        </w:rPr>
        <w:drawing>
          <wp:inline distT="0" distB="0" distL="0" distR="0">
            <wp:extent cx="5975985" cy="2402048"/>
            <wp:effectExtent l="19050" t="0" r="5715" b="0"/>
            <wp:docPr id="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975985" cy="2402048"/>
                    </a:xfrm>
                    <a:prstGeom prst="rect">
                      <a:avLst/>
                    </a:prstGeom>
                    <a:noFill/>
                    <a:ln w="9525">
                      <a:noFill/>
                      <a:miter lim="800000"/>
                      <a:headEnd/>
                      <a:tailEnd/>
                    </a:ln>
                  </pic:spPr>
                </pic:pic>
              </a:graphicData>
            </a:graphic>
          </wp:inline>
        </w:drawing>
      </w:r>
    </w:p>
    <w:p w:rsidR="00550A30" w:rsidRPr="008F3CEA" w:rsidRDefault="00550A30" w:rsidP="00550A30">
      <w:pPr>
        <w:pStyle w:val="Didascalia"/>
      </w:pPr>
      <w:r w:rsidRPr="008F3CEA">
        <w:t xml:space="preserve">Figure 4. </w:t>
      </w:r>
      <w:fldSimple w:instr=" SEQ Figure_4. \* ARABIC ">
        <w:r w:rsidRPr="008F3CEA">
          <w:rPr>
            <w:noProof/>
          </w:rPr>
          <w:t>10</w:t>
        </w:r>
      </w:fldSimple>
      <w:r w:rsidRPr="008F3CEA">
        <w:t xml:space="preserve"> SEM micrographs of sample 30/70_GP 7.5 after 14 days of incubation</w:t>
      </w:r>
    </w:p>
    <w:p w:rsidR="00550A30" w:rsidRPr="008F3CEA" w:rsidRDefault="00550A30" w:rsidP="00550A30">
      <w:pPr>
        <w:spacing w:after="120"/>
      </w:pPr>
      <w:r w:rsidRPr="008F3CEA">
        <w:rPr>
          <w:noProof/>
          <w:lang w:val="it-IT" w:eastAsia="it-IT"/>
        </w:rPr>
        <w:drawing>
          <wp:inline distT="0" distB="0" distL="0" distR="0">
            <wp:extent cx="5975985" cy="2399700"/>
            <wp:effectExtent l="19050" t="0" r="5715" b="0"/>
            <wp:docPr id="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a:stretch>
                      <a:fillRect/>
                    </a:stretch>
                  </pic:blipFill>
                  <pic:spPr bwMode="auto">
                    <a:xfrm>
                      <a:off x="0" y="0"/>
                      <a:ext cx="5975985" cy="2399700"/>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11</w:t>
        </w:r>
      </w:fldSimple>
      <w:r w:rsidRPr="008F3CEA">
        <w:t xml:space="preserve"> SEM micrographs of sample 10/90_GP 7,5 after 14 days of incubation</w:t>
      </w:r>
    </w:p>
    <w:p w:rsidR="00550A30" w:rsidRPr="008F3CEA" w:rsidRDefault="00550A30" w:rsidP="00550A30"/>
    <w:p w:rsidR="00550A30" w:rsidRPr="008F3CEA" w:rsidRDefault="00550A30" w:rsidP="00550A30">
      <w:pPr>
        <w:spacing w:after="120"/>
      </w:pPr>
      <w:r w:rsidRPr="008F3CEA">
        <w:rPr>
          <w:noProof/>
          <w:lang w:val="it-IT" w:eastAsia="it-IT"/>
        </w:rPr>
        <w:lastRenderedPageBreak/>
        <w:drawing>
          <wp:inline distT="0" distB="0" distL="0" distR="0">
            <wp:extent cx="5975985" cy="2477365"/>
            <wp:effectExtent l="19050" t="0" r="5715" b="0"/>
            <wp:docPr id="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a:stretch>
                      <a:fillRect/>
                    </a:stretch>
                  </pic:blipFill>
                  <pic:spPr bwMode="auto">
                    <a:xfrm>
                      <a:off x="0" y="0"/>
                      <a:ext cx="5975985" cy="2477365"/>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12</w:t>
        </w:r>
      </w:fldSimple>
      <w:r w:rsidRPr="008F3CEA">
        <w:t xml:space="preserve"> SEM micrographs of sample 10/90_GP 5 after 14 days of incubation</w:t>
      </w:r>
    </w:p>
    <w:p w:rsidR="00550A30" w:rsidRPr="008F3CEA" w:rsidRDefault="00550A30" w:rsidP="00550A30">
      <w:pPr>
        <w:spacing w:after="120"/>
      </w:pPr>
      <w:r w:rsidRPr="008F3CEA">
        <w:rPr>
          <w:noProof/>
          <w:lang w:val="it-IT" w:eastAsia="it-IT"/>
        </w:rPr>
        <w:drawing>
          <wp:inline distT="0" distB="0" distL="0" distR="0">
            <wp:extent cx="5975985" cy="2446808"/>
            <wp:effectExtent l="19050" t="0" r="5715" b="0"/>
            <wp:docPr id="3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a:stretch>
                      <a:fillRect/>
                    </a:stretch>
                  </pic:blipFill>
                  <pic:spPr bwMode="auto">
                    <a:xfrm>
                      <a:off x="0" y="0"/>
                      <a:ext cx="5975985" cy="2446808"/>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13</w:t>
        </w:r>
      </w:fldSimple>
      <w:r w:rsidRPr="008F3CEA">
        <w:t xml:space="preserve"> SEM micrographs of sample 30/70_GP 5 after 14 days of incubation</w:t>
      </w:r>
    </w:p>
    <w:p w:rsidR="00550A30" w:rsidRPr="008F3CEA" w:rsidRDefault="00550A30" w:rsidP="00550A30">
      <w:pPr>
        <w:spacing w:after="120"/>
      </w:pPr>
      <w:r w:rsidRPr="008F3CEA">
        <w:rPr>
          <w:noProof/>
          <w:lang w:val="it-IT" w:eastAsia="it-IT"/>
        </w:rPr>
        <w:drawing>
          <wp:inline distT="0" distB="0" distL="0" distR="0">
            <wp:extent cx="5975985" cy="2365357"/>
            <wp:effectExtent l="19050" t="0" r="5715" b="0"/>
            <wp:docPr id="34"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srcRect/>
                    <a:stretch>
                      <a:fillRect/>
                    </a:stretch>
                  </pic:blipFill>
                  <pic:spPr bwMode="auto">
                    <a:xfrm>
                      <a:off x="0" y="0"/>
                      <a:ext cx="5975985" cy="2365357"/>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14</w:t>
        </w:r>
      </w:fldSimple>
      <w:r w:rsidRPr="008F3CEA">
        <w:t xml:space="preserve"> SEM micrographs of sample 50/50_GP 5 after 14 days of incubation</w:t>
      </w:r>
    </w:p>
    <w:p w:rsidR="00550A30" w:rsidRPr="008F3CEA" w:rsidRDefault="00550A30" w:rsidP="00550A30">
      <w:pPr>
        <w:spacing w:after="120" w:line="360" w:lineRule="auto"/>
        <w:jc w:val="both"/>
        <w:rPr>
          <w:sz w:val="23"/>
          <w:szCs w:val="23"/>
          <w:lang w:val="en-US"/>
        </w:rPr>
      </w:pPr>
      <w:r w:rsidRPr="008F3CEA">
        <w:rPr>
          <w:noProof/>
          <w:sz w:val="23"/>
          <w:szCs w:val="23"/>
          <w:lang w:val="it-IT" w:eastAsia="it-IT"/>
        </w:rPr>
        <w:lastRenderedPageBreak/>
        <w:drawing>
          <wp:inline distT="0" distB="0" distL="0" distR="0">
            <wp:extent cx="5975985" cy="2448632"/>
            <wp:effectExtent l="19050" t="0" r="5715" b="0"/>
            <wp:docPr id="9"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5975985" cy="2448632"/>
                    </a:xfrm>
                    <a:prstGeom prst="rect">
                      <a:avLst/>
                    </a:prstGeom>
                    <a:noFill/>
                    <a:ln w="9525">
                      <a:noFill/>
                      <a:miter lim="800000"/>
                      <a:headEnd/>
                      <a:tailEnd/>
                    </a:ln>
                  </pic:spPr>
                </pic:pic>
              </a:graphicData>
            </a:graphic>
          </wp:inline>
        </w:drawing>
      </w:r>
    </w:p>
    <w:p w:rsidR="00550A30" w:rsidRPr="008F3CEA" w:rsidRDefault="00550A30" w:rsidP="00550A30">
      <w:pPr>
        <w:pStyle w:val="Didascalia"/>
      </w:pPr>
      <w:r w:rsidRPr="008F3CEA">
        <w:t xml:space="preserve">Figure 4. </w:t>
      </w:r>
      <w:fldSimple w:instr=" SEQ Figure_4. \* ARABIC ">
        <w:r w:rsidRPr="008F3CEA">
          <w:rPr>
            <w:noProof/>
          </w:rPr>
          <w:t>15</w:t>
        </w:r>
      </w:fldSimple>
      <w:r w:rsidRPr="008F3CEA">
        <w:t xml:space="preserve"> SEM micrographs of sample 30/70_GP 5 after 14 days of incubation</w:t>
      </w:r>
    </w:p>
    <w:p w:rsidR="00550A30" w:rsidRPr="008F3CEA" w:rsidRDefault="00550A30" w:rsidP="00550A30">
      <w:pPr>
        <w:spacing w:after="120"/>
        <w:rPr>
          <w:lang w:val="en-US"/>
        </w:rPr>
      </w:pPr>
      <w:r w:rsidRPr="008F3CEA">
        <w:rPr>
          <w:noProof/>
          <w:lang w:val="it-IT" w:eastAsia="it-IT"/>
        </w:rPr>
        <w:drawing>
          <wp:inline distT="0" distB="0" distL="0" distR="0">
            <wp:extent cx="5975985" cy="2442014"/>
            <wp:effectExtent l="19050" t="0" r="5715" b="0"/>
            <wp:docPr id="1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srcRect/>
                    <a:stretch>
                      <a:fillRect/>
                    </a:stretch>
                  </pic:blipFill>
                  <pic:spPr bwMode="auto">
                    <a:xfrm>
                      <a:off x="0" y="0"/>
                      <a:ext cx="5975985" cy="2442014"/>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rPr>
          <w:lang w:val="en-US"/>
        </w:rPr>
      </w:pPr>
      <w:r w:rsidRPr="008F3CEA">
        <w:t xml:space="preserve">Figure 4. </w:t>
      </w:r>
      <w:fldSimple w:instr=" SEQ Figure_4. \* ARABIC ">
        <w:r w:rsidRPr="008F3CEA">
          <w:rPr>
            <w:noProof/>
          </w:rPr>
          <w:t>16</w:t>
        </w:r>
      </w:fldSimple>
      <w:r w:rsidRPr="008F3CEA">
        <w:t xml:space="preserve"> SEM micrographs of sample 10/90_GP 5 after 14 days of incubation</w:t>
      </w:r>
    </w:p>
    <w:p w:rsidR="00550A30" w:rsidRPr="008F3CEA" w:rsidRDefault="00550A30" w:rsidP="00550A30">
      <w:pPr>
        <w:spacing w:after="0" w:line="360" w:lineRule="auto"/>
        <w:jc w:val="center"/>
        <w:rPr>
          <w:sz w:val="23"/>
          <w:szCs w:val="23"/>
          <w:lang w:val="it-IT"/>
        </w:rPr>
      </w:pPr>
      <w:r w:rsidRPr="008F3CEA">
        <w:rPr>
          <w:noProof/>
          <w:sz w:val="23"/>
          <w:szCs w:val="23"/>
          <w:lang w:val="it-IT" w:eastAsia="it-IT"/>
        </w:rPr>
        <w:drawing>
          <wp:inline distT="0" distB="0" distL="0" distR="0">
            <wp:extent cx="4858111" cy="1225195"/>
            <wp:effectExtent l="0" t="0" r="0" b="0"/>
            <wp:docPr id="17" name="Immagine 0" descr="Immagi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3.png"/>
                    <pic:cNvPicPr/>
                  </pic:nvPicPr>
                  <pic:blipFill>
                    <a:blip r:embed="rId74"/>
                    <a:stretch>
                      <a:fillRect/>
                    </a:stretch>
                  </pic:blipFill>
                  <pic:spPr>
                    <a:xfrm>
                      <a:off x="0" y="0"/>
                      <a:ext cx="4858111" cy="1225195"/>
                    </a:xfrm>
                    <a:prstGeom prst="rect">
                      <a:avLst/>
                    </a:prstGeom>
                  </pic:spPr>
                </pic:pic>
              </a:graphicData>
            </a:graphic>
          </wp:inline>
        </w:drawing>
      </w:r>
    </w:p>
    <w:p w:rsidR="00550A30" w:rsidRPr="008F3CEA" w:rsidRDefault="00550A30" w:rsidP="00550A30">
      <w:pPr>
        <w:pStyle w:val="Didascalia"/>
      </w:pPr>
      <w:r w:rsidRPr="008F3CEA">
        <w:t xml:space="preserve">Table 4. </w:t>
      </w:r>
      <w:fldSimple w:instr=" SEQ Table_4. \* ARABIC ">
        <w:r w:rsidRPr="008F3CEA">
          <w:rPr>
            <w:noProof/>
          </w:rPr>
          <w:t>4</w:t>
        </w:r>
      </w:fldSimple>
      <w:r w:rsidRPr="008F3CEA">
        <w:t xml:space="preserve"> Atomic composition of the surface of all samples after 14 day of incubation in SBF, detected by EDS analysis.</w:t>
      </w:r>
    </w:p>
    <w:p w:rsidR="00550A30" w:rsidRPr="008F3CEA" w:rsidRDefault="00550A30" w:rsidP="00550A30">
      <w:pPr>
        <w:spacing w:after="120"/>
        <w:rPr>
          <w:lang w:val="en-US"/>
        </w:rPr>
      </w:pPr>
      <w:r w:rsidRPr="008F3CEA">
        <w:rPr>
          <w:noProof/>
          <w:lang w:val="it-IT" w:eastAsia="it-IT"/>
        </w:rPr>
        <w:lastRenderedPageBreak/>
        <w:drawing>
          <wp:inline distT="0" distB="0" distL="0" distR="0">
            <wp:extent cx="5975985" cy="2456719"/>
            <wp:effectExtent l="19050" t="0" r="5715" b="0"/>
            <wp:docPr id="1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srcRect/>
                    <a:stretch>
                      <a:fillRect/>
                    </a:stretch>
                  </pic:blipFill>
                  <pic:spPr bwMode="auto">
                    <a:xfrm>
                      <a:off x="0" y="0"/>
                      <a:ext cx="5975985" cy="2456719"/>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17</w:t>
        </w:r>
      </w:fldSimple>
      <w:r w:rsidRPr="008F3CEA">
        <w:t xml:space="preserve"> SEM micrographs of sample 90/10_GP 7.5 after 30 days of incubation</w:t>
      </w:r>
    </w:p>
    <w:p w:rsidR="00550A30" w:rsidRPr="008F3CEA" w:rsidRDefault="00550A30" w:rsidP="00550A30">
      <w:pPr>
        <w:spacing w:after="120"/>
        <w:rPr>
          <w:lang w:val="en-US"/>
        </w:rPr>
      </w:pPr>
      <w:r w:rsidRPr="008F3CEA">
        <w:rPr>
          <w:noProof/>
          <w:lang w:val="it-IT" w:eastAsia="it-IT"/>
        </w:rPr>
        <w:drawing>
          <wp:inline distT="0" distB="0" distL="0" distR="0">
            <wp:extent cx="5975985" cy="2295933"/>
            <wp:effectExtent l="19050" t="0" r="5715" b="0"/>
            <wp:docPr id="1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5975985" cy="2295933"/>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18</w:t>
        </w:r>
      </w:fldSimple>
      <w:r w:rsidRPr="008F3CEA">
        <w:t xml:space="preserve"> SEM micrographs of sample 70/30_GP 7.5 after 30 days of incubation</w:t>
      </w:r>
    </w:p>
    <w:p w:rsidR="00550A30" w:rsidRPr="008F3CEA" w:rsidRDefault="00550A30" w:rsidP="00550A30">
      <w:pPr>
        <w:spacing w:after="120"/>
        <w:rPr>
          <w:lang w:val="en-US"/>
        </w:rPr>
      </w:pPr>
      <w:r w:rsidRPr="008F3CEA">
        <w:rPr>
          <w:noProof/>
          <w:lang w:val="it-IT" w:eastAsia="it-IT"/>
        </w:rPr>
        <w:drawing>
          <wp:inline distT="0" distB="0" distL="0" distR="0">
            <wp:extent cx="5975985" cy="2414009"/>
            <wp:effectExtent l="19050" t="0" r="5715" b="0"/>
            <wp:docPr id="2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975985" cy="2414009"/>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19</w:t>
        </w:r>
      </w:fldSimple>
      <w:r w:rsidRPr="008F3CEA">
        <w:t xml:space="preserve"> SEM micrographs of sample 50/50_GP 7.5 after 30 days of incubation</w:t>
      </w:r>
    </w:p>
    <w:p w:rsidR="00550A30" w:rsidRPr="008F3CEA" w:rsidRDefault="00550A30" w:rsidP="00550A30">
      <w:pPr>
        <w:spacing w:after="120"/>
        <w:rPr>
          <w:lang w:val="en-US"/>
        </w:rPr>
      </w:pPr>
      <w:r w:rsidRPr="008F3CEA">
        <w:rPr>
          <w:noProof/>
          <w:lang w:val="it-IT" w:eastAsia="it-IT"/>
        </w:rPr>
        <w:lastRenderedPageBreak/>
        <w:drawing>
          <wp:inline distT="0" distB="0" distL="0" distR="0">
            <wp:extent cx="5975985" cy="2387770"/>
            <wp:effectExtent l="19050" t="0" r="5715" b="0"/>
            <wp:docPr id="2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srcRect/>
                    <a:stretch>
                      <a:fillRect/>
                    </a:stretch>
                  </pic:blipFill>
                  <pic:spPr bwMode="auto">
                    <a:xfrm>
                      <a:off x="0" y="0"/>
                      <a:ext cx="5975985" cy="2387770"/>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20</w:t>
        </w:r>
      </w:fldSimple>
      <w:r w:rsidRPr="008F3CEA">
        <w:t xml:space="preserve"> SEM micrographs of sample 30/70_GP 7.5 after 30 days of incubation</w:t>
      </w:r>
    </w:p>
    <w:p w:rsidR="00550A30" w:rsidRPr="008F3CEA" w:rsidRDefault="00550A30" w:rsidP="00550A30">
      <w:pPr>
        <w:spacing w:after="120"/>
        <w:rPr>
          <w:lang w:val="en-US"/>
        </w:rPr>
      </w:pPr>
      <w:r w:rsidRPr="008F3CEA">
        <w:rPr>
          <w:noProof/>
          <w:lang w:val="it-IT" w:eastAsia="it-IT"/>
        </w:rPr>
        <w:drawing>
          <wp:inline distT="0" distB="0" distL="0" distR="0">
            <wp:extent cx="5975985" cy="2375835"/>
            <wp:effectExtent l="19050" t="0" r="5715" b="0"/>
            <wp:docPr id="2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srcRect/>
                    <a:stretch>
                      <a:fillRect/>
                    </a:stretch>
                  </pic:blipFill>
                  <pic:spPr bwMode="auto">
                    <a:xfrm>
                      <a:off x="0" y="0"/>
                      <a:ext cx="5975985" cy="2375835"/>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21</w:t>
        </w:r>
      </w:fldSimple>
      <w:r w:rsidRPr="008F3CEA">
        <w:t xml:space="preserve"> SEM micrographs of sample 10/90_GP 7.5 after 30 days of incubation</w:t>
      </w:r>
    </w:p>
    <w:p w:rsidR="00550A30" w:rsidRPr="008F3CEA" w:rsidRDefault="00550A30" w:rsidP="00550A30">
      <w:pPr>
        <w:spacing w:after="120"/>
      </w:pPr>
      <w:r w:rsidRPr="008F3CEA">
        <w:rPr>
          <w:noProof/>
          <w:lang w:val="it-IT" w:eastAsia="it-IT"/>
        </w:rPr>
        <w:drawing>
          <wp:inline distT="0" distB="0" distL="0" distR="0">
            <wp:extent cx="5975985" cy="2505847"/>
            <wp:effectExtent l="19050" t="0" r="5715" b="0"/>
            <wp:docPr id="2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5975985" cy="2505847"/>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22</w:t>
        </w:r>
      </w:fldSimple>
      <w:r w:rsidRPr="008F3CEA">
        <w:t xml:space="preserve"> SEM micrographs of sample 90/10_GP 5 after 30 days of incubation</w:t>
      </w:r>
    </w:p>
    <w:p w:rsidR="00550A30" w:rsidRPr="008F3CEA" w:rsidRDefault="00550A30" w:rsidP="00550A30">
      <w:pPr>
        <w:spacing w:after="120"/>
      </w:pPr>
      <w:r w:rsidRPr="008F3CEA">
        <w:rPr>
          <w:noProof/>
          <w:lang w:val="it-IT" w:eastAsia="it-IT"/>
        </w:rPr>
        <w:lastRenderedPageBreak/>
        <w:drawing>
          <wp:inline distT="0" distB="0" distL="0" distR="0">
            <wp:extent cx="5975985" cy="2394330"/>
            <wp:effectExtent l="19050" t="0" r="5715" b="0"/>
            <wp:docPr id="26"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srcRect/>
                    <a:stretch>
                      <a:fillRect/>
                    </a:stretch>
                  </pic:blipFill>
                  <pic:spPr bwMode="auto">
                    <a:xfrm>
                      <a:off x="0" y="0"/>
                      <a:ext cx="5975985" cy="2394330"/>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23</w:t>
        </w:r>
      </w:fldSimple>
      <w:r w:rsidRPr="008F3CEA">
        <w:t xml:space="preserve"> SEM micrographs of sample 70/30_GP 5 after 30 days of incubation</w:t>
      </w:r>
    </w:p>
    <w:p w:rsidR="00550A30" w:rsidRPr="008F3CEA" w:rsidRDefault="00550A30" w:rsidP="00550A30">
      <w:pPr>
        <w:spacing w:after="120"/>
      </w:pPr>
      <w:r w:rsidRPr="008F3CEA">
        <w:rPr>
          <w:noProof/>
          <w:lang w:val="it-IT" w:eastAsia="it-IT"/>
        </w:rPr>
        <w:drawing>
          <wp:inline distT="0" distB="0" distL="0" distR="0">
            <wp:extent cx="5975985" cy="2488361"/>
            <wp:effectExtent l="19050" t="0" r="5715" b="0"/>
            <wp:docPr id="2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srcRect/>
                    <a:stretch>
                      <a:fillRect/>
                    </a:stretch>
                  </pic:blipFill>
                  <pic:spPr bwMode="auto">
                    <a:xfrm>
                      <a:off x="0" y="0"/>
                      <a:ext cx="5975985" cy="2488361"/>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24</w:t>
        </w:r>
      </w:fldSimple>
      <w:r w:rsidRPr="008F3CEA">
        <w:t xml:space="preserve"> SEM micrographs of sample 50/50_GP 5 after 30 days of incubation</w:t>
      </w:r>
    </w:p>
    <w:p w:rsidR="00550A30" w:rsidRPr="008F3CEA" w:rsidRDefault="00550A30" w:rsidP="00550A30">
      <w:pPr>
        <w:pStyle w:val="Didascalia"/>
        <w:spacing w:before="120"/>
      </w:pPr>
      <w:r w:rsidRPr="008F3CEA">
        <w:rPr>
          <w:noProof/>
          <w:lang w:val="it-IT" w:eastAsia="it-IT"/>
        </w:rPr>
        <w:drawing>
          <wp:inline distT="0" distB="0" distL="0" distR="0">
            <wp:extent cx="5975985" cy="2224217"/>
            <wp:effectExtent l="19050" t="0" r="5715" b="0"/>
            <wp:docPr id="2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srcRect/>
                    <a:stretch>
                      <a:fillRect/>
                    </a:stretch>
                  </pic:blipFill>
                  <pic:spPr bwMode="auto">
                    <a:xfrm>
                      <a:off x="0" y="0"/>
                      <a:ext cx="5975985" cy="2224217"/>
                    </a:xfrm>
                    <a:prstGeom prst="rect">
                      <a:avLst/>
                    </a:prstGeom>
                    <a:noFill/>
                    <a:ln w="9525">
                      <a:noFill/>
                      <a:miter lim="800000"/>
                      <a:headEnd/>
                      <a:tailEnd/>
                    </a:ln>
                  </pic:spPr>
                </pic:pic>
              </a:graphicData>
            </a:graphic>
          </wp:inline>
        </w:drawing>
      </w:r>
      <w:r w:rsidRPr="008F3CEA">
        <w:t xml:space="preserve">Figure 4. </w:t>
      </w:r>
      <w:fldSimple w:instr=" SEQ Figure_4. \* ARABIC ">
        <w:r w:rsidRPr="008F3CEA">
          <w:rPr>
            <w:noProof/>
          </w:rPr>
          <w:t>25</w:t>
        </w:r>
      </w:fldSimple>
      <w:r w:rsidRPr="008F3CEA">
        <w:t xml:space="preserve"> SEM micrographs of sample 30/70_GP 5 after 30 days of incubation</w:t>
      </w:r>
    </w:p>
    <w:p w:rsidR="00550A30" w:rsidRPr="008F3CEA" w:rsidRDefault="00550A30" w:rsidP="00550A30">
      <w:pPr>
        <w:spacing w:after="120"/>
      </w:pPr>
      <w:r w:rsidRPr="008F3CEA">
        <w:rPr>
          <w:noProof/>
          <w:lang w:val="it-IT" w:eastAsia="it-IT"/>
        </w:rPr>
        <w:lastRenderedPageBreak/>
        <w:drawing>
          <wp:inline distT="0" distB="0" distL="0" distR="0">
            <wp:extent cx="5975985" cy="2363201"/>
            <wp:effectExtent l="19050" t="0" r="5715" b="0"/>
            <wp:docPr id="29"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srcRect/>
                    <a:stretch>
                      <a:fillRect/>
                    </a:stretch>
                  </pic:blipFill>
                  <pic:spPr bwMode="auto">
                    <a:xfrm>
                      <a:off x="0" y="0"/>
                      <a:ext cx="5975985" cy="2363201"/>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26</w:t>
        </w:r>
      </w:fldSimple>
      <w:r w:rsidRPr="008F3CEA">
        <w:t xml:space="preserve"> SEM micrographs of sample 10/90_GP 5 after 30 days of incubation</w:t>
      </w:r>
    </w:p>
    <w:p w:rsidR="00550A30" w:rsidRPr="008F3CEA" w:rsidRDefault="00550A30" w:rsidP="00550A30">
      <w:pPr>
        <w:spacing w:after="0" w:line="360" w:lineRule="auto"/>
        <w:jc w:val="center"/>
        <w:rPr>
          <w:sz w:val="23"/>
          <w:szCs w:val="23"/>
          <w:lang w:val="it-IT"/>
        </w:rPr>
      </w:pPr>
      <w:r w:rsidRPr="008F3CEA">
        <w:rPr>
          <w:noProof/>
          <w:sz w:val="23"/>
          <w:szCs w:val="23"/>
          <w:lang w:val="it-IT" w:eastAsia="it-IT"/>
        </w:rPr>
        <w:drawing>
          <wp:inline distT="0" distB="0" distL="0" distR="0">
            <wp:extent cx="4919066" cy="1383678"/>
            <wp:effectExtent l="0" t="0" r="0" b="0"/>
            <wp:docPr id="47" name="Immagine 2" descr="Immagin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6.png"/>
                    <pic:cNvPicPr/>
                  </pic:nvPicPr>
                  <pic:blipFill>
                    <a:blip r:embed="rId85"/>
                    <a:stretch>
                      <a:fillRect/>
                    </a:stretch>
                  </pic:blipFill>
                  <pic:spPr>
                    <a:xfrm>
                      <a:off x="0" y="0"/>
                      <a:ext cx="4919066" cy="1383678"/>
                    </a:xfrm>
                    <a:prstGeom prst="rect">
                      <a:avLst/>
                    </a:prstGeom>
                  </pic:spPr>
                </pic:pic>
              </a:graphicData>
            </a:graphic>
          </wp:inline>
        </w:drawing>
      </w:r>
    </w:p>
    <w:p w:rsidR="00550A30" w:rsidRPr="008F3CEA" w:rsidRDefault="00550A30" w:rsidP="00550A30">
      <w:pPr>
        <w:pStyle w:val="Didascalia"/>
      </w:pPr>
      <w:r w:rsidRPr="008F3CEA">
        <w:t xml:space="preserve">Table 4. </w:t>
      </w:r>
      <w:fldSimple w:instr=" SEQ Table_4. \* ARABIC ">
        <w:r w:rsidRPr="008F3CEA">
          <w:rPr>
            <w:noProof/>
          </w:rPr>
          <w:t>5</w:t>
        </w:r>
      </w:fldSimple>
      <w:r w:rsidRPr="008F3CEA">
        <w:t xml:space="preserve"> Atomic composition of the surface of all samples after 30 day of incubation in SBF, detected by EDS analysis.</w:t>
      </w:r>
    </w:p>
    <w:p w:rsidR="00550A30" w:rsidRPr="008F3CEA" w:rsidRDefault="00550A30" w:rsidP="00550A30">
      <w:pPr>
        <w:pStyle w:val="Didascalia"/>
        <w:spacing w:line="360" w:lineRule="auto"/>
        <w:jc w:val="both"/>
        <w:rPr>
          <w:rFonts w:ascii="Arial" w:hAnsi="Arial" w:cs="Arial"/>
          <w:b w:val="0"/>
          <w:color w:val="auto"/>
          <w:sz w:val="24"/>
          <w:szCs w:val="24"/>
          <w:lang w:val="en-US"/>
        </w:rPr>
      </w:pPr>
      <w:r w:rsidRPr="008F3CEA">
        <w:rPr>
          <w:rFonts w:ascii="Arial" w:hAnsi="Arial" w:cs="Arial"/>
          <w:b w:val="0"/>
          <w:color w:val="auto"/>
          <w:sz w:val="24"/>
          <w:szCs w:val="24"/>
          <w:lang w:val="en-US"/>
        </w:rPr>
        <w:t>It is possible to conclude that the proposed material shows high bioactivity, as confirmed by the deposition of apatite crystals after immersion in SBF [29] and is therefore a suitable material for bone-substitution.</w:t>
      </w:r>
    </w:p>
    <w:p w:rsidR="00550A30" w:rsidRPr="008F3CEA" w:rsidRDefault="00550A30" w:rsidP="00550A30">
      <w:pPr>
        <w:pStyle w:val="Default"/>
        <w:spacing w:before="240" w:after="240" w:line="360" w:lineRule="auto"/>
        <w:rPr>
          <w:rFonts w:ascii="Arial" w:hAnsi="Arial" w:cs="Arial"/>
          <w:b/>
          <w:bCs/>
          <w:iCs/>
          <w:lang w:val="en-US"/>
        </w:rPr>
      </w:pPr>
      <w:r w:rsidRPr="008F3CEA">
        <w:rPr>
          <w:rFonts w:ascii="Arial" w:hAnsi="Arial" w:cs="Arial"/>
          <w:b/>
          <w:bCs/>
          <w:iCs/>
          <w:lang w:val="en-US"/>
        </w:rPr>
        <w:t>4.3.2 Preparation &amp; Characterization of nanoparticles</w:t>
      </w:r>
    </w:p>
    <w:p w:rsidR="00550A30" w:rsidRPr="008F3CEA" w:rsidRDefault="00550A30" w:rsidP="00550A30">
      <w:pPr>
        <w:pStyle w:val="Default"/>
        <w:spacing w:before="240" w:after="240" w:line="360" w:lineRule="auto"/>
        <w:jc w:val="both"/>
        <w:rPr>
          <w:rFonts w:ascii="Arial" w:hAnsi="Arial" w:cs="Arial"/>
          <w:b/>
          <w:bCs/>
          <w:i/>
          <w:iCs/>
          <w:lang w:val="en-US"/>
        </w:rPr>
      </w:pPr>
      <w:r w:rsidRPr="008F3CEA">
        <w:rPr>
          <w:rFonts w:ascii="Arial" w:hAnsi="Arial" w:cs="Arial"/>
          <w:b/>
          <w:bCs/>
          <w:i/>
          <w:iCs/>
          <w:lang w:val="en-US"/>
        </w:rPr>
        <w:t xml:space="preserve">4.3.2.1 Morphology </w:t>
      </w:r>
    </w:p>
    <w:p w:rsidR="00550A30" w:rsidRPr="008F3CEA" w:rsidRDefault="00550A30" w:rsidP="00550A30">
      <w:pPr>
        <w:pStyle w:val="Default"/>
        <w:spacing w:after="120" w:line="360" w:lineRule="auto"/>
        <w:jc w:val="both"/>
        <w:rPr>
          <w:rFonts w:ascii="Arial" w:hAnsi="Arial" w:cs="Arial"/>
          <w:bCs/>
          <w:iCs/>
          <w:lang w:val="en-US"/>
        </w:rPr>
      </w:pPr>
      <w:r w:rsidRPr="008F3CEA">
        <w:rPr>
          <w:rFonts w:ascii="Arial" w:hAnsi="Arial" w:cs="Arial"/>
          <w:bCs/>
          <w:iCs/>
          <w:lang w:val="en-US"/>
        </w:rPr>
        <w:t xml:space="preserve">Nanoparticles were successfully prepared by the Solvent Displacement method, as confirmed by SEM images (reported in figure 4.27) with both emulsifiers (Tween 80 and Vitamin E TPGS). </w:t>
      </w:r>
    </w:p>
    <w:p w:rsidR="00550A30" w:rsidRPr="008F3CEA" w:rsidRDefault="00550A30" w:rsidP="00550A30">
      <w:pPr>
        <w:spacing w:after="120"/>
        <w:rPr>
          <w:lang w:val="en-US"/>
        </w:rPr>
      </w:pPr>
      <w:r w:rsidRPr="008F3CEA">
        <w:rPr>
          <w:noProof/>
          <w:lang w:val="it-IT" w:eastAsia="it-IT"/>
        </w:rPr>
        <w:lastRenderedPageBreak/>
        <w:drawing>
          <wp:inline distT="0" distB="0" distL="0" distR="0">
            <wp:extent cx="5748053" cy="2377244"/>
            <wp:effectExtent l="19050" t="0" r="5047" b="0"/>
            <wp:docPr id="156" name="Immagine 46" descr="sem resio_ n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resio_ nps.png"/>
                    <pic:cNvPicPr/>
                  </pic:nvPicPr>
                  <pic:blipFill>
                    <a:blip r:embed="rId86"/>
                    <a:stretch>
                      <a:fillRect/>
                    </a:stretch>
                  </pic:blipFill>
                  <pic:spPr>
                    <a:xfrm>
                      <a:off x="0" y="0"/>
                      <a:ext cx="5748053" cy="2377244"/>
                    </a:xfrm>
                    <a:prstGeom prst="rect">
                      <a:avLst/>
                    </a:prstGeom>
                  </pic:spPr>
                </pic:pic>
              </a:graphicData>
            </a:graphic>
          </wp:inline>
        </w:drawing>
      </w:r>
    </w:p>
    <w:p w:rsidR="00550A30" w:rsidRPr="008F3CEA" w:rsidRDefault="00550A30" w:rsidP="00550A30">
      <w:pPr>
        <w:pStyle w:val="Didascalia"/>
        <w:spacing w:line="360" w:lineRule="auto"/>
      </w:pPr>
      <w:r w:rsidRPr="008F3CEA">
        <w:t xml:space="preserve">Figure 4. </w:t>
      </w:r>
      <w:fldSimple w:instr=" SEQ Figure_4. \* ARABIC ">
        <w:r w:rsidRPr="008F3CEA">
          <w:rPr>
            <w:noProof/>
          </w:rPr>
          <w:t>27</w:t>
        </w:r>
      </w:fldSimple>
      <w:r w:rsidRPr="008F3CEA">
        <w:t xml:space="preserve"> SEM micrographs of PCL nanoparticles prepared with the two different emulsifiers. </w:t>
      </w:r>
    </w:p>
    <w:p w:rsidR="00550A30" w:rsidRPr="008F3CEA" w:rsidRDefault="00550A30" w:rsidP="00550A30">
      <w:pPr>
        <w:pStyle w:val="Default"/>
        <w:spacing w:before="240" w:after="240" w:line="360" w:lineRule="auto"/>
        <w:jc w:val="both"/>
        <w:rPr>
          <w:rFonts w:ascii="Arial" w:hAnsi="Arial" w:cs="Arial"/>
          <w:b/>
          <w:bCs/>
          <w:i/>
          <w:iCs/>
          <w:lang w:val="en-US"/>
        </w:rPr>
      </w:pPr>
      <w:r w:rsidRPr="008F3CEA">
        <w:rPr>
          <w:rFonts w:ascii="Arial" w:hAnsi="Arial" w:cs="Arial"/>
          <w:b/>
          <w:bCs/>
          <w:i/>
          <w:iCs/>
          <w:lang w:val="en-US"/>
        </w:rPr>
        <w:t>4.3.2.2 DSC analysis</w:t>
      </w:r>
    </w:p>
    <w:p w:rsidR="00550A30" w:rsidRPr="008F3CEA" w:rsidRDefault="00550A30" w:rsidP="00550A30">
      <w:pPr>
        <w:pStyle w:val="Default"/>
        <w:spacing w:after="120" w:line="360" w:lineRule="auto"/>
        <w:jc w:val="both"/>
        <w:rPr>
          <w:rFonts w:ascii="Arial" w:hAnsi="Arial" w:cs="Arial"/>
          <w:lang w:val="en-US"/>
        </w:rPr>
      </w:pPr>
      <w:r w:rsidRPr="008F3CEA">
        <w:rPr>
          <w:rFonts w:ascii="Arial" w:hAnsi="Arial" w:cs="Arial"/>
          <w:bCs/>
          <w:iCs/>
          <w:lang w:val="en-US"/>
        </w:rPr>
        <w:t>DSC analysis was used to determine the physical state (amorphous or crystalline) of the encapsulated drug, Results are reported in figures 4.28 and 4.29 for nanoparticles prepared with vitamin E TPGS and Tween 80 as emulsifiers, respectively.</w:t>
      </w:r>
    </w:p>
    <w:p w:rsidR="00550A30" w:rsidRPr="008F3CEA" w:rsidRDefault="00550A30" w:rsidP="00550A30">
      <w:pPr>
        <w:pStyle w:val="Default"/>
        <w:spacing w:line="360" w:lineRule="auto"/>
        <w:jc w:val="center"/>
        <w:rPr>
          <w:rFonts w:ascii="Arial" w:hAnsi="Arial" w:cs="Arial"/>
          <w:b/>
          <w:bCs/>
          <w:iCs/>
          <w:lang w:val="en-US"/>
        </w:rPr>
      </w:pPr>
      <w:r w:rsidRPr="008F3CEA">
        <w:rPr>
          <w:rFonts w:ascii="Arial" w:hAnsi="Arial" w:cs="Arial"/>
          <w:b/>
          <w:bCs/>
          <w:iCs/>
          <w:noProof/>
          <w:lang w:eastAsia="it-IT"/>
        </w:rPr>
        <w:drawing>
          <wp:inline distT="0" distB="0" distL="0" distR="0">
            <wp:extent cx="5172075" cy="3538363"/>
            <wp:effectExtent l="19050" t="0" r="9525" b="0"/>
            <wp:docPr id="1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5180284" cy="3543979"/>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28</w:t>
        </w:r>
      </w:fldSimple>
      <w:r w:rsidRPr="008F3CEA">
        <w:t xml:space="preserve"> DSC thermograms of plain drug (black), PCL (blue), Vitamin E TPGS (green) and empty (red) and drug-loaded (purple) particles  prepared with vitamin E TPGS as emulsifier.</w:t>
      </w:r>
    </w:p>
    <w:p w:rsidR="00550A30" w:rsidRPr="008F3CEA" w:rsidRDefault="00550A30" w:rsidP="00550A30">
      <w:pPr>
        <w:pStyle w:val="Default"/>
        <w:spacing w:line="360" w:lineRule="auto"/>
        <w:jc w:val="center"/>
        <w:rPr>
          <w:rFonts w:ascii="Arial" w:hAnsi="Arial" w:cs="Arial"/>
          <w:bCs/>
          <w:iCs/>
          <w:lang w:val="en-US"/>
        </w:rPr>
      </w:pPr>
      <w:r w:rsidRPr="008F3CEA">
        <w:rPr>
          <w:rFonts w:ascii="Arial" w:hAnsi="Arial" w:cs="Arial"/>
          <w:bCs/>
          <w:iCs/>
          <w:noProof/>
          <w:lang w:eastAsia="it-IT"/>
        </w:rPr>
        <w:lastRenderedPageBreak/>
        <w:drawing>
          <wp:inline distT="0" distB="0" distL="0" distR="0">
            <wp:extent cx="5238750" cy="3580440"/>
            <wp:effectExtent l="19050" t="0" r="0" b="0"/>
            <wp:docPr id="15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srcRect/>
                    <a:stretch>
                      <a:fillRect/>
                    </a:stretch>
                  </pic:blipFill>
                  <pic:spPr bwMode="auto">
                    <a:xfrm>
                      <a:off x="0" y="0"/>
                      <a:ext cx="5238750" cy="3580440"/>
                    </a:xfrm>
                    <a:prstGeom prst="rect">
                      <a:avLst/>
                    </a:prstGeom>
                    <a:noFill/>
                    <a:ln w="9525">
                      <a:noFill/>
                      <a:miter lim="800000"/>
                      <a:headEnd/>
                      <a:tailEnd/>
                    </a:ln>
                  </pic:spPr>
                </pic:pic>
              </a:graphicData>
            </a:graphic>
          </wp:inline>
        </w:drawing>
      </w:r>
    </w:p>
    <w:p w:rsidR="00550A30" w:rsidRPr="008F3CEA" w:rsidRDefault="00550A30" w:rsidP="00550A30">
      <w:pPr>
        <w:pStyle w:val="Didascalia"/>
        <w:spacing w:before="120"/>
        <w:rPr>
          <w:rFonts w:ascii="Arial" w:hAnsi="Arial" w:cs="Arial"/>
          <w:bCs w:val="0"/>
          <w:iCs/>
          <w:lang w:val="en-US"/>
        </w:rPr>
      </w:pPr>
      <w:r w:rsidRPr="008F3CEA">
        <w:t xml:space="preserve">Figure 4. </w:t>
      </w:r>
      <w:fldSimple w:instr=" SEQ Figure_4. \* ARABIC ">
        <w:r w:rsidRPr="008F3CEA">
          <w:rPr>
            <w:noProof/>
          </w:rPr>
          <w:t>29</w:t>
        </w:r>
      </w:fldSimple>
      <w:r w:rsidRPr="008F3CEA">
        <w:t xml:space="preserve"> DSC thermograms of plain drug (black), PCL (blue) and empty (red) and drug-loaded (purple) particles prepared with Tween 80 as emulsifier.</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PCL thermogram shows a melting temperature at 58°C, according to the results reported by Fukushima and co-workers [30]. This peak is clearly visible in the thermograms of empty and drug loaded nanoparticles, prepared with both emulsifiers. </w:t>
      </w:r>
    </w:p>
    <w:p w:rsidR="00550A30" w:rsidRPr="008F3CEA" w:rsidRDefault="00550A30" w:rsidP="00550A30">
      <w:pPr>
        <w:pStyle w:val="Default"/>
        <w:spacing w:line="360" w:lineRule="auto"/>
        <w:jc w:val="both"/>
        <w:rPr>
          <w:sz w:val="23"/>
          <w:szCs w:val="23"/>
          <w:lang w:val="en-US"/>
        </w:rPr>
      </w:pPr>
      <w:r w:rsidRPr="008F3CEA">
        <w:rPr>
          <w:rFonts w:ascii="Arial" w:hAnsi="Arial" w:cs="Arial"/>
          <w:lang w:val="en-US"/>
        </w:rPr>
        <w:t>Indometacin has a melting temperature at 163°C which cannot be detected in the thermograms of drug-loaded nanoparticles indicating that the encapsulated drug is in an amorphous state, according to what observed by Mokarram et al [31].</w:t>
      </w:r>
      <w:r w:rsidRPr="008F3CEA">
        <w:rPr>
          <w:sz w:val="23"/>
          <w:szCs w:val="23"/>
          <w:lang w:val="en-US"/>
        </w:rPr>
        <w:t xml:space="preserve"> </w:t>
      </w:r>
    </w:p>
    <w:p w:rsidR="00550A30" w:rsidRPr="008F3CEA" w:rsidRDefault="00550A30" w:rsidP="00550A30">
      <w:pPr>
        <w:pStyle w:val="Default"/>
        <w:spacing w:before="240" w:after="240" w:line="360" w:lineRule="auto"/>
        <w:jc w:val="both"/>
        <w:rPr>
          <w:rFonts w:ascii="Arial" w:hAnsi="Arial" w:cs="Arial"/>
          <w:b/>
          <w:bCs/>
          <w:i/>
          <w:iCs/>
          <w:lang w:val="en-US"/>
        </w:rPr>
      </w:pPr>
      <w:r w:rsidRPr="008F3CEA">
        <w:rPr>
          <w:rFonts w:ascii="Arial" w:hAnsi="Arial" w:cs="Arial"/>
          <w:b/>
          <w:bCs/>
          <w:i/>
          <w:iCs/>
          <w:lang w:val="en-US"/>
        </w:rPr>
        <w:t>4.3.2.3 Process yield and encapsulation efficiency</w:t>
      </w:r>
    </w:p>
    <w:p w:rsidR="00550A30" w:rsidRPr="008F3CEA" w:rsidRDefault="00550A30" w:rsidP="00550A30">
      <w:pPr>
        <w:pStyle w:val="Default"/>
        <w:spacing w:after="120" w:line="360" w:lineRule="auto"/>
        <w:jc w:val="both"/>
        <w:rPr>
          <w:rFonts w:ascii="Arial" w:hAnsi="Arial" w:cs="Arial"/>
          <w:bCs/>
          <w:iCs/>
          <w:lang w:val="en-US"/>
        </w:rPr>
      </w:pPr>
      <w:r w:rsidRPr="008F3CEA">
        <w:rPr>
          <w:rFonts w:ascii="Arial" w:hAnsi="Arial" w:cs="Arial"/>
          <w:bCs/>
          <w:iCs/>
          <w:lang w:val="en-US"/>
        </w:rPr>
        <w:t>The process yield was high in every case (</w:t>
      </w:r>
      <w:r w:rsidRPr="008F3CEA">
        <w:rPr>
          <w:rFonts w:ascii="Arial" w:hAnsi="Arial" w:cs="Arial"/>
          <w:lang w:val="en-US"/>
        </w:rPr>
        <w:t xml:space="preserve">68.4% and 64.2% </w:t>
      </w:r>
      <w:r w:rsidRPr="008F3CEA">
        <w:rPr>
          <w:rFonts w:ascii="Arial" w:hAnsi="Arial" w:cs="Arial"/>
          <w:bCs/>
          <w:iCs/>
          <w:lang w:val="en-US"/>
        </w:rPr>
        <w:t>for Tween 80 and Vitamin E TPGS, respectively) and is not correlated with choice of the emulsifier, as shown in table 4.6. Particles prepared with vitamin E TPGS as emulsifier have a slightly smaller size and better spherical morphology, but exhibit a very low encapsulation efficiency (lower than 3%). On the other hand, when tween 80 was used as emulsifying agent, particles showed a much higher encapsulation efficiency (33%). For this reason, only nanoparticles prepared with Tween 80 were inserted in the bone cement composition and were characterized in terms of release kinetics.</w:t>
      </w:r>
    </w:p>
    <w:p w:rsidR="00550A30" w:rsidRPr="008F3CEA" w:rsidRDefault="00550A30" w:rsidP="00550A30">
      <w:pPr>
        <w:pStyle w:val="Default"/>
        <w:spacing w:after="120" w:line="360" w:lineRule="auto"/>
        <w:jc w:val="both"/>
        <w:rPr>
          <w:rFonts w:ascii="Arial" w:hAnsi="Arial" w:cs="Arial"/>
          <w:bCs/>
          <w:iCs/>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tblPr>
      <w:tblGrid>
        <w:gridCol w:w="1474"/>
        <w:gridCol w:w="1304"/>
        <w:gridCol w:w="1304"/>
        <w:gridCol w:w="1304"/>
      </w:tblGrid>
      <w:tr w:rsidR="00550A30" w:rsidRPr="008F3CEA" w:rsidTr="009925A1">
        <w:trPr>
          <w:trHeight w:val="340"/>
          <w:jc w:val="center"/>
        </w:trPr>
        <w:tc>
          <w:tcPr>
            <w:tcW w:w="1474" w:type="dxa"/>
            <w:tcBorders>
              <w:top w:val="single" w:sz="4" w:space="0" w:color="auto"/>
              <w:bottom w:val="single" w:sz="4" w:space="0" w:color="auto"/>
            </w:tcBorders>
            <w:shd w:val="clear" w:color="auto" w:fill="EEECE1" w:themeFill="background2"/>
            <w:vAlign w:val="center"/>
          </w:tcPr>
          <w:p w:rsidR="00550A30" w:rsidRPr="008F3CEA" w:rsidRDefault="00550A30" w:rsidP="009925A1">
            <w:pPr>
              <w:jc w:val="center"/>
              <w:rPr>
                <w:rFonts w:cstheme="minorHAnsi"/>
                <w:b/>
              </w:rPr>
            </w:pPr>
            <w:r w:rsidRPr="008F3CEA">
              <w:rPr>
                <w:rFonts w:cstheme="minorHAnsi"/>
                <w:b/>
              </w:rPr>
              <w:lastRenderedPageBreak/>
              <w:t>Emulsifier</w:t>
            </w:r>
          </w:p>
        </w:tc>
        <w:tc>
          <w:tcPr>
            <w:tcW w:w="1304" w:type="dxa"/>
            <w:tcBorders>
              <w:top w:val="single" w:sz="4" w:space="0" w:color="auto"/>
              <w:bottom w:val="single" w:sz="4" w:space="0" w:color="auto"/>
            </w:tcBorders>
            <w:shd w:val="clear" w:color="auto" w:fill="EEECE1" w:themeFill="background2"/>
            <w:vAlign w:val="center"/>
          </w:tcPr>
          <w:p w:rsidR="00550A30" w:rsidRPr="008F3CEA" w:rsidRDefault="00550A30" w:rsidP="009925A1">
            <w:pPr>
              <w:jc w:val="center"/>
              <w:rPr>
                <w:rFonts w:cstheme="minorHAnsi"/>
                <w:b/>
              </w:rPr>
            </w:pPr>
            <w:r w:rsidRPr="008F3CEA">
              <w:rPr>
                <w:rFonts w:cstheme="minorHAnsi"/>
                <w:b/>
              </w:rPr>
              <w:t>Yield (%)</w:t>
            </w:r>
          </w:p>
        </w:tc>
        <w:tc>
          <w:tcPr>
            <w:tcW w:w="1304" w:type="dxa"/>
            <w:tcBorders>
              <w:top w:val="single" w:sz="4" w:space="0" w:color="auto"/>
              <w:bottom w:val="single" w:sz="4" w:space="0" w:color="auto"/>
            </w:tcBorders>
            <w:shd w:val="clear" w:color="auto" w:fill="EEECE1" w:themeFill="background2"/>
            <w:vAlign w:val="center"/>
          </w:tcPr>
          <w:p w:rsidR="00550A30" w:rsidRPr="008F3CEA" w:rsidRDefault="00550A30" w:rsidP="009925A1">
            <w:pPr>
              <w:jc w:val="center"/>
              <w:rPr>
                <w:rFonts w:cstheme="minorHAnsi"/>
                <w:b/>
              </w:rPr>
            </w:pPr>
            <w:r w:rsidRPr="008F3CEA">
              <w:rPr>
                <w:rFonts w:cstheme="minorHAnsi"/>
                <w:b/>
              </w:rPr>
              <w:t>Size (nm)</w:t>
            </w:r>
          </w:p>
        </w:tc>
        <w:tc>
          <w:tcPr>
            <w:tcW w:w="1304" w:type="dxa"/>
            <w:tcBorders>
              <w:top w:val="single" w:sz="4" w:space="0" w:color="auto"/>
              <w:bottom w:val="single" w:sz="4" w:space="0" w:color="auto"/>
            </w:tcBorders>
            <w:shd w:val="clear" w:color="auto" w:fill="EEECE1" w:themeFill="background2"/>
            <w:vAlign w:val="center"/>
          </w:tcPr>
          <w:p w:rsidR="00550A30" w:rsidRPr="008F3CEA" w:rsidRDefault="00550A30" w:rsidP="009925A1">
            <w:pPr>
              <w:jc w:val="center"/>
              <w:rPr>
                <w:rFonts w:cstheme="minorHAnsi"/>
                <w:b/>
              </w:rPr>
            </w:pPr>
            <w:r w:rsidRPr="008F3CEA">
              <w:rPr>
                <w:rFonts w:cstheme="minorHAnsi"/>
                <w:b/>
              </w:rPr>
              <w:t>EE (%)</w:t>
            </w:r>
          </w:p>
        </w:tc>
      </w:tr>
      <w:tr w:rsidR="00550A30" w:rsidRPr="008F3CEA" w:rsidTr="009925A1">
        <w:trPr>
          <w:trHeight w:val="340"/>
          <w:jc w:val="center"/>
        </w:trPr>
        <w:tc>
          <w:tcPr>
            <w:tcW w:w="1474" w:type="dxa"/>
            <w:tcBorders>
              <w:top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Tween 80</w:t>
            </w:r>
          </w:p>
        </w:tc>
        <w:tc>
          <w:tcPr>
            <w:tcW w:w="1304" w:type="dxa"/>
            <w:tcBorders>
              <w:top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68.4 ± 5.0%</w:t>
            </w:r>
          </w:p>
        </w:tc>
        <w:tc>
          <w:tcPr>
            <w:tcW w:w="1304" w:type="dxa"/>
            <w:tcBorders>
              <w:top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350 ± 9</w:t>
            </w:r>
          </w:p>
        </w:tc>
        <w:tc>
          <w:tcPr>
            <w:tcW w:w="1304" w:type="dxa"/>
            <w:tcBorders>
              <w:top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 xml:space="preserve">33.3 </w:t>
            </w:r>
            <w:r w:rsidRPr="008F3CEA">
              <w:rPr>
                <w:rFonts w:ascii="Calibri" w:hAnsi="Calibri" w:cs="Calibri"/>
              </w:rPr>
              <w:t>±</w:t>
            </w:r>
            <w:r w:rsidRPr="008F3CEA">
              <w:rPr>
                <w:rFonts w:cstheme="minorHAnsi"/>
              </w:rPr>
              <w:t xml:space="preserve"> 6.7</w:t>
            </w:r>
          </w:p>
        </w:tc>
      </w:tr>
      <w:tr w:rsidR="00550A30" w:rsidRPr="008F3CEA" w:rsidTr="009925A1">
        <w:trPr>
          <w:trHeight w:val="340"/>
          <w:jc w:val="center"/>
        </w:trPr>
        <w:tc>
          <w:tcPr>
            <w:tcW w:w="1474" w:type="dxa"/>
            <w:tcBorders>
              <w:bottom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Vitamin E TPGS</w:t>
            </w:r>
          </w:p>
        </w:tc>
        <w:tc>
          <w:tcPr>
            <w:tcW w:w="1304" w:type="dxa"/>
            <w:tcBorders>
              <w:bottom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68.2 ± 4.1%</w:t>
            </w:r>
          </w:p>
        </w:tc>
        <w:tc>
          <w:tcPr>
            <w:tcW w:w="1304" w:type="dxa"/>
            <w:tcBorders>
              <w:bottom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300 ± 20</w:t>
            </w:r>
          </w:p>
        </w:tc>
        <w:tc>
          <w:tcPr>
            <w:tcW w:w="1304" w:type="dxa"/>
            <w:tcBorders>
              <w:bottom w:val="single" w:sz="4" w:space="0" w:color="auto"/>
            </w:tcBorders>
            <w:shd w:val="clear" w:color="auto" w:fill="EEECE1" w:themeFill="background2"/>
            <w:vAlign w:val="center"/>
          </w:tcPr>
          <w:p w:rsidR="00550A30" w:rsidRPr="008F3CEA" w:rsidRDefault="00550A30" w:rsidP="009925A1">
            <w:pPr>
              <w:jc w:val="center"/>
              <w:rPr>
                <w:rFonts w:cstheme="minorHAnsi"/>
              </w:rPr>
            </w:pPr>
            <w:r w:rsidRPr="008F3CEA">
              <w:rPr>
                <w:rFonts w:cstheme="minorHAnsi"/>
              </w:rPr>
              <w:t xml:space="preserve">&lt;3.0 </w:t>
            </w:r>
            <w:r w:rsidRPr="008F3CEA">
              <w:rPr>
                <w:rFonts w:ascii="Calibri" w:hAnsi="Calibri" w:cs="Calibri"/>
              </w:rPr>
              <w:t>±</w:t>
            </w:r>
            <w:r w:rsidRPr="008F3CEA">
              <w:rPr>
                <w:rFonts w:cstheme="minorHAnsi"/>
              </w:rPr>
              <w:t xml:space="preserve"> 0.8</w:t>
            </w:r>
          </w:p>
        </w:tc>
      </w:tr>
    </w:tbl>
    <w:p w:rsidR="00550A30" w:rsidRPr="008F3CEA" w:rsidRDefault="00550A30" w:rsidP="00550A30">
      <w:pPr>
        <w:pStyle w:val="Didascalia"/>
        <w:spacing w:before="120" w:line="360" w:lineRule="auto"/>
      </w:pPr>
      <w:r w:rsidRPr="008F3CEA">
        <w:t xml:space="preserve">Table 4. </w:t>
      </w:r>
      <w:fldSimple w:instr=" SEQ Table_4. \* ARABIC ">
        <w:r w:rsidRPr="008F3CEA">
          <w:rPr>
            <w:noProof/>
          </w:rPr>
          <w:t>6</w:t>
        </w:r>
      </w:fldSimple>
      <w:r w:rsidRPr="008F3CEA">
        <w:t xml:space="preserve">  Mean size, yield and encapsulation efficiency of nanoparticles prepared with different emulsifiers.</w:t>
      </w:r>
    </w:p>
    <w:p w:rsidR="00550A30" w:rsidRPr="008F3CEA" w:rsidRDefault="00550A30" w:rsidP="00550A30">
      <w:pPr>
        <w:pStyle w:val="Default"/>
        <w:spacing w:before="240" w:after="240" w:line="360" w:lineRule="auto"/>
        <w:jc w:val="both"/>
        <w:rPr>
          <w:rFonts w:ascii="Arial" w:hAnsi="Arial" w:cs="Arial"/>
          <w:b/>
          <w:bCs/>
          <w:i/>
          <w:iCs/>
          <w:lang w:val="en-US"/>
        </w:rPr>
      </w:pPr>
      <w:r w:rsidRPr="008F3CEA">
        <w:rPr>
          <w:rFonts w:ascii="Arial" w:hAnsi="Arial" w:cs="Arial"/>
          <w:b/>
          <w:bCs/>
          <w:i/>
          <w:iCs/>
          <w:lang w:val="en-US"/>
        </w:rPr>
        <w:t>4.3.2.4 Drug release profile</w:t>
      </w:r>
    </w:p>
    <w:p w:rsidR="00550A30" w:rsidRPr="008F3CEA" w:rsidRDefault="00550A30" w:rsidP="00550A30">
      <w:pPr>
        <w:pStyle w:val="Default"/>
        <w:jc w:val="center"/>
        <w:rPr>
          <w:sz w:val="23"/>
          <w:szCs w:val="23"/>
        </w:rPr>
      </w:pPr>
      <w:r w:rsidRPr="008F3CEA">
        <w:rPr>
          <w:noProof/>
          <w:sz w:val="23"/>
          <w:szCs w:val="23"/>
          <w:lang w:eastAsia="it-IT"/>
        </w:rPr>
        <w:drawing>
          <wp:inline distT="0" distB="0" distL="0" distR="0">
            <wp:extent cx="4276725" cy="2564898"/>
            <wp:effectExtent l="0" t="0" r="0" b="0"/>
            <wp:docPr id="159" name="Immagine 15" descr="rele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ease.png"/>
                    <pic:cNvPicPr/>
                  </pic:nvPicPr>
                  <pic:blipFill>
                    <a:blip r:embed="rId89"/>
                    <a:stretch>
                      <a:fillRect/>
                    </a:stretch>
                  </pic:blipFill>
                  <pic:spPr>
                    <a:xfrm>
                      <a:off x="0" y="0"/>
                      <a:ext cx="4278861" cy="2566179"/>
                    </a:xfrm>
                    <a:prstGeom prst="rect">
                      <a:avLst/>
                    </a:prstGeom>
                  </pic:spPr>
                </pic:pic>
              </a:graphicData>
            </a:graphic>
          </wp:inline>
        </w:drawing>
      </w:r>
    </w:p>
    <w:p w:rsidR="00550A30" w:rsidRPr="008F3CEA" w:rsidRDefault="00550A30" w:rsidP="00550A30">
      <w:pPr>
        <w:pStyle w:val="Didascalia"/>
        <w:spacing w:before="120"/>
      </w:pPr>
      <w:r w:rsidRPr="008F3CEA">
        <w:t xml:space="preserve">Figure 4. </w:t>
      </w:r>
      <w:fldSimple w:instr=" SEQ Figure_4. \* ARABIC ">
        <w:r w:rsidRPr="008F3CEA">
          <w:rPr>
            <w:noProof/>
          </w:rPr>
          <w:t>30</w:t>
        </w:r>
      </w:fldSimple>
      <w:r w:rsidRPr="008F3CEA">
        <w:t xml:space="preserve"> Release profile of Indomethacin from PCL nanoparticles.</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Figure 4.30 shows the release profile of Indometacin from PCL nanoparticles, after 4 days of immersion in water.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The release of the encapsulated drug is very fast with almost 80% of the content released during the first 24 hours. A slight increase in the amount of delivered drug can be detected between day 1 and 2 of incubation, while no further increase was measured after this time point, according to the results reported by other authors [32].</w:t>
      </w:r>
    </w:p>
    <w:p w:rsidR="00550A30" w:rsidRPr="008F3CEA" w:rsidRDefault="00550A30" w:rsidP="00550A30">
      <w:pPr>
        <w:pStyle w:val="Default"/>
        <w:spacing w:before="240" w:after="240" w:line="360" w:lineRule="auto"/>
        <w:rPr>
          <w:rFonts w:ascii="Arial" w:hAnsi="Arial" w:cs="Arial"/>
          <w:b/>
          <w:bCs/>
          <w:iCs/>
          <w:lang w:val="en-US"/>
        </w:rPr>
      </w:pPr>
      <w:r w:rsidRPr="008F3CEA">
        <w:rPr>
          <w:rFonts w:ascii="Arial" w:hAnsi="Arial" w:cs="Arial"/>
          <w:b/>
          <w:bCs/>
          <w:iCs/>
          <w:lang w:val="en-US"/>
        </w:rPr>
        <w:t>4.3.3 Analysis of the final cement composition</w:t>
      </w:r>
    </w:p>
    <w:p w:rsidR="00550A30" w:rsidRPr="008F3CEA" w:rsidRDefault="00550A30" w:rsidP="00550A30">
      <w:pPr>
        <w:pStyle w:val="Default"/>
        <w:spacing w:line="360" w:lineRule="auto"/>
        <w:jc w:val="both"/>
        <w:rPr>
          <w:rFonts w:ascii="Arial" w:hAnsi="Arial" w:cs="Arial"/>
          <w:bCs/>
          <w:iCs/>
          <w:lang w:val="en-US"/>
        </w:rPr>
      </w:pPr>
      <w:r w:rsidRPr="008F3CEA">
        <w:rPr>
          <w:rFonts w:ascii="Arial" w:hAnsi="Arial" w:cs="Arial"/>
          <w:bCs/>
          <w:iCs/>
          <w:lang w:val="en-US"/>
        </w:rPr>
        <w:t>According to the results reported in the previous sections, the cement composition (i.e. the organic/inorganic phase ratio) showing the best hardening and setting behavior, as well as the most suitable mechanical properties, was selected to prepare a new material containing drug-loaded nanoparticles and an additional organic phase, composed of collagen.</w:t>
      </w:r>
    </w:p>
    <w:p w:rsidR="00550A30" w:rsidRPr="008F3CEA" w:rsidRDefault="00550A30" w:rsidP="00550A30">
      <w:pPr>
        <w:pStyle w:val="Default"/>
        <w:spacing w:line="360" w:lineRule="auto"/>
        <w:jc w:val="both"/>
        <w:rPr>
          <w:rFonts w:ascii="Arial" w:hAnsi="Arial" w:cs="Arial"/>
          <w:bCs/>
          <w:iCs/>
          <w:lang w:val="en-US"/>
        </w:rPr>
      </w:pPr>
      <w:r w:rsidRPr="008F3CEA">
        <w:rPr>
          <w:rFonts w:ascii="Arial" w:hAnsi="Arial" w:cs="Arial"/>
          <w:bCs/>
          <w:iCs/>
          <w:lang w:val="en-US"/>
        </w:rPr>
        <w:t>The selected cement composition contains an organic/inorganic phase ratio of 30/70, and the organic phase, composed of a blend of chitosan and collagen (3% w/v), is cross linked with the highest amount of Genipin (7.5% w/w).</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lastRenderedPageBreak/>
        <w:t>Moreover, 10% w/v of PCL nanoparticles, containing the anti-inflammatory agent Indomethacin, were added to the final cement composition.</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This material was then characterized in terms of morphology, hardening time and injectability as well as mechanical strength under compression.</w:t>
      </w:r>
    </w:p>
    <w:p w:rsidR="00550A30" w:rsidRPr="008F3CEA" w:rsidRDefault="00550A30" w:rsidP="00550A30">
      <w:pPr>
        <w:pStyle w:val="Default"/>
        <w:spacing w:before="240" w:after="240" w:line="360" w:lineRule="auto"/>
        <w:rPr>
          <w:rFonts w:ascii="Arial" w:hAnsi="Arial" w:cs="Arial"/>
          <w:b/>
          <w:bCs/>
          <w:i/>
          <w:iCs/>
          <w:lang w:val="en-US"/>
        </w:rPr>
      </w:pPr>
      <w:r w:rsidRPr="008F3CEA">
        <w:rPr>
          <w:rFonts w:ascii="Arial" w:hAnsi="Arial" w:cs="Arial"/>
          <w:b/>
          <w:bCs/>
          <w:i/>
          <w:iCs/>
          <w:lang w:val="en-US"/>
        </w:rPr>
        <w:t>4.3.3.1 Hardening time and injectability of the final composition</w:t>
      </w:r>
    </w:p>
    <w:p w:rsidR="00550A30" w:rsidRPr="008F3CEA" w:rsidRDefault="00550A30" w:rsidP="00550A30">
      <w:pPr>
        <w:pStyle w:val="Default"/>
        <w:spacing w:line="360" w:lineRule="auto"/>
        <w:jc w:val="both"/>
        <w:rPr>
          <w:rFonts w:ascii="Arial" w:hAnsi="Arial" w:cs="Arial"/>
          <w:bCs/>
          <w:iCs/>
          <w:lang w:val="en-US"/>
        </w:rPr>
      </w:pPr>
      <w:r w:rsidRPr="008F3CEA">
        <w:rPr>
          <w:rFonts w:ascii="Arial" w:hAnsi="Arial" w:cs="Arial"/>
          <w:bCs/>
          <w:iCs/>
          <w:lang w:val="en-US"/>
        </w:rPr>
        <w:t xml:space="preserve">Hardening time and injectability were calculated for the cement prepared according to the optimized composition.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bCs/>
          <w:iCs/>
          <w:lang w:val="en-US"/>
        </w:rPr>
        <w:t xml:space="preserve">The material showed a hardening time of 22 ± 2 min, which is slightly lower compared to that of the cement prepared with only chitosan and TCP (24 ± 2min). This hardening time is compatible with the characteristic required for a suitable bone cement material, i.e. an initial </w:t>
      </w:r>
      <w:r w:rsidRPr="008F3CEA">
        <w:rPr>
          <w:rFonts w:ascii="Arial" w:hAnsi="Arial" w:cs="Arial"/>
          <w:lang w:val="en-US"/>
        </w:rPr>
        <w:t xml:space="preserve">preparation time of 6-10 minutes and a setting time of about 15 minutes [33]. </w:t>
      </w:r>
    </w:p>
    <w:p w:rsidR="00550A30" w:rsidRPr="008F3CEA" w:rsidRDefault="00550A30" w:rsidP="00550A30">
      <w:pPr>
        <w:pStyle w:val="Default"/>
        <w:spacing w:line="360" w:lineRule="auto"/>
        <w:jc w:val="both"/>
        <w:rPr>
          <w:bCs/>
          <w:iCs/>
          <w:sz w:val="28"/>
          <w:szCs w:val="28"/>
          <w:lang w:val="en-US"/>
        </w:rPr>
      </w:pPr>
      <w:r w:rsidRPr="008F3CEA">
        <w:rPr>
          <w:rFonts w:ascii="Arial" w:hAnsi="Arial" w:cs="Arial"/>
          <w:lang w:val="en-US"/>
        </w:rPr>
        <w:t>Injectability, calculated according to equation 4.3, was 95%, greater than the values reported by other authors for calcium phosphate-based bone cements [</w:t>
      </w:r>
      <w:r w:rsidRPr="008F3CEA">
        <w:rPr>
          <w:rFonts w:ascii="Arial" w:hAnsi="Arial" w:cs="Arial"/>
          <w:color w:val="auto"/>
          <w:lang w:val="en-US"/>
        </w:rPr>
        <w:t>33]</w:t>
      </w:r>
      <w:r w:rsidRPr="008F3CEA">
        <w:rPr>
          <w:rFonts w:ascii="Arial" w:hAnsi="Arial" w:cs="Arial"/>
          <w:lang w:val="en-US"/>
        </w:rPr>
        <w:t>.</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This parameter makes the proposed material an optimal candidate for bone tissue repair.</w:t>
      </w:r>
    </w:p>
    <w:p w:rsidR="00550A30" w:rsidRPr="008F3CEA" w:rsidRDefault="00550A30" w:rsidP="00550A30">
      <w:pPr>
        <w:pStyle w:val="Default"/>
        <w:spacing w:before="240" w:after="240" w:line="360" w:lineRule="auto"/>
        <w:jc w:val="both"/>
        <w:rPr>
          <w:rFonts w:ascii="Arial" w:hAnsi="Arial" w:cs="Arial"/>
          <w:b/>
          <w:bCs/>
          <w:i/>
          <w:iCs/>
          <w:lang w:val="en-US"/>
        </w:rPr>
      </w:pPr>
      <w:r w:rsidRPr="008F3CEA">
        <w:rPr>
          <w:rFonts w:ascii="Arial" w:hAnsi="Arial" w:cs="Arial"/>
          <w:b/>
          <w:bCs/>
          <w:i/>
          <w:iCs/>
          <w:lang w:val="en-US"/>
        </w:rPr>
        <w:t>4.3.3.2 Morphology (SEM)</w:t>
      </w:r>
    </w:p>
    <w:p w:rsidR="00550A30" w:rsidRPr="008F3CEA" w:rsidRDefault="00550A30" w:rsidP="00550A30">
      <w:pPr>
        <w:spacing w:after="120" w:line="360" w:lineRule="auto"/>
        <w:jc w:val="both"/>
        <w:rPr>
          <w:rFonts w:ascii="Arial" w:hAnsi="Arial" w:cs="Arial"/>
          <w:sz w:val="24"/>
          <w:szCs w:val="24"/>
          <w:lang w:val="en-US"/>
        </w:rPr>
      </w:pPr>
      <w:r w:rsidRPr="008F3CEA">
        <w:rPr>
          <w:rFonts w:ascii="Arial" w:hAnsi="Arial" w:cs="Arial"/>
          <w:sz w:val="24"/>
          <w:szCs w:val="24"/>
          <w:lang w:val="en-US"/>
        </w:rPr>
        <w:t>SEM images on the material prepared according to the optimized final composition are reported in figure 4.31.</w:t>
      </w:r>
    </w:p>
    <w:p w:rsidR="00550A30" w:rsidRPr="008F3CEA" w:rsidRDefault="00550A30" w:rsidP="00550A30">
      <w:pPr>
        <w:spacing w:after="0" w:line="360" w:lineRule="auto"/>
        <w:jc w:val="both"/>
        <w:rPr>
          <w:sz w:val="23"/>
          <w:szCs w:val="23"/>
          <w:lang w:val="en-US"/>
        </w:rPr>
      </w:pPr>
      <w:r w:rsidRPr="008F3CEA">
        <w:rPr>
          <w:noProof/>
          <w:sz w:val="23"/>
          <w:szCs w:val="23"/>
          <w:lang w:val="it-IT" w:eastAsia="it-IT"/>
        </w:rPr>
        <w:drawing>
          <wp:inline distT="0" distB="0" distL="0" distR="0">
            <wp:extent cx="5975985" cy="1274445"/>
            <wp:effectExtent l="19050" t="0" r="5715" b="0"/>
            <wp:docPr id="160" name="Immagine 20" descr="SEM C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CAP 4.png"/>
                    <pic:cNvPicPr/>
                  </pic:nvPicPr>
                  <pic:blipFill>
                    <a:blip r:embed="rId90" cstate="print"/>
                    <a:stretch>
                      <a:fillRect/>
                    </a:stretch>
                  </pic:blipFill>
                  <pic:spPr>
                    <a:xfrm>
                      <a:off x="0" y="0"/>
                      <a:ext cx="5975985" cy="1274445"/>
                    </a:xfrm>
                    <a:prstGeom prst="rect">
                      <a:avLst/>
                    </a:prstGeom>
                  </pic:spPr>
                </pic:pic>
              </a:graphicData>
            </a:graphic>
          </wp:inline>
        </w:drawing>
      </w:r>
    </w:p>
    <w:p w:rsidR="00550A30" w:rsidRPr="008F3CEA" w:rsidRDefault="00550A30" w:rsidP="00550A30">
      <w:pPr>
        <w:pStyle w:val="Didascalia"/>
        <w:rPr>
          <w:sz w:val="23"/>
          <w:szCs w:val="23"/>
          <w:lang w:val="en-US"/>
        </w:rPr>
      </w:pPr>
      <w:r w:rsidRPr="008F3CEA">
        <w:t xml:space="preserve">Figure 4. </w:t>
      </w:r>
      <w:fldSimple w:instr=" SEQ Figure_4. \* ARABIC ">
        <w:r w:rsidRPr="008F3CEA">
          <w:rPr>
            <w:noProof/>
          </w:rPr>
          <w:t>31</w:t>
        </w:r>
      </w:fldSimple>
      <w:r w:rsidRPr="008F3CEA">
        <w:t xml:space="preserve"> SEM micrographs of the bone cement prepared according to the optimized composition, after the addition of collagen and nanoparticles.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Figure 4.31 A shows an overview of the surface of the material, in which the typical granular structure of TCP is visible. Calcium phosphate powders, in fact, are generally organized as agglomerates of 10-50µm dimensions [17].</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Both the organic and inorganic phases are present on the surface of the cement and appear to be well integrated with each other, as shown by figure 4.31 C.</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Polymeric nanoparticles with a size of 240-280nm can also be detected on the surface and inside the porosities of the material (see figure 4.31 B).</w:t>
      </w:r>
    </w:p>
    <w:p w:rsidR="00550A30" w:rsidRPr="008F3CEA" w:rsidRDefault="00550A30" w:rsidP="00550A30">
      <w:pPr>
        <w:pStyle w:val="Default"/>
        <w:spacing w:before="240" w:after="240" w:line="360" w:lineRule="auto"/>
        <w:rPr>
          <w:rFonts w:ascii="Arial" w:hAnsi="Arial" w:cs="Arial"/>
          <w:b/>
          <w:bCs/>
          <w:i/>
          <w:iCs/>
          <w:lang w:val="en-US"/>
        </w:rPr>
      </w:pPr>
      <w:r w:rsidRPr="008F3CEA">
        <w:rPr>
          <w:rFonts w:ascii="Arial" w:hAnsi="Arial" w:cs="Arial"/>
          <w:b/>
          <w:bCs/>
          <w:i/>
          <w:iCs/>
          <w:lang w:val="en-US"/>
        </w:rPr>
        <w:lastRenderedPageBreak/>
        <w:t>4.3.3.3 Determination of the compressive strength of the final bone cement</w:t>
      </w:r>
    </w:p>
    <w:p w:rsidR="00550A30" w:rsidRPr="008F3CEA" w:rsidRDefault="00550A30" w:rsidP="00550A30">
      <w:pPr>
        <w:spacing w:after="120" w:line="360" w:lineRule="auto"/>
        <w:jc w:val="both"/>
        <w:rPr>
          <w:rFonts w:ascii="Arial" w:hAnsi="Arial" w:cs="Arial"/>
          <w:sz w:val="24"/>
          <w:szCs w:val="24"/>
          <w:lang w:val="en-US"/>
        </w:rPr>
      </w:pPr>
      <w:r w:rsidRPr="008F3CEA">
        <w:rPr>
          <w:rFonts w:ascii="Arial" w:hAnsi="Arial" w:cs="Arial"/>
          <w:sz w:val="24"/>
          <w:szCs w:val="24"/>
          <w:lang w:val="en-US"/>
        </w:rPr>
        <w:t>The effect of the addition of collagen and polymeric nanoparticles on the material mechanical strength was assessed. Results are reported in table 4.7 and show that the addition of a second organic phase led to a significant increase in the material strength under compression.</w:t>
      </w:r>
    </w:p>
    <w:tbl>
      <w:tblPr>
        <w:tblStyle w:val="Grigliatabella"/>
        <w:tblW w:w="0" w:type="auto"/>
        <w:jc w:val="center"/>
        <w:tblBorders>
          <w:left w:val="none" w:sz="0" w:space="0" w:color="auto"/>
          <w:right w:val="none" w:sz="0" w:space="0" w:color="auto"/>
          <w:insideH w:val="none" w:sz="0" w:space="0" w:color="auto"/>
          <w:insideV w:val="none" w:sz="0" w:space="0" w:color="auto"/>
        </w:tblBorders>
        <w:shd w:val="clear" w:color="auto" w:fill="EEECE1" w:themeFill="background2"/>
        <w:tblLook w:val="04A0"/>
      </w:tblPr>
      <w:tblGrid>
        <w:gridCol w:w="2268"/>
        <w:gridCol w:w="2268"/>
      </w:tblGrid>
      <w:tr w:rsidR="00550A30" w:rsidRPr="008F3CEA" w:rsidTr="009925A1">
        <w:trPr>
          <w:jc w:val="center"/>
        </w:trPr>
        <w:tc>
          <w:tcPr>
            <w:tcW w:w="2268" w:type="dxa"/>
            <w:tcBorders>
              <w:top w:val="single" w:sz="4" w:space="0" w:color="000000" w:themeColor="text1"/>
              <w:bottom w:val="single" w:sz="4" w:space="0" w:color="auto"/>
            </w:tcBorders>
            <w:shd w:val="clear" w:color="auto" w:fill="EEECE1" w:themeFill="background2"/>
          </w:tcPr>
          <w:p w:rsidR="00550A30" w:rsidRPr="008F3CEA" w:rsidRDefault="00550A30" w:rsidP="009925A1">
            <w:pPr>
              <w:jc w:val="both"/>
              <w:rPr>
                <w:rFonts w:cstheme="minorHAnsi"/>
                <w:b/>
                <w:lang w:val="en-US"/>
              </w:rPr>
            </w:pPr>
            <w:r w:rsidRPr="008F3CEA">
              <w:rPr>
                <w:rFonts w:cstheme="minorHAnsi"/>
                <w:b/>
                <w:lang w:val="en-US"/>
              </w:rPr>
              <w:t>Material</w:t>
            </w:r>
          </w:p>
        </w:tc>
        <w:tc>
          <w:tcPr>
            <w:tcW w:w="2268" w:type="dxa"/>
            <w:tcBorders>
              <w:top w:val="single" w:sz="4" w:space="0" w:color="000000" w:themeColor="text1"/>
              <w:bottom w:val="single" w:sz="4" w:space="0" w:color="auto"/>
            </w:tcBorders>
            <w:shd w:val="clear" w:color="auto" w:fill="EEECE1" w:themeFill="background2"/>
          </w:tcPr>
          <w:p w:rsidR="00550A30" w:rsidRPr="008F3CEA" w:rsidRDefault="00550A30" w:rsidP="009925A1">
            <w:pPr>
              <w:jc w:val="both"/>
              <w:rPr>
                <w:rFonts w:cstheme="minorHAnsi"/>
                <w:b/>
                <w:lang w:val="en-US"/>
              </w:rPr>
            </w:pPr>
            <w:r w:rsidRPr="008F3CEA">
              <w:rPr>
                <w:rFonts w:cstheme="minorHAnsi"/>
                <w:b/>
                <w:lang w:val="en-US"/>
              </w:rPr>
              <w:t>Young modulus (MPa)</w:t>
            </w:r>
          </w:p>
        </w:tc>
      </w:tr>
      <w:tr w:rsidR="00550A30" w:rsidRPr="008F3CEA" w:rsidTr="009925A1">
        <w:trPr>
          <w:jc w:val="center"/>
        </w:trPr>
        <w:tc>
          <w:tcPr>
            <w:tcW w:w="2268" w:type="dxa"/>
            <w:tcBorders>
              <w:top w:val="single" w:sz="4" w:space="0" w:color="auto"/>
            </w:tcBorders>
            <w:shd w:val="clear" w:color="auto" w:fill="EEECE1" w:themeFill="background2"/>
          </w:tcPr>
          <w:p w:rsidR="00550A30" w:rsidRPr="008F3CEA" w:rsidRDefault="00550A30" w:rsidP="009925A1">
            <w:pPr>
              <w:jc w:val="both"/>
              <w:rPr>
                <w:rFonts w:cstheme="minorHAnsi"/>
                <w:lang w:val="en-US"/>
              </w:rPr>
            </w:pPr>
            <w:r w:rsidRPr="008F3CEA">
              <w:rPr>
                <w:rFonts w:cstheme="minorHAnsi"/>
                <w:lang w:val="en-US"/>
              </w:rPr>
              <w:t>30/70 GP 7.5</w:t>
            </w:r>
          </w:p>
        </w:tc>
        <w:tc>
          <w:tcPr>
            <w:tcW w:w="2268" w:type="dxa"/>
            <w:tcBorders>
              <w:top w:val="single" w:sz="4" w:space="0" w:color="auto"/>
            </w:tcBorders>
            <w:shd w:val="clear" w:color="auto" w:fill="EEECE1" w:themeFill="background2"/>
          </w:tcPr>
          <w:p w:rsidR="00550A30" w:rsidRPr="008F3CEA" w:rsidRDefault="00550A30" w:rsidP="009925A1">
            <w:pPr>
              <w:jc w:val="both"/>
              <w:rPr>
                <w:rFonts w:cstheme="minorHAnsi"/>
                <w:lang w:val="en-US"/>
              </w:rPr>
            </w:pPr>
            <w:r w:rsidRPr="008F3CEA">
              <w:rPr>
                <w:rFonts w:cstheme="minorHAnsi"/>
                <w:lang w:val="en-US"/>
              </w:rPr>
              <w:t xml:space="preserve">0,15 ± 0,02 </w:t>
            </w:r>
          </w:p>
        </w:tc>
      </w:tr>
      <w:tr w:rsidR="00550A30" w:rsidRPr="008F3CEA" w:rsidTr="009925A1">
        <w:trPr>
          <w:jc w:val="center"/>
        </w:trPr>
        <w:tc>
          <w:tcPr>
            <w:tcW w:w="2268" w:type="dxa"/>
            <w:shd w:val="clear" w:color="auto" w:fill="EEECE1" w:themeFill="background2"/>
          </w:tcPr>
          <w:p w:rsidR="00550A30" w:rsidRPr="008F3CEA" w:rsidRDefault="00550A30" w:rsidP="009925A1">
            <w:pPr>
              <w:jc w:val="both"/>
              <w:rPr>
                <w:rFonts w:cstheme="minorHAnsi"/>
                <w:lang w:val="en-US"/>
              </w:rPr>
            </w:pPr>
            <w:r w:rsidRPr="008F3CEA">
              <w:rPr>
                <w:rFonts w:cstheme="minorHAnsi"/>
                <w:lang w:val="en-US"/>
              </w:rPr>
              <w:t>30/70 GP 7.5 col - nps</w:t>
            </w:r>
          </w:p>
        </w:tc>
        <w:tc>
          <w:tcPr>
            <w:tcW w:w="2268" w:type="dxa"/>
            <w:shd w:val="clear" w:color="auto" w:fill="EEECE1" w:themeFill="background2"/>
          </w:tcPr>
          <w:p w:rsidR="00550A30" w:rsidRPr="008F3CEA" w:rsidRDefault="00550A30" w:rsidP="009925A1">
            <w:pPr>
              <w:jc w:val="both"/>
              <w:rPr>
                <w:rFonts w:cstheme="minorHAnsi"/>
                <w:lang w:val="en-US"/>
              </w:rPr>
            </w:pPr>
            <w:r w:rsidRPr="008F3CEA">
              <w:rPr>
                <w:rFonts w:cstheme="minorHAnsi"/>
                <w:lang w:val="en-US"/>
              </w:rPr>
              <w:t xml:space="preserve">1,0 ± 0,2  </w:t>
            </w:r>
          </w:p>
        </w:tc>
      </w:tr>
    </w:tbl>
    <w:p w:rsidR="00550A30" w:rsidRPr="008F3CEA" w:rsidRDefault="00550A30" w:rsidP="00550A30">
      <w:pPr>
        <w:pStyle w:val="Didascalia"/>
        <w:spacing w:before="120"/>
        <w:rPr>
          <w:rFonts w:ascii="Arial" w:hAnsi="Arial" w:cs="Arial"/>
          <w:sz w:val="24"/>
          <w:szCs w:val="24"/>
          <w:lang w:val="en-US"/>
        </w:rPr>
      </w:pPr>
      <w:r w:rsidRPr="008F3CEA">
        <w:t>Table 4. 7 Mechanical properties of the bone cement prepared with 30/70 organic inorganic phase ratio, with and without addition of collagen and polymeric nanoparticles.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According to Hu and co-workers [34] the elastic modulus of the osteoporotic vertebral body should be in the range 10–500 MPa and the mechanical strength under compression should be 1/100 of this value, therefore around 0.5–5 MPa.</w:t>
      </w:r>
    </w:p>
    <w:p w:rsidR="00550A30" w:rsidRPr="008F3CEA" w:rsidRDefault="00550A30" w:rsidP="00550A30">
      <w:pPr>
        <w:spacing w:line="360" w:lineRule="auto"/>
        <w:jc w:val="both"/>
        <w:rPr>
          <w:sz w:val="23"/>
          <w:szCs w:val="23"/>
          <w:lang w:val="en-US"/>
        </w:rPr>
      </w:pPr>
      <w:r w:rsidRPr="008F3CEA">
        <w:rPr>
          <w:rFonts w:ascii="Arial" w:hAnsi="Arial" w:cs="Arial"/>
          <w:sz w:val="24"/>
          <w:szCs w:val="24"/>
          <w:lang w:val="en-US"/>
        </w:rPr>
        <w:t xml:space="preserve">The proposed formulation presents therefore interesting features, which make it a suitable candidate as biodegradable bone substitute. </w:t>
      </w:r>
    </w:p>
    <w:p w:rsidR="00550A30" w:rsidRPr="008F3CEA" w:rsidRDefault="00550A30" w:rsidP="00550A30">
      <w:pPr>
        <w:pStyle w:val="Default"/>
        <w:spacing w:before="240" w:after="240" w:line="360" w:lineRule="auto"/>
        <w:rPr>
          <w:rFonts w:ascii="Arial" w:hAnsi="Arial" w:cs="Arial"/>
          <w:b/>
          <w:bCs/>
          <w:sz w:val="28"/>
          <w:szCs w:val="28"/>
          <w:lang w:val="en-US"/>
        </w:rPr>
      </w:pPr>
      <w:r w:rsidRPr="008F3CEA">
        <w:rPr>
          <w:rFonts w:ascii="Arial" w:hAnsi="Arial" w:cs="Arial"/>
          <w:b/>
          <w:bCs/>
          <w:sz w:val="28"/>
          <w:szCs w:val="28"/>
          <w:lang w:val="en-US"/>
        </w:rPr>
        <w:t>4.4 Conclusions</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The objective of this work was the preparation and characterization of a novel, biocompatible and biomimetic injectable material, to be used as bone cement in mini-invasive surgery for the repair of vertebral injuries.</w:t>
      </w:r>
    </w:p>
    <w:p w:rsidR="00550A30" w:rsidRPr="008F3CEA" w:rsidRDefault="00550A30" w:rsidP="00550A30">
      <w:pPr>
        <w:pStyle w:val="Default"/>
        <w:spacing w:line="360" w:lineRule="auto"/>
        <w:jc w:val="both"/>
        <w:rPr>
          <w:rFonts w:ascii="Arial" w:hAnsi="Arial" w:cs="Arial"/>
          <w:bCs/>
          <w:lang w:val="en-US"/>
        </w:rPr>
      </w:pPr>
      <w:r w:rsidRPr="008F3CEA">
        <w:rPr>
          <w:rFonts w:ascii="Arial" w:hAnsi="Arial" w:cs="Arial"/>
          <w:bCs/>
          <w:lang w:val="en-US"/>
        </w:rPr>
        <w:t>The proposed material was composed of two principle phases which are naturally present in bones: an organic phase (composed of chitosan or a blend of chitosan and collagen) and an inorganic one (β tricalcium phosphate) which was expected to induce new bone formation (i.e. bioactivity), overcoming current problems with traditional PMMA-based bone cements.</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The organic phase was cross-linked to improve mechanical properties and to favor the material solidification (setting), by using a natural cross-linker (Genipin).</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In the first part of the work the composition of the material was optimized, in order to determine the organic/inorganic ratio and amount of cross-linker which would lead to higher bioactivity and mechanical strength as well as to a faster setting and hardening time. The material’s bioactivity and mechanical properties were strongly dependent on the amount of inorganic phase, while the amount of cross linker did not affect the bioactivity. A higher content of cross-linker led to better mechanical properties and to faster hardening times.</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lastRenderedPageBreak/>
        <w:t>Among the different compositions analyzed, an organic/inorganic phase ratio of 30/70 and an amount of cross-linker of 7.5% w/v (sample 30/70 GP7.5) were selected as optimal parameters, since this sample showed a setting time of 24 minutes and an elastic modulus under compression of 149.1± 16.9 kPa, similarly to what reported for other injectable and biodegradable gels [25]. Mechanical and biomimetic properties of this composition were further improved by adding a second organic phase composed of natural collagen [35]. Moreover, an anti-inflammatory agent (Indometacin) was included in the cement composition, after encapsulation into polymeric PCL nanoparticles. Nanoparticles were successfully  prepared by the solvent displacement method and were characterized in terms of size, morphology as well as encapsulation and release properties. Spherical particles, with a size of approximately 240- 300 nm and an encapsulation efficiency of 33% were obtained.</w:t>
      </w:r>
    </w:p>
    <w:p w:rsidR="00550A30" w:rsidRPr="008F3CEA" w:rsidRDefault="00550A30" w:rsidP="00550A30">
      <w:pPr>
        <w:spacing w:after="0" w:line="360" w:lineRule="auto"/>
        <w:jc w:val="both"/>
        <w:outlineLvl w:val="1"/>
        <w:rPr>
          <w:rFonts w:ascii="Arial" w:hAnsi="Arial" w:cs="Arial"/>
          <w:bCs/>
          <w:color w:val="333333"/>
          <w:kern w:val="36"/>
          <w:sz w:val="24"/>
          <w:szCs w:val="24"/>
          <w:lang w:val="en-US" w:eastAsia="it-IT"/>
        </w:rPr>
      </w:pPr>
      <w:r w:rsidRPr="008F3CEA">
        <w:rPr>
          <w:rFonts w:ascii="Arial" w:hAnsi="Arial" w:cs="Arial"/>
          <w:sz w:val="24"/>
          <w:szCs w:val="24"/>
          <w:lang w:val="en-US"/>
        </w:rPr>
        <w:t>The release profile showed that almost 80% of the encapsulate drug was released during the first 24 hours. This kinetics are compatible with post-operative infection raising time [17].</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Nanoparticles (10% w/w) and collagen (3% w/v) were added to the previously selected optimal cement composition and the material was analyzed in terms of morphology, hardening time and injectability. Mechanical properties were also tested to assess the effect of the addition of collagen on the material strength.</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This new composition led to a fast hardening and setting time (22 min) and to a high injectability (95%), making the material an optimal candidate as injectable bone substitute [33,35-37]. As expected, the addition of collagen (and to a smaller extent of polymeric nanoparticles) strongly affected the mechanical properties of the material, resulting in increased Young Modulus under compression (from 0.1 MPa for sample 30/70 GP7.5, to 1 GPa for the new material) [35,38].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The new bone cement developed in this study appears to be a promising candidate as injectable bioactive material for the substitution and guided regeneration of bone tissue.</w:t>
      </w:r>
    </w:p>
    <w:p w:rsidR="00550A30" w:rsidRPr="008F3CEA" w:rsidRDefault="00550A30" w:rsidP="00550A30">
      <w:pPr>
        <w:pStyle w:val="Default"/>
        <w:spacing w:before="240" w:after="240" w:line="360" w:lineRule="auto"/>
        <w:jc w:val="both"/>
        <w:rPr>
          <w:rFonts w:ascii="Arial" w:hAnsi="Arial" w:cs="Arial"/>
          <w:b/>
          <w:sz w:val="28"/>
          <w:szCs w:val="28"/>
          <w:lang w:val="en-US"/>
        </w:rPr>
      </w:pPr>
      <w:r w:rsidRPr="008F3CEA">
        <w:rPr>
          <w:rFonts w:ascii="Arial" w:hAnsi="Arial" w:cs="Arial"/>
          <w:b/>
          <w:sz w:val="28"/>
          <w:szCs w:val="28"/>
          <w:lang w:val="en-US"/>
        </w:rPr>
        <w:t>References</w:t>
      </w:r>
    </w:p>
    <w:p w:rsidR="00550A30" w:rsidRPr="008F3CEA" w:rsidRDefault="00550A30" w:rsidP="00550A30">
      <w:pPr>
        <w:pStyle w:val="Default"/>
        <w:spacing w:line="360" w:lineRule="auto"/>
        <w:jc w:val="both"/>
        <w:rPr>
          <w:rFonts w:ascii="Arial" w:hAnsi="Arial" w:cs="Arial"/>
          <w:iCs/>
          <w:lang w:val="en-US"/>
        </w:rPr>
      </w:pPr>
      <w:r w:rsidRPr="008F3CEA">
        <w:rPr>
          <w:rFonts w:ascii="Arial" w:hAnsi="Arial" w:cs="Arial"/>
          <w:lang w:val="en-US"/>
        </w:rPr>
        <w:t xml:space="preserve">[1] R. Eastell </w:t>
      </w:r>
      <w:r w:rsidRPr="008F3CEA">
        <w:rPr>
          <w:rFonts w:ascii="Arial" w:hAnsi="Arial" w:cs="Arial"/>
          <w:b/>
          <w:iCs/>
          <w:lang w:val="en-US"/>
        </w:rPr>
        <w:t>2009</w:t>
      </w:r>
      <w:r w:rsidRPr="008F3CEA">
        <w:rPr>
          <w:rFonts w:ascii="Arial" w:hAnsi="Arial" w:cs="Arial"/>
          <w:lang w:val="en-US"/>
        </w:rPr>
        <w:t xml:space="preserve"> </w:t>
      </w:r>
      <w:r w:rsidRPr="008F3CEA">
        <w:rPr>
          <w:rFonts w:ascii="Arial" w:hAnsi="Arial" w:cs="Arial"/>
          <w:iCs/>
          <w:lang w:val="en-US"/>
        </w:rPr>
        <w:t>Medicine 37:475</w:t>
      </w:r>
    </w:p>
    <w:p w:rsidR="00550A30" w:rsidRPr="008F3CEA" w:rsidRDefault="00550A30" w:rsidP="00550A30">
      <w:pPr>
        <w:pStyle w:val="Default"/>
        <w:spacing w:line="360" w:lineRule="auto"/>
        <w:jc w:val="both"/>
        <w:rPr>
          <w:rFonts w:ascii="Arial" w:hAnsi="Arial" w:cs="Arial"/>
          <w:iCs/>
          <w:color w:val="231F20"/>
          <w:lang w:val="en-US"/>
        </w:rPr>
      </w:pPr>
      <w:r w:rsidRPr="008F3CEA">
        <w:rPr>
          <w:rFonts w:ascii="Arial" w:hAnsi="Arial" w:cs="Arial"/>
          <w:lang w:val="en-US"/>
        </w:rPr>
        <w:t xml:space="preserve">[2] </w:t>
      </w:r>
      <w:r w:rsidRPr="008F3CEA">
        <w:rPr>
          <w:rFonts w:ascii="Arial" w:hAnsi="Arial" w:cs="Arial"/>
          <w:iCs/>
          <w:color w:val="231F20"/>
          <w:lang w:val="en-US"/>
        </w:rPr>
        <w:t xml:space="preserve">E. Truumees et al. </w:t>
      </w:r>
      <w:r w:rsidRPr="008F3CEA">
        <w:rPr>
          <w:rFonts w:ascii="Arial" w:hAnsi="Arial" w:cs="Arial"/>
          <w:b/>
          <w:iCs/>
          <w:color w:val="231F20"/>
          <w:lang w:val="en-US"/>
        </w:rPr>
        <w:t>2004</w:t>
      </w:r>
      <w:r w:rsidRPr="008F3CEA">
        <w:rPr>
          <w:rFonts w:ascii="Arial" w:hAnsi="Arial" w:cs="Arial"/>
          <w:iCs/>
          <w:color w:val="231F20"/>
          <w:lang w:val="en-US"/>
        </w:rPr>
        <w:t xml:space="preserve"> The Spine Journal 4:218</w:t>
      </w:r>
    </w:p>
    <w:p w:rsidR="00550A30" w:rsidRPr="008F3CEA" w:rsidRDefault="00550A30" w:rsidP="00550A30">
      <w:pPr>
        <w:pStyle w:val="Default"/>
        <w:spacing w:line="360" w:lineRule="auto"/>
        <w:jc w:val="both"/>
        <w:rPr>
          <w:i/>
          <w:iCs/>
          <w:lang w:val="en-US"/>
        </w:rPr>
      </w:pPr>
      <w:r w:rsidRPr="008F3CEA">
        <w:rPr>
          <w:rFonts w:ascii="Arial" w:hAnsi="Arial" w:cs="Arial"/>
          <w:iCs/>
          <w:lang w:val="en-US"/>
        </w:rPr>
        <w:t xml:space="preserve">[3] Mousa W.F. et al. </w:t>
      </w:r>
      <w:r w:rsidRPr="008F3CEA">
        <w:rPr>
          <w:rFonts w:ascii="Arial" w:hAnsi="Arial" w:cs="Arial"/>
          <w:b/>
          <w:iCs/>
          <w:lang w:val="en-US"/>
        </w:rPr>
        <w:t>2000</w:t>
      </w:r>
      <w:r w:rsidRPr="008F3CEA">
        <w:rPr>
          <w:rFonts w:ascii="Arial" w:hAnsi="Arial" w:cs="Arial"/>
          <w:iCs/>
          <w:lang w:val="en-US"/>
        </w:rPr>
        <w:t xml:space="preserve"> Biomaterials 21: 2137</w:t>
      </w:r>
    </w:p>
    <w:p w:rsidR="00550A30" w:rsidRPr="008F3CEA" w:rsidRDefault="00550A30" w:rsidP="00550A30">
      <w:pPr>
        <w:pStyle w:val="Default"/>
        <w:spacing w:line="360" w:lineRule="auto"/>
        <w:jc w:val="both"/>
        <w:rPr>
          <w:rFonts w:ascii="Arial" w:hAnsi="Arial" w:cs="Arial"/>
          <w:lang w:val="en-US"/>
        </w:rPr>
      </w:pPr>
      <w:r w:rsidRPr="008F3CEA">
        <w:rPr>
          <w:iCs/>
          <w:lang w:val="en-US"/>
        </w:rPr>
        <w:t>[</w:t>
      </w:r>
      <w:r w:rsidRPr="008F3CEA">
        <w:rPr>
          <w:rFonts w:ascii="Arial" w:hAnsi="Arial" w:cs="Arial"/>
          <w:iCs/>
          <w:lang w:val="en-US"/>
        </w:rPr>
        <w:t>4</w:t>
      </w:r>
      <w:r w:rsidRPr="008F3CEA">
        <w:rPr>
          <w:iCs/>
          <w:lang w:val="en-US"/>
        </w:rPr>
        <w:t xml:space="preserve">] </w:t>
      </w:r>
      <w:r w:rsidRPr="008F3CEA">
        <w:rPr>
          <w:rFonts w:ascii="Arial" w:hAnsi="Arial" w:cs="Arial"/>
          <w:lang w:val="en-US"/>
        </w:rPr>
        <w:t>L.K.H. koh JMHG 1:204</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[5] Wasnich U. </w:t>
      </w:r>
      <w:r w:rsidRPr="008F3CEA">
        <w:rPr>
          <w:rFonts w:ascii="Arial" w:hAnsi="Arial" w:cs="Arial"/>
          <w:b/>
          <w:sz w:val="24"/>
          <w:szCs w:val="24"/>
          <w:lang w:val="en-US"/>
        </w:rPr>
        <w:t>1996</w:t>
      </w:r>
      <w:r w:rsidRPr="008F3CEA">
        <w:rPr>
          <w:rFonts w:ascii="Arial" w:hAnsi="Arial" w:cs="Arial"/>
          <w:sz w:val="24"/>
          <w:szCs w:val="24"/>
          <w:lang w:val="en-US"/>
        </w:rPr>
        <w:t xml:space="preserve"> Bone 18:1791</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lastRenderedPageBreak/>
        <w:t xml:space="preserve">[6] Melton LJ. </w:t>
      </w:r>
      <w:r w:rsidRPr="008F3CEA">
        <w:rPr>
          <w:rFonts w:ascii="Arial" w:hAnsi="Arial" w:cs="Arial"/>
          <w:b/>
          <w:sz w:val="24"/>
          <w:szCs w:val="24"/>
          <w:lang w:val="en-US"/>
        </w:rPr>
        <w:t>1989</w:t>
      </w:r>
      <w:r w:rsidRPr="008F3CEA">
        <w:rPr>
          <w:rFonts w:ascii="Arial" w:hAnsi="Arial" w:cs="Arial"/>
          <w:sz w:val="24"/>
          <w:szCs w:val="24"/>
          <w:lang w:val="en-US"/>
        </w:rPr>
        <w:t xml:space="preserve"> Am J Epidemiol 129:1000</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[7] Delmas PD. </w:t>
      </w:r>
      <w:r w:rsidRPr="008F3CEA">
        <w:rPr>
          <w:rFonts w:ascii="Arial" w:hAnsi="Arial" w:cs="Arial"/>
          <w:b/>
          <w:sz w:val="24"/>
          <w:szCs w:val="24"/>
          <w:lang w:val="en-US"/>
        </w:rPr>
        <w:t>2002</w:t>
      </w:r>
      <w:r w:rsidRPr="008F3CEA">
        <w:rPr>
          <w:rFonts w:ascii="Arial" w:hAnsi="Arial" w:cs="Arial"/>
          <w:sz w:val="24"/>
          <w:szCs w:val="24"/>
          <w:lang w:val="en-US"/>
        </w:rPr>
        <w:t xml:space="preserve"> Lancet  359:2018.</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[8] J.J. Verlaan et al. </w:t>
      </w:r>
      <w:r w:rsidRPr="008F3CEA">
        <w:rPr>
          <w:rFonts w:ascii="Arial" w:hAnsi="Arial" w:cs="Arial"/>
          <w:b/>
          <w:lang w:val="en-US"/>
        </w:rPr>
        <w:t>2006</w:t>
      </w:r>
      <w:r w:rsidRPr="008F3CEA">
        <w:rPr>
          <w:rFonts w:ascii="Arial" w:hAnsi="Arial" w:cs="Arial"/>
          <w:lang w:val="en-US"/>
        </w:rPr>
        <w:t xml:space="preserve"> Biomaterials 27:290</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iCs/>
          <w:color w:val="231F20"/>
          <w:lang w:val="en-US"/>
        </w:rPr>
        <w:t xml:space="preserve">[9] </w:t>
      </w:r>
      <w:r w:rsidRPr="008F3CEA">
        <w:rPr>
          <w:rFonts w:ascii="Arial" w:hAnsi="Arial" w:cs="Arial"/>
          <w:color w:val="231F20"/>
          <w:lang w:val="en-US"/>
        </w:rPr>
        <w:t xml:space="preserve">Belkoff SM et al. </w:t>
      </w:r>
      <w:r w:rsidRPr="008F3CEA">
        <w:rPr>
          <w:rFonts w:ascii="Arial" w:hAnsi="Arial" w:cs="Arial"/>
          <w:b/>
          <w:color w:val="231F20"/>
          <w:lang w:val="en-US"/>
        </w:rPr>
        <w:t>2000</w:t>
      </w:r>
      <w:r w:rsidRPr="008F3CEA">
        <w:rPr>
          <w:rFonts w:ascii="Arial" w:hAnsi="Arial" w:cs="Arial"/>
          <w:color w:val="231F20"/>
          <w:lang w:val="en-US"/>
        </w:rPr>
        <w:t xml:space="preserve"> Spine  25:1061</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 xml:space="preserve">[10] Dean JR et al </w:t>
      </w:r>
      <w:r w:rsidRPr="008F3CEA">
        <w:rPr>
          <w:rFonts w:ascii="Arial" w:hAnsi="Arial" w:cs="Arial"/>
          <w:b/>
          <w:color w:val="231F20"/>
          <w:lang w:val="en-US"/>
        </w:rPr>
        <w:t>2000</w:t>
      </w:r>
      <w:r w:rsidRPr="008F3CEA">
        <w:rPr>
          <w:rFonts w:ascii="Arial" w:hAnsi="Arial" w:cs="Arial"/>
          <w:color w:val="231F20"/>
          <w:lang w:val="en-US"/>
        </w:rPr>
        <w:t xml:space="preserve"> Clin Radiol 55:471 </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 xml:space="preserve">[11] Bostrom MP et al </w:t>
      </w:r>
      <w:r w:rsidRPr="008F3CEA">
        <w:rPr>
          <w:rFonts w:ascii="Arial" w:hAnsi="Arial" w:cs="Arial"/>
          <w:b/>
          <w:color w:val="231F20"/>
          <w:lang w:val="en-US"/>
        </w:rPr>
        <w:t>1997</w:t>
      </w:r>
      <w:r w:rsidRPr="008F3CEA">
        <w:rPr>
          <w:rFonts w:ascii="Arial" w:hAnsi="Arial" w:cs="Arial"/>
          <w:color w:val="231F20"/>
          <w:lang w:val="en-US"/>
        </w:rPr>
        <w:t xml:space="preserve"> Spine 22(24 suppl): 38S</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 xml:space="preserve">[12] Deramond H et al. </w:t>
      </w:r>
      <w:r w:rsidRPr="008F3CEA">
        <w:rPr>
          <w:rFonts w:ascii="Arial" w:hAnsi="Arial" w:cs="Arial"/>
          <w:b/>
          <w:color w:val="231F20"/>
          <w:lang w:val="en-US"/>
        </w:rPr>
        <w:t>1998</w:t>
      </w:r>
      <w:r w:rsidRPr="008F3CEA">
        <w:rPr>
          <w:rFonts w:ascii="Arial" w:hAnsi="Arial" w:cs="Arial"/>
          <w:color w:val="231F20"/>
          <w:lang w:val="en-US"/>
        </w:rPr>
        <w:t xml:space="preserve"> Radiol Clin North Am 36:533</w:t>
      </w:r>
    </w:p>
    <w:p w:rsidR="00550A30" w:rsidRPr="008F3CEA" w:rsidRDefault="00550A30" w:rsidP="00550A30">
      <w:pPr>
        <w:pStyle w:val="Default"/>
        <w:spacing w:line="360" w:lineRule="auto"/>
        <w:jc w:val="both"/>
        <w:rPr>
          <w:rFonts w:ascii="Arial" w:hAnsi="Arial" w:cs="Arial"/>
          <w:color w:val="231F20"/>
        </w:rPr>
      </w:pPr>
      <w:r w:rsidRPr="008F3CEA">
        <w:rPr>
          <w:rFonts w:ascii="Arial" w:hAnsi="Arial" w:cs="Arial"/>
          <w:color w:val="231F20"/>
        </w:rPr>
        <w:t xml:space="preserve">[13] Garfin SR et al. </w:t>
      </w:r>
      <w:r w:rsidRPr="008F3CEA">
        <w:rPr>
          <w:rFonts w:ascii="Arial" w:hAnsi="Arial" w:cs="Arial"/>
          <w:b/>
          <w:color w:val="231F20"/>
        </w:rPr>
        <w:t>2001</w:t>
      </w:r>
      <w:r w:rsidRPr="008F3CEA">
        <w:rPr>
          <w:rFonts w:ascii="Arial" w:hAnsi="Arial" w:cs="Arial"/>
          <w:color w:val="231F20"/>
        </w:rPr>
        <w:t xml:space="preserve"> Spine 26:1511</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 xml:space="preserve">[14] Martin JB et al. </w:t>
      </w:r>
      <w:r w:rsidRPr="008F3CEA">
        <w:rPr>
          <w:rFonts w:ascii="Arial" w:hAnsi="Arial" w:cs="Arial"/>
          <w:b/>
          <w:color w:val="231F20"/>
          <w:lang w:val="en-US"/>
        </w:rPr>
        <w:t>1999</w:t>
      </w:r>
      <w:r w:rsidRPr="008F3CEA">
        <w:rPr>
          <w:rFonts w:ascii="Arial" w:hAnsi="Arial" w:cs="Arial"/>
          <w:color w:val="231F20"/>
          <w:lang w:val="en-US"/>
        </w:rPr>
        <w:t xml:space="preserve"> Bone 25:11S</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 xml:space="preserve">[15] I.H. Lieberman et al. </w:t>
      </w:r>
      <w:r w:rsidRPr="008F3CEA">
        <w:rPr>
          <w:rFonts w:ascii="Arial" w:hAnsi="Arial" w:cs="Arial"/>
          <w:b/>
          <w:color w:val="231F20"/>
          <w:lang w:val="en-US"/>
        </w:rPr>
        <w:t>2005</w:t>
      </w:r>
      <w:r w:rsidRPr="008F3CEA">
        <w:rPr>
          <w:rFonts w:ascii="Arial" w:hAnsi="Arial" w:cs="Arial"/>
          <w:color w:val="231F20"/>
          <w:lang w:val="en-US"/>
        </w:rPr>
        <w:t xml:space="preserve"> The Spine Journal 5:305S</w:t>
      </w:r>
    </w:p>
    <w:p w:rsidR="00550A30" w:rsidRPr="008F3CEA" w:rsidRDefault="00550A30" w:rsidP="00550A30">
      <w:pPr>
        <w:pStyle w:val="Default"/>
        <w:spacing w:line="360" w:lineRule="auto"/>
        <w:jc w:val="both"/>
        <w:rPr>
          <w:rFonts w:ascii="Arial" w:hAnsi="Arial" w:cs="Arial"/>
          <w:color w:val="auto"/>
          <w:lang w:val="en-US"/>
        </w:rPr>
      </w:pPr>
      <w:r w:rsidRPr="008F3CEA">
        <w:rPr>
          <w:rFonts w:ascii="Arial" w:hAnsi="Arial" w:cs="Arial"/>
          <w:color w:val="231F20"/>
          <w:lang w:val="en-US"/>
        </w:rPr>
        <w:t xml:space="preserve">[16] </w:t>
      </w:r>
      <w:r w:rsidRPr="008F3CEA">
        <w:rPr>
          <w:rFonts w:ascii="Arial" w:hAnsi="Arial" w:cs="Arial"/>
          <w:color w:val="auto"/>
          <w:lang w:val="en-US"/>
        </w:rPr>
        <w:t xml:space="preserve">G.X. Ni et al. </w:t>
      </w:r>
      <w:r w:rsidRPr="008F3CEA">
        <w:rPr>
          <w:rFonts w:ascii="Arial" w:hAnsi="Arial" w:cs="Arial"/>
          <w:b/>
          <w:color w:val="auto"/>
          <w:lang w:val="en-US"/>
        </w:rPr>
        <w:t>2006</w:t>
      </w:r>
      <w:r w:rsidRPr="008F3CEA">
        <w:rPr>
          <w:rFonts w:ascii="Arial" w:hAnsi="Arial" w:cs="Arial"/>
          <w:color w:val="auto"/>
          <w:lang w:val="en-US"/>
        </w:rPr>
        <w:t xml:space="preserve"> Biomaterials 27:1963</w:t>
      </w:r>
    </w:p>
    <w:p w:rsidR="00550A30" w:rsidRPr="008F3CEA" w:rsidRDefault="00550A30" w:rsidP="00550A30">
      <w:pPr>
        <w:pStyle w:val="Default"/>
        <w:spacing w:line="360" w:lineRule="auto"/>
        <w:jc w:val="both"/>
        <w:rPr>
          <w:rFonts w:ascii="Arial" w:hAnsi="Arial" w:cs="Arial"/>
          <w:i/>
          <w:color w:val="231F20"/>
          <w:lang w:val="en-US"/>
        </w:rPr>
      </w:pPr>
      <w:r w:rsidRPr="008F3CEA">
        <w:rPr>
          <w:rFonts w:ascii="Arial" w:hAnsi="Arial" w:cs="Arial"/>
          <w:color w:val="auto"/>
          <w:lang w:val="en-US"/>
        </w:rPr>
        <w:t xml:space="preserve">[17] </w:t>
      </w:r>
      <w:r w:rsidRPr="008F3CEA">
        <w:rPr>
          <w:rFonts w:ascii="Arial" w:hAnsi="Arial" w:cs="Arial"/>
          <w:color w:val="231F20"/>
          <w:lang w:val="en-US"/>
        </w:rPr>
        <w:t xml:space="preserve">M.P. Ginebra et al. </w:t>
      </w:r>
      <w:r w:rsidRPr="008F3CEA">
        <w:rPr>
          <w:rFonts w:ascii="Arial" w:hAnsi="Arial" w:cs="Arial"/>
          <w:b/>
          <w:color w:val="231F20"/>
          <w:lang w:val="en-US"/>
        </w:rPr>
        <w:t>2006</w:t>
      </w:r>
      <w:r w:rsidRPr="008F3CEA">
        <w:rPr>
          <w:rFonts w:ascii="Arial" w:hAnsi="Arial" w:cs="Arial"/>
          <w:color w:val="231F20"/>
          <w:lang w:val="en-US"/>
        </w:rPr>
        <w:t xml:space="preserve"> J Control Release 113:102</w:t>
      </w:r>
    </w:p>
    <w:p w:rsidR="00550A30" w:rsidRPr="008F3CEA" w:rsidRDefault="00550A30" w:rsidP="00550A30">
      <w:pPr>
        <w:pStyle w:val="Default"/>
        <w:spacing w:line="360" w:lineRule="auto"/>
        <w:jc w:val="both"/>
        <w:rPr>
          <w:rFonts w:ascii="Arial" w:hAnsi="Arial" w:cs="Arial"/>
          <w:color w:val="231F20"/>
          <w:lang w:val="en-US"/>
        </w:rPr>
      </w:pPr>
      <w:r w:rsidRPr="008F3CEA">
        <w:rPr>
          <w:rFonts w:ascii="Arial" w:hAnsi="Arial" w:cs="Arial"/>
          <w:color w:val="231F20"/>
          <w:lang w:val="en-US"/>
        </w:rPr>
        <w:t>[18]</w:t>
      </w:r>
      <w:r w:rsidRPr="008F3CEA">
        <w:rPr>
          <w:rFonts w:ascii="Arial" w:hAnsi="Arial" w:cs="Arial"/>
          <w:lang w:val="en-US"/>
        </w:rPr>
        <w:t xml:space="preserve"> Illum L. </w:t>
      </w:r>
      <w:r w:rsidRPr="008F3CEA">
        <w:rPr>
          <w:rFonts w:ascii="Arial" w:hAnsi="Arial" w:cs="Arial"/>
          <w:b/>
          <w:lang w:val="en-US"/>
        </w:rPr>
        <w:t>1998</w:t>
      </w:r>
      <w:r w:rsidRPr="008F3CEA">
        <w:rPr>
          <w:rFonts w:ascii="Arial" w:hAnsi="Arial" w:cs="Arial"/>
          <w:lang w:val="en-US"/>
        </w:rPr>
        <w:t xml:space="preserve"> Pharm. Res. 15: 1326</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color w:val="231F20"/>
          <w:lang w:val="en-US"/>
        </w:rPr>
        <w:t xml:space="preserve">[19] </w:t>
      </w:r>
      <w:r w:rsidRPr="008F3CEA">
        <w:rPr>
          <w:rFonts w:ascii="Arial" w:hAnsi="Arial" w:cs="Arial"/>
          <w:lang w:val="en-US"/>
        </w:rPr>
        <w:t xml:space="preserve">Muzzarelli R A A. </w:t>
      </w:r>
      <w:r w:rsidRPr="008F3CEA">
        <w:rPr>
          <w:rFonts w:ascii="Arial" w:hAnsi="Arial" w:cs="Arial"/>
          <w:b/>
          <w:lang w:val="en-US"/>
        </w:rPr>
        <w:t>2009</w:t>
      </w:r>
      <w:r w:rsidRPr="008F3CEA">
        <w:rPr>
          <w:rFonts w:ascii="Arial" w:hAnsi="Arial" w:cs="Arial"/>
          <w:lang w:val="en-US"/>
        </w:rPr>
        <w:t xml:space="preserve"> Carbohydrate Polymers 77:1</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color w:val="231F20"/>
          <w:lang w:val="en-US"/>
        </w:rPr>
        <w:t xml:space="preserve">[20] </w:t>
      </w:r>
      <w:r w:rsidRPr="008F3CEA">
        <w:rPr>
          <w:rFonts w:ascii="Arial" w:hAnsi="Arial" w:cs="Arial"/>
          <w:lang w:val="en-US"/>
        </w:rPr>
        <w:t xml:space="preserve">Wang et al. </w:t>
      </w:r>
      <w:r w:rsidRPr="008F3CEA">
        <w:rPr>
          <w:rFonts w:ascii="Arial" w:hAnsi="Arial" w:cs="Arial"/>
          <w:b/>
          <w:lang w:val="en-US"/>
        </w:rPr>
        <w:t>2010</w:t>
      </w:r>
      <w:r w:rsidRPr="008F3CEA">
        <w:rPr>
          <w:rFonts w:ascii="Arial" w:hAnsi="Arial" w:cs="Arial"/>
          <w:lang w:val="en-US"/>
        </w:rPr>
        <w:t xml:space="preserve"> biomaterials 31(14):3976</w:t>
      </w:r>
    </w:p>
    <w:p w:rsidR="00550A30" w:rsidRPr="008F3CEA" w:rsidRDefault="00550A30" w:rsidP="00550A30">
      <w:pPr>
        <w:pStyle w:val="Default"/>
        <w:spacing w:line="360" w:lineRule="auto"/>
        <w:jc w:val="both"/>
        <w:rPr>
          <w:rFonts w:ascii="Arial" w:hAnsi="Arial" w:cs="Arial"/>
          <w:sz w:val="26"/>
          <w:szCs w:val="26"/>
        </w:rPr>
      </w:pPr>
      <w:r w:rsidRPr="00550A30">
        <w:rPr>
          <w:rFonts w:ascii="Arial" w:hAnsi="Arial" w:cs="Arial"/>
          <w:lang w:val="en-US"/>
        </w:rPr>
        <w:t xml:space="preserve">[21] </w:t>
      </w:r>
      <w:r w:rsidRPr="00550A30">
        <w:rPr>
          <w:rFonts w:ascii="Arial" w:hAnsi="Arial" w:cs="Arial"/>
          <w:sz w:val="26"/>
          <w:szCs w:val="26"/>
          <w:lang w:val="en-US"/>
        </w:rPr>
        <w:t xml:space="preserve">Fessi H. et al. </w:t>
      </w:r>
      <w:r w:rsidRPr="00550A30">
        <w:rPr>
          <w:rFonts w:ascii="Arial" w:hAnsi="Arial" w:cs="Arial"/>
          <w:b/>
          <w:sz w:val="26"/>
          <w:szCs w:val="26"/>
          <w:lang w:val="en-US"/>
        </w:rPr>
        <w:t>1989</w:t>
      </w:r>
      <w:r w:rsidRPr="00550A30">
        <w:rPr>
          <w:rFonts w:ascii="Arial" w:hAnsi="Arial" w:cs="Arial"/>
          <w:sz w:val="26"/>
          <w:szCs w:val="26"/>
          <w:lang w:val="en-US"/>
        </w:rPr>
        <w:t xml:space="preserve"> Int. J. Pharm. </w:t>
      </w:r>
      <w:r w:rsidRPr="008F3CEA">
        <w:rPr>
          <w:rFonts w:ascii="Arial" w:hAnsi="Arial" w:cs="Arial"/>
          <w:sz w:val="26"/>
          <w:szCs w:val="26"/>
        </w:rPr>
        <w:t>55: 25</w:t>
      </w:r>
    </w:p>
    <w:p w:rsidR="00550A30" w:rsidRPr="008F3CEA" w:rsidRDefault="00550A30" w:rsidP="00550A30">
      <w:pPr>
        <w:pStyle w:val="Default"/>
        <w:spacing w:line="360" w:lineRule="auto"/>
        <w:jc w:val="both"/>
        <w:rPr>
          <w:rFonts w:ascii="Arial" w:hAnsi="Arial" w:cs="Arial"/>
          <w:sz w:val="26"/>
          <w:szCs w:val="26"/>
          <w:lang w:val="en-US"/>
        </w:rPr>
      </w:pPr>
      <w:r w:rsidRPr="008F3CEA">
        <w:rPr>
          <w:rFonts w:ascii="Arial" w:hAnsi="Arial" w:cs="Arial"/>
          <w:sz w:val="26"/>
          <w:szCs w:val="26"/>
        </w:rPr>
        <w:t xml:space="preserve">[22] </w:t>
      </w:r>
      <w:r w:rsidRPr="008F3CEA">
        <w:rPr>
          <w:rFonts w:ascii="Arial" w:hAnsi="Arial" w:cs="Arial"/>
          <w:iCs/>
        </w:rPr>
        <w:t xml:space="preserve">Kokubo T. et al. </w:t>
      </w:r>
      <w:r w:rsidRPr="008F3CEA">
        <w:rPr>
          <w:rFonts w:ascii="Arial" w:hAnsi="Arial" w:cs="Arial"/>
          <w:b/>
          <w:iCs/>
        </w:rPr>
        <w:t>1990</w:t>
      </w:r>
      <w:r w:rsidRPr="008F3CEA">
        <w:rPr>
          <w:rFonts w:ascii="Arial" w:hAnsi="Arial" w:cs="Arial"/>
          <w:iCs/>
        </w:rPr>
        <w:t xml:space="preserve"> </w:t>
      </w:r>
      <w:r w:rsidRPr="008F3CEA">
        <w:rPr>
          <w:rFonts w:ascii="Arial" w:hAnsi="Arial" w:cs="Arial"/>
        </w:rPr>
        <w:t xml:space="preserve">J. Non-Cryst. </w:t>
      </w:r>
      <w:r w:rsidRPr="008F3CEA">
        <w:rPr>
          <w:rFonts w:ascii="Arial" w:hAnsi="Arial" w:cs="Arial"/>
          <w:lang w:val="en-US"/>
        </w:rPr>
        <w:t>Solids</w:t>
      </w:r>
      <w:r w:rsidRPr="008F3CEA">
        <w:rPr>
          <w:rFonts w:ascii="Arial" w:hAnsi="Arial" w:cs="Arial"/>
          <w:iCs/>
          <w:lang w:val="en-US"/>
        </w:rPr>
        <w:t xml:space="preserve"> </w:t>
      </w:r>
      <w:r w:rsidRPr="008F3CEA">
        <w:rPr>
          <w:rFonts w:ascii="Arial" w:hAnsi="Arial" w:cs="Arial"/>
          <w:bCs/>
          <w:iCs/>
          <w:lang w:val="en-US"/>
        </w:rPr>
        <w:t>120</w:t>
      </w:r>
      <w:r w:rsidRPr="008F3CEA">
        <w:rPr>
          <w:rFonts w:ascii="Arial" w:hAnsi="Arial" w:cs="Arial"/>
          <w:iCs/>
          <w:lang w:val="en-US"/>
        </w:rPr>
        <w:t>:138.</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[23] Xiaopeng Qi et al. </w:t>
      </w:r>
      <w:r w:rsidRPr="008F3CEA">
        <w:rPr>
          <w:rFonts w:ascii="Arial" w:hAnsi="Arial" w:cs="Arial"/>
          <w:b/>
          <w:lang w:val="en-US"/>
        </w:rPr>
        <w:t>2008</w:t>
      </w:r>
      <w:r w:rsidRPr="008F3CEA">
        <w:rPr>
          <w:rFonts w:ascii="Arial" w:hAnsi="Arial" w:cs="Arial"/>
          <w:lang w:val="en-US"/>
        </w:rPr>
        <w:t xml:space="preserve"> Acta Biomaterialia 4:1837</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[24] Hu YC et al in Complications of vertebroplasty and kyphoplasty; Techniques in Regional Anesthesia and Pain Management. </w:t>
      </w:r>
      <w:r w:rsidRPr="008F3CEA">
        <w:rPr>
          <w:rFonts w:ascii="Arial" w:hAnsi="Arial" w:cs="Arial"/>
          <w:b/>
          <w:lang w:val="en-US"/>
        </w:rPr>
        <w:t>2007</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[25] D.S. Couto et al. </w:t>
      </w:r>
      <w:r w:rsidRPr="008F3CEA">
        <w:rPr>
          <w:rFonts w:ascii="Arial" w:hAnsi="Arial" w:cs="Arial"/>
          <w:b/>
          <w:lang w:val="en-US"/>
        </w:rPr>
        <w:t>2009</w:t>
      </w:r>
      <w:r w:rsidRPr="008F3CEA">
        <w:rPr>
          <w:rFonts w:ascii="Arial" w:hAnsi="Arial" w:cs="Arial"/>
          <w:lang w:val="en-US"/>
        </w:rPr>
        <w:t xml:space="preserve">  Acta Biomaterialia 5:115</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[26] Royer J.C. et al </w:t>
      </w:r>
      <w:r w:rsidRPr="008F3CEA">
        <w:rPr>
          <w:rFonts w:ascii="Arial" w:hAnsi="Arial" w:cs="Arial"/>
          <w:b/>
          <w:lang w:val="en-US"/>
        </w:rPr>
        <w:t>1993</w:t>
      </w:r>
      <w:r w:rsidRPr="008F3CEA">
        <w:rPr>
          <w:rFonts w:ascii="Arial" w:hAnsi="Arial" w:cs="Arial"/>
          <w:lang w:val="en-US"/>
        </w:rPr>
        <w:t xml:space="preserve"> J Mater Sci: Mater Med,  4 :76</w:t>
      </w:r>
    </w:p>
    <w:p w:rsidR="00550A30" w:rsidRPr="00550A30" w:rsidRDefault="00550A30" w:rsidP="00550A30">
      <w:pPr>
        <w:pStyle w:val="Default"/>
        <w:spacing w:line="360" w:lineRule="auto"/>
        <w:jc w:val="both"/>
        <w:rPr>
          <w:rFonts w:ascii="Arial" w:hAnsi="Arial" w:cs="Arial"/>
          <w:lang w:val="en-US"/>
        </w:rPr>
      </w:pPr>
      <w:r w:rsidRPr="00550A30">
        <w:rPr>
          <w:rFonts w:ascii="Arial" w:hAnsi="Arial" w:cs="Arial"/>
          <w:lang w:val="en-US"/>
        </w:rPr>
        <w:t xml:space="preserve">[27] Sabir et al. </w:t>
      </w:r>
      <w:r w:rsidRPr="00550A30">
        <w:rPr>
          <w:rFonts w:ascii="Arial" w:hAnsi="Arial" w:cs="Arial"/>
          <w:b/>
          <w:lang w:val="en-US"/>
        </w:rPr>
        <w:t>2009</w:t>
      </w:r>
      <w:r w:rsidRPr="00550A30">
        <w:rPr>
          <w:rFonts w:ascii="Arial" w:hAnsi="Arial" w:cs="Arial"/>
          <w:lang w:val="en-US"/>
        </w:rPr>
        <w:t xml:space="preserve"> J Mater Sci 44: 5713</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[28] Tanimoto et al. </w:t>
      </w:r>
      <w:r w:rsidRPr="008F3CEA">
        <w:rPr>
          <w:rFonts w:ascii="Arial" w:hAnsi="Arial" w:cs="Arial"/>
          <w:b/>
          <w:lang w:val="en-US"/>
        </w:rPr>
        <w:t>2005</w:t>
      </w:r>
      <w:r w:rsidRPr="008F3CEA">
        <w:rPr>
          <w:rFonts w:ascii="Arial" w:hAnsi="Arial" w:cs="Arial"/>
          <w:lang w:val="en-US"/>
        </w:rPr>
        <w:t xml:space="preserve"> Wiley Periodicals</w:t>
      </w:r>
    </w:p>
    <w:p w:rsidR="00550A30" w:rsidRPr="008F3CEA" w:rsidRDefault="00550A30" w:rsidP="00550A30">
      <w:pPr>
        <w:pStyle w:val="Default"/>
        <w:spacing w:line="360" w:lineRule="auto"/>
        <w:jc w:val="both"/>
        <w:rPr>
          <w:rFonts w:ascii="Arial" w:hAnsi="Arial" w:cs="Arial"/>
          <w:color w:val="auto"/>
          <w:lang w:val="en-US"/>
        </w:rPr>
      </w:pPr>
      <w:r w:rsidRPr="008F3CEA">
        <w:rPr>
          <w:rFonts w:ascii="Arial" w:hAnsi="Arial" w:cs="Arial"/>
          <w:lang w:val="en-US"/>
        </w:rPr>
        <w:t xml:space="preserve">[29] </w:t>
      </w:r>
      <w:r w:rsidRPr="008F3CEA">
        <w:rPr>
          <w:rFonts w:ascii="Arial" w:hAnsi="Arial" w:cs="Arial"/>
          <w:color w:val="auto"/>
          <w:lang w:val="en-US"/>
        </w:rPr>
        <w:t xml:space="preserve">Kokubo T. </w:t>
      </w:r>
      <w:r w:rsidRPr="008F3CEA">
        <w:rPr>
          <w:rFonts w:ascii="Arial" w:hAnsi="Arial" w:cs="Arial"/>
          <w:b/>
          <w:color w:val="auto"/>
          <w:lang w:val="en-US"/>
        </w:rPr>
        <w:t>1998</w:t>
      </w:r>
      <w:r w:rsidRPr="008F3CEA">
        <w:rPr>
          <w:rFonts w:ascii="Arial" w:hAnsi="Arial" w:cs="Arial"/>
          <w:color w:val="auto"/>
          <w:lang w:val="en-US"/>
        </w:rPr>
        <w:t xml:space="preserve"> Acta Mater 7:2519</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color w:val="auto"/>
          <w:lang w:val="en-US"/>
        </w:rPr>
        <w:t xml:space="preserve">[30] </w:t>
      </w:r>
      <w:r w:rsidRPr="008F3CEA">
        <w:rPr>
          <w:rFonts w:ascii="Arial" w:hAnsi="Arial" w:cs="Arial"/>
          <w:lang w:val="en-US"/>
        </w:rPr>
        <w:t xml:space="preserve">Fukushima et al. </w:t>
      </w:r>
      <w:r w:rsidRPr="008F3CEA">
        <w:rPr>
          <w:rFonts w:ascii="Arial" w:hAnsi="Arial" w:cs="Arial"/>
          <w:b/>
          <w:lang w:val="en-US"/>
        </w:rPr>
        <w:t>2010</w:t>
      </w:r>
      <w:r w:rsidRPr="008F3CEA">
        <w:rPr>
          <w:rFonts w:ascii="Arial" w:hAnsi="Arial" w:cs="Arial"/>
          <w:lang w:val="en-US"/>
        </w:rPr>
        <w:t xml:space="preserve">  Materials Science and Engineering C 30:566</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[31] Mokarram et al. </w:t>
      </w:r>
      <w:r w:rsidRPr="008F3CEA">
        <w:rPr>
          <w:rFonts w:ascii="Arial" w:hAnsi="Arial" w:cs="Arial"/>
          <w:b/>
          <w:lang w:val="en-US"/>
        </w:rPr>
        <w:t>2010</w:t>
      </w:r>
      <w:r w:rsidRPr="008F3CEA">
        <w:rPr>
          <w:rFonts w:ascii="Arial" w:hAnsi="Arial" w:cs="Arial"/>
          <w:lang w:val="en-US"/>
        </w:rPr>
        <w:t xml:space="preserve"> DARU 18:3 </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[32] V. Zavisova et al. </w:t>
      </w:r>
      <w:r w:rsidRPr="008F3CEA">
        <w:rPr>
          <w:rFonts w:ascii="Arial" w:hAnsi="Arial" w:cs="Arial"/>
          <w:b/>
          <w:lang w:val="en-US"/>
        </w:rPr>
        <w:t>2007</w:t>
      </w:r>
      <w:r w:rsidRPr="008F3CEA">
        <w:rPr>
          <w:rFonts w:ascii="Arial" w:hAnsi="Arial" w:cs="Arial"/>
          <w:lang w:val="en-US"/>
        </w:rPr>
        <w:t xml:space="preserve"> Journal of Magnetism and Magnetic Materials 311:379</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[33] G. Lewis </w:t>
      </w:r>
      <w:r w:rsidRPr="008F3CEA">
        <w:rPr>
          <w:rFonts w:ascii="Arial" w:hAnsi="Arial" w:cs="Arial"/>
          <w:b/>
          <w:lang w:val="en-US"/>
        </w:rPr>
        <w:t>2005</w:t>
      </w:r>
      <w:r w:rsidRPr="008F3CEA">
        <w:rPr>
          <w:rFonts w:ascii="Arial" w:hAnsi="Arial" w:cs="Arial"/>
          <w:lang w:val="en-US"/>
        </w:rPr>
        <w:t xml:space="preserve"> Wiley Periodicals</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[34] Hu X.et al </w:t>
      </w:r>
      <w:r w:rsidRPr="008F3CEA">
        <w:rPr>
          <w:rFonts w:ascii="Arial" w:hAnsi="Arial" w:cs="Arial"/>
          <w:b/>
          <w:lang w:val="en-US"/>
        </w:rPr>
        <w:t>2009</w:t>
      </w:r>
      <w:r w:rsidRPr="008F3CEA">
        <w:rPr>
          <w:rFonts w:ascii="Arial" w:hAnsi="Arial" w:cs="Arial"/>
          <w:lang w:val="en-US"/>
        </w:rPr>
        <w:t xml:space="preserve"> Macromol. Biosci. 9:195</w:t>
      </w:r>
    </w:p>
    <w:p w:rsidR="00550A30" w:rsidRPr="008F3CEA" w:rsidRDefault="00550A30" w:rsidP="00550A30">
      <w:pPr>
        <w:pStyle w:val="Default"/>
        <w:spacing w:line="360" w:lineRule="auto"/>
        <w:jc w:val="both"/>
        <w:rPr>
          <w:rFonts w:ascii="Arial" w:hAnsi="Arial" w:cs="Arial"/>
          <w:lang w:val="en-US"/>
        </w:rPr>
      </w:pPr>
      <w:r w:rsidRPr="008F3CEA">
        <w:rPr>
          <w:rFonts w:ascii="Arial" w:hAnsi="Arial" w:cs="Arial"/>
          <w:lang w:val="en-US"/>
        </w:rPr>
        <w:t xml:space="preserve">[35] Wang et al </w:t>
      </w:r>
      <w:r w:rsidRPr="008F3CEA">
        <w:rPr>
          <w:rFonts w:ascii="Arial" w:hAnsi="Arial" w:cs="Arial"/>
          <w:b/>
          <w:lang w:val="en-US"/>
        </w:rPr>
        <w:t xml:space="preserve">2010 </w:t>
      </w:r>
      <w:r w:rsidRPr="008F3CEA">
        <w:rPr>
          <w:rFonts w:ascii="Arial" w:hAnsi="Arial" w:cs="Arial"/>
          <w:lang w:val="en-US"/>
        </w:rPr>
        <w:t>Biomaterials 31:3976</w:t>
      </w:r>
    </w:p>
    <w:p w:rsidR="00550A30" w:rsidRPr="008F3CEA" w:rsidRDefault="00550A30" w:rsidP="00550A30">
      <w:pPr>
        <w:pStyle w:val="Default"/>
        <w:spacing w:line="360" w:lineRule="auto"/>
        <w:rPr>
          <w:rFonts w:ascii="Arial" w:hAnsi="Arial" w:cs="Arial"/>
          <w:lang w:val="en-US"/>
        </w:rPr>
      </w:pPr>
      <w:r w:rsidRPr="008F3CEA">
        <w:rPr>
          <w:rFonts w:ascii="Arial" w:hAnsi="Arial" w:cs="Arial"/>
          <w:lang w:val="en-US"/>
        </w:rPr>
        <w:t>[36]</w:t>
      </w:r>
      <w:r w:rsidRPr="008F3CEA">
        <w:rPr>
          <w:sz w:val="23"/>
          <w:szCs w:val="23"/>
          <w:lang w:val="en-US"/>
        </w:rPr>
        <w:t xml:space="preserve"> </w:t>
      </w:r>
      <w:r w:rsidRPr="008F3CEA">
        <w:rPr>
          <w:rFonts w:ascii="Arial" w:hAnsi="Arial" w:cs="Arial"/>
          <w:lang w:val="en-US"/>
        </w:rPr>
        <w:t xml:space="preserve">Charnley J. </w:t>
      </w:r>
      <w:r w:rsidRPr="008F3CEA">
        <w:rPr>
          <w:rFonts w:ascii="Arial" w:hAnsi="Arial" w:cs="Arial"/>
          <w:b/>
          <w:lang w:val="en-US"/>
        </w:rPr>
        <w:t>1964</w:t>
      </w:r>
      <w:r w:rsidRPr="008F3CEA">
        <w:rPr>
          <w:rFonts w:ascii="Arial" w:hAnsi="Arial" w:cs="Arial"/>
          <w:lang w:val="en-US"/>
        </w:rPr>
        <w:t xml:space="preserve"> J Bone Joint Surg</w:t>
      </w:r>
    </w:p>
    <w:p w:rsidR="00550A30" w:rsidRPr="008F3CEA" w:rsidRDefault="00550A30" w:rsidP="00550A30">
      <w:pPr>
        <w:pStyle w:val="Default"/>
        <w:spacing w:line="360" w:lineRule="auto"/>
        <w:rPr>
          <w:rFonts w:ascii="Arial" w:hAnsi="Arial" w:cs="Arial"/>
          <w:lang w:val="en-US"/>
        </w:rPr>
      </w:pPr>
      <w:r w:rsidRPr="008F3CEA">
        <w:rPr>
          <w:rFonts w:ascii="Arial" w:hAnsi="Arial" w:cs="Arial"/>
          <w:lang w:val="en-US"/>
        </w:rPr>
        <w:t>[37]</w:t>
      </w:r>
      <w:r w:rsidRPr="008F3CEA">
        <w:rPr>
          <w:sz w:val="23"/>
          <w:szCs w:val="23"/>
          <w:lang w:val="en-US"/>
        </w:rPr>
        <w:t xml:space="preserve"> </w:t>
      </w:r>
      <w:r w:rsidRPr="008F3CEA">
        <w:rPr>
          <w:rFonts w:ascii="Arial" w:hAnsi="Arial" w:cs="Arial"/>
          <w:lang w:val="en-US"/>
        </w:rPr>
        <w:t xml:space="preserve">Kühn K. </w:t>
      </w:r>
      <w:r w:rsidRPr="008F3CEA">
        <w:rPr>
          <w:rFonts w:ascii="Arial" w:hAnsi="Arial" w:cs="Arial"/>
          <w:b/>
          <w:lang w:val="en-US"/>
        </w:rPr>
        <w:t>2003,</w:t>
      </w:r>
      <w:r w:rsidRPr="008F3CEA">
        <w:rPr>
          <w:rFonts w:ascii="Arial" w:hAnsi="Arial" w:cs="Arial"/>
          <w:lang w:val="en-US"/>
        </w:rPr>
        <w:t xml:space="preserve"> in: </w:t>
      </w:r>
      <w:r w:rsidRPr="008F3CEA">
        <w:rPr>
          <w:rFonts w:ascii="Arial" w:hAnsi="Arial" w:cs="Arial"/>
          <w:bCs/>
          <w:color w:val="333333"/>
          <w:kern w:val="36"/>
          <w:lang w:val="en-US" w:eastAsia="it-IT"/>
        </w:rPr>
        <w:t xml:space="preserve">The well-cemented total hip arthroplasty: </w:t>
      </w:r>
      <w:r w:rsidRPr="008F3CEA">
        <w:rPr>
          <w:rFonts w:ascii="Arial" w:hAnsi="Arial" w:cs="Arial"/>
          <w:color w:val="333333"/>
          <w:lang w:val="en-US" w:eastAsia="it-IT"/>
        </w:rPr>
        <w:t xml:space="preserve">theory and practice; </w:t>
      </w:r>
      <w:r w:rsidRPr="008F3CEA">
        <w:rPr>
          <w:rFonts w:ascii="Arial" w:hAnsi="Arial" w:cs="Arial"/>
          <w:lang w:val="en-US"/>
        </w:rPr>
        <w:t>Chapter 3.1</w:t>
      </w:r>
    </w:p>
    <w:p w:rsidR="00550A30" w:rsidRPr="008F3CEA" w:rsidRDefault="00550A30" w:rsidP="00550A30">
      <w:pPr>
        <w:pStyle w:val="Default"/>
        <w:spacing w:line="360" w:lineRule="auto"/>
        <w:rPr>
          <w:rFonts w:ascii="Arial" w:hAnsi="Arial" w:cs="Arial"/>
          <w:lang w:val="en-US"/>
        </w:rPr>
      </w:pPr>
      <w:r w:rsidRPr="008F3CEA">
        <w:rPr>
          <w:rFonts w:ascii="Arial" w:hAnsi="Arial" w:cs="Arial"/>
          <w:lang w:val="en-US"/>
        </w:rPr>
        <w:lastRenderedPageBreak/>
        <w:t xml:space="preserve">[38] Ioos P. et al </w:t>
      </w:r>
      <w:r w:rsidRPr="008F3CEA">
        <w:rPr>
          <w:rFonts w:ascii="Arial" w:hAnsi="Arial" w:cs="Arial"/>
          <w:b/>
          <w:lang w:val="en-US"/>
        </w:rPr>
        <w:t>2001</w:t>
      </w:r>
      <w:r w:rsidRPr="008F3CEA">
        <w:rPr>
          <w:rFonts w:ascii="Arial" w:hAnsi="Arial" w:cs="Arial"/>
          <w:lang w:val="en-US"/>
        </w:rPr>
        <w:t xml:space="preserve"> Biomaterials 22. </w:t>
      </w: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8F3CEA" w:rsidRDefault="00550A30" w:rsidP="00550A30">
      <w:pPr>
        <w:pStyle w:val="Default"/>
        <w:spacing w:line="360" w:lineRule="auto"/>
        <w:rPr>
          <w:rFonts w:ascii="Arial" w:hAnsi="Arial" w:cs="Arial"/>
          <w:lang w:val="en-US"/>
        </w:rPr>
      </w:pPr>
    </w:p>
    <w:p w:rsidR="00550A30" w:rsidRPr="00C41A52" w:rsidRDefault="00550A30" w:rsidP="00550A30">
      <w:pPr>
        <w:spacing w:line="360" w:lineRule="auto"/>
        <w:rPr>
          <w:rFonts w:ascii="Arial" w:hAnsi="Arial" w:cs="Arial"/>
          <w:b/>
          <w:sz w:val="120"/>
          <w:szCs w:val="120"/>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550A30">
      <w:pPr>
        <w:jc w:val="right"/>
        <w:rPr>
          <w:rFonts w:ascii="Arial" w:hAnsi="Arial" w:cs="Arial"/>
          <w:b/>
          <w:color w:val="4F81BD" w:themeColor="accent1"/>
          <w:sz w:val="124"/>
          <w:szCs w:val="124"/>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Pr="00DC0DB7" w:rsidRDefault="00550A30" w:rsidP="00550A30">
      <w:pPr>
        <w:spacing w:line="360" w:lineRule="auto"/>
        <w:jc w:val="right"/>
        <w:rPr>
          <w:rFonts w:ascii="Arial" w:hAnsi="Arial" w:cs="Arial"/>
          <w:b/>
          <w:color w:val="002060"/>
          <w:sz w:val="120"/>
          <w:szCs w:val="120"/>
          <w:lang w:val="en-US"/>
        </w:rPr>
      </w:pPr>
      <w:r w:rsidRPr="00DC0DB7">
        <w:rPr>
          <w:rFonts w:ascii="Arial" w:hAnsi="Arial" w:cs="Arial"/>
          <w:b/>
          <w:color w:val="002060"/>
          <w:sz w:val="120"/>
          <w:szCs w:val="120"/>
          <w:lang w:val="en-US"/>
        </w:rPr>
        <w:t>Section I</w:t>
      </w:r>
      <w:r>
        <w:rPr>
          <w:rFonts w:ascii="Arial" w:hAnsi="Arial" w:cs="Arial"/>
          <w:b/>
          <w:color w:val="002060"/>
          <w:sz w:val="120"/>
          <w:szCs w:val="120"/>
          <w:lang w:val="en-US"/>
        </w:rPr>
        <w:t>V</w:t>
      </w: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550A30">
      <w:pPr>
        <w:spacing w:line="360" w:lineRule="auto"/>
        <w:jc w:val="right"/>
        <w:rPr>
          <w:rFonts w:ascii="Arial" w:hAnsi="Arial" w:cs="Arial"/>
          <w:b/>
          <w:color w:val="4F81BD" w:themeColor="accent1"/>
          <w:sz w:val="120"/>
          <w:szCs w:val="120"/>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387A07">
      <w:pPr>
        <w:tabs>
          <w:tab w:val="left" w:pos="1785"/>
        </w:tabs>
        <w:rPr>
          <w:lang w:val="en-US"/>
        </w:rPr>
      </w:pPr>
    </w:p>
    <w:p w:rsidR="00550A30"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jc w:val="right"/>
        <w:rPr>
          <w:rFonts w:ascii="Arial" w:hAnsi="Arial" w:cs="Arial"/>
          <w:b/>
          <w:color w:val="002060"/>
          <w:sz w:val="24"/>
          <w:szCs w:val="24"/>
          <w:lang w:val="en-US"/>
        </w:rPr>
      </w:pPr>
      <w:r w:rsidRPr="004C78F8">
        <w:rPr>
          <w:rFonts w:ascii="Arial" w:hAnsi="Arial" w:cs="Arial"/>
          <w:b/>
          <w:color w:val="002060"/>
          <w:sz w:val="124"/>
          <w:szCs w:val="124"/>
          <w:lang w:val="en-US"/>
        </w:rPr>
        <w:t>Chapter 5</w:t>
      </w:r>
    </w:p>
    <w:p w:rsidR="00550A30" w:rsidRPr="004C78F8" w:rsidRDefault="00550A30" w:rsidP="00550A30">
      <w:pPr>
        <w:spacing w:line="360" w:lineRule="auto"/>
        <w:jc w:val="right"/>
        <w:rPr>
          <w:rFonts w:ascii="Arial" w:hAnsi="Arial" w:cs="Arial"/>
          <w:b/>
          <w:sz w:val="50"/>
          <w:szCs w:val="50"/>
          <w:lang w:val="en-US"/>
        </w:rPr>
      </w:pPr>
    </w:p>
    <w:p w:rsidR="00550A30" w:rsidRPr="004C78F8" w:rsidRDefault="00550A30" w:rsidP="00550A30">
      <w:pPr>
        <w:spacing w:line="360" w:lineRule="auto"/>
        <w:jc w:val="right"/>
        <w:rPr>
          <w:rFonts w:ascii="Arial" w:hAnsi="Arial" w:cs="Arial"/>
          <w:b/>
          <w:sz w:val="50"/>
          <w:szCs w:val="50"/>
          <w:lang w:val="en-US"/>
        </w:rPr>
      </w:pPr>
      <w:r w:rsidRPr="004C78F8">
        <w:rPr>
          <w:rFonts w:ascii="Arial" w:hAnsi="Arial" w:cs="Arial"/>
          <w:b/>
          <w:sz w:val="50"/>
          <w:szCs w:val="50"/>
          <w:lang w:val="en-US"/>
        </w:rPr>
        <w:t>Final discussion &amp; conclusions</w:t>
      </w: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D873AE" w:rsidRDefault="00D873AE" w:rsidP="00550A30">
      <w:pPr>
        <w:autoSpaceDE w:val="0"/>
        <w:autoSpaceDN w:val="0"/>
        <w:adjustRightInd w:val="0"/>
        <w:spacing w:before="240" w:after="240" w:line="360" w:lineRule="auto"/>
        <w:jc w:val="both"/>
        <w:rPr>
          <w:rFonts w:ascii="Arial" w:hAnsi="Arial" w:cs="Arial"/>
          <w:b/>
          <w:sz w:val="24"/>
          <w:szCs w:val="24"/>
          <w:lang w:val="en-US"/>
        </w:rPr>
      </w:pPr>
    </w:p>
    <w:p w:rsidR="00D873AE" w:rsidRDefault="00D873AE" w:rsidP="00550A30">
      <w:pPr>
        <w:autoSpaceDE w:val="0"/>
        <w:autoSpaceDN w:val="0"/>
        <w:adjustRightInd w:val="0"/>
        <w:spacing w:before="240" w:after="240" w:line="360" w:lineRule="auto"/>
        <w:jc w:val="both"/>
        <w:rPr>
          <w:rFonts w:ascii="Arial" w:hAnsi="Arial" w:cs="Arial"/>
          <w:b/>
          <w:sz w:val="24"/>
          <w:szCs w:val="24"/>
          <w:lang w:val="en-US"/>
        </w:rPr>
      </w:pPr>
    </w:p>
    <w:p w:rsidR="00D873AE" w:rsidRPr="004C78F8" w:rsidRDefault="00D873AE"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p>
    <w:p w:rsidR="00550A30" w:rsidRPr="004C78F8" w:rsidRDefault="00550A30" w:rsidP="00550A30">
      <w:pPr>
        <w:autoSpaceDE w:val="0"/>
        <w:autoSpaceDN w:val="0"/>
        <w:adjustRightInd w:val="0"/>
        <w:spacing w:before="240" w:after="240" w:line="360" w:lineRule="auto"/>
        <w:jc w:val="both"/>
        <w:rPr>
          <w:rFonts w:ascii="Arial" w:hAnsi="Arial" w:cs="Arial"/>
          <w:b/>
          <w:sz w:val="24"/>
          <w:szCs w:val="24"/>
          <w:lang w:val="en-US"/>
        </w:rPr>
      </w:pPr>
      <w:r w:rsidRPr="004C78F8">
        <w:rPr>
          <w:rFonts w:ascii="Arial" w:hAnsi="Arial" w:cs="Arial"/>
          <w:b/>
          <w:sz w:val="24"/>
          <w:szCs w:val="24"/>
          <w:lang w:val="en-US"/>
        </w:rPr>
        <w:lastRenderedPageBreak/>
        <w:t>5.1 General discussion</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The first section of the present work was mainly focused on the preparation of nanoparticles starting from preformed polyesterurethanes through two widely used and highly reproducible techniques: the Solvent Displacement method and the Single Emulsion Solvent Evaporation method.</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 xml:space="preserve">These two methods have been widely used for the preparation of nanoparticles for the encapsulation of various drugs, mainly by using commercial polyesters such as poly(ε-caprolactone) (PCL), Poly(D,L lactide) (PLA) and poly (D,L lactide-co-glycolide) (PLGA) [1-3], since they offer the possibility to control the size distribution of the carriers, by simply optimizing the process parameters, such as type and amount of emulsifier, ratio between the solvent and the non solvent and the molecular weight of the polymer [4-6]. </w:t>
      </w:r>
    </w:p>
    <w:p w:rsidR="00550A30" w:rsidRPr="004C78F8" w:rsidRDefault="00550A30" w:rsidP="00550A30">
      <w:pPr>
        <w:autoSpaceDE w:val="0"/>
        <w:autoSpaceDN w:val="0"/>
        <w:adjustRightInd w:val="0"/>
        <w:spacing w:after="0" w:line="360" w:lineRule="auto"/>
        <w:ind w:firstLine="708"/>
        <w:jc w:val="both"/>
        <w:rPr>
          <w:rFonts w:ascii="Arial" w:hAnsi="Arial" w:cs="Arial"/>
          <w:sz w:val="24"/>
          <w:szCs w:val="24"/>
          <w:lang w:val="en-US"/>
        </w:rPr>
      </w:pPr>
      <w:r w:rsidRPr="004C78F8">
        <w:rPr>
          <w:rFonts w:ascii="Arial" w:hAnsi="Arial" w:cs="Arial"/>
          <w:sz w:val="24"/>
          <w:szCs w:val="24"/>
          <w:lang w:val="en-US"/>
        </w:rPr>
        <w:t xml:space="preserve">Chapter 2 describes the preparation of Paclitaxel-loaded nanoparticles for the passive targeting of cancer by the Solvent Displacement method with two widely used commercial polyesters (PCL and PLA) and the newly synthesized polyesterurethane C-BC2000, based on poly(ε-caprolactone) blocks. The solvent displacement method was selected, since it leads to the formation of monodisperse, small particles by simple precipitation of the polymer in the non solvent (water) without the use of toxic solvents or the application of shear stresses [7].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Different authors reported that nanoparticles with average diameters of 100-250nm are able to passively accumulate into tumors, through the </w:t>
      </w:r>
      <w:r w:rsidRPr="004C78F8">
        <w:rPr>
          <w:rFonts w:ascii="Arial" w:hAnsi="Arial" w:cs="Arial"/>
          <w:color w:val="000000"/>
          <w:sz w:val="24"/>
          <w:szCs w:val="24"/>
          <w:lang w:val="en-US"/>
        </w:rPr>
        <w:t>the Enhanced Permeation and Retention (</w:t>
      </w:r>
      <w:r w:rsidRPr="004C78F8">
        <w:rPr>
          <w:rFonts w:ascii="Arial" w:hAnsi="Arial" w:cs="Arial"/>
          <w:sz w:val="24"/>
          <w:szCs w:val="24"/>
          <w:lang w:val="en-US"/>
        </w:rPr>
        <w:t xml:space="preserve">EPR) effect [8-11]. </w:t>
      </w:r>
      <w:r w:rsidRPr="004C78F8">
        <w:rPr>
          <w:rFonts w:ascii="Arial" w:hAnsi="Arial" w:cs="Arial"/>
          <w:color w:val="000000"/>
          <w:sz w:val="24"/>
          <w:szCs w:val="24"/>
          <w:lang w:val="en-US"/>
        </w:rPr>
        <w:t xml:space="preserve">Accumulation of nanoparticles inside tumors is made possible by the highly permeable blood vessels of these tissues, which is a result of their rapid and defective angiogenesis [12]. In addition tumors are characterized by dysfunctional lymphatic drainage, that favors retention of nanoparticles inside the tissue [13-16]. </w:t>
      </w:r>
      <w:r w:rsidRPr="004C78F8">
        <w:rPr>
          <w:rFonts w:ascii="Arial" w:hAnsi="Arial" w:cs="Arial"/>
          <w:sz w:val="24"/>
          <w:szCs w:val="24"/>
          <w:lang w:val="en-US"/>
        </w:rPr>
        <w:t xml:space="preserve">Particles prepared in this part of the thesis, regardless of the polymer used, respond to this size requisite, and are therefore good candidates for passive targeting of tumors, as also demonstrated by the high extent of cellular internalization (tested on A 431 human epidermal carcinoma cells).  </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color w:val="141413"/>
          <w:sz w:val="24"/>
          <w:szCs w:val="24"/>
          <w:lang w:eastAsia="it-IT"/>
        </w:rPr>
        <w:t xml:space="preserve">The Solvent Displacement Method has been extensively applied for the preparation of nanoparticles with different biodegradable polyesters for the release of various drug formulations. In most cases rapid release profiles were observed: </w:t>
      </w:r>
      <w:r w:rsidRPr="004C78F8">
        <w:rPr>
          <w:rFonts w:ascii="Arial" w:hAnsi="Arial" w:cs="Arial"/>
          <w:sz w:val="24"/>
          <w:szCs w:val="24"/>
          <w:lang w:val="en-US"/>
        </w:rPr>
        <w:t xml:space="preserve">Chawla et Al [17] proposed PCL nanoparticles for the controlled release of Tamoxifen, an estrogen receptor modulator applied in the treatment of breast cancer. They reported a loading efficiency of </w:t>
      </w:r>
      <w:r w:rsidRPr="004C78F8">
        <w:rPr>
          <w:rFonts w:ascii="Arial" w:hAnsi="Arial" w:cs="Arial"/>
          <w:sz w:val="24"/>
          <w:szCs w:val="24"/>
          <w:lang w:val="en-US"/>
        </w:rPr>
        <w:lastRenderedPageBreak/>
        <w:t>60% and a rapid release profile, with nearly all the encapsulated drug released within the first 20 hours of incubation in deionized water.</w:t>
      </w:r>
      <w:r w:rsidRPr="004C78F8">
        <w:rPr>
          <w:rFonts w:ascii="Arial" w:hAnsi="Arial" w:cs="Arial"/>
          <w:color w:val="141413"/>
          <w:sz w:val="24"/>
          <w:szCs w:val="24"/>
          <w:lang w:eastAsia="it-IT"/>
        </w:rPr>
        <w:t xml:space="preserve"> Leo and co-workers [18] reported similar profiles for the </w:t>
      </w:r>
      <w:r w:rsidRPr="004C78F8">
        <w:rPr>
          <w:rFonts w:ascii="Arial" w:hAnsi="Arial" w:cs="Arial"/>
          <w:sz w:val="24"/>
          <w:szCs w:val="24"/>
          <w:lang w:val="en-US"/>
        </w:rPr>
        <w:t>anti-ischemic drug Cloricromene Acid (AD6-Acid) from PLA nanoparticles.</w:t>
      </w:r>
    </w:p>
    <w:p w:rsidR="00550A30" w:rsidRPr="004C78F8" w:rsidRDefault="00550A30" w:rsidP="00550A30">
      <w:pPr>
        <w:autoSpaceDE w:val="0"/>
        <w:autoSpaceDN w:val="0"/>
        <w:adjustRightInd w:val="0"/>
        <w:spacing w:after="0" w:line="360" w:lineRule="auto"/>
        <w:jc w:val="both"/>
        <w:rPr>
          <w:rFonts w:ascii="Arial" w:eastAsia="Calibri" w:hAnsi="Arial" w:cs="Arial"/>
          <w:sz w:val="24"/>
          <w:szCs w:val="24"/>
          <w:lang w:val="en-US"/>
        </w:rPr>
      </w:pPr>
      <w:r w:rsidRPr="004C78F8">
        <w:rPr>
          <w:rFonts w:ascii="Arial" w:hAnsi="Arial" w:cs="Arial"/>
          <w:sz w:val="24"/>
          <w:szCs w:val="24"/>
          <w:lang w:val="en-US"/>
        </w:rPr>
        <w:t xml:space="preserve">According to these findings, a rapid release was observed in this work from particles prepared with commercial polyesters while </w:t>
      </w:r>
      <w:r w:rsidRPr="004C78F8">
        <w:rPr>
          <w:rFonts w:ascii="Arial" w:eastAsia="Calibri" w:hAnsi="Arial" w:cs="Arial"/>
          <w:sz w:val="24"/>
          <w:szCs w:val="24"/>
          <w:lang w:val="en-US"/>
        </w:rPr>
        <w:t xml:space="preserve">polyurethane nanoparticles exhibited longer and more controlled release kinetics of the encapsulated drug. In fact, C-BC2000 nanoparticles had the highest encapsulation efficiency (89±2%) compared to only 24±7% and 18±8% for PLA and PCL, respectively. Moreover the release profile for particles prepared with commercial polyesters, showed that almost all the encapsulated drug was released within the first 48 hours and no further release was observed after this time-point. C-BC2000 nanoparticles were able to sustain the release of the drug for longer time (up to 5 days), when only 30% of the active principle was released, indicating that the therapeutic effect of these carriers could last even longer.  </w:t>
      </w:r>
    </w:p>
    <w:p w:rsidR="00550A30" w:rsidRPr="004C78F8" w:rsidRDefault="00550A30" w:rsidP="00550A30">
      <w:pPr>
        <w:spacing w:after="0" w:line="360" w:lineRule="auto"/>
        <w:ind w:firstLine="708"/>
        <w:jc w:val="both"/>
        <w:rPr>
          <w:rFonts w:ascii="Arial" w:hAnsi="Arial" w:cs="Arial"/>
          <w:sz w:val="24"/>
          <w:szCs w:val="24"/>
          <w:lang w:val="en-US"/>
        </w:rPr>
      </w:pPr>
      <w:r w:rsidRPr="004C78F8">
        <w:rPr>
          <w:rFonts w:ascii="Arial" w:hAnsi="Arial" w:cs="Arial"/>
          <w:sz w:val="24"/>
          <w:szCs w:val="24"/>
          <w:lang w:val="en-US"/>
        </w:rPr>
        <w:t>To augment the targeting ability of nanoparticles towards tumor cells, specific ligands or antibodies that selectively recognize biomarkers over-expressed on cancer cells, can be attached to the surface, either by chemical bond or by hydrophilic/hydrophobic interactions [19,20]. Among targeting moieties, monoclonal antibodies have been extensively applied for their ability to initiate specific signaling cascades resulting in potentiated therapeutic effect of drugs [21,22].</w:t>
      </w:r>
    </w:p>
    <w:p w:rsidR="00550A30" w:rsidRPr="004C78F8" w:rsidRDefault="00550A30" w:rsidP="00550A30">
      <w:pPr>
        <w:spacing w:after="0" w:line="360" w:lineRule="auto"/>
        <w:jc w:val="both"/>
        <w:rPr>
          <w:rFonts w:ascii="Arial" w:eastAsia="Calibri" w:hAnsi="Arial" w:cs="Arial"/>
          <w:sz w:val="24"/>
          <w:szCs w:val="24"/>
          <w:lang w:val="en-US"/>
        </w:rPr>
      </w:pPr>
      <w:r w:rsidRPr="004C78F8">
        <w:rPr>
          <w:rFonts w:ascii="Arial" w:eastAsia="Calibri" w:hAnsi="Arial" w:cs="Arial"/>
          <w:sz w:val="24"/>
          <w:szCs w:val="24"/>
          <w:lang w:val="en-US"/>
        </w:rPr>
        <w:t xml:space="preserve">For this reason, in chapter 3 two different polyesterurethanes, synthesized with different chain extenders (named C-BC2000 and NS-BC2000) and three commercial polyesters (PCL, PLA and poly(D,L lactide-co-glycolide) PLGA)  were used to prepare Paclitaxel-loaded nanoparticles for the active targeting of breast cancer.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eastAsia="Calibri" w:hAnsi="Arial" w:cs="Arial"/>
          <w:sz w:val="24"/>
          <w:szCs w:val="24"/>
          <w:lang w:val="en-US"/>
        </w:rPr>
        <w:t xml:space="preserve">A modified Single Emulsion Solvent Evaporation method was used to prepare nanoparticles, by selecting ethyl acetate as internal phase, Poly(vinyl alcohol) (PVA) as emulsifier and water as external phase. </w:t>
      </w:r>
    </w:p>
    <w:p w:rsidR="00550A30" w:rsidRPr="004C78F8" w:rsidRDefault="00550A30" w:rsidP="00550A30">
      <w:pPr>
        <w:spacing w:after="0" w:line="360" w:lineRule="auto"/>
        <w:jc w:val="both"/>
        <w:rPr>
          <w:rFonts w:ascii="Arial" w:eastAsia="Calibri" w:hAnsi="Arial" w:cs="Arial"/>
          <w:sz w:val="24"/>
          <w:szCs w:val="24"/>
          <w:lang w:val="en-US"/>
        </w:rPr>
      </w:pPr>
      <w:r w:rsidRPr="004C78F8">
        <w:rPr>
          <w:rFonts w:ascii="Arial" w:hAnsi="Arial" w:cs="Arial"/>
          <w:sz w:val="24"/>
          <w:szCs w:val="24"/>
          <w:lang w:val="en-US"/>
        </w:rPr>
        <w:t>To augment the targeting ability of nanoparticles towards breast cancer cells, Herceptin, a monoclonal antibody able to selectively recognize a specific receptor (HER2) over-expressed on 25-30% of invasive breast cancer, was attached to the surface of the carriers by hydrophilic/hydrophobic interactions [23,24].</w:t>
      </w:r>
      <w:r w:rsidRPr="004C78F8">
        <w:rPr>
          <w:rFonts w:ascii="Arial" w:eastAsia="Calibri" w:hAnsi="Arial" w:cs="Arial"/>
          <w:sz w:val="24"/>
          <w:szCs w:val="24"/>
          <w:lang w:val="en-US"/>
        </w:rPr>
        <w:t xml:space="preserve"> </w:t>
      </w:r>
    </w:p>
    <w:p w:rsidR="00550A30" w:rsidRPr="004C78F8" w:rsidRDefault="00550A30" w:rsidP="00550A30">
      <w:pPr>
        <w:spacing w:after="0" w:line="360" w:lineRule="auto"/>
        <w:jc w:val="both"/>
        <w:rPr>
          <w:rFonts w:ascii="Arial" w:hAnsi="Arial" w:cs="Arial"/>
          <w:sz w:val="24"/>
          <w:szCs w:val="24"/>
        </w:rPr>
      </w:pPr>
      <w:r w:rsidRPr="004C78F8">
        <w:rPr>
          <w:rFonts w:ascii="Arial" w:hAnsi="Arial" w:cs="Arial"/>
          <w:sz w:val="24"/>
          <w:szCs w:val="24"/>
        </w:rPr>
        <w:t xml:space="preserve">Surface modification was successfully achieved, as demonstrated by changes in size and zeta potential of the particles [25,26]. The amount of Herceptin on the surface of the carriers was measured by standard Bradford assay, confirming the presence of the antibody  on nanoparticles. Moreover the active targeting ability of these carriers was </w:t>
      </w:r>
      <w:r w:rsidRPr="004C78F8">
        <w:rPr>
          <w:rFonts w:ascii="Arial" w:hAnsi="Arial" w:cs="Arial"/>
          <w:sz w:val="24"/>
          <w:szCs w:val="24"/>
        </w:rPr>
        <w:lastRenderedPageBreak/>
        <w:t xml:space="preserve">demonstrated by their superior uptake by HER2-overexpressing breast cancer cells (SKBR3) compared to that of MCF7 cells, which show normal expression of the same receptor. </w:t>
      </w:r>
    </w:p>
    <w:p w:rsidR="00550A30" w:rsidRPr="004C78F8" w:rsidRDefault="00550A30" w:rsidP="00550A30">
      <w:pPr>
        <w:spacing w:after="0" w:line="360" w:lineRule="auto"/>
        <w:jc w:val="both"/>
        <w:rPr>
          <w:rFonts w:ascii="Arial" w:eastAsia="Calibri" w:hAnsi="Arial" w:cs="Arial"/>
          <w:b/>
          <w:sz w:val="24"/>
          <w:szCs w:val="24"/>
          <w:lang w:val="en-US"/>
        </w:rPr>
      </w:pPr>
      <w:r w:rsidRPr="004C78F8">
        <w:rPr>
          <w:rFonts w:ascii="Arial" w:eastAsia="Calibri" w:hAnsi="Arial" w:cs="Arial"/>
          <w:b/>
          <w:sz w:val="24"/>
          <w:szCs w:val="24"/>
          <w:lang w:val="en-US"/>
        </w:rPr>
        <w:t xml:space="preserve">The above-stated results indicate that PU may be used for the preparation of nanoparticles starting from pre-formed polymers and that they show superior properties when compared to traditionally used polyesters. </w:t>
      </w:r>
    </w:p>
    <w:p w:rsidR="00550A30" w:rsidRPr="004C78F8" w:rsidRDefault="00550A30" w:rsidP="00550A30">
      <w:pPr>
        <w:spacing w:after="0" w:line="360" w:lineRule="auto"/>
        <w:jc w:val="both"/>
        <w:rPr>
          <w:rFonts w:ascii="Arial" w:eastAsia="Calibri" w:hAnsi="Arial" w:cs="Arial"/>
          <w:b/>
          <w:sz w:val="24"/>
          <w:szCs w:val="24"/>
          <w:lang w:val="en-US"/>
        </w:rPr>
      </w:pPr>
      <w:r w:rsidRPr="004C78F8">
        <w:rPr>
          <w:rFonts w:ascii="Arial" w:eastAsia="Calibri" w:hAnsi="Arial" w:cs="Arial"/>
          <w:b/>
          <w:sz w:val="24"/>
          <w:szCs w:val="24"/>
          <w:lang w:val="en-US"/>
        </w:rPr>
        <w:t xml:space="preserve">This encouraging outcomes suggest further and extensive investigation on the introduction of different PU formulations as nanosystems for drug release. </w:t>
      </w:r>
    </w:p>
    <w:p w:rsidR="00550A30" w:rsidRPr="004C78F8" w:rsidRDefault="00550A30" w:rsidP="00550A30">
      <w:pPr>
        <w:autoSpaceDE w:val="0"/>
        <w:autoSpaceDN w:val="0"/>
        <w:adjustRightInd w:val="0"/>
        <w:spacing w:after="0" w:line="360" w:lineRule="auto"/>
        <w:jc w:val="both"/>
        <w:rPr>
          <w:rFonts w:ascii="Arial" w:eastAsia="Calibri" w:hAnsi="Arial" w:cs="Arial"/>
          <w:sz w:val="24"/>
          <w:szCs w:val="24"/>
          <w:lang w:val="en-US"/>
        </w:rPr>
      </w:pPr>
      <w:r w:rsidRPr="004C78F8">
        <w:rPr>
          <w:rFonts w:ascii="Arial" w:eastAsia="Calibri" w:hAnsi="Arial" w:cs="Arial"/>
          <w:sz w:val="24"/>
          <w:szCs w:val="24"/>
          <w:lang w:val="en-US"/>
        </w:rPr>
        <w:t xml:space="preserve">In the section section of the present work a new, bioactive and biomimetic bone cement was optimized and characterized. Polymeric (PCL) nanoparticles containing an anti-inflammatory agent (Indomethacin) were added to the cement composition to realize a multifunctional construct, able to stimulate the deposition of new bone tissue, while decreasing the risk of post-operative infections.   </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 xml:space="preserve">The material is composed of </w:t>
      </w:r>
      <w:r w:rsidRPr="004C78F8">
        <w:rPr>
          <w:rFonts w:ascii="Arial" w:hAnsi="Arial" w:cs="Arial"/>
          <w:bCs/>
          <w:sz w:val="24"/>
          <w:szCs w:val="24"/>
          <w:lang w:val="en-US"/>
        </w:rPr>
        <w:t>two phases which are naturally present in bones:</w:t>
      </w:r>
      <w:r w:rsidRPr="004C78F8">
        <w:rPr>
          <w:rFonts w:ascii="Arial" w:hAnsi="Arial" w:cs="Arial"/>
          <w:sz w:val="24"/>
          <w:szCs w:val="24"/>
          <w:lang w:val="en-US"/>
        </w:rPr>
        <w:t xml:space="preserve"> an organic phase made of chitosan (CH) and collagen and an inorganic phase made of β tricalcium phosphate, which is expected to increase bioactivity (i.e. the ability to stimulate new bone deposition) of the material [27,28]. </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 xml:space="preserve">According to different authors, bone cements should: (i) have good mechanical strength, in particular under compression; (ii) support new bone formation (i.e. be bioactive); (iii) have a low setting time (iv) be easily injectable and (v) do not cause local temperature increase during setting [29,30]. </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The material showed good bioactivity, promoting the formation of apatite after 14 days of incubation in simulated body fluids (SBF), a low setting time (around 20min) and a good injectability (95%), making it an optimal candidate as injectable bone substitute. Mechanical strength under compression was also analyzed, resulting in poor properties when collagen is not part of the composition. After the addition of collagen, the Young modulus for compression increased from 0,15Mpa to 1Mpa, which meets the requirements for a good vertebral substitute [31].</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 xml:space="preserve">Moreover the addition of nanoparticles confers anti-inflammatory properties, since the release rate of the drug is compatible with the infection raising kinetics. </w:t>
      </w:r>
    </w:p>
    <w:p w:rsidR="00550A30" w:rsidRDefault="00550A30" w:rsidP="00D873AE">
      <w:pPr>
        <w:autoSpaceDE w:val="0"/>
        <w:autoSpaceDN w:val="0"/>
        <w:adjustRightInd w:val="0"/>
        <w:spacing w:after="0" w:line="360" w:lineRule="auto"/>
        <w:jc w:val="both"/>
        <w:rPr>
          <w:rFonts w:ascii="Arial" w:hAnsi="Arial" w:cs="Arial"/>
          <w:b/>
          <w:sz w:val="24"/>
          <w:szCs w:val="24"/>
          <w:lang w:val="en-US"/>
        </w:rPr>
      </w:pPr>
      <w:r w:rsidRPr="004C78F8">
        <w:rPr>
          <w:rFonts w:ascii="Arial" w:hAnsi="Arial" w:cs="Arial"/>
          <w:b/>
          <w:sz w:val="24"/>
          <w:szCs w:val="24"/>
          <w:lang w:val="en-US"/>
        </w:rPr>
        <w:t xml:space="preserve">The proposed material is an optimal candidate for bone substitution, meeting all the requirements concerning mechanical properties and bioactivity and is also able to decrease the risk of post-operative infections and therefore of implant failure.    </w:t>
      </w:r>
    </w:p>
    <w:p w:rsidR="00D873AE" w:rsidRPr="004C78F8" w:rsidRDefault="00D873AE" w:rsidP="00D873AE">
      <w:pPr>
        <w:autoSpaceDE w:val="0"/>
        <w:autoSpaceDN w:val="0"/>
        <w:adjustRightInd w:val="0"/>
        <w:spacing w:after="0" w:line="360" w:lineRule="auto"/>
        <w:jc w:val="both"/>
        <w:rPr>
          <w:rFonts w:ascii="Arial" w:hAnsi="Arial" w:cs="Arial"/>
          <w:b/>
          <w:sz w:val="24"/>
          <w:szCs w:val="24"/>
          <w:lang w:val="en-US"/>
        </w:rPr>
      </w:pPr>
    </w:p>
    <w:p w:rsidR="00550A30" w:rsidRPr="004C78F8" w:rsidRDefault="00550A30" w:rsidP="00550A30">
      <w:pPr>
        <w:spacing w:before="240" w:after="240" w:line="360" w:lineRule="auto"/>
        <w:jc w:val="both"/>
        <w:rPr>
          <w:rFonts w:ascii="Arial" w:hAnsi="Arial" w:cs="Arial"/>
          <w:b/>
          <w:sz w:val="24"/>
          <w:szCs w:val="24"/>
          <w:lang w:val="en-US"/>
        </w:rPr>
      </w:pPr>
      <w:r w:rsidRPr="004C78F8">
        <w:rPr>
          <w:rFonts w:ascii="Arial" w:hAnsi="Arial" w:cs="Arial"/>
          <w:b/>
          <w:sz w:val="24"/>
          <w:szCs w:val="24"/>
          <w:lang w:val="en-US"/>
        </w:rPr>
        <w:lastRenderedPageBreak/>
        <w:t>5.2 Conclusions &amp; future developments</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In this thesis work, biodegradable nanoparticles were successfully prepared with different proprietary or commercial materials and by different methods for the passive and active targeting of cancer (chapter 2 and 3) and for the preparation of biomimetic constructs for tissue engineering (chapter 4).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The application of biodegradable polyesterurethanes (PU) as matrix-forming materials for nanoparticles prepared staring from preformed polymers, was proposed for the first time with encouraging results. In fact, compared to particles prep</w:t>
      </w:r>
      <w:r>
        <w:rPr>
          <w:rFonts w:ascii="Arial" w:hAnsi="Arial" w:cs="Arial"/>
          <w:sz w:val="24"/>
          <w:szCs w:val="24"/>
          <w:lang w:val="en-US"/>
        </w:rPr>
        <w:t>ared with commercial polyesters</w:t>
      </w:r>
      <w:r w:rsidRPr="004C78F8">
        <w:rPr>
          <w:rFonts w:ascii="Arial" w:hAnsi="Arial" w:cs="Arial"/>
          <w:sz w:val="24"/>
          <w:szCs w:val="24"/>
          <w:lang w:val="en-US"/>
        </w:rPr>
        <w:t xml:space="preserve"> </w:t>
      </w:r>
      <w:r>
        <w:rPr>
          <w:rFonts w:ascii="Arial" w:hAnsi="Arial" w:cs="Arial"/>
          <w:sz w:val="24"/>
          <w:szCs w:val="24"/>
          <w:lang w:val="en-US"/>
        </w:rPr>
        <w:t>(</w:t>
      </w:r>
      <w:r w:rsidRPr="004C78F8">
        <w:rPr>
          <w:rFonts w:ascii="Arial" w:hAnsi="Arial" w:cs="Arial"/>
          <w:sz w:val="24"/>
          <w:szCs w:val="24"/>
          <w:lang w:val="en-US"/>
        </w:rPr>
        <w:t>such as PCL, PLA and PLGA</w:t>
      </w:r>
      <w:r>
        <w:rPr>
          <w:rFonts w:ascii="Arial" w:hAnsi="Arial" w:cs="Arial"/>
          <w:sz w:val="24"/>
          <w:szCs w:val="24"/>
          <w:lang w:val="en-US"/>
        </w:rPr>
        <w:t>),</w:t>
      </w:r>
      <w:r w:rsidRPr="004C78F8">
        <w:rPr>
          <w:rFonts w:ascii="Arial" w:hAnsi="Arial" w:cs="Arial"/>
          <w:sz w:val="24"/>
          <w:szCs w:val="24"/>
          <w:lang w:val="en-US"/>
        </w:rPr>
        <w:t xml:space="preserve"> PU nanoparticles showed superior cellular internalization by cancer cells, enhanced and sustained release rate of the encapsulated drug and lower initial burst effect.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Though possessing undeniable interesting properties, biodegradable polyurethanes have been poorly investigated [32,33] as nanoparticles-forming materials to be applied in the field of drug delivery.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The results obtained in the present work suggest further investigation on the use of polyurethanes for the preparation of nanoparticles for controlled drug delivery, perhaps by selecting different starting reagents.</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In fact, </w:t>
      </w:r>
      <w:r>
        <w:rPr>
          <w:rFonts w:ascii="Arial" w:hAnsi="Arial" w:cs="Arial"/>
          <w:sz w:val="24"/>
          <w:szCs w:val="24"/>
          <w:lang w:val="en-US"/>
        </w:rPr>
        <w:t xml:space="preserve">the simple chemistry of polyurethanes </w:t>
      </w:r>
      <w:r w:rsidRPr="004C78F8">
        <w:rPr>
          <w:rFonts w:ascii="Arial" w:hAnsi="Arial" w:cs="Arial"/>
          <w:sz w:val="24"/>
          <w:szCs w:val="24"/>
          <w:lang w:val="en-US"/>
        </w:rPr>
        <w:t>allow</w:t>
      </w:r>
      <w:r>
        <w:rPr>
          <w:rFonts w:ascii="Arial" w:hAnsi="Arial" w:cs="Arial"/>
          <w:sz w:val="24"/>
          <w:szCs w:val="24"/>
          <w:lang w:val="en-US"/>
        </w:rPr>
        <w:t>s</w:t>
      </w:r>
      <w:r w:rsidRPr="004C78F8">
        <w:rPr>
          <w:rFonts w:ascii="Arial" w:hAnsi="Arial" w:cs="Arial"/>
          <w:sz w:val="24"/>
          <w:szCs w:val="24"/>
          <w:lang w:val="en-US"/>
        </w:rPr>
        <w:t xml:space="preserve"> tailor</w:t>
      </w:r>
      <w:r>
        <w:rPr>
          <w:rFonts w:ascii="Arial" w:hAnsi="Arial" w:cs="Arial"/>
          <w:sz w:val="24"/>
          <w:szCs w:val="24"/>
          <w:lang w:val="en-US"/>
        </w:rPr>
        <w:t>ing of the material properties (</w:t>
      </w:r>
      <w:r w:rsidRPr="004C78F8">
        <w:rPr>
          <w:rFonts w:ascii="Arial" w:hAnsi="Arial" w:cs="Arial"/>
          <w:sz w:val="24"/>
          <w:szCs w:val="24"/>
          <w:lang w:val="en-US"/>
        </w:rPr>
        <w:t>such as b</w:t>
      </w:r>
      <w:r>
        <w:rPr>
          <w:rFonts w:ascii="Arial" w:hAnsi="Arial" w:cs="Arial"/>
          <w:sz w:val="24"/>
          <w:szCs w:val="24"/>
          <w:lang w:val="en-US"/>
        </w:rPr>
        <w:t>iodegradability, hydrophilicity and mechanical strength)</w:t>
      </w:r>
      <w:r w:rsidRPr="004C78F8">
        <w:rPr>
          <w:rFonts w:ascii="Arial" w:hAnsi="Arial" w:cs="Arial"/>
          <w:sz w:val="24"/>
          <w:szCs w:val="24"/>
          <w:lang w:val="en-US"/>
        </w:rPr>
        <w:t xml:space="preserve"> by selecting the proper reagents during the synthesis. Polyethers, such as PEG, can be used as macrodiols, alone or in combination with polyesters, such as poly(ε-caprolactone) during the synthesis, resulting in tuneable hydrophilicity and reduced opsonization. The effect of different hydrophilicity on the size, zeta potential, extent of cellular internalization as well as on the drug loading and release properties should be investigated.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Moreover, specific targeting ligands (like peptides or aminoacids) can be inserted in the polymer backbone or attached as pendant groups or both. This allows for the obtainment of multifunctional carriers with tailored properties, according to the specific therapeutic need, with one simple synthesis process. </w:t>
      </w:r>
    </w:p>
    <w:p w:rsidR="00550A30" w:rsidRPr="004C78F8" w:rsidRDefault="00550A30" w:rsidP="00550A30">
      <w:pPr>
        <w:spacing w:before="240" w:after="240" w:line="360" w:lineRule="auto"/>
        <w:jc w:val="both"/>
        <w:rPr>
          <w:rFonts w:ascii="Arial" w:hAnsi="Arial" w:cs="Arial"/>
          <w:b/>
          <w:sz w:val="24"/>
          <w:szCs w:val="24"/>
          <w:lang w:val="en-US"/>
        </w:rPr>
      </w:pPr>
      <w:r w:rsidRPr="004C78F8">
        <w:rPr>
          <w:rFonts w:ascii="Arial" w:hAnsi="Arial" w:cs="Arial"/>
          <w:b/>
          <w:sz w:val="24"/>
          <w:szCs w:val="24"/>
          <w:lang w:val="en-US"/>
        </w:rPr>
        <w:t>References</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[1] Thickett S.C. et al. </w:t>
      </w:r>
      <w:r w:rsidRPr="004C78F8">
        <w:rPr>
          <w:rFonts w:ascii="Arial" w:hAnsi="Arial" w:cs="Arial"/>
          <w:b/>
          <w:sz w:val="24"/>
          <w:szCs w:val="24"/>
          <w:lang w:val="en-US"/>
        </w:rPr>
        <w:t>2007</w:t>
      </w:r>
      <w:r w:rsidRPr="004C78F8">
        <w:rPr>
          <w:rFonts w:ascii="Arial" w:hAnsi="Arial" w:cs="Arial"/>
          <w:sz w:val="24"/>
          <w:szCs w:val="24"/>
          <w:lang w:val="en-US"/>
        </w:rPr>
        <w:t xml:space="preserve"> Polymer 48:6965</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[2] Karode SK et al. </w:t>
      </w:r>
      <w:r w:rsidRPr="004C78F8">
        <w:rPr>
          <w:rFonts w:ascii="Arial" w:hAnsi="Arial" w:cs="Arial"/>
          <w:b/>
          <w:sz w:val="24"/>
          <w:szCs w:val="24"/>
          <w:lang w:val="en-US"/>
        </w:rPr>
        <w:t>1998</w:t>
      </w:r>
      <w:r w:rsidRPr="004C78F8">
        <w:rPr>
          <w:rFonts w:ascii="Arial" w:hAnsi="Arial" w:cs="Arial"/>
          <w:sz w:val="24"/>
          <w:szCs w:val="24"/>
          <w:lang w:val="en-US"/>
        </w:rPr>
        <w:t xml:space="preserve"> Chem Eng Sci 53:264.</w:t>
      </w:r>
    </w:p>
    <w:p w:rsidR="00550A30" w:rsidRPr="004C78F8" w:rsidRDefault="00550A30" w:rsidP="00550A30">
      <w:pPr>
        <w:spacing w:after="0" w:line="360" w:lineRule="auto"/>
        <w:rPr>
          <w:rFonts w:ascii="Arial" w:hAnsi="Arial" w:cs="Arial"/>
          <w:sz w:val="24"/>
          <w:szCs w:val="24"/>
          <w:lang w:val="en-US"/>
        </w:rPr>
      </w:pPr>
      <w:r w:rsidRPr="004C78F8">
        <w:rPr>
          <w:rFonts w:ascii="Arial" w:hAnsi="Arial" w:cs="Arial"/>
          <w:color w:val="000000"/>
          <w:sz w:val="24"/>
          <w:szCs w:val="24"/>
          <w:lang w:val="en-US"/>
        </w:rPr>
        <w:t xml:space="preserve">[3] </w:t>
      </w:r>
      <w:r w:rsidRPr="004C78F8">
        <w:rPr>
          <w:rFonts w:ascii="Arial" w:hAnsi="Arial" w:cs="Arial"/>
          <w:sz w:val="24"/>
          <w:szCs w:val="24"/>
          <w:lang w:val="en-US"/>
        </w:rPr>
        <w:t xml:space="preserve">Vanderhoff JV </w:t>
      </w:r>
      <w:r w:rsidRPr="004C78F8">
        <w:rPr>
          <w:rFonts w:ascii="Arial" w:hAnsi="Arial" w:cs="Arial"/>
          <w:b/>
          <w:sz w:val="24"/>
          <w:szCs w:val="24"/>
          <w:lang w:val="en-US"/>
        </w:rPr>
        <w:t xml:space="preserve">1979 </w:t>
      </w:r>
      <w:r w:rsidRPr="004C78F8">
        <w:rPr>
          <w:rFonts w:ascii="Arial" w:hAnsi="Arial" w:cs="Arial"/>
          <w:sz w:val="24"/>
          <w:szCs w:val="24"/>
          <w:lang w:val="en-US"/>
        </w:rPr>
        <w:t xml:space="preserve">US patent 4 177 177 </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lastRenderedPageBreak/>
        <w:t xml:space="preserve">[4] Pinto Reis C. et al. </w:t>
      </w:r>
      <w:r w:rsidRPr="004C78F8">
        <w:rPr>
          <w:rFonts w:ascii="Arial" w:hAnsi="Arial" w:cs="Arial"/>
          <w:b/>
          <w:sz w:val="24"/>
          <w:szCs w:val="24"/>
          <w:lang w:val="en-US"/>
        </w:rPr>
        <w:t>2006</w:t>
      </w:r>
      <w:r w:rsidRPr="004C78F8">
        <w:rPr>
          <w:rFonts w:ascii="Arial" w:hAnsi="Arial" w:cs="Arial"/>
          <w:sz w:val="24"/>
          <w:szCs w:val="24"/>
          <w:lang w:val="en-US"/>
        </w:rPr>
        <w:t xml:space="preserve"> Nanomedicine 2:8</w:t>
      </w:r>
    </w:p>
    <w:p w:rsidR="00550A30" w:rsidRPr="004C78F8" w:rsidRDefault="00550A30" w:rsidP="00550A30">
      <w:pPr>
        <w:autoSpaceDE w:val="0"/>
        <w:autoSpaceDN w:val="0"/>
        <w:adjustRightInd w:val="0"/>
        <w:spacing w:after="0" w:line="360" w:lineRule="auto"/>
        <w:rPr>
          <w:rFonts w:ascii="Arial" w:hAnsi="Arial" w:cs="Arial"/>
          <w:sz w:val="24"/>
          <w:szCs w:val="24"/>
          <w:lang w:val="en-US"/>
        </w:rPr>
      </w:pPr>
      <w:r w:rsidRPr="004C78F8">
        <w:rPr>
          <w:rFonts w:ascii="Arial" w:hAnsi="Arial" w:cs="Arial"/>
          <w:sz w:val="24"/>
          <w:szCs w:val="24"/>
          <w:lang w:val="en-US"/>
        </w:rPr>
        <w:t xml:space="preserve">[5] P. Couvreur et al. </w:t>
      </w:r>
      <w:r w:rsidRPr="004C78F8">
        <w:rPr>
          <w:rFonts w:ascii="Arial" w:hAnsi="Arial" w:cs="Arial"/>
          <w:b/>
          <w:sz w:val="24"/>
          <w:szCs w:val="24"/>
          <w:lang w:val="en-US"/>
        </w:rPr>
        <w:t>2002</w:t>
      </w:r>
      <w:r w:rsidRPr="004C78F8">
        <w:rPr>
          <w:rFonts w:ascii="Arial" w:hAnsi="Arial" w:cs="Arial"/>
          <w:sz w:val="24"/>
          <w:szCs w:val="24"/>
          <w:lang w:val="en-US"/>
        </w:rPr>
        <w:t xml:space="preserve"> Adv Drug Deliv. Rev. 54: 631</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[6] Rao </w:t>
      </w:r>
      <w:r w:rsidRPr="004C78F8">
        <w:rPr>
          <w:rFonts w:ascii="Arial" w:hAnsi="Arial" w:cs="Arial"/>
          <w:iCs/>
          <w:sz w:val="24"/>
          <w:szCs w:val="24"/>
          <w:lang w:val="en-US"/>
        </w:rPr>
        <w:t xml:space="preserve">J.P. et al </w:t>
      </w:r>
      <w:r w:rsidRPr="004C78F8">
        <w:rPr>
          <w:rFonts w:ascii="Arial" w:hAnsi="Arial" w:cs="Arial"/>
          <w:b/>
          <w:iCs/>
          <w:sz w:val="24"/>
          <w:szCs w:val="24"/>
          <w:lang w:val="en-US"/>
        </w:rPr>
        <w:t xml:space="preserve">2011 </w:t>
      </w:r>
      <w:r w:rsidRPr="004C78F8">
        <w:rPr>
          <w:rFonts w:ascii="Arial" w:hAnsi="Arial" w:cs="Arial"/>
          <w:iCs/>
          <w:sz w:val="24"/>
          <w:szCs w:val="24"/>
          <w:lang w:val="en-US"/>
        </w:rPr>
        <w:t>Progress in Polymer Science 36:887</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[7] </w:t>
      </w:r>
      <w:r w:rsidRPr="004C78F8">
        <w:rPr>
          <w:rFonts w:ascii="Arial" w:hAnsi="Arial" w:cs="Arial"/>
          <w:sz w:val="26"/>
          <w:szCs w:val="26"/>
          <w:lang w:val="en-US"/>
        </w:rPr>
        <w:t xml:space="preserve">Fessi H. et Al. </w:t>
      </w:r>
      <w:r w:rsidRPr="004C78F8">
        <w:rPr>
          <w:rFonts w:ascii="Arial" w:hAnsi="Arial" w:cs="Arial"/>
          <w:b/>
          <w:sz w:val="26"/>
          <w:szCs w:val="26"/>
          <w:lang w:val="en-US"/>
        </w:rPr>
        <w:t>1989</w:t>
      </w:r>
      <w:r w:rsidRPr="004C78F8">
        <w:rPr>
          <w:rFonts w:ascii="Arial" w:hAnsi="Arial" w:cs="Arial"/>
          <w:sz w:val="26"/>
          <w:szCs w:val="26"/>
          <w:lang w:val="en-US"/>
        </w:rPr>
        <w:t xml:space="preserve"> Int. J. Pharm. 55: 25</w:t>
      </w:r>
    </w:p>
    <w:p w:rsidR="00550A30" w:rsidRPr="004C78F8" w:rsidRDefault="00550A30" w:rsidP="00550A30">
      <w:pPr>
        <w:autoSpaceDE w:val="0"/>
        <w:autoSpaceDN w:val="0"/>
        <w:adjustRightInd w:val="0"/>
        <w:spacing w:after="0" w:line="360" w:lineRule="auto"/>
        <w:jc w:val="both"/>
        <w:rPr>
          <w:rFonts w:ascii="Arial" w:hAnsi="Arial" w:cs="Arial"/>
          <w:iCs/>
          <w:sz w:val="24"/>
          <w:szCs w:val="24"/>
          <w:lang w:val="en-US"/>
        </w:rPr>
      </w:pPr>
      <w:r w:rsidRPr="004C78F8">
        <w:rPr>
          <w:rFonts w:ascii="Arial" w:hAnsi="Arial" w:cs="Arial"/>
          <w:sz w:val="24"/>
          <w:szCs w:val="24"/>
          <w:lang w:val="en-US"/>
        </w:rPr>
        <w:t xml:space="preserve">[8] Mora Huertas C.E. et al. </w:t>
      </w:r>
      <w:r w:rsidRPr="004C78F8">
        <w:rPr>
          <w:rFonts w:ascii="Arial" w:hAnsi="Arial" w:cs="Arial"/>
          <w:b/>
          <w:iCs/>
          <w:sz w:val="24"/>
          <w:szCs w:val="24"/>
          <w:lang w:val="en-US"/>
        </w:rPr>
        <w:t>2010</w:t>
      </w:r>
      <w:r w:rsidRPr="004C78F8">
        <w:rPr>
          <w:rFonts w:ascii="Arial" w:hAnsi="Arial" w:cs="Arial"/>
          <w:iCs/>
          <w:sz w:val="24"/>
          <w:szCs w:val="24"/>
          <w:lang w:val="en-US"/>
        </w:rPr>
        <w:t xml:space="preserve"> </w:t>
      </w:r>
      <w:r w:rsidRPr="004C78F8">
        <w:rPr>
          <w:rFonts w:ascii="Arial" w:hAnsi="Arial" w:cs="Arial"/>
          <w:sz w:val="24"/>
          <w:szCs w:val="24"/>
          <w:lang w:val="en-US"/>
        </w:rPr>
        <w:t xml:space="preserve">Int. J. Pharm. </w:t>
      </w:r>
      <w:r w:rsidRPr="004C78F8">
        <w:rPr>
          <w:rFonts w:ascii="Arial" w:hAnsi="Arial" w:cs="Arial"/>
          <w:iCs/>
          <w:sz w:val="24"/>
          <w:szCs w:val="24"/>
          <w:lang w:val="en-US"/>
        </w:rPr>
        <w:t>385:</w:t>
      </w:r>
      <w:r w:rsidRPr="004C78F8">
        <w:rPr>
          <w:rFonts w:ascii="Arial" w:hAnsi="Arial" w:cs="Arial"/>
          <w:i/>
          <w:iCs/>
          <w:sz w:val="24"/>
          <w:szCs w:val="24"/>
          <w:lang w:val="en-US"/>
        </w:rPr>
        <w:t xml:space="preserve"> </w:t>
      </w:r>
      <w:r w:rsidRPr="004C78F8">
        <w:rPr>
          <w:rFonts w:ascii="Arial" w:hAnsi="Arial" w:cs="Arial"/>
          <w:iCs/>
          <w:sz w:val="24"/>
          <w:szCs w:val="24"/>
          <w:lang w:val="en-US"/>
        </w:rPr>
        <w:t>113</w:t>
      </w:r>
    </w:p>
    <w:p w:rsidR="00550A30" w:rsidRPr="004C78F8" w:rsidRDefault="00550A30" w:rsidP="00550A30">
      <w:pPr>
        <w:spacing w:after="0" w:line="360" w:lineRule="auto"/>
        <w:rPr>
          <w:rFonts w:ascii="Arial" w:hAnsi="Arial" w:cs="Arial"/>
          <w:sz w:val="24"/>
          <w:szCs w:val="24"/>
          <w:lang w:val="en-US"/>
        </w:rPr>
      </w:pPr>
      <w:r w:rsidRPr="004C78F8">
        <w:rPr>
          <w:rFonts w:ascii="Arial" w:hAnsi="Arial" w:cs="Arial"/>
          <w:sz w:val="24"/>
          <w:szCs w:val="24"/>
          <w:lang w:val="en-US"/>
        </w:rPr>
        <w:t xml:space="preserve">[9] Maeda H. et al. </w:t>
      </w:r>
      <w:r w:rsidRPr="004C78F8">
        <w:rPr>
          <w:rFonts w:ascii="Arial" w:hAnsi="Arial" w:cs="Arial"/>
          <w:b/>
          <w:sz w:val="24"/>
          <w:szCs w:val="24"/>
          <w:lang w:val="en-US"/>
        </w:rPr>
        <w:t>2009</w:t>
      </w:r>
      <w:r w:rsidRPr="004C78F8">
        <w:rPr>
          <w:rFonts w:ascii="Arial" w:hAnsi="Arial" w:cs="Arial"/>
          <w:sz w:val="24"/>
          <w:szCs w:val="24"/>
          <w:lang w:val="en-US"/>
        </w:rPr>
        <w:t xml:space="preserve"> Eur J Pharm Biopharm 71:409</w:t>
      </w:r>
    </w:p>
    <w:p w:rsidR="00550A30" w:rsidRPr="004C78F8" w:rsidRDefault="00550A30" w:rsidP="00550A30">
      <w:pPr>
        <w:spacing w:after="0" w:line="360" w:lineRule="auto"/>
        <w:rPr>
          <w:rFonts w:ascii="Arial" w:hAnsi="Arial" w:cs="Arial"/>
          <w:sz w:val="24"/>
          <w:szCs w:val="24"/>
          <w:lang w:val="en-US"/>
        </w:rPr>
      </w:pPr>
      <w:r w:rsidRPr="004C78F8">
        <w:rPr>
          <w:rFonts w:ascii="Arial" w:hAnsi="Arial" w:cs="Arial"/>
          <w:sz w:val="24"/>
          <w:szCs w:val="24"/>
          <w:lang w:val="en-US"/>
        </w:rPr>
        <w:t xml:space="preserve">[10] Panyam, J. et al </w:t>
      </w:r>
      <w:r w:rsidRPr="004C78F8">
        <w:rPr>
          <w:rFonts w:ascii="Arial" w:hAnsi="Arial" w:cs="Arial"/>
          <w:b/>
          <w:sz w:val="24"/>
          <w:szCs w:val="24"/>
          <w:lang w:val="en-US"/>
        </w:rPr>
        <w:t xml:space="preserve">2003 </w:t>
      </w:r>
      <w:r w:rsidRPr="004C78F8">
        <w:rPr>
          <w:rFonts w:ascii="Arial" w:hAnsi="Arial" w:cs="Arial"/>
          <w:sz w:val="24"/>
          <w:szCs w:val="24"/>
          <w:lang w:val="en-US"/>
        </w:rPr>
        <w:t xml:space="preserve">Int. J. Pharm. </w:t>
      </w:r>
      <w:r w:rsidRPr="004C78F8">
        <w:rPr>
          <w:rFonts w:ascii="Arial" w:hAnsi="Arial" w:cs="Arial"/>
          <w:bCs/>
          <w:sz w:val="24"/>
          <w:szCs w:val="24"/>
          <w:lang w:val="en-US"/>
        </w:rPr>
        <w:t>262</w:t>
      </w:r>
      <w:r w:rsidRPr="004C78F8">
        <w:rPr>
          <w:rFonts w:ascii="Arial" w:hAnsi="Arial" w:cs="Arial"/>
          <w:sz w:val="24"/>
          <w:szCs w:val="24"/>
          <w:lang w:val="en-US"/>
        </w:rPr>
        <w:t>: 1</w:t>
      </w:r>
    </w:p>
    <w:p w:rsidR="00550A30" w:rsidRPr="004C78F8" w:rsidRDefault="00550A30" w:rsidP="00550A30">
      <w:pPr>
        <w:spacing w:after="0" w:line="360" w:lineRule="auto"/>
        <w:rPr>
          <w:rFonts w:ascii="Arial" w:hAnsi="Arial" w:cs="Arial"/>
          <w:sz w:val="24"/>
          <w:szCs w:val="24"/>
          <w:lang w:val="en-US"/>
        </w:rPr>
      </w:pPr>
      <w:r w:rsidRPr="004C78F8">
        <w:rPr>
          <w:rFonts w:ascii="Arial" w:hAnsi="Arial" w:cs="Arial"/>
          <w:sz w:val="24"/>
          <w:szCs w:val="24"/>
          <w:lang w:val="en-US"/>
        </w:rPr>
        <w:t xml:space="preserve">[11] Panyam, J. et al. </w:t>
      </w:r>
      <w:r w:rsidRPr="004C78F8">
        <w:rPr>
          <w:rFonts w:ascii="Arial" w:hAnsi="Arial" w:cs="Arial"/>
          <w:b/>
          <w:sz w:val="24"/>
          <w:szCs w:val="24"/>
          <w:lang w:val="en-US"/>
        </w:rPr>
        <w:t xml:space="preserve">2003 </w:t>
      </w:r>
      <w:r w:rsidRPr="004C78F8">
        <w:rPr>
          <w:rFonts w:ascii="Arial" w:hAnsi="Arial" w:cs="Arial"/>
          <w:sz w:val="24"/>
          <w:szCs w:val="24"/>
          <w:lang w:val="en-US"/>
        </w:rPr>
        <w:t xml:space="preserve">Adv. Drug Delivery Rev. </w:t>
      </w:r>
      <w:r w:rsidRPr="004C78F8">
        <w:rPr>
          <w:rFonts w:ascii="Arial" w:hAnsi="Arial" w:cs="Arial"/>
          <w:bCs/>
          <w:sz w:val="24"/>
          <w:szCs w:val="24"/>
          <w:lang w:val="en-US"/>
        </w:rPr>
        <w:t>55</w:t>
      </w:r>
      <w:r w:rsidRPr="004C78F8">
        <w:rPr>
          <w:rFonts w:ascii="Arial" w:hAnsi="Arial" w:cs="Arial"/>
          <w:sz w:val="24"/>
          <w:szCs w:val="24"/>
          <w:lang w:val="en-US"/>
        </w:rPr>
        <w:t>:329</w:t>
      </w:r>
    </w:p>
    <w:p w:rsidR="00550A30" w:rsidRPr="004C78F8" w:rsidRDefault="00550A30" w:rsidP="00550A30">
      <w:pPr>
        <w:autoSpaceDE w:val="0"/>
        <w:autoSpaceDN w:val="0"/>
        <w:adjustRightInd w:val="0"/>
        <w:spacing w:after="0" w:line="360" w:lineRule="auto"/>
        <w:jc w:val="both"/>
        <w:rPr>
          <w:rFonts w:ascii="Arial" w:hAnsi="Arial" w:cs="Arial"/>
          <w:iCs/>
          <w:sz w:val="24"/>
          <w:szCs w:val="24"/>
          <w:lang w:val="en-US"/>
        </w:rPr>
      </w:pPr>
      <w:r w:rsidRPr="004C78F8">
        <w:rPr>
          <w:rFonts w:ascii="Arial" w:hAnsi="Arial" w:cs="Arial"/>
          <w:iCs/>
          <w:sz w:val="24"/>
          <w:szCs w:val="24"/>
          <w:lang w:val="en-US"/>
        </w:rPr>
        <w:t xml:space="preserve">[12] Matsumura Y. et al. </w:t>
      </w:r>
      <w:r w:rsidRPr="004C78F8">
        <w:rPr>
          <w:rFonts w:ascii="Arial" w:hAnsi="Arial" w:cs="Arial"/>
          <w:b/>
          <w:iCs/>
          <w:sz w:val="24"/>
          <w:szCs w:val="24"/>
          <w:lang w:val="en-US"/>
        </w:rPr>
        <w:t>1986</w:t>
      </w:r>
      <w:r w:rsidRPr="004C78F8">
        <w:rPr>
          <w:rFonts w:ascii="Arial" w:hAnsi="Arial" w:cs="Arial"/>
          <w:iCs/>
          <w:sz w:val="24"/>
          <w:szCs w:val="24"/>
          <w:lang w:val="en-US"/>
        </w:rPr>
        <w:t xml:space="preserve"> Cancer Res. 46:6387</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[13] Leroux J. et Al. </w:t>
      </w:r>
      <w:r w:rsidRPr="004C78F8">
        <w:rPr>
          <w:rFonts w:ascii="Arial" w:hAnsi="Arial" w:cs="Arial"/>
          <w:b/>
          <w:sz w:val="24"/>
          <w:szCs w:val="24"/>
          <w:lang w:val="en-US"/>
        </w:rPr>
        <w:t>1996</w:t>
      </w:r>
      <w:r w:rsidRPr="004C78F8">
        <w:rPr>
          <w:rFonts w:ascii="Arial" w:hAnsi="Arial" w:cs="Arial"/>
          <w:sz w:val="24"/>
          <w:szCs w:val="24"/>
          <w:lang w:val="en-US"/>
        </w:rPr>
        <w:t xml:space="preserve"> J Control Release 39:339</w:t>
      </w:r>
    </w:p>
    <w:p w:rsidR="00550A30" w:rsidRPr="004C78F8" w:rsidRDefault="00550A30" w:rsidP="00550A30">
      <w:pPr>
        <w:autoSpaceDE w:val="0"/>
        <w:autoSpaceDN w:val="0"/>
        <w:adjustRightInd w:val="0"/>
        <w:spacing w:after="0" w:line="360" w:lineRule="auto"/>
        <w:jc w:val="both"/>
        <w:rPr>
          <w:rFonts w:ascii="Arial" w:hAnsi="Arial" w:cs="Arial"/>
          <w:iCs/>
          <w:sz w:val="24"/>
          <w:szCs w:val="24"/>
          <w:lang w:val="en-US"/>
        </w:rPr>
      </w:pPr>
      <w:r w:rsidRPr="004C78F8">
        <w:rPr>
          <w:rFonts w:ascii="Arial" w:hAnsi="Arial" w:cs="Arial"/>
          <w:iCs/>
          <w:sz w:val="24"/>
          <w:szCs w:val="24"/>
          <w:lang w:val="en-US"/>
        </w:rPr>
        <w:t xml:space="preserve">[14] Thanou M. et al. </w:t>
      </w:r>
      <w:r w:rsidRPr="004C78F8">
        <w:rPr>
          <w:rFonts w:ascii="Arial" w:hAnsi="Arial" w:cs="Arial"/>
          <w:b/>
          <w:iCs/>
          <w:sz w:val="24"/>
          <w:szCs w:val="24"/>
          <w:lang w:val="en-US"/>
        </w:rPr>
        <w:t>2003</w:t>
      </w:r>
      <w:r w:rsidRPr="004C78F8">
        <w:rPr>
          <w:rFonts w:ascii="Arial" w:hAnsi="Arial" w:cs="Arial"/>
          <w:iCs/>
          <w:sz w:val="24"/>
          <w:szCs w:val="24"/>
          <w:lang w:val="en-US"/>
        </w:rPr>
        <w:t xml:space="preserve"> Curr. Opin. Investig. Drugs 4:701</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en-US"/>
        </w:rPr>
        <w:t xml:space="preserve">[15] Maeda H et al. </w:t>
      </w:r>
      <w:r w:rsidRPr="004C78F8">
        <w:rPr>
          <w:rFonts w:ascii="Arial" w:hAnsi="Arial" w:cs="Arial"/>
          <w:b/>
          <w:sz w:val="24"/>
          <w:szCs w:val="24"/>
          <w:lang w:val="en-US"/>
        </w:rPr>
        <w:t>1994</w:t>
      </w:r>
      <w:r w:rsidRPr="004C78F8">
        <w:rPr>
          <w:rFonts w:ascii="Arial" w:hAnsi="Arial" w:cs="Arial"/>
          <w:sz w:val="24"/>
          <w:szCs w:val="24"/>
          <w:lang w:val="en-US"/>
        </w:rPr>
        <w:t xml:space="preserve"> Jpn J Cancer Res 85:331 </w:t>
      </w:r>
    </w:p>
    <w:p w:rsidR="00550A30" w:rsidRPr="004C78F8" w:rsidRDefault="00550A30" w:rsidP="00550A30">
      <w:pPr>
        <w:autoSpaceDE w:val="0"/>
        <w:autoSpaceDN w:val="0"/>
        <w:adjustRightInd w:val="0"/>
        <w:spacing w:after="0" w:line="360" w:lineRule="auto"/>
        <w:jc w:val="both"/>
        <w:rPr>
          <w:rFonts w:ascii="Arial" w:hAnsi="Arial" w:cs="Arial"/>
          <w:sz w:val="24"/>
          <w:szCs w:val="24"/>
          <w:lang w:val="en-US"/>
        </w:rPr>
      </w:pPr>
      <w:r w:rsidRPr="004C78F8">
        <w:rPr>
          <w:rFonts w:ascii="Arial" w:hAnsi="Arial" w:cs="Arial"/>
          <w:sz w:val="24"/>
          <w:szCs w:val="24"/>
          <w:lang w:val="it-IT"/>
        </w:rPr>
        <w:t xml:space="preserve">[16] Maeda H. et al. </w:t>
      </w:r>
      <w:r w:rsidRPr="004C78F8">
        <w:rPr>
          <w:rFonts w:ascii="Arial" w:hAnsi="Arial" w:cs="Arial"/>
          <w:b/>
          <w:sz w:val="24"/>
          <w:szCs w:val="24"/>
          <w:lang w:val="it-IT"/>
        </w:rPr>
        <w:t>2001</w:t>
      </w:r>
      <w:r w:rsidRPr="004C78F8">
        <w:rPr>
          <w:rFonts w:ascii="Arial" w:hAnsi="Arial" w:cs="Arial"/>
          <w:sz w:val="24"/>
          <w:szCs w:val="24"/>
          <w:lang w:val="it-IT"/>
        </w:rPr>
        <w:t xml:space="preserve"> J. Control. </w:t>
      </w:r>
      <w:r w:rsidRPr="004C78F8">
        <w:rPr>
          <w:rFonts w:ascii="Arial" w:hAnsi="Arial" w:cs="Arial"/>
          <w:sz w:val="24"/>
          <w:szCs w:val="24"/>
          <w:lang w:val="en-US"/>
        </w:rPr>
        <w:t xml:space="preserve">Rel. 74: 47 </w:t>
      </w:r>
    </w:p>
    <w:p w:rsidR="00550A30" w:rsidRPr="004C78F8" w:rsidRDefault="00550A30" w:rsidP="00550A30">
      <w:pPr>
        <w:spacing w:after="0" w:line="360" w:lineRule="auto"/>
        <w:jc w:val="both"/>
        <w:rPr>
          <w:rFonts w:ascii="Arial" w:hAnsi="Arial" w:cs="Arial"/>
          <w:color w:val="131413"/>
          <w:sz w:val="26"/>
          <w:szCs w:val="26"/>
          <w:lang w:val="en-US"/>
        </w:rPr>
      </w:pPr>
      <w:r w:rsidRPr="004C78F8">
        <w:rPr>
          <w:rFonts w:ascii="Arial" w:hAnsi="Arial" w:cs="Arial"/>
          <w:color w:val="131413"/>
          <w:sz w:val="26"/>
          <w:szCs w:val="26"/>
          <w:lang w:val="en-US"/>
        </w:rPr>
        <w:t xml:space="preserve">[17] Chawla J.S. et Al. </w:t>
      </w:r>
      <w:r w:rsidRPr="004C78F8">
        <w:rPr>
          <w:rFonts w:ascii="Arial" w:hAnsi="Arial" w:cs="Arial"/>
          <w:b/>
          <w:color w:val="131413"/>
          <w:sz w:val="26"/>
          <w:szCs w:val="26"/>
          <w:lang w:val="en-US"/>
        </w:rPr>
        <w:t>2002</w:t>
      </w:r>
      <w:r w:rsidRPr="004C78F8">
        <w:rPr>
          <w:rFonts w:ascii="Arial" w:hAnsi="Arial" w:cs="Arial"/>
          <w:color w:val="131413"/>
          <w:sz w:val="26"/>
          <w:szCs w:val="26"/>
          <w:lang w:val="en-US"/>
        </w:rPr>
        <w:t xml:space="preserve"> </w:t>
      </w:r>
      <w:r w:rsidRPr="004C78F8">
        <w:rPr>
          <w:rFonts w:ascii="Arial" w:hAnsi="Arial" w:cs="Arial"/>
          <w:color w:val="000000"/>
          <w:sz w:val="26"/>
          <w:szCs w:val="26"/>
          <w:lang w:val="en-US"/>
        </w:rPr>
        <w:t>Int. J. Pharm. 249: 127</w:t>
      </w:r>
    </w:p>
    <w:p w:rsidR="00550A30" w:rsidRPr="004C78F8" w:rsidRDefault="00550A30" w:rsidP="00550A30">
      <w:pPr>
        <w:spacing w:after="0" w:line="360" w:lineRule="auto"/>
        <w:jc w:val="both"/>
        <w:rPr>
          <w:rFonts w:ascii="Arial" w:hAnsi="Arial" w:cs="Arial"/>
          <w:sz w:val="26"/>
          <w:szCs w:val="26"/>
          <w:lang w:val="it-IT"/>
        </w:rPr>
      </w:pPr>
      <w:r w:rsidRPr="004C78F8">
        <w:rPr>
          <w:rFonts w:ascii="Arial" w:hAnsi="Arial" w:cs="Arial"/>
          <w:color w:val="131413"/>
          <w:sz w:val="26"/>
          <w:szCs w:val="26"/>
          <w:lang w:val="en-US"/>
        </w:rPr>
        <w:t xml:space="preserve">[18] Leo E. et Al. </w:t>
      </w:r>
      <w:r w:rsidRPr="004C78F8">
        <w:rPr>
          <w:rFonts w:ascii="Arial" w:hAnsi="Arial" w:cs="Arial"/>
          <w:b/>
          <w:color w:val="131413"/>
          <w:sz w:val="26"/>
          <w:szCs w:val="26"/>
          <w:lang w:val="en-US"/>
        </w:rPr>
        <w:t>2004</w:t>
      </w:r>
      <w:r w:rsidRPr="004C78F8">
        <w:rPr>
          <w:rFonts w:ascii="Arial" w:hAnsi="Arial" w:cs="Arial"/>
          <w:color w:val="131413"/>
          <w:sz w:val="26"/>
          <w:szCs w:val="26"/>
          <w:lang w:val="en-US"/>
        </w:rPr>
        <w:t xml:space="preserve"> </w:t>
      </w:r>
      <w:r w:rsidRPr="004C78F8">
        <w:rPr>
          <w:rFonts w:ascii="Arial" w:hAnsi="Arial" w:cs="Arial"/>
          <w:sz w:val="26"/>
          <w:szCs w:val="26"/>
          <w:lang w:val="en-US"/>
        </w:rPr>
        <w:t xml:space="preserve">Int. J. Pharm. </w:t>
      </w:r>
      <w:r w:rsidRPr="004C78F8">
        <w:rPr>
          <w:rFonts w:ascii="Arial" w:hAnsi="Arial" w:cs="Arial"/>
          <w:sz w:val="26"/>
          <w:szCs w:val="26"/>
          <w:lang w:val="it-IT"/>
        </w:rPr>
        <w:t>278: 133</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it-IT"/>
        </w:rPr>
        <w:t xml:space="preserve">[19] Garnett MC et al. </w:t>
      </w:r>
      <w:r w:rsidRPr="004C78F8">
        <w:rPr>
          <w:rFonts w:ascii="Arial" w:hAnsi="Arial" w:cs="Arial"/>
          <w:b/>
          <w:sz w:val="24"/>
          <w:szCs w:val="24"/>
          <w:lang w:val="it-IT"/>
        </w:rPr>
        <w:t>2001</w:t>
      </w:r>
      <w:r w:rsidRPr="004C78F8">
        <w:rPr>
          <w:rFonts w:ascii="Arial" w:hAnsi="Arial" w:cs="Arial"/>
          <w:sz w:val="24"/>
          <w:szCs w:val="24"/>
          <w:lang w:val="it-IT"/>
        </w:rPr>
        <w:t xml:space="preserve"> Adv. Drug del. </w:t>
      </w:r>
      <w:r w:rsidRPr="004C78F8">
        <w:rPr>
          <w:rFonts w:ascii="Arial" w:hAnsi="Arial" w:cs="Arial"/>
          <w:sz w:val="24"/>
          <w:szCs w:val="24"/>
          <w:lang w:val="en-US"/>
        </w:rPr>
        <w:t>Rev. 53:171</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[20] Lambert JM </w:t>
      </w:r>
      <w:r w:rsidRPr="004C78F8">
        <w:rPr>
          <w:rFonts w:ascii="Arial" w:hAnsi="Arial" w:cs="Arial"/>
          <w:b/>
          <w:sz w:val="24"/>
          <w:szCs w:val="24"/>
          <w:lang w:val="en-US"/>
        </w:rPr>
        <w:t>2005</w:t>
      </w:r>
      <w:r w:rsidRPr="004C78F8">
        <w:rPr>
          <w:rFonts w:ascii="Arial" w:hAnsi="Arial" w:cs="Arial"/>
          <w:sz w:val="24"/>
          <w:szCs w:val="24"/>
          <w:lang w:val="en-US"/>
        </w:rPr>
        <w:t xml:space="preserve"> Curr. Opin. Pharmacol. 5:543</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[21] Kohler G. et al. </w:t>
      </w:r>
      <w:r w:rsidRPr="004C78F8">
        <w:rPr>
          <w:rFonts w:ascii="Arial" w:hAnsi="Arial" w:cs="Arial"/>
          <w:b/>
          <w:sz w:val="24"/>
          <w:szCs w:val="24"/>
          <w:lang w:val="en-US"/>
        </w:rPr>
        <w:t>1975</w:t>
      </w:r>
      <w:r w:rsidRPr="004C78F8">
        <w:rPr>
          <w:rFonts w:ascii="Arial" w:hAnsi="Arial" w:cs="Arial"/>
          <w:sz w:val="24"/>
          <w:szCs w:val="24"/>
          <w:lang w:val="en-US"/>
        </w:rPr>
        <w:t xml:space="preserve"> Nature 256:495 </w:t>
      </w:r>
    </w:p>
    <w:p w:rsidR="00550A30" w:rsidRPr="004C78F8" w:rsidRDefault="00550A30" w:rsidP="00550A30">
      <w:pPr>
        <w:spacing w:after="0" w:line="360" w:lineRule="auto"/>
        <w:rPr>
          <w:rFonts w:ascii="Arial" w:hAnsi="Arial" w:cs="Arial"/>
          <w:iCs/>
          <w:sz w:val="24"/>
          <w:szCs w:val="24"/>
          <w:lang w:val="en-US"/>
        </w:rPr>
      </w:pPr>
      <w:r w:rsidRPr="004C78F8">
        <w:rPr>
          <w:rFonts w:ascii="Arial" w:hAnsi="Arial" w:cs="Arial"/>
          <w:sz w:val="24"/>
          <w:szCs w:val="24"/>
          <w:lang w:val="en-US"/>
        </w:rPr>
        <w:t xml:space="preserve">[22]Funaro A. et al. </w:t>
      </w:r>
      <w:r w:rsidRPr="004C78F8">
        <w:rPr>
          <w:rFonts w:ascii="Arial" w:hAnsi="Arial" w:cs="Arial"/>
          <w:b/>
          <w:sz w:val="24"/>
          <w:szCs w:val="24"/>
          <w:lang w:val="en-US"/>
        </w:rPr>
        <w:t>2000</w:t>
      </w:r>
      <w:r w:rsidRPr="004C78F8">
        <w:rPr>
          <w:rFonts w:ascii="Arial" w:hAnsi="Arial" w:cs="Arial"/>
          <w:sz w:val="24"/>
          <w:szCs w:val="24"/>
          <w:lang w:val="en-US"/>
        </w:rPr>
        <w:t xml:space="preserve"> Biotechnol. Adv.18:385</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[23] Kocbek P. et al. </w:t>
      </w:r>
      <w:r w:rsidRPr="004C78F8">
        <w:rPr>
          <w:rFonts w:ascii="Arial" w:hAnsi="Arial" w:cs="Arial"/>
          <w:b/>
          <w:sz w:val="24"/>
          <w:szCs w:val="24"/>
          <w:lang w:val="en-US"/>
        </w:rPr>
        <w:t>2007</w:t>
      </w:r>
      <w:r w:rsidRPr="004C78F8">
        <w:rPr>
          <w:rFonts w:ascii="Arial" w:hAnsi="Arial" w:cs="Arial"/>
          <w:sz w:val="24"/>
          <w:szCs w:val="24"/>
          <w:lang w:val="en-US"/>
        </w:rPr>
        <w:t xml:space="preserve"> J. Control. Rel. 120:18</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sz w:val="24"/>
          <w:szCs w:val="24"/>
          <w:lang w:val="en-US"/>
        </w:rPr>
        <w:t xml:space="preserve">[24] Liu Y. et al. </w:t>
      </w:r>
      <w:r w:rsidRPr="004C78F8">
        <w:rPr>
          <w:rFonts w:ascii="Arial" w:hAnsi="Arial" w:cs="Arial"/>
          <w:b/>
          <w:sz w:val="24"/>
          <w:szCs w:val="24"/>
          <w:lang w:val="en-US"/>
        </w:rPr>
        <w:t>2010</w:t>
      </w:r>
      <w:r w:rsidRPr="004C78F8">
        <w:rPr>
          <w:rFonts w:ascii="Arial" w:hAnsi="Arial" w:cs="Arial"/>
          <w:sz w:val="24"/>
          <w:szCs w:val="24"/>
          <w:lang w:val="en-US"/>
        </w:rPr>
        <w:t xml:space="preserve"> Biomaterials 31:9145</w:t>
      </w:r>
    </w:p>
    <w:p w:rsidR="00550A30" w:rsidRPr="004C78F8" w:rsidRDefault="00550A30" w:rsidP="00550A30">
      <w:pPr>
        <w:spacing w:after="0" w:line="360" w:lineRule="auto"/>
        <w:jc w:val="both"/>
        <w:rPr>
          <w:rFonts w:ascii="Arial" w:hAnsi="Arial" w:cs="Arial"/>
          <w:sz w:val="24"/>
          <w:szCs w:val="24"/>
          <w:lang w:val="en-US"/>
        </w:rPr>
      </w:pPr>
      <w:r w:rsidRPr="004C78F8">
        <w:rPr>
          <w:rFonts w:ascii="Arial" w:hAnsi="Arial" w:cs="Arial"/>
          <w:iCs/>
          <w:sz w:val="24"/>
          <w:szCs w:val="24"/>
          <w:lang w:val="en-US"/>
        </w:rPr>
        <w:t xml:space="preserve">[25] </w:t>
      </w:r>
      <w:r w:rsidRPr="004C78F8">
        <w:rPr>
          <w:rFonts w:ascii="Arial" w:hAnsi="Arial" w:cs="Arial"/>
          <w:sz w:val="24"/>
          <w:szCs w:val="24"/>
          <w:lang w:val="en-US"/>
        </w:rPr>
        <w:t xml:space="preserve">C. Cai et al. </w:t>
      </w:r>
      <w:r w:rsidRPr="004C78F8">
        <w:rPr>
          <w:rFonts w:ascii="Arial" w:hAnsi="Arial" w:cs="Arial"/>
          <w:b/>
          <w:sz w:val="24"/>
          <w:szCs w:val="24"/>
          <w:lang w:val="en-US"/>
        </w:rPr>
        <w:t>2008</w:t>
      </w:r>
      <w:r w:rsidRPr="004C78F8">
        <w:rPr>
          <w:rFonts w:ascii="Arial" w:hAnsi="Arial" w:cs="Arial"/>
          <w:sz w:val="24"/>
          <w:szCs w:val="24"/>
          <w:lang w:val="en-US"/>
        </w:rPr>
        <w:t xml:space="preserve"> Eur. J. Pharm. Biopharm. 69: 31</w:t>
      </w:r>
    </w:p>
    <w:p w:rsidR="00550A30" w:rsidRPr="004C78F8" w:rsidRDefault="00550A30" w:rsidP="00550A30">
      <w:pPr>
        <w:spacing w:after="0" w:line="360" w:lineRule="auto"/>
        <w:jc w:val="both"/>
        <w:rPr>
          <w:rFonts w:ascii="Arial" w:hAnsi="Arial" w:cs="Arial"/>
          <w:sz w:val="24"/>
          <w:szCs w:val="24"/>
        </w:rPr>
      </w:pPr>
      <w:r w:rsidRPr="004C78F8">
        <w:rPr>
          <w:rFonts w:ascii="Arial" w:hAnsi="Arial" w:cs="Arial"/>
          <w:iCs/>
          <w:sz w:val="24"/>
          <w:szCs w:val="24"/>
          <w:lang w:val="en-US"/>
        </w:rPr>
        <w:t xml:space="preserve">[26] </w:t>
      </w:r>
      <w:r w:rsidRPr="004C78F8">
        <w:rPr>
          <w:rFonts w:ascii="Arial" w:hAnsi="Arial" w:cs="Arial"/>
          <w:sz w:val="24"/>
          <w:szCs w:val="24"/>
        </w:rPr>
        <w:t xml:space="preserve">Calvo P et al. </w:t>
      </w:r>
      <w:r w:rsidRPr="004C78F8">
        <w:rPr>
          <w:rFonts w:ascii="Arial" w:hAnsi="Arial" w:cs="Arial"/>
          <w:b/>
          <w:sz w:val="24"/>
          <w:szCs w:val="24"/>
        </w:rPr>
        <w:t>1997</w:t>
      </w:r>
      <w:r w:rsidRPr="004C78F8">
        <w:rPr>
          <w:rFonts w:ascii="Arial" w:hAnsi="Arial" w:cs="Arial"/>
          <w:sz w:val="24"/>
          <w:szCs w:val="24"/>
        </w:rPr>
        <w:t xml:space="preserve"> Biomaterials 18:1305</w:t>
      </w:r>
    </w:p>
    <w:p w:rsidR="00550A30" w:rsidRPr="004C78F8" w:rsidRDefault="00550A30" w:rsidP="00550A30">
      <w:pPr>
        <w:pStyle w:val="Default"/>
        <w:spacing w:line="360" w:lineRule="auto"/>
        <w:jc w:val="both"/>
        <w:rPr>
          <w:rFonts w:ascii="Arial" w:hAnsi="Arial" w:cs="Arial"/>
          <w:lang w:val="en-US"/>
        </w:rPr>
      </w:pPr>
      <w:r w:rsidRPr="004C78F8">
        <w:rPr>
          <w:rFonts w:ascii="Arial" w:hAnsi="Arial" w:cs="Arial"/>
          <w:color w:val="231F20"/>
          <w:lang w:val="en-US"/>
        </w:rPr>
        <w:t>[27]</w:t>
      </w:r>
      <w:r w:rsidRPr="004C78F8">
        <w:rPr>
          <w:rFonts w:ascii="Arial" w:hAnsi="Arial" w:cs="Arial"/>
          <w:lang w:val="en-US"/>
        </w:rPr>
        <w:t xml:space="preserve"> Illum L. </w:t>
      </w:r>
      <w:r w:rsidRPr="004C78F8">
        <w:rPr>
          <w:rFonts w:ascii="Arial" w:hAnsi="Arial" w:cs="Arial"/>
          <w:b/>
          <w:lang w:val="en-US"/>
        </w:rPr>
        <w:t>1998</w:t>
      </w:r>
      <w:r w:rsidRPr="004C78F8">
        <w:rPr>
          <w:rFonts w:ascii="Arial" w:hAnsi="Arial" w:cs="Arial"/>
          <w:lang w:val="en-US"/>
        </w:rPr>
        <w:t xml:space="preserve"> Pharm. Res. 15: 1326</w:t>
      </w:r>
    </w:p>
    <w:p w:rsidR="00550A30" w:rsidRPr="004C78F8" w:rsidRDefault="00550A30" w:rsidP="00550A30">
      <w:pPr>
        <w:pStyle w:val="Default"/>
        <w:spacing w:line="360" w:lineRule="auto"/>
        <w:jc w:val="both"/>
        <w:rPr>
          <w:rFonts w:ascii="Arial" w:hAnsi="Arial" w:cs="Arial"/>
          <w:lang w:val="en-US"/>
        </w:rPr>
      </w:pPr>
      <w:r w:rsidRPr="004C78F8">
        <w:rPr>
          <w:rFonts w:ascii="Arial" w:hAnsi="Arial" w:cs="Arial"/>
          <w:color w:val="231F20"/>
          <w:lang w:val="en-US"/>
        </w:rPr>
        <w:t xml:space="preserve">[28] </w:t>
      </w:r>
      <w:r w:rsidRPr="004C78F8">
        <w:rPr>
          <w:rFonts w:ascii="Arial" w:hAnsi="Arial" w:cs="Arial"/>
          <w:lang w:val="en-US"/>
        </w:rPr>
        <w:t xml:space="preserve">Muzzarelli R A A. </w:t>
      </w:r>
      <w:r w:rsidRPr="004C78F8">
        <w:rPr>
          <w:rFonts w:ascii="Arial" w:hAnsi="Arial" w:cs="Arial"/>
          <w:b/>
          <w:lang w:val="en-US"/>
        </w:rPr>
        <w:t>2009</w:t>
      </w:r>
      <w:r w:rsidRPr="004C78F8">
        <w:rPr>
          <w:rFonts w:ascii="Arial" w:hAnsi="Arial" w:cs="Arial"/>
          <w:lang w:val="en-US"/>
        </w:rPr>
        <w:t xml:space="preserve"> Carbohydrate Polymers 77:1</w:t>
      </w:r>
    </w:p>
    <w:p w:rsidR="00550A30" w:rsidRPr="004C78F8" w:rsidRDefault="00550A30" w:rsidP="00550A30">
      <w:pPr>
        <w:pStyle w:val="Default"/>
        <w:spacing w:line="360" w:lineRule="auto"/>
        <w:jc w:val="both"/>
        <w:rPr>
          <w:rFonts w:ascii="Arial" w:hAnsi="Arial" w:cs="Arial"/>
          <w:iCs/>
          <w:lang w:val="en-US"/>
        </w:rPr>
      </w:pPr>
      <w:r w:rsidRPr="004C78F8">
        <w:rPr>
          <w:rFonts w:ascii="Arial" w:hAnsi="Arial" w:cs="Arial"/>
          <w:iCs/>
          <w:lang w:val="en-US"/>
        </w:rPr>
        <w:t xml:space="preserve">[29] Mousa W.F. et al. </w:t>
      </w:r>
      <w:r w:rsidRPr="004C78F8">
        <w:rPr>
          <w:rFonts w:ascii="Arial" w:hAnsi="Arial" w:cs="Arial"/>
          <w:b/>
          <w:iCs/>
          <w:lang w:val="en-US"/>
        </w:rPr>
        <w:t>2000</w:t>
      </w:r>
      <w:r w:rsidRPr="004C78F8">
        <w:rPr>
          <w:rFonts w:ascii="Arial" w:hAnsi="Arial" w:cs="Arial"/>
          <w:iCs/>
          <w:lang w:val="en-US"/>
        </w:rPr>
        <w:t xml:space="preserve"> Biomaterials 21: 2137</w:t>
      </w:r>
    </w:p>
    <w:p w:rsidR="00550A30" w:rsidRPr="004C78F8" w:rsidRDefault="00550A30" w:rsidP="00550A30">
      <w:pPr>
        <w:pStyle w:val="Default"/>
        <w:spacing w:line="360" w:lineRule="auto"/>
        <w:jc w:val="both"/>
        <w:rPr>
          <w:rFonts w:ascii="Arial" w:hAnsi="Arial" w:cs="Arial"/>
          <w:i/>
          <w:color w:val="231F20"/>
        </w:rPr>
      </w:pPr>
      <w:r w:rsidRPr="004C78F8">
        <w:rPr>
          <w:rFonts w:ascii="Arial" w:hAnsi="Arial" w:cs="Arial"/>
          <w:color w:val="auto"/>
        </w:rPr>
        <w:t xml:space="preserve">[30] </w:t>
      </w:r>
      <w:r w:rsidRPr="004C78F8">
        <w:rPr>
          <w:rFonts w:ascii="Arial" w:hAnsi="Arial" w:cs="Arial"/>
          <w:color w:val="231F20"/>
        </w:rPr>
        <w:t xml:space="preserve">M.P. Ginebra et al. </w:t>
      </w:r>
      <w:r w:rsidRPr="004C78F8">
        <w:rPr>
          <w:rFonts w:ascii="Arial" w:hAnsi="Arial" w:cs="Arial"/>
          <w:b/>
          <w:color w:val="231F20"/>
        </w:rPr>
        <w:t>2006</w:t>
      </w:r>
      <w:r w:rsidRPr="004C78F8">
        <w:rPr>
          <w:rFonts w:ascii="Arial" w:hAnsi="Arial" w:cs="Arial"/>
          <w:color w:val="231F20"/>
        </w:rPr>
        <w:t xml:space="preserve"> J Control Release 113:102</w:t>
      </w:r>
    </w:p>
    <w:p w:rsidR="00550A30" w:rsidRPr="004C78F8" w:rsidRDefault="00550A30" w:rsidP="00550A30">
      <w:pPr>
        <w:pStyle w:val="Default"/>
        <w:spacing w:line="360" w:lineRule="auto"/>
        <w:jc w:val="both"/>
        <w:rPr>
          <w:rFonts w:ascii="Arial" w:hAnsi="Arial" w:cs="Arial"/>
          <w:sz w:val="26"/>
          <w:szCs w:val="26"/>
        </w:rPr>
      </w:pPr>
      <w:r w:rsidRPr="004C78F8">
        <w:rPr>
          <w:rFonts w:ascii="Arial" w:hAnsi="Arial" w:cs="Arial"/>
        </w:rPr>
        <w:t xml:space="preserve">[31] Hu X.et al </w:t>
      </w:r>
      <w:r w:rsidRPr="004C78F8">
        <w:rPr>
          <w:rFonts w:ascii="Arial" w:hAnsi="Arial" w:cs="Arial"/>
          <w:b/>
        </w:rPr>
        <w:t>2009</w:t>
      </w:r>
      <w:r w:rsidRPr="004C78F8">
        <w:rPr>
          <w:rFonts w:ascii="Arial" w:hAnsi="Arial" w:cs="Arial"/>
        </w:rPr>
        <w:t xml:space="preserve"> Macromol. Biosci. 9:195</w:t>
      </w:r>
    </w:p>
    <w:p w:rsidR="00550A30" w:rsidRPr="002D0F98" w:rsidRDefault="00550A30" w:rsidP="00550A30">
      <w:pPr>
        <w:pStyle w:val="NormaleWeb"/>
        <w:spacing w:before="0" w:beforeAutospacing="0" w:after="0" w:afterAutospacing="0" w:line="360" w:lineRule="auto"/>
        <w:jc w:val="both"/>
        <w:rPr>
          <w:rFonts w:ascii="Arial" w:hAnsi="Arial" w:cs="Arial"/>
        </w:rPr>
      </w:pPr>
      <w:r w:rsidRPr="004C78F8">
        <w:rPr>
          <w:rFonts w:ascii="Arial" w:hAnsi="Arial" w:cs="Arial"/>
        </w:rPr>
        <w:t xml:space="preserve">[32] Zanetti-Ramos B. et al </w:t>
      </w:r>
      <w:r w:rsidRPr="004C78F8">
        <w:rPr>
          <w:rFonts w:ascii="Arial" w:hAnsi="Arial" w:cs="Arial"/>
          <w:b/>
        </w:rPr>
        <w:t>2006</w:t>
      </w:r>
      <w:r w:rsidRPr="004C78F8">
        <w:rPr>
          <w:rFonts w:ascii="Arial" w:hAnsi="Arial" w:cs="Arial"/>
        </w:rPr>
        <w:t xml:space="preserve"> polymer 47:8080</w:t>
      </w:r>
    </w:p>
    <w:p w:rsidR="00550A30" w:rsidRDefault="00550A30" w:rsidP="00550A30">
      <w:pPr>
        <w:autoSpaceDE w:val="0"/>
        <w:autoSpaceDN w:val="0"/>
        <w:adjustRightInd w:val="0"/>
        <w:spacing w:after="0" w:line="360" w:lineRule="auto"/>
        <w:jc w:val="both"/>
        <w:rPr>
          <w:rFonts w:ascii="Arial" w:hAnsi="Arial" w:cs="Arial"/>
          <w:sz w:val="24"/>
          <w:szCs w:val="24"/>
          <w:lang w:val="it-IT"/>
        </w:rPr>
      </w:pPr>
      <w:r w:rsidRPr="002D0F98">
        <w:rPr>
          <w:rFonts w:ascii="Arial" w:hAnsi="Arial" w:cs="Arial"/>
          <w:sz w:val="24"/>
          <w:szCs w:val="24"/>
          <w:lang w:val="it-IT"/>
        </w:rPr>
        <w:t>[</w:t>
      </w:r>
      <w:r>
        <w:rPr>
          <w:rFonts w:ascii="Arial" w:hAnsi="Arial" w:cs="Arial"/>
          <w:sz w:val="24"/>
          <w:szCs w:val="24"/>
          <w:lang w:val="it-IT"/>
        </w:rPr>
        <w:t>33</w:t>
      </w:r>
      <w:r w:rsidRPr="002D0F98">
        <w:rPr>
          <w:rFonts w:ascii="Arial" w:hAnsi="Arial" w:cs="Arial"/>
          <w:sz w:val="24"/>
          <w:szCs w:val="24"/>
          <w:lang w:val="it-IT"/>
        </w:rPr>
        <w:t xml:space="preserve">] Zanetti-Ramos B. et al </w:t>
      </w:r>
      <w:r w:rsidRPr="002D0F98">
        <w:rPr>
          <w:rFonts w:ascii="Arial" w:hAnsi="Arial" w:cs="Arial"/>
          <w:b/>
          <w:sz w:val="24"/>
          <w:szCs w:val="24"/>
          <w:lang w:val="it-IT"/>
        </w:rPr>
        <w:t>2008</w:t>
      </w:r>
      <w:r w:rsidRPr="002D0F98">
        <w:rPr>
          <w:rFonts w:ascii="Arial" w:hAnsi="Arial" w:cs="Arial"/>
          <w:sz w:val="24"/>
          <w:szCs w:val="24"/>
          <w:lang w:val="it-IT"/>
        </w:rPr>
        <w:t xml:space="preserve"> Mat Sci Eng 28:526]</w:t>
      </w:r>
    </w:p>
    <w:p w:rsidR="00550A30" w:rsidRPr="00CA478A" w:rsidRDefault="00550A30" w:rsidP="00550A30">
      <w:pPr>
        <w:spacing w:after="0" w:line="360" w:lineRule="auto"/>
        <w:jc w:val="both"/>
        <w:rPr>
          <w:rFonts w:ascii="Arial" w:hAnsi="Arial" w:cs="Arial"/>
          <w:sz w:val="24"/>
          <w:szCs w:val="24"/>
          <w:lang w:val="it-IT"/>
        </w:rPr>
      </w:pPr>
      <w:r w:rsidRPr="00B00C5B">
        <w:rPr>
          <w:rFonts w:ascii="Arial" w:hAnsi="Arial" w:cs="Arial"/>
          <w:iCs/>
          <w:sz w:val="24"/>
          <w:szCs w:val="24"/>
          <w:lang w:val="it-IT"/>
        </w:rPr>
        <w:t xml:space="preserve"> </w:t>
      </w: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P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Pr="009925A1" w:rsidRDefault="00550A30" w:rsidP="00550A30">
      <w:pPr>
        <w:pStyle w:val="Titolo1"/>
        <w:spacing w:line="360" w:lineRule="auto"/>
        <w:jc w:val="right"/>
        <w:rPr>
          <w:rFonts w:ascii="Arial" w:hAnsi="Arial" w:cs="Arial"/>
          <w:sz w:val="124"/>
          <w:szCs w:val="124"/>
          <w:lang w:val="it-IT"/>
        </w:rPr>
      </w:pPr>
    </w:p>
    <w:p w:rsidR="00550A30" w:rsidRPr="009925A1" w:rsidRDefault="00550A30" w:rsidP="00550A30">
      <w:pPr>
        <w:pStyle w:val="Titolo1"/>
        <w:spacing w:line="360" w:lineRule="auto"/>
        <w:jc w:val="right"/>
        <w:rPr>
          <w:rFonts w:ascii="Arial" w:hAnsi="Arial" w:cs="Arial"/>
          <w:sz w:val="124"/>
          <w:szCs w:val="124"/>
          <w:lang w:val="it-IT"/>
        </w:rPr>
      </w:pPr>
    </w:p>
    <w:p w:rsidR="00550A30" w:rsidRPr="00D77428" w:rsidRDefault="00550A30" w:rsidP="00550A30">
      <w:pPr>
        <w:pStyle w:val="Titolo1"/>
        <w:spacing w:line="360" w:lineRule="auto"/>
        <w:jc w:val="right"/>
        <w:rPr>
          <w:rFonts w:ascii="Arial" w:hAnsi="Arial" w:cs="Arial"/>
          <w:color w:val="002060"/>
          <w:sz w:val="124"/>
          <w:szCs w:val="124"/>
          <w:lang w:val="en-US"/>
        </w:rPr>
      </w:pPr>
      <w:r w:rsidRPr="00D77428">
        <w:rPr>
          <w:rFonts w:ascii="Arial" w:hAnsi="Arial" w:cs="Arial"/>
          <w:color w:val="002060"/>
          <w:sz w:val="124"/>
          <w:szCs w:val="124"/>
          <w:lang w:val="en-US"/>
        </w:rPr>
        <w:t>Appendix A</w:t>
      </w:r>
    </w:p>
    <w:p w:rsidR="00550A30" w:rsidRPr="008F3CEA" w:rsidRDefault="00550A30" w:rsidP="00550A30">
      <w:pPr>
        <w:rPr>
          <w:lang w:val="en-US"/>
        </w:rPr>
      </w:pPr>
    </w:p>
    <w:p w:rsidR="00550A30" w:rsidRPr="008F3CEA" w:rsidRDefault="00550A30" w:rsidP="00550A30">
      <w:pPr>
        <w:spacing w:line="360" w:lineRule="auto"/>
        <w:jc w:val="right"/>
        <w:rPr>
          <w:rFonts w:ascii="Arial" w:hAnsi="Arial" w:cs="Arial"/>
          <w:b/>
          <w:sz w:val="50"/>
          <w:szCs w:val="50"/>
          <w:lang w:val="en-US"/>
        </w:rPr>
      </w:pPr>
      <w:r w:rsidRPr="008F3CEA">
        <w:rPr>
          <w:rFonts w:ascii="Arial" w:hAnsi="Arial" w:cs="Arial"/>
          <w:b/>
          <w:sz w:val="50"/>
          <w:szCs w:val="50"/>
          <w:lang w:val="en-US"/>
        </w:rPr>
        <w:t>Polyurethanes</w:t>
      </w: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p>
    <w:p w:rsidR="00550A30" w:rsidRDefault="00550A30"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A.1 Introduction</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Polyurethanes (PU) are a family of heterogeneous polymers, first produced and investigated by Dr. Otto Bayer in 1937 [1] , at I.G. Farbenindustrie (Germany), in which the repeating unit contains a urethane moiety (figure A.1). </w:t>
      </w:r>
    </w:p>
    <w:p w:rsidR="00550A30" w:rsidRPr="008F3CEA" w:rsidRDefault="00550A30" w:rsidP="00550A30">
      <w:pPr>
        <w:autoSpaceDE w:val="0"/>
        <w:autoSpaceDN w:val="0"/>
        <w:adjustRightInd w:val="0"/>
        <w:spacing w:after="0" w:line="360" w:lineRule="auto"/>
        <w:jc w:val="center"/>
        <w:rPr>
          <w:rFonts w:ascii="Arial" w:hAnsi="Arial" w:cs="Arial"/>
          <w:sz w:val="24"/>
          <w:szCs w:val="24"/>
          <w:lang w:val="en-US"/>
        </w:rPr>
      </w:pPr>
      <w:r w:rsidRPr="008F3CEA">
        <w:rPr>
          <w:rFonts w:ascii="Arial" w:hAnsi="Arial" w:cs="Arial"/>
          <w:noProof/>
          <w:sz w:val="24"/>
          <w:szCs w:val="24"/>
          <w:lang w:val="it-IT" w:eastAsia="it-IT"/>
        </w:rPr>
        <w:drawing>
          <wp:inline distT="0" distB="0" distL="0" distR="0">
            <wp:extent cx="1781175" cy="766582"/>
            <wp:effectExtent l="19050" t="0" r="9525" b="0"/>
            <wp:docPr id="51" name="Immagine 1" descr="IMG_21122011_114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22011_114622.png"/>
                    <pic:cNvPicPr/>
                  </pic:nvPicPr>
                  <pic:blipFill>
                    <a:blip r:embed="rId91" cstate="print"/>
                    <a:stretch>
                      <a:fillRect/>
                    </a:stretch>
                  </pic:blipFill>
                  <pic:spPr>
                    <a:xfrm>
                      <a:off x="0" y="0"/>
                      <a:ext cx="1781175" cy="766582"/>
                    </a:xfrm>
                    <a:prstGeom prst="rect">
                      <a:avLst/>
                    </a:prstGeom>
                  </pic:spPr>
                </pic:pic>
              </a:graphicData>
            </a:graphic>
          </wp:inline>
        </w:drawing>
      </w:r>
    </w:p>
    <w:p w:rsidR="00550A30" w:rsidRPr="008F3CEA" w:rsidRDefault="00550A30" w:rsidP="00550A30">
      <w:pPr>
        <w:pStyle w:val="Didascalia"/>
        <w:rPr>
          <w:rFonts w:ascii="Arial" w:hAnsi="Arial" w:cs="Arial"/>
          <w:sz w:val="24"/>
          <w:szCs w:val="24"/>
          <w:lang w:val="en-US"/>
        </w:rPr>
      </w:pPr>
      <w:r w:rsidRPr="008F3CEA">
        <w:t xml:space="preserve">Figure A. </w:t>
      </w:r>
      <w:fldSimple w:instr=" SEQ Figure_5. \* ARABIC ">
        <w:r w:rsidRPr="008F3CEA">
          <w:rPr>
            <w:noProof/>
          </w:rPr>
          <w:t>1</w:t>
        </w:r>
      </w:fldSimple>
      <w:r w:rsidRPr="008F3CEA">
        <w:t xml:space="preserve"> Urethane bond</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Polyurethanes are employed in a wide range of uses and applications, from the medical field to automotive and industry. They can be found in products such as furniture, coatings, adhesives, building materials, paints, elastomers and as constituents of different biomedical devices [2].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Advantages of PUs over traditional plastics consist in: (i) increased tensile strength and melting points, which result in high durability [1], (ii) high resistance to degradation by water, oils, and solvents [3], (ii) excellent adhesion to many substances, abrasion and weather resistance which makes them excellent candidates for the preparation of coatings and for industrial purposes [4].</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A.2 Chemistry of Polyurethanes</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A.2.1 Synthesis reaction</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PUs belong to the class of thermoplastic elastomers and are composed of alternating blocks of soft and hard segments, as shown in figure A.2 [5].</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For application in the biomedical field, the soft segment is generally a polyether, a polyester or a polyalkyldiol of low-glass transition temperature, while the hard segment is composed of a high glass transition temperature, semicrystalline diisocyanate, linked with a low molecular weight chain extender, such as a diol or a diamine.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PUs exhibit a broad range of physical properties, due to the wide array of different building blocks that can be selected for their synthesis and the possibility of varying the ratio in which these components are reacted [2].  </w:t>
      </w:r>
    </w:p>
    <w:p w:rsidR="00550A30" w:rsidRPr="008F3CEA" w:rsidRDefault="00550A30" w:rsidP="00550A30">
      <w:pPr>
        <w:autoSpaceDE w:val="0"/>
        <w:autoSpaceDN w:val="0"/>
        <w:adjustRightInd w:val="0"/>
        <w:spacing w:after="0" w:line="360" w:lineRule="auto"/>
        <w:jc w:val="center"/>
        <w:rPr>
          <w:rFonts w:ascii="Arial" w:hAnsi="Arial" w:cs="Arial"/>
          <w:sz w:val="24"/>
          <w:szCs w:val="24"/>
          <w:lang w:val="en-US"/>
        </w:rPr>
      </w:pPr>
      <w:r w:rsidRPr="008F3CEA">
        <w:rPr>
          <w:rFonts w:ascii="Arial" w:hAnsi="Arial" w:cs="Arial"/>
          <w:noProof/>
          <w:sz w:val="24"/>
          <w:szCs w:val="24"/>
          <w:lang w:val="it-IT" w:eastAsia="it-IT"/>
        </w:rPr>
        <w:lastRenderedPageBreak/>
        <w:drawing>
          <wp:inline distT="0" distB="0" distL="0" distR="0">
            <wp:extent cx="4829175" cy="1667012"/>
            <wp:effectExtent l="19050" t="0" r="9525" b="0"/>
            <wp:docPr id="52" name="Immagine 3" descr="Immagi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2.png"/>
                    <pic:cNvPicPr/>
                  </pic:nvPicPr>
                  <pic:blipFill>
                    <a:blip r:embed="rId92" cstate="print"/>
                    <a:stretch>
                      <a:fillRect/>
                    </a:stretch>
                  </pic:blipFill>
                  <pic:spPr>
                    <a:xfrm>
                      <a:off x="0" y="0"/>
                      <a:ext cx="4825670" cy="1665802"/>
                    </a:xfrm>
                    <a:prstGeom prst="rect">
                      <a:avLst/>
                    </a:prstGeom>
                  </pic:spPr>
                </pic:pic>
              </a:graphicData>
            </a:graphic>
          </wp:inline>
        </w:drawing>
      </w:r>
    </w:p>
    <w:p w:rsidR="00550A30" w:rsidRPr="008F3CEA" w:rsidRDefault="00550A30" w:rsidP="00550A30">
      <w:pPr>
        <w:pStyle w:val="Didascalia"/>
        <w:rPr>
          <w:rFonts w:ascii="Arial" w:hAnsi="Arial" w:cs="Arial"/>
          <w:sz w:val="24"/>
          <w:szCs w:val="24"/>
          <w:lang w:val="en-US"/>
        </w:rPr>
      </w:pPr>
      <w:r w:rsidRPr="008F3CEA">
        <w:t xml:space="preserve">Figure A. </w:t>
      </w:r>
      <w:fldSimple w:instr=" SEQ Figure_5. \* ARABIC ">
        <w:r w:rsidRPr="008F3CEA">
          <w:rPr>
            <w:noProof/>
          </w:rPr>
          <w:t>2</w:t>
        </w:r>
      </w:fldSimple>
      <w:r w:rsidRPr="008F3CEA">
        <w:t xml:space="preserve"> Schematic representation of the PU structure.</w:t>
      </w:r>
    </w:p>
    <w:p w:rsidR="00550A30" w:rsidRPr="008F3CEA" w:rsidRDefault="00550A30" w:rsidP="00550A30">
      <w:pPr>
        <w:autoSpaceDE w:val="0"/>
        <w:autoSpaceDN w:val="0"/>
        <w:adjustRightInd w:val="0"/>
        <w:spacing w:after="120" w:line="360" w:lineRule="auto"/>
        <w:jc w:val="both"/>
        <w:rPr>
          <w:rFonts w:ascii="Arial" w:hAnsi="Arial" w:cs="Arial"/>
          <w:sz w:val="24"/>
          <w:szCs w:val="24"/>
          <w:lang w:val="en-US"/>
        </w:rPr>
      </w:pPr>
      <w:r w:rsidRPr="008F3CEA">
        <w:rPr>
          <w:rFonts w:ascii="Arial" w:hAnsi="Arial" w:cs="Arial"/>
          <w:sz w:val="24"/>
          <w:szCs w:val="24"/>
          <w:lang w:val="en-US"/>
        </w:rPr>
        <w:t>The superior mechanical, physical and biological properties of PUs strongly depends on their molecular structure. In fact due to the mild miscibility of the soft and hard segment PUs may be considered as isotropic materials, at a macroscopic level. Nevertheless, phase separation of the two segments occurs, producing a structure composed of hard segments domains embedded in a soft segment matrix. The resultant two-phase microstructure is responsible for the superior mechanical properties and biocompatibility of these materials (see figure A.3) [5].</w:t>
      </w:r>
    </w:p>
    <w:p w:rsidR="00550A30" w:rsidRPr="008F3CEA" w:rsidRDefault="00550A30" w:rsidP="00550A30">
      <w:pPr>
        <w:autoSpaceDE w:val="0"/>
        <w:autoSpaceDN w:val="0"/>
        <w:adjustRightInd w:val="0"/>
        <w:spacing w:after="0" w:line="360" w:lineRule="auto"/>
        <w:jc w:val="center"/>
        <w:rPr>
          <w:rFonts w:ascii="Arial" w:hAnsi="Arial" w:cs="Arial"/>
          <w:sz w:val="24"/>
          <w:szCs w:val="24"/>
          <w:lang w:val="en-US"/>
        </w:rPr>
      </w:pPr>
      <w:r w:rsidRPr="008F3CEA">
        <w:rPr>
          <w:rFonts w:ascii="Arial" w:hAnsi="Arial" w:cs="Arial"/>
          <w:noProof/>
          <w:sz w:val="24"/>
          <w:szCs w:val="24"/>
          <w:lang w:val="it-IT" w:eastAsia="it-IT"/>
        </w:rPr>
        <w:drawing>
          <wp:inline distT="0" distB="0" distL="0" distR="0">
            <wp:extent cx="4448175" cy="2695766"/>
            <wp:effectExtent l="0" t="0" r="9525" b="0"/>
            <wp:docPr id="53" name="Immagine 4" descr="Immagi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3.png"/>
                    <pic:cNvPicPr/>
                  </pic:nvPicPr>
                  <pic:blipFill>
                    <a:blip r:embed="rId93" cstate="print"/>
                    <a:stretch>
                      <a:fillRect/>
                    </a:stretch>
                  </pic:blipFill>
                  <pic:spPr>
                    <a:xfrm>
                      <a:off x="0" y="0"/>
                      <a:ext cx="4452749" cy="2698538"/>
                    </a:xfrm>
                    <a:prstGeom prst="rect">
                      <a:avLst/>
                    </a:prstGeom>
                  </pic:spPr>
                </pic:pic>
              </a:graphicData>
            </a:graphic>
          </wp:inline>
        </w:drawing>
      </w:r>
    </w:p>
    <w:p w:rsidR="00550A30" w:rsidRPr="008F3CEA" w:rsidRDefault="00550A30" w:rsidP="00550A30">
      <w:pPr>
        <w:pStyle w:val="Didascalia"/>
        <w:rPr>
          <w:rFonts w:ascii="Arial" w:hAnsi="Arial" w:cs="Arial"/>
          <w:sz w:val="24"/>
          <w:szCs w:val="24"/>
          <w:lang w:val="en-US"/>
        </w:rPr>
      </w:pPr>
      <w:r w:rsidRPr="008F3CEA">
        <w:t xml:space="preserve">Figure A. </w:t>
      </w:r>
      <w:fldSimple w:instr=" SEQ Figure_5. \* ARABIC ">
        <w:r w:rsidRPr="008F3CEA">
          <w:rPr>
            <w:noProof/>
          </w:rPr>
          <w:t>3</w:t>
        </w:r>
      </w:fldSimple>
      <w:r w:rsidRPr="008F3CEA">
        <w:t xml:space="preserve"> Two-phase microstructure of PUs.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As the weight fraction of the hard and soft segment increases, the properties of the polyurethane changes from that of a hard plastic to that of flexible elastomers.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Commercially, PUs can be synthesized via a “one step” or a “multistep” synthesis process.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The one step process is easier and faster and requires the reaction between a multifunctional liquid isocyanate and a diol [5].</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lastRenderedPageBreak/>
        <w:t>Multi step synthesis allows for a better control over the chemistry of the reaction, leading to more predictable structural, physical, mechanical and manufacturing properties, and is therefore the favored procedure for the synthesis of PUs.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The most common multi-step synthesis procedure, extensively applied for materials for biomedical applications, involves two steps. During the first step, called pre-polymerization reaction, a diol is reacted with excess diisocyanate, to produce an isocyanate-terminated molecule. This low molecular weight pre-polymer is subsequently reacted with a chain extender, which could be a diol or a diamine, to produce a block copolymer, as shown in figure A.4.</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  </w:t>
      </w:r>
      <w:r w:rsidRPr="008F3CEA">
        <w:rPr>
          <w:rFonts w:ascii="Arial" w:hAnsi="Arial" w:cs="Arial"/>
          <w:noProof/>
          <w:sz w:val="24"/>
          <w:szCs w:val="24"/>
          <w:lang w:val="it-IT" w:eastAsia="it-IT"/>
        </w:rPr>
        <w:drawing>
          <wp:inline distT="0" distB="0" distL="0" distR="0">
            <wp:extent cx="6120130" cy="3187065"/>
            <wp:effectExtent l="19050" t="0" r="0" b="0"/>
            <wp:docPr id="54" name="Immagine 2" descr="Immagi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1.png"/>
                    <pic:cNvPicPr/>
                  </pic:nvPicPr>
                  <pic:blipFill>
                    <a:blip r:embed="rId94" cstate="print"/>
                    <a:stretch>
                      <a:fillRect/>
                    </a:stretch>
                  </pic:blipFill>
                  <pic:spPr>
                    <a:xfrm>
                      <a:off x="0" y="0"/>
                      <a:ext cx="6120130" cy="3187065"/>
                    </a:xfrm>
                    <a:prstGeom prst="rect">
                      <a:avLst/>
                    </a:prstGeom>
                  </pic:spPr>
                </pic:pic>
              </a:graphicData>
            </a:graphic>
          </wp:inline>
        </w:drawing>
      </w:r>
    </w:p>
    <w:p w:rsidR="00550A30" w:rsidRPr="008F3CEA" w:rsidRDefault="00550A30" w:rsidP="00550A30">
      <w:pPr>
        <w:pStyle w:val="Didascalia"/>
      </w:pPr>
      <w:r w:rsidRPr="008F3CEA">
        <w:t xml:space="preserve">Figure A. </w:t>
      </w:r>
      <w:fldSimple w:instr=" SEQ Figure_5. \* ARABIC ">
        <w:r w:rsidRPr="008F3CEA">
          <w:rPr>
            <w:noProof/>
          </w:rPr>
          <w:t>4</w:t>
        </w:r>
      </w:fldSimple>
      <w:r w:rsidRPr="008F3CEA">
        <w:t xml:space="preserve"> Schematic representation of the two-step synthesis procedure.</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A.3 Raw materials in polyurethanes synthesis</w:t>
      </w:r>
    </w:p>
    <w:p w:rsidR="00550A30" w:rsidRPr="008F3CEA" w:rsidRDefault="00550A30" w:rsidP="00550A30">
      <w:pPr>
        <w:spacing w:line="360" w:lineRule="auto"/>
        <w:jc w:val="both"/>
        <w:rPr>
          <w:rFonts w:ascii="Arial" w:hAnsi="Arial" w:cs="Arial"/>
          <w:sz w:val="24"/>
          <w:szCs w:val="24"/>
          <w:lang w:val="en-US"/>
        </w:rPr>
      </w:pPr>
      <w:r w:rsidRPr="008F3CEA">
        <w:rPr>
          <w:rFonts w:ascii="Arial" w:hAnsi="Arial" w:cs="Arial"/>
          <w:sz w:val="24"/>
          <w:szCs w:val="24"/>
          <w:lang w:val="en-US"/>
        </w:rPr>
        <w:t>As already mentioned, the synthesis of PUs requires the reaction between a polyol and an isocyanate to form a prepolymer, which is again reacted in the presence of a chain extender to form a high molecular weight polymer.</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A.3.1 Isocyanate</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Isocyanate (R-NCO) or diisocyanate (OCN-R-NCO) are compounds characterized by the presence of one or two isocyanate groups (N=C=O).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For PU synthesis, both aliphatic and aromatic isocyanates can be used (see table A.1), depending on the nature of the group R.</w:t>
      </w:r>
    </w:p>
    <w:p w:rsidR="00550A30" w:rsidRPr="008F3CEA" w:rsidRDefault="00550A30" w:rsidP="00550A30">
      <w:pPr>
        <w:spacing w:after="120" w:line="360" w:lineRule="auto"/>
        <w:jc w:val="both"/>
        <w:rPr>
          <w:rFonts w:ascii="Arial" w:hAnsi="Arial" w:cs="Arial"/>
          <w:sz w:val="24"/>
          <w:szCs w:val="24"/>
          <w:lang w:val="en-US"/>
        </w:rPr>
      </w:pPr>
      <w:r w:rsidRPr="008F3CEA">
        <w:rPr>
          <w:rFonts w:ascii="Arial" w:hAnsi="Arial" w:cs="Arial"/>
          <w:sz w:val="24"/>
          <w:szCs w:val="24"/>
          <w:lang w:val="en-US"/>
        </w:rPr>
        <w:lastRenderedPageBreak/>
        <w:t>Isocyanates are part of the hard domains composing PU microstructure and the choice of these molecules significantly affects the properties of the material.</w:t>
      </w:r>
    </w:p>
    <w:tbl>
      <w:tblPr>
        <w:tblW w:w="0" w:type="auto"/>
        <w:jc w:val="center"/>
        <w:tblBorders>
          <w:top w:val="single" w:sz="8" w:space="0" w:color="000000"/>
          <w:left w:val="single" w:sz="8" w:space="0" w:color="000000"/>
          <w:bottom w:val="single" w:sz="8" w:space="0" w:color="000000"/>
          <w:right w:val="single" w:sz="8" w:space="0" w:color="000000"/>
        </w:tblBorders>
        <w:tblLayout w:type="fixed"/>
        <w:tblLook w:val="00A0"/>
      </w:tblPr>
      <w:tblGrid>
        <w:gridCol w:w="2835"/>
        <w:gridCol w:w="851"/>
        <w:gridCol w:w="4092"/>
      </w:tblGrid>
      <w:tr w:rsidR="00550A30" w:rsidRPr="008F3CEA" w:rsidTr="009925A1">
        <w:trPr>
          <w:jc w:val="center"/>
        </w:trPr>
        <w:tc>
          <w:tcPr>
            <w:tcW w:w="2835" w:type="dxa"/>
            <w:tcBorders>
              <w:top w:val="single" w:sz="8" w:space="0" w:color="000000"/>
              <w:left w:val="nil"/>
              <w:bottom w:val="single" w:sz="4" w:space="0" w:color="auto"/>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Isocyanate</w:t>
            </w:r>
          </w:p>
        </w:tc>
        <w:tc>
          <w:tcPr>
            <w:tcW w:w="851" w:type="dxa"/>
            <w:tcBorders>
              <w:top w:val="single" w:sz="8" w:space="0" w:color="000000"/>
              <w:bottom w:val="single" w:sz="4" w:space="0" w:color="auto"/>
            </w:tcBorders>
            <w:shd w:val="clear" w:color="auto" w:fill="auto"/>
            <w:vAlign w:val="center"/>
          </w:tcPr>
          <w:p w:rsidR="00550A30" w:rsidRPr="008F3CEA" w:rsidRDefault="00550A30" w:rsidP="009925A1">
            <w:pPr>
              <w:jc w:val="center"/>
              <w:rPr>
                <w:b/>
                <w:bCs/>
                <w:color w:val="000000" w:themeColor="text1"/>
                <w:sz w:val="24"/>
                <w:szCs w:val="24"/>
                <w:lang w:val="it-IT"/>
              </w:rPr>
            </w:pPr>
          </w:p>
        </w:tc>
        <w:tc>
          <w:tcPr>
            <w:tcW w:w="4092" w:type="dxa"/>
            <w:tcBorders>
              <w:top w:val="single" w:sz="8" w:space="0" w:color="000000"/>
              <w:bottom w:val="single" w:sz="4" w:space="0" w:color="auto"/>
              <w:righ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Chemical structure</w:t>
            </w:r>
          </w:p>
        </w:tc>
      </w:tr>
      <w:tr w:rsidR="00550A30" w:rsidRPr="008F3CEA" w:rsidTr="009925A1">
        <w:trPr>
          <w:jc w:val="center"/>
        </w:trPr>
        <w:tc>
          <w:tcPr>
            <w:tcW w:w="2835" w:type="dxa"/>
            <w:tcBorders>
              <w:top w:val="single" w:sz="4" w:space="0" w:color="auto"/>
              <w:lef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color w:val="000000" w:themeColor="text1"/>
                <w:sz w:val="24"/>
                <w:szCs w:val="24"/>
              </w:rPr>
              <w:t>lysine diisocyanate</w:t>
            </w:r>
          </w:p>
        </w:tc>
        <w:tc>
          <w:tcPr>
            <w:tcW w:w="851" w:type="dxa"/>
            <w:tcBorders>
              <w:top w:val="single" w:sz="4" w:space="0" w:color="auto"/>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LDI</w:t>
            </w:r>
          </w:p>
        </w:tc>
        <w:tc>
          <w:tcPr>
            <w:tcW w:w="4092" w:type="dxa"/>
            <w:tcBorders>
              <w:top w:val="single" w:sz="4" w:space="0" w:color="auto"/>
              <w:right w:val="nil"/>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rPr>
              <w:object w:dxaOrig="2900" w:dyaOrig="8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30pt" o:ole="">
                  <v:imagedata r:id="rId95" o:title=""/>
                </v:shape>
                <o:OLEObject Type="Embed" ProgID="ChemDraw.Document.6.0" ShapeID="_x0000_i1025" DrawAspect="Content" ObjectID="_1406466499" r:id="rId96"/>
              </w:object>
            </w:r>
          </w:p>
        </w:tc>
      </w:tr>
      <w:tr w:rsidR="00550A30" w:rsidRPr="008F3CEA" w:rsidTr="009925A1">
        <w:trPr>
          <w:jc w:val="center"/>
        </w:trPr>
        <w:tc>
          <w:tcPr>
            <w:tcW w:w="2835" w:type="dxa"/>
            <w:tcBorders>
              <w:lef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1,4-diisocyanatebuthane</w:t>
            </w:r>
          </w:p>
        </w:tc>
        <w:tc>
          <w:tcPr>
            <w:tcW w:w="851" w:type="dxa"/>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BDI</w:t>
            </w:r>
          </w:p>
        </w:tc>
        <w:tc>
          <w:tcPr>
            <w:tcW w:w="4092" w:type="dxa"/>
            <w:tcBorders>
              <w:right w:val="nil"/>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rPr>
              <w:object w:dxaOrig="2158" w:dyaOrig="672">
                <v:shape id="_x0000_i1026" type="#_x0000_t75" style="width:79.5pt;height:24.75pt" o:ole="">
                  <v:imagedata r:id="rId97" o:title=""/>
                </v:shape>
                <o:OLEObject Type="Embed" ProgID="ChemDraw.Document.6.0" ShapeID="_x0000_i1026" DrawAspect="Content" ObjectID="_1406466500" r:id="rId98"/>
              </w:object>
            </w:r>
          </w:p>
        </w:tc>
      </w:tr>
      <w:tr w:rsidR="00550A30" w:rsidRPr="008F3CEA" w:rsidTr="009925A1">
        <w:trPr>
          <w:jc w:val="center"/>
        </w:trPr>
        <w:tc>
          <w:tcPr>
            <w:tcW w:w="2835" w:type="dxa"/>
            <w:tcBorders>
              <w:lef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Examethylene diisocyanate</w:t>
            </w:r>
          </w:p>
        </w:tc>
        <w:tc>
          <w:tcPr>
            <w:tcW w:w="851" w:type="dxa"/>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HDI</w:t>
            </w:r>
          </w:p>
        </w:tc>
        <w:tc>
          <w:tcPr>
            <w:tcW w:w="4092" w:type="dxa"/>
            <w:tcBorders>
              <w:right w:val="nil"/>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rPr>
              <w:object w:dxaOrig="2157" w:dyaOrig="676">
                <v:shape id="_x0000_i1027" type="#_x0000_t75" style="width:78pt;height:24.75pt" o:ole="">
                  <v:imagedata r:id="rId99" o:title=""/>
                </v:shape>
                <o:OLEObject Type="Embed" ProgID="ChemDraw.Document.6.0" ShapeID="_x0000_i1027" DrawAspect="Content" ObjectID="_1406466501" r:id="rId100"/>
              </w:object>
            </w:r>
          </w:p>
        </w:tc>
      </w:tr>
      <w:tr w:rsidR="00550A30" w:rsidRPr="008F3CEA" w:rsidTr="009925A1">
        <w:trPr>
          <w:jc w:val="center"/>
        </w:trPr>
        <w:tc>
          <w:tcPr>
            <w:tcW w:w="2835" w:type="dxa"/>
            <w:tcBorders>
              <w:lef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Cycloexyl diisocyanate</w:t>
            </w:r>
          </w:p>
        </w:tc>
        <w:tc>
          <w:tcPr>
            <w:tcW w:w="851" w:type="dxa"/>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CHDI</w:t>
            </w:r>
          </w:p>
        </w:tc>
        <w:tc>
          <w:tcPr>
            <w:tcW w:w="4092" w:type="dxa"/>
            <w:tcBorders>
              <w:right w:val="nil"/>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rPr>
              <w:object w:dxaOrig="2729" w:dyaOrig="1033">
                <v:shape id="_x0000_i1028" type="#_x0000_t75" style="width:115.5pt;height:45.75pt" o:ole="">
                  <v:imagedata r:id="rId101" o:title=""/>
                </v:shape>
                <o:OLEObject Type="Embed" ProgID="ChemDraw.Document.6.0" ShapeID="_x0000_i1028" DrawAspect="Content" ObjectID="_1406466502" r:id="rId102"/>
              </w:object>
            </w:r>
          </w:p>
        </w:tc>
      </w:tr>
      <w:tr w:rsidR="00550A30" w:rsidRPr="008F3CEA" w:rsidTr="009925A1">
        <w:trPr>
          <w:jc w:val="center"/>
        </w:trPr>
        <w:tc>
          <w:tcPr>
            <w:tcW w:w="2835" w:type="dxa"/>
            <w:tcBorders>
              <w:left w:val="nil"/>
            </w:tcBorders>
            <w:shd w:val="clear" w:color="auto" w:fill="auto"/>
            <w:vAlign w:val="center"/>
          </w:tcPr>
          <w:p w:rsidR="00550A30" w:rsidRPr="008F3CEA" w:rsidRDefault="00550A30" w:rsidP="009925A1">
            <w:pPr>
              <w:jc w:val="center"/>
              <w:rPr>
                <w:b/>
                <w:bCs/>
                <w:color w:val="000000" w:themeColor="text1"/>
                <w:sz w:val="24"/>
                <w:szCs w:val="24"/>
                <w:lang w:val="it-IT"/>
              </w:rPr>
            </w:pPr>
            <w:r w:rsidRPr="008F3CEA">
              <w:rPr>
                <w:b/>
                <w:bCs/>
                <w:color w:val="000000" w:themeColor="text1"/>
                <w:sz w:val="24"/>
                <w:szCs w:val="24"/>
                <w:lang w:val="it-IT"/>
              </w:rPr>
              <w:t>Toluene diisocyanate</w:t>
            </w:r>
          </w:p>
        </w:tc>
        <w:tc>
          <w:tcPr>
            <w:tcW w:w="851" w:type="dxa"/>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TDI</w:t>
            </w:r>
          </w:p>
        </w:tc>
        <w:tc>
          <w:tcPr>
            <w:tcW w:w="4092" w:type="dxa"/>
            <w:tcBorders>
              <w:right w:val="nil"/>
            </w:tcBorders>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rPr>
              <w:object w:dxaOrig="2444" w:dyaOrig="1475">
                <v:shape id="_x0000_i1029" type="#_x0000_t75" style="width:105.75pt;height:64.5pt" o:ole="">
                  <v:imagedata r:id="rId103" o:title=""/>
                </v:shape>
                <o:OLEObject Type="Embed" ProgID="ChemDraw.Document.6.0" ShapeID="_x0000_i1029" DrawAspect="Content" ObjectID="_1406466503" r:id="rId104"/>
              </w:object>
            </w:r>
          </w:p>
        </w:tc>
      </w:tr>
      <w:tr w:rsidR="00550A30" w:rsidRPr="008F3CEA" w:rsidTr="009925A1">
        <w:trPr>
          <w:jc w:val="center"/>
        </w:trPr>
        <w:tc>
          <w:tcPr>
            <w:tcW w:w="2835" w:type="dxa"/>
            <w:tcBorders>
              <w:left w:val="nil"/>
              <w:bottom w:val="single" w:sz="8" w:space="0" w:color="000000"/>
            </w:tcBorders>
            <w:shd w:val="clear" w:color="auto" w:fill="auto"/>
            <w:vAlign w:val="center"/>
          </w:tcPr>
          <w:p w:rsidR="00550A30" w:rsidRPr="008F3CEA" w:rsidRDefault="00550A30" w:rsidP="009925A1">
            <w:pPr>
              <w:jc w:val="center"/>
              <w:rPr>
                <w:b/>
                <w:bCs/>
                <w:color w:val="000000" w:themeColor="text1"/>
                <w:sz w:val="24"/>
                <w:szCs w:val="24"/>
                <w:lang w:val="en-US"/>
              </w:rPr>
            </w:pPr>
            <w:r w:rsidRPr="008F3CEA">
              <w:rPr>
                <w:b/>
                <w:bCs/>
                <w:color w:val="000000" w:themeColor="text1"/>
                <w:sz w:val="24"/>
                <w:szCs w:val="24"/>
                <w:lang w:val="en-US"/>
              </w:rPr>
              <w:t>Metihylene</w:t>
            </w:r>
          </w:p>
          <w:p w:rsidR="00550A30" w:rsidRPr="008F3CEA" w:rsidRDefault="00550A30" w:rsidP="009925A1">
            <w:pPr>
              <w:jc w:val="center"/>
              <w:rPr>
                <w:b/>
                <w:bCs/>
                <w:color w:val="000000" w:themeColor="text1"/>
                <w:sz w:val="24"/>
                <w:szCs w:val="24"/>
                <w:lang w:val="en-US"/>
              </w:rPr>
            </w:pPr>
            <w:r w:rsidRPr="008F3CEA">
              <w:rPr>
                <w:b/>
                <w:bCs/>
                <w:color w:val="000000" w:themeColor="text1"/>
                <w:sz w:val="24"/>
                <w:szCs w:val="24"/>
                <w:lang w:val="en-US"/>
              </w:rPr>
              <w:t>Bis(p-phenyl isocyanate)</w:t>
            </w:r>
          </w:p>
        </w:tc>
        <w:tc>
          <w:tcPr>
            <w:tcW w:w="851" w:type="dxa"/>
            <w:shd w:val="clear" w:color="auto" w:fill="auto"/>
            <w:vAlign w:val="center"/>
          </w:tcPr>
          <w:p w:rsidR="00550A30" w:rsidRPr="008F3CEA" w:rsidRDefault="00550A30" w:rsidP="009925A1">
            <w:pPr>
              <w:jc w:val="center"/>
              <w:rPr>
                <w:color w:val="000000" w:themeColor="text1"/>
                <w:sz w:val="24"/>
                <w:szCs w:val="24"/>
                <w:lang w:val="it-IT"/>
              </w:rPr>
            </w:pPr>
            <w:r w:rsidRPr="008F3CEA">
              <w:rPr>
                <w:color w:val="000000" w:themeColor="text1"/>
                <w:sz w:val="24"/>
                <w:szCs w:val="24"/>
                <w:lang w:val="it-IT"/>
              </w:rPr>
              <w:t>MDI</w:t>
            </w:r>
          </w:p>
        </w:tc>
        <w:tc>
          <w:tcPr>
            <w:tcW w:w="4092" w:type="dxa"/>
            <w:tcBorders>
              <w:bottom w:val="single" w:sz="8" w:space="0" w:color="000000"/>
              <w:right w:val="nil"/>
            </w:tcBorders>
            <w:shd w:val="clear" w:color="auto" w:fill="auto"/>
            <w:vAlign w:val="center"/>
          </w:tcPr>
          <w:p w:rsidR="00550A30" w:rsidRPr="008F3CEA" w:rsidRDefault="00550A30" w:rsidP="009925A1">
            <w:pPr>
              <w:keepNext/>
              <w:jc w:val="center"/>
              <w:rPr>
                <w:color w:val="000000" w:themeColor="text1"/>
                <w:sz w:val="24"/>
                <w:szCs w:val="24"/>
                <w:lang w:val="it-IT"/>
              </w:rPr>
            </w:pPr>
            <w:r w:rsidRPr="008F3CEA">
              <w:rPr>
                <w:color w:val="000000" w:themeColor="text1"/>
              </w:rPr>
              <w:object w:dxaOrig="4419" w:dyaOrig="1106">
                <v:shape id="_x0000_i1030" type="#_x0000_t75" style="width:183.75pt;height:49.5pt" o:ole="">
                  <v:imagedata r:id="rId105" o:title=""/>
                </v:shape>
                <o:OLEObject Type="Embed" ProgID="ChemDraw.Document.6.0" ShapeID="_x0000_i1030" DrawAspect="Content" ObjectID="_1406466504" r:id="rId106"/>
              </w:object>
            </w:r>
          </w:p>
        </w:tc>
      </w:tr>
    </w:tbl>
    <w:p w:rsidR="00550A30" w:rsidRPr="008F3CEA" w:rsidRDefault="00550A30" w:rsidP="00550A30">
      <w:pPr>
        <w:pStyle w:val="Didascalia"/>
        <w:spacing w:before="120"/>
        <w:rPr>
          <w:rFonts w:ascii="Arial" w:hAnsi="Arial" w:cs="Arial"/>
          <w:sz w:val="24"/>
          <w:szCs w:val="24"/>
          <w:lang w:val="en-US"/>
        </w:rPr>
      </w:pPr>
      <w:r w:rsidRPr="008F3CEA">
        <w:t xml:space="preserve">Table A. </w:t>
      </w:r>
      <w:fldSimple w:instr=" SEQ Table_5. \* ARABIC ">
        <w:r w:rsidRPr="008F3CEA">
          <w:rPr>
            <w:noProof/>
          </w:rPr>
          <w:t>1</w:t>
        </w:r>
      </w:fldSimple>
      <w:r w:rsidRPr="008F3CEA">
        <w:t xml:space="preserve"> List of the most commonly used isocyanates for PU synthesis. Adapted from [5].</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In particular, the use of aromatic isocyanates leads to the production of stiffer polymer chains with higher melting point, while the selection of aliphatic isocyanates results in greater resistance to oxidation and higher stability but also in decreased mechanical properties.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 symmetry of the isocyanate is another important parameter since it favors the crystallization of the hard segment, thus increasing the degree of phase separation, hardness, modulus and abrasion resistance.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In biomedical applications, the use of aliphatic diisocyanates such as </w:t>
      </w:r>
      <w:r w:rsidRPr="008F3CEA">
        <w:rPr>
          <w:rFonts w:ascii="Arial" w:hAnsi="Arial" w:cs="Arial"/>
          <w:color w:val="000000"/>
          <w:sz w:val="24"/>
          <w:szCs w:val="24"/>
        </w:rPr>
        <w:t>lysine diisocyanate</w:t>
      </w:r>
      <w:r w:rsidRPr="008F3CEA">
        <w:rPr>
          <w:rFonts w:ascii="Arial" w:hAnsi="Arial" w:cs="Arial"/>
          <w:sz w:val="24"/>
          <w:szCs w:val="24"/>
          <w:lang w:val="en-US"/>
        </w:rPr>
        <w:t xml:space="preserve"> (LDI), </w:t>
      </w:r>
      <w:r w:rsidRPr="008F3CEA">
        <w:rPr>
          <w:rFonts w:ascii="Arial" w:hAnsi="Arial" w:cs="Arial"/>
          <w:bCs/>
          <w:sz w:val="24"/>
          <w:szCs w:val="24"/>
          <w:lang w:val="en-US"/>
        </w:rPr>
        <w:t>1,4-diisocyanatebuthane</w:t>
      </w:r>
      <w:r w:rsidRPr="008F3CEA">
        <w:rPr>
          <w:rFonts w:ascii="Arial" w:hAnsi="Arial" w:cs="Arial"/>
          <w:sz w:val="24"/>
          <w:szCs w:val="24"/>
          <w:lang w:val="en-US"/>
        </w:rPr>
        <w:t xml:space="preserve"> (BDI) and e</w:t>
      </w:r>
      <w:r w:rsidRPr="008F3CEA">
        <w:rPr>
          <w:rFonts w:ascii="Arial" w:hAnsi="Arial" w:cs="Arial"/>
          <w:bCs/>
          <w:sz w:val="24"/>
          <w:szCs w:val="24"/>
          <w:lang w:val="en-US"/>
        </w:rPr>
        <w:t>xamethylene diisocyanate</w:t>
      </w:r>
      <w:r w:rsidRPr="008F3CEA">
        <w:rPr>
          <w:rFonts w:ascii="Arial" w:hAnsi="Arial" w:cs="Arial"/>
          <w:sz w:val="24"/>
          <w:szCs w:val="24"/>
          <w:lang w:val="en-US"/>
        </w:rPr>
        <w:t xml:space="preserve"> (HDI) [6</w:t>
      </w:r>
      <w:r w:rsidRPr="008F3CEA">
        <w:rPr>
          <w:rFonts w:ascii="Arial" w:hAnsi="Arial" w:cs="Arial"/>
          <w:noProof/>
          <w:sz w:val="24"/>
          <w:szCs w:val="24"/>
        </w:rPr>
        <w:t>.</w:t>
      </w:r>
      <w:r w:rsidRPr="008F3CEA">
        <w:rPr>
          <w:rFonts w:ascii="Arial" w:hAnsi="Arial" w:cs="Arial"/>
          <w:sz w:val="24"/>
          <w:szCs w:val="24"/>
          <w:lang w:val="en-US"/>
        </w:rPr>
        <w:t>], is preferred since aromatic isocyanates lead to the formation of toxic, carcinogenic side products.</w:t>
      </w:r>
    </w:p>
    <w:p w:rsidR="00550A30" w:rsidRPr="008F3CEA" w:rsidRDefault="00550A30" w:rsidP="00550A30">
      <w:pPr>
        <w:spacing w:after="0" w:line="360" w:lineRule="auto"/>
        <w:jc w:val="both"/>
        <w:rPr>
          <w:rFonts w:ascii="Arial" w:hAnsi="Arial" w:cs="Arial"/>
          <w:sz w:val="24"/>
          <w:szCs w:val="24"/>
          <w:lang w:val="en-US"/>
        </w:rPr>
      </w:pP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 </w:t>
      </w:r>
    </w:p>
    <w:p w:rsidR="00550A30" w:rsidRPr="008F3CEA" w:rsidRDefault="00D873AE" w:rsidP="00550A30">
      <w:pPr>
        <w:spacing w:before="240" w:after="240"/>
        <w:rPr>
          <w:rFonts w:ascii="Arial" w:hAnsi="Arial" w:cs="Arial"/>
          <w:b/>
          <w:sz w:val="24"/>
          <w:szCs w:val="24"/>
          <w:lang w:val="en-US"/>
        </w:rPr>
      </w:pPr>
      <w:r>
        <w:rPr>
          <w:rFonts w:ascii="Arial" w:hAnsi="Arial" w:cs="Arial"/>
          <w:b/>
          <w:sz w:val="24"/>
          <w:szCs w:val="24"/>
          <w:lang w:val="en-US"/>
        </w:rPr>
        <w:lastRenderedPageBreak/>
        <w:t>A.3.2</w:t>
      </w:r>
      <w:r w:rsidR="00550A30" w:rsidRPr="008F3CEA">
        <w:rPr>
          <w:rFonts w:ascii="Arial" w:hAnsi="Arial" w:cs="Arial"/>
          <w:b/>
          <w:sz w:val="24"/>
          <w:szCs w:val="24"/>
          <w:lang w:val="en-US"/>
        </w:rPr>
        <w:t xml:space="preserve"> Polyols</w:t>
      </w:r>
    </w:p>
    <w:p w:rsidR="00550A30" w:rsidRPr="008F3CEA" w:rsidRDefault="00550A30" w:rsidP="00550A30">
      <w:pPr>
        <w:spacing w:line="360" w:lineRule="auto"/>
        <w:jc w:val="both"/>
        <w:rPr>
          <w:rFonts w:ascii="Arial" w:hAnsi="Arial" w:cs="Arial"/>
          <w:sz w:val="24"/>
          <w:szCs w:val="24"/>
          <w:lang w:val="en-US"/>
        </w:rPr>
      </w:pPr>
      <w:r w:rsidRPr="008F3CEA">
        <w:rPr>
          <w:rFonts w:ascii="Arial" w:hAnsi="Arial" w:cs="Arial"/>
          <w:sz w:val="24"/>
          <w:szCs w:val="24"/>
          <w:lang w:val="en-US"/>
        </w:rPr>
        <w:t>Polyols for PU synthesis include polyesters, polyethers, polycarbonates and polydimethylsiloxanes (PDMS), as listed in table A.2.</w:t>
      </w:r>
    </w:p>
    <w:tbl>
      <w:tblPr>
        <w:tblW w:w="0" w:type="auto"/>
        <w:jc w:val="center"/>
        <w:tblBorders>
          <w:top w:val="single" w:sz="8" w:space="0" w:color="000000"/>
          <w:left w:val="single" w:sz="8" w:space="0" w:color="000000"/>
          <w:bottom w:val="single" w:sz="8" w:space="0" w:color="000000"/>
          <w:right w:val="single" w:sz="8" w:space="0" w:color="000000"/>
        </w:tblBorders>
        <w:shd w:val="clear" w:color="auto" w:fill="EEECE1" w:themeFill="background2"/>
        <w:tblLook w:val="00A0"/>
      </w:tblPr>
      <w:tblGrid>
        <w:gridCol w:w="2739"/>
        <w:gridCol w:w="5259"/>
      </w:tblGrid>
      <w:tr w:rsidR="00550A30" w:rsidRPr="008F3CEA" w:rsidTr="009925A1">
        <w:trPr>
          <w:trHeight w:val="340"/>
          <w:jc w:val="center"/>
        </w:trPr>
        <w:tc>
          <w:tcPr>
            <w:tcW w:w="2739" w:type="dxa"/>
            <w:tcBorders>
              <w:top w:val="single" w:sz="8" w:space="0" w:color="000000"/>
              <w:lef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Polyol</w:t>
            </w:r>
          </w:p>
        </w:tc>
        <w:tc>
          <w:tcPr>
            <w:tcW w:w="5259" w:type="dxa"/>
            <w:tcBorders>
              <w:top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Chemical structure</w:t>
            </w:r>
          </w:p>
        </w:tc>
      </w:tr>
      <w:tr w:rsidR="00550A30" w:rsidRPr="008F3CEA" w:rsidTr="009925A1">
        <w:trPr>
          <w:trHeight w:val="964"/>
          <w:jc w:val="center"/>
        </w:trPr>
        <w:tc>
          <w:tcPr>
            <w:tcW w:w="2739"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 xml:space="preserve">Poly(ethylene oxyde) </w:t>
            </w:r>
          </w:p>
        </w:tc>
        <w:tc>
          <w:tcPr>
            <w:tcW w:w="5259"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color w:val="000000" w:themeColor="text1"/>
                <w:lang w:val="it-IT"/>
              </w:rPr>
            </w:pPr>
            <w:r w:rsidRPr="008F3CEA">
              <w:rPr>
                <w:color w:val="000000" w:themeColor="text1"/>
              </w:rPr>
              <w:object w:dxaOrig="2736" w:dyaOrig="498">
                <v:shape id="_x0000_i1031" type="#_x0000_t75" style="width:104.25pt;height:18.75pt" o:ole="">
                  <v:imagedata r:id="rId107" o:title=""/>
                </v:shape>
                <o:OLEObject Type="Embed" ProgID="ChemDraw.Document.6.0" ShapeID="_x0000_i1031" DrawAspect="Content" ObjectID="_1406466505" r:id="rId108"/>
              </w:object>
            </w:r>
          </w:p>
        </w:tc>
      </w:tr>
      <w:tr w:rsidR="00550A30" w:rsidRPr="008F3CEA" w:rsidTr="009925A1">
        <w:trPr>
          <w:trHeight w:val="964"/>
          <w:jc w:val="center"/>
        </w:trPr>
        <w:tc>
          <w:tcPr>
            <w:tcW w:w="2739" w:type="dxa"/>
            <w:tcBorders>
              <w:lef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Poly(propylene oxyde)</w:t>
            </w:r>
          </w:p>
        </w:tc>
        <w:tc>
          <w:tcPr>
            <w:tcW w:w="5259" w:type="dxa"/>
            <w:tcBorders>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color w:val="000000" w:themeColor="text1"/>
                <w:lang w:val="it-IT"/>
              </w:rPr>
            </w:pPr>
            <w:r w:rsidRPr="008F3CEA">
              <w:rPr>
                <w:color w:val="000000" w:themeColor="text1"/>
              </w:rPr>
              <w:object w:dxaOrig="2736" w:dyaOrig="959">
                <v:shape id="_x0000_i1032" type="#_x0000_t75" style="width:104.25pt;height:36pt" o:ole="">
                  <v:imagedata r:id="rId109" o:title=""/>
                </v:shape>
                <o:OLEObject Type="Embed" ProgID="ChemDraw.Document.6.0" ShapeID="_x0000_i1032" DrawAspect="Content" ObjectID="_1406466506" r:id="rId110"/>
              </w:object>
            </w:r>
          </w:p>
        </w:tc>
      </w:tr>
      <w:tr w:rsidR="00550A30" w:rsidRPr="008F3CEA" w:rsidTr="009925A1">
        <w:trPr>
          <w:trHeight w:val="964"/>
          <w:jc w:val="center"/>
        </w:trPr>
        <w:tc>
          <w:tcPr>
            <w:tcW w:w="2739"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Poly(</w:t>
            </w:r>
            <w:r w:rsidRPr="008F3CEA">
              <w:rPr>
                <w:rFonts w:cstheme="minorHAnsi"/>
                <w:b/>
                <w:bCs/>
                <w:color w:val="000000" w:themeColor="text1"/>
                <w:lang w:val="it-IT"/>
              </w:rPr>
              <w:t>ε</w:t>
            </w:r>
            <w:r w:rsidRPr="008F3CEA">
              <w:rPr>
                <w:b/>
                <w:bCs/>
                <w:color w:val="000000" w:themeColor="text1"/>
                <w:lang w:val="it-IT"/>
              </w:rPr>
              <w:t>-caprolactone) diol</w:t>
            </w:r>
          </w:p>
        </w:tc>
        <w:tc>
          <w:tcPr>
            <w:tcW w:w="5259"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color w:val="000000" w:themeColor="text1"/>
                <w:lang w:val="it-IT"/>
              </w:rPr>
            </w:pPr>
            <w:r w:rsidRPr="008F3CEA">
              <w:rPr>
                <w:color w:val="000000" w:themeColor="text1"/>
              </w:rPr>
              <w:object w:dxaOrig="5723" w:dyaOrig="1583">
                <v:shape id="_x0000_i1033" type="#_x0000_t75" style="width:212.25pt;height:57pt" o:ole="">
                  <v:imagedata r:id="rId111" o:title=""/>
                </v:shape>
                <o:OLEObject Type="Embed" ProgID="ChemDraw.Document.6.0" ShapeID="_x0000_i1033" DrawAspect="Content" ObjectID="_1406466507" r:id="rId112"/>
              </w:object>
            </w:r>
          </w:p>
        </w:tc>
      </w:tr>
      <w:tr w:rsidR="00550A30" w:rsidRPr="008F3CEA" w:rsidTr="009925A1">
        <w:trPr>
          <w:trHeight w:val="964"/>
          <w:jc w:val="center"/>
        </w:trPr>
        <w:tc>
          <w:tcPr>
            <w:tcW w:w="2739" w:type="dxa"/>
            <w:tcBorders>
              <w:top w:val="single" w:sz="8" w:space="0" w:color="000000"/>
              <w:left w:val="nil"/>
              <w:bottom w:val="single" w:sz="4" w:space="0" w:color="auto"/>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Hydroxy-terminated polyisobutylene</w:t>
            </w:r>
          </w:p>
        </w:tc>
        <w:tc>
          <w:tcPr>
            <w:tcW w:w="5259" w:type="dxa"/>
            <w:tcBorders>
              <w:top w:val="single" w:sz="8" w:space="0" w:color="000000"/>
              <w:bottom w:val="single" w:sz="4" w:space="0" w:color="auto"/>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color w:val="000000" w:themeColor="text1"/>
                <w:lang w:val="it-IT"/>
              </w:rPr>
            </w:pPr>
            <w:r w:rsidRPr="008F3CEA">
              <w:rPr>
                <w:color w:val="000000" w:themeColor="text1"/>
              </w:rPr>
              <w:object w:dxaOrig="2702" w:dyaOrig="1565">
                <v:shape id="_x0000_i1034" type="#_x0000_t75" style="width:105.75pt;height:54.75pt" o:ole="">
                  <v:imagedata r:id="rId113" o:title=""/>
                </v:shape>
                <o:OLEObject Type="Embed" ProgID="ChemDraw.Document.6.0" ShapeID="_x0000_i1034" DrawAspect="Content" ObjectID="_1406466508" r:id="rId114"/>
              </w:object>
            </w:r>
          </w:p>
        </w:tc>
      </w:tr>
      <w:tr w:rsidR="00550A30" w:rsidRPr="008F3CEA" w:rsidTr="009925A1">
        <w:trPr>
          <w:trHeight w:val="964"/>
          <w:jc w:val="center"/>
        </w:trPr>
        <w:tc>
          <w:tcPr>
            <w:tcW w:w="2739" w:type="dxa"/>
            <w:tcBorders>
              <w:top w:val="single" w:sz="4" w:space="0" w:color="auto"/>
              <w:lef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Hydroxybutyl terminated poly(dimethylsiloxane)</w:t>
            </w:r>
          </w:p>
        </w:tc>
        <w:tc>
          <w:tcPr>
            <w:tcW w:w="5259" w:type="dxa"/>
            <w:tcBorders>
              <w:top w:val="single" w:sz="4" w:space="0" w:color="auto"/>
              <w:right w:val="nil"/>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color w:val="000000" w:themeColor="text1"/>
                <w:lang w:val="it-IT"/>
              </w:rPr>
            </w:pPr>
            <w:r w:rsidRPr="008F3CEA">
              <w:rPr>
                <w:color w:val="000000" w:themeColor="text1"/>
              </w:rPr>
              <w:object w:dxaOrig="5304" w:dyaOrig="1653">
                <v:shape id="_x0000_i1035" type="#_x0000_t75" style="width:203.25pt;height:64.5pt" o:ole="">
                  <v:imagedata r:id="rId115" o:title=""/>
                </v:shape>
                <o:OLEObject Type="Embed" ProgID="ChemDraw.Document.6.0" ShapeID="_x0000_i1035" DrawAspect="Content" ObjectID="_1406466509" r:id="rId116"/>
              </w:object>
            </w:r>
          </w:p>
        </w:tc>
      </w:tr>
      <w:tr w:rsidR="00550A30" w:rsidRPr="008F3CEA" w:rsidTr="009925A1">
        <w:trPr>
          <w:trHeight w:val="964"/>
          <w:jc w:val="center"/>
        </w:trPr>
        <w:tc>
          <w:tcPr>
            <w:tcW w:w="2739"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spacing w:after="0" w:line="240" w:lineRule="auto"/>
              <w:jc w:val="center"/>
              <w:rPr>
                <w:b/>
                <w:bCs/>
                <w:color w:val="000000" w:themeColor="text1"/>
                <w:lang w:val="it-IT"/>
              </w:rPr>
            </w:pPr>
            <w:r w:rsidRPr="008F3CEA">
              <w:rPr>
                <w:b/>
                <w:bCs/>
                <w:color w:val="000000" w:themeColor="text1"/>
                <w:lang w:val="it-IT"/>
              </w:rPr>
              <w:t>Poly(ethylene adipate)</w:t>
            </w:r>
          </w:p>
        </w:tc>
        <w:tc>
          <w:tcPr>
            <w:tcW w:w="5259"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keepNext/>
              <w:autoSpaceDE w:val="0"/>
              <w:autoSpaceDN w:val="0"/>
              <w:adjustRightInd w:val="0"/>
              <w:spacing w:after="0" w:line="240" w:lineRule="auto"/>
              <w:jc w:val="center"/>
              <w:rPr>
                <w:color w:val="000000" w:themeColor="text1"/>
                <w:lang w:val="it-IT"/>
              </w:rPr>
            </w:pPr>
            <w:r w:rsidRPr="008F3CEA">
              <w:rPr>
                <w:color w:val="000000" w:themeColor="text1"/>
              </w:rPr>
              <w:object w:dxaOrig="7224" w:dyaOrig="1610">
                <v:shape id="_x0000_i1036" type="#_x0000_t75" style="width:252pt;height:64.5pt" o:ole="">
                  <v:imagedata r:id="rId117" o:title=""/>
                </v:shape>
                <o:OLEObject Type="Embed" ProgID="ChemDraw.Document.6.0" ShapeID="_x0000_i1036" DrawAspect="Content" ObjectID="_1406466510" r:id="rId118"/>
              </w:object>
            </w:r>
          </w:p>
        </w:tc>
      </w:tr>
    </w:tbl>
    <w:p w:rsidR="00550A30" w:rsidRPr="008F3CEA" w:rsidRDefault="00550A30" w:rsidP="00550A30">
      <w:pPr>
        <w:pStyle w:val="Didascalia"/>
        <w:spacing w:before="120"/>
        <w:rPr>
          <w:rFonts w:ascii="Arial" w:hAnsi="Arial" w:cs="Arial"/>
          <w:sz w:val="24"/>
          <w:szCs w:val="24"/>
          <w:lang w:val="en-US"/>
        </w:rPr>
      </w:pPr>
      <w:r w:rsidRPr="008F3CEA">
        <w:t xml:space="preserve">Table A. </w:t>
      </w:r>
      <w:fldSimple w:instr=" SEQ Table_5. \* ARABIC ">
        <w:r w:rsidRPr="008F3CEA">
          <w:rPr>
            <w:noProof/>
          </w:rPr>
          <w:t>2</w:t>
        </w:r>
      </w:fldSimple>
      <w:r w:rsidRPr="008F3CEA">
        <w:t xml:space="preserve"> List of different polyols used for PU synthesis. Adapted from [5]</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Polyols, due to their flexibility, form the soft segment matrix of the PU microstructure, in which the hard segments (composed of isocyanate and chain extender) are dispersed.  They are responsible for the flexibility and the elongation at break of the material. An increase in the molecular weight of the soft segment leads to higher glass transition temperature (T</w:t>
      </w:r>
      <w:r w:rsidRPr="008F3CEA">
        <w:rPr>
          <w:rFonts w:ascii="Arial" w:hAnsi="Arial" w:cs="Arial"/>
          <w:sz w:val="24"/>
          <w:szCs w:val="24"/>
          <w:vertAlign w:val="subscript"/>
          <w:lang w:val="en-US"/>
        </w:rPr>
        <w:t>g</w:t>
      </w:r>
      <w:r w:rsidRPr="008F3CEA">
        <w:rPr>
          <w:rFonts w:ascii="Arial" w:hAnsi="Arial" w:cs="Arial"/>
          <w:sz w:val="24"/>
          <w:szCs w:val="24"/>
          <w:lang w:val="en-US"/>
        </w:rPr>
        <w:t>) of the polymer, while low molecular weight polyols lead to a higher degree of microphase separation which results in lower T</w:t>
      </w:r>
      <w:r w:rsidRPr="008F3CEA">
        <w:rPr>
          <w:rFonts w:ascii="Arial" w:hAnsi="Arial" w:cs="Arial"/>
          <w:sz w:val="24"/>
          <w:szCs w:val="24"/>
          <w:vertAlign w:val="subscript"/>
          <w:lang w:val="en-US"/>
        </w:rPr>
        <w:t xml:space="preserve">g </w:t>
      </w:r>
      <w:r w:rsidRPr="008F3CEA">
        <w:rPr>
          <w:rFonts w:ascii="Arial" w:hAnsi="Arial" w:cs="Arial"/>
          <w:sz w:val="24"/>
          <w:szCs w:val="24"/>
          <w:lang w:val="en-US"/>
        </w:rPr>
        <w:t>and higher flexibility.</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 use of polyesters and polyethers for the synthesis of polyurethanes for biomedical applications has been extensively reported. Generally polyester-based PUs show good physical properties, but are susceptible to hydrolysis of their ester linkages. When polyethers are used as dyols, better stability and resistance to hydrolytic degradation is achieved. </w:t>
      </w:r>
    </w:p>
    <w:p w:rsidR="00550A30" w:rsidRPr="008F3CEA" w:rsidRDefault="00D873AE" w:rsidP="00550A30">
      <w:pPr>
        <w:spacing w:before="240" w:after="240"/>
        <w:rPr>
          <w:rFonts w:ascii="Arial" w:hAnsi="Arial" w:cs="Arial"/>
          <w:b/>
          <w:sz w:val="24"/>
          <w:szCs w:val="24"/>
          <w:lang w:val="en-US"/>
        </w:rPr>
      </w:pPr>
      <w:r>
        <w:rPr>
          <w:rFonts w:ascii="Arial" w:hAnsi="Arial" w:cs="Arial"/>
          <w:b/>
          <w:sz w:val="24"/>
          <w:szCs w:val="24"/>
          <w:lang w:val="en-US"/>
        </w:rPr>
        <w:lastRenderedPageBreak/>
        <w:t>A.3.3</w:t>
      </w:r>
      <w:r w:rsidR="00550A30" w:rsidRPr="008F3CEA">
        <w:rPr>
          <w:rFonts w:ascii="Arial" w:hAnsi="Arial" w:cs="Arial"/>
          <w:b/>
          <w:sz w:val="24"/>
          <w:szCs w:val="24"/>
          <w:lang w:val="en-US"/>
        </w:rPr>
        <w:t xml:space="preserve"> Chain extenders</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Chain extenders are used to extend the length of the hard segment and to increase the hydrogen bond density and molecular weight of the polyurethanes.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 chemistry of the chain extender plays an important role in determining the final physical properties of the material. </w:t>
      </w:r>
    </w:p>
    <w:p w:rsidR="00550A30" w:rsidRPr="008F3CEA" w:rsidRDefault="00550A30" w:rsidP="00550A30">
      <w:pPr>
        <w:spacing w:line="360" w:lineRule="auto"/>
        <w:jc w:val="both"/>
        <w:rPr>
          <w:rFonts w:ascii="Arial" w:hAnsi="Arial" w:cs="Arial"/>
          <w:sz w:val="24"/>
          <w:szCs w:val="24"/>
          <w:lang w:val="en-US"/>
        </w:rPr>
      </w:pPr>
      <w:r w:rsidRPr="008F3CEA">
        <w:rPr>
          <w:rFonts w:ascii="Arial" w:hAnsi="Arial" w:cs="Arial"/>
          <w:sz w:val="24"/>
          <w:szCs w:val="24"/>
          <w:lang w:val="en-US"/>
        </w:rPr>
        <w:t>Most commonly used chain extenders are listed in table 5.3 and can be classified into aromatic or aliphatic diols and diamines. The selection of diamines or diols determines whether urea groups or urethane groups are formed in the chain extension reaction.</w:t>
      </w:r>
    </w:p>
    <w:tbl>
      <w:tblPr>
        <w:tblW w:w="0" w:type="auto"/>
        <w:jc w:val="center"/>
        <w:tblBorders>
          <w:top w:val="single" w:sz="8" w:space="0" w:color="000000"/>
          <w:left w:val="single" w:sz="8" w:space="0" w:color="000000"/>
          <w:bottom w:val="single" w:sz="8" w:space="0" w:color="000000"/>
          <w:right w:val="single" w:sz="8" w:space="0" w:color="000000"/>
        </w:tblBorders>
        <w:shd w:val="clear" w:color="auto" w:fill="EEECE1" w:themeFill="background2"/>
        <w:tblLook w:val="00A0"/>
      </w:tblPr>
      <w:tblGrid>
        <w:gridCol w:w="2975"/>
        <w:gridCol w:w="5102"/>
      </w:tblGrid>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Chain extender</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Chemical structure</w:t>
            </w:r>
          </w:p>
        </w:tc>
      </w:tr>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1,4-butanediol</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1975" w:dyaOrig="672">
                <v:shape id="_x0000_i1037" type="#_x0000_t75" style="width:89.25pt;height:28.5pt" o:ole="">
                  <v:imagedata r:id="rId119" o:title=""/>
                </v:shape>
                <o:OLEObject Type="Embed" ProgID="ChemDraw.Document.6.0" ShapeID="_x0000_i1037" DrawAspect="Content" ObjectID="_1406466511" r:id="rId120"/>
              </w:object>
            </w:r>
          </w:p>
        </w:tc>
      </w:tr>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1,4-butane diamine</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1981" w:dyaOrig="672">
                <v:shape id="_x0000_i1038" type="#_x0000_t75" style="width:83.25pt;height:28.5pt" o:ole="">
                  <v:imagedata r:id="rId121" o:title=""/>
                </v:shape>
                <o:OLEObject Type="Embed" ProgID="ChemDraw.Document.6.0" ShapeID="_x0000_i1038" DrawAspect="Content" ObjectID="_1406466512" r:id="rId122"/>
              </w:object>
            </w:r>
          </w:p>
        </w:tc>
      </w:tr>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Ethylene glycol</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1975" w:dyaOrig="672">
                <v:shape id="_x0000_i1039" type="#_x0000_t75" style="width:87pt;height:28.5pt" o:ole="">
                  <v:imagedata r:id="rId123" o:title=""/>
                </v:shape>
                <o:OLEObject Type="Embed" ProgID="ChemDraw.Document.6.0" ShapeID="_x0000_i1039" DrawAspect="Content" ObjectID="_1406466513" r:id="rId124"/>
              </w:object>
            </w:r>
          </w:p>
        </w:tc>
      </w:tr>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Ethylene diamine</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1981" w:dyaOrig="672">
                <v:shape id="_x0000_i1040" type="#_x0000_t75" style="width:87pt;height:30pt" o:ole="">
                  <v:imagedata r:id="rId125" o:title=""/>
                </v:shape>
                <o:OLEObject Type="Embed" ProgID="ChemDraw.Document.6.0" ShapeID="_x0000_i1040" DrawAspect="Content" ObjectID="_1406466514" r:id="rId126"/>
              </w:object>
            </w:r>
          </w:p>
        </w:tc>
      </w:tr>
      <w:tr w:rsidR="00550A30" w:rsidRPr="008F3CEA" w:rsidTr="009925A1">
        <w:trPr>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Exanediol</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1975" w:dyaOrig="672">
                <v:shape id="_x0000_i1041" type="#_x0000_t75" style="width:87pt;height:30pt" o:ole="">
                  <v:imagedata r:id="rId127" o:title=""/>
                </v:shape>
                <o:OLEObject Type="Embed" ProgID="ChemDraw.Document.6.0" ShapeID="_x0000_i1041" DrawAspect="Content" ObjectID="_1406466515" r:id="rId128"/>
              </w:object>
            </w:r>
          </w:p>
        </w:tc>
      </w:tr>
      <w:tr w:rsidR="00550A30" w:rsidRPr="008F3CEA" w:rsidTr="009925A1">
        <w:trPr>
          <w:trHeight w:val="1109"/>
          <w:jc w:val="center"/>
        </w:trPr>
        <w:tc>
          <w:tcPr>
            <w:tcW w:w="2975" w:type="dxa"/>
            <w:tcBorders>
              <w:top w:val="single" w:sz="8" w:space="0" w:color="000000"/>
              <w:left w:val="nil"/>
              <w:bottom w:val="single" w:sz="8" w:space="0" w:color="000000"/>
            </w:tcBorders>
            <w:shd w:val="clear" w:color="auto" w:fill="EEECE1" w:themeFill="background2"/>
            <w:vAlign w:val="center"/>
          </w:tcPr>
          <w:p w:rsidR="00550A30" w:rsidRPr="008F3CEA" w:rsidRDefault="00550A30" w:rsidP="009925A1">
            <w:pPr>
              <w:autoSpaceDE w:val="0"/>
              <w:autoSpaceDN w:val="0"/>
              <w:adjustRightInd w:val="0"/>
              <w:jc w:val="center"/>
              <w:rPr>
                <w:b/>
                <w:bCs/>
                <w:color w:val="000000" w:themeColor="text1"/>
                <w:sz w:val="24"/>
                <w:szCs w:val="24"/>
                <w:lang w:val="it-IT"/>
              </w:rPr>
            </w:pPr>
            <w:r w:rsidRPr="008F3CEA">
              <w:rPr>
                <w:b/>
                <w:bCs/>
                <w:color w:val="000000" w:themeColor="text1"/>
                <w:sz w:val="24"/>
                <w:szCs w:val="24"/>
                <w:lang w:val="it-IT"/>
              </w:rPr>
              <w:t>1,4 Cyclohexane dimethanol</w:t>
            </w:r>
          </w:p>
        </w:tc>
        <w:tc>
          <w:tcPr>
            <w:tcW w:w="5102" w:type="dxa"/>
            <w:tcBorders>
              <w:top w:val="single" w:sz="8" w:space="0" w:color="000000"/>
              <w:bottom w:val="single" w:sz="8" w:space="0" w:color="000000"/>
              <w:right w:val="nil"/>
            </w:tcBorders>
            <w:shd w:val="clear" w:color="auto" w:fill="EEECE1" w:themeFill="background2"/>
            <w:vAlign w:val="center"/>
          </w:tcPr>
          <w:p w:rsidR="00550A30" w:rsidRPr="008F3CEA" w:rsidRDefault="00550A30" w:rsidP="009925A1">
            <w:pPr>
              <w:autoSpaceDE w:val="0"/>
              <w:autoSpaceDN w:val="0"/>
              <w:adjustRightInd w:val="0"/>
              <w:jc w:val="center"/>
              <w:rPr>
                <w:color w:val="000000" w:themeColor="text1"/>
                <w:sz w:val="24"/>
                <w:szCs w:val="24"/>
                <w:lang w:val="it-IT"/>
              </w:rPr>
            </w:pPr>
            <w:r w:rsidRPr="008F3CEA">
              <w:rPr>
                <w:color w:val="000000" w:themeColor="text1"/>
              </w:rPr>
              <w:object w:dxaOrig="2592" w:dyaOrig="951">
                <v:shape id="_x0000_i1042" type="#_x0000_t75" style="width:117.75pt;height:43.5pt" o:ole="">
                  <v:imagedata r:id="rId129" o:title=""/>
                </v:shape>
                <o:OLEObject Type="Embed" ProgID="ChemDraw.Document.6.0" ShapeID="_x0000_i1042" DrawAspect="Content" ObjectID="_1406466516" r:id="rId130"/>
              </w:object>
            </w:r>
          </w:p>
        </w:tc>
      </w:tr>
    </w:tbl>
    <w:p w:rsidR="00550A30" w:rsidRPr="008F3CEA" w:rsidRDefault="00550A30" w:rsidP="00550A30">
      <w:pPr>
        <w:pStyle w:val="Didascalia"/>
        <w:spacing w:before="120"/>
        <w:rPr>
          <w:rFonts w:ascii="Arial" w:hAnsi="Arial" w:cs="Arial"/>
          <w:sz w:val="24"/>
          <w:szCs w:val="24"/>
          <w:lang w:val="en-US"/>
        </w:rPr>
      </w:pPr>
      <w:r w:rsidRPr="008F3CEA">
        <w:t xml:space="preserve">Table A. </w:t>
      </w:r>
      <w:fldSimple w:instr=" SEQ Table_5. \* ARABIC ">
        <w:r w:rsidRPr="008F3CEA">
          <w:rPr>
            <w:noProof/>
          </w:rPr>
          <w:t>3</w:t>
        </w:r>
      </w:fldSimple>
      <w:r w:rsidRPr="008F3CEA">
        <w:t xml:space="preserve"> List of chain extenders used during PU synthesis. Adapted from [5]</w:t>
      </w:r>
      <w:r w:rsidRPr="008F3CEA">
        <w:rPr>
          <w:lang w:val="en-US"/>
        </w:rPr>
        <w:t>.</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In general, aliphatic chain extenders bring to softer materials while cyclic ones or a mixture of the two can be adopted to increase the rigidity of the polymer.</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Diamine-based chain extenders react rapidly and vigorously to produce urea groups, for the production of polyurethane-urea polymer. </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Glycol extended PUs are more flexible but less strong than amine-extended analogs. </w:t>
      </w:r>
    </w:p>
    <w:p w:rsidR="00D873AE" w:rsidRDefault="00D873AE" w:rsidP="00550A30">
      <w:pPr>
        <w:spacing w:before="240" w:after="240"/>
        <w:rPr>
          <w:rFonts w:ascii="Arial" w:hAnsi="Arial" w:cs="Arial"/>
          <w:b/>
          <w:sz w:val="24"/>
          <w:szCs w:val="24"/>
          <w:lang w:val="en-US"/>
        </w:rPr>
      </w:pPr>
    </w:p>
    <w:p w:rsidR="00D873AE" w:rsidRDefault="00D873AE" w:rsidP="00550A30">
      <w:pPr>
        <w:spacing w:before="240" w:after="240"/>
        <w:rPr>
          <w:rFonts w:ascii="Arial" w:hAnsi="Arial" w:cs="Arial"/>
          <w:b/>
          <w:sz w:val="24"/>
          <w:szCs w:val="24"/>
          <w:lang w:val="en-US"/>
        </w:rPr>
      </w:pPr>
    </w:p>
    <w:p w:rsidR="00D873AE" w:rsidRDefault="00D873AE" w:rsidP="00550A30">
      <w:pPr>
        <w:spacing w:before="240" w:after="240"/>
        <w:rPr>
          <w:rFonts w:ascii="Arial" w:hAnsi="Arial" w:cs="Arial"/>
          <w:b/>
          <w:sz w:val="24"/>
          <w:szCs w:val="24"/>
          <w:lang w:val="en-US"/>
        </w:rPr>
      </w:pP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lastRenderedPageBreak/>
        <w:t>A.4 Tuning PU properties</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 xml:space="preserve">A.4.1 Bulk modification </w:t>
      </w:r>
    </w:p>
    <w:p w:rsidR="00550A30" w:rsidRPr="008F3CEA" w:rsidRDefault="00550A30" w:rsidP="00550A30">
      <w:pPr>
        <w:spacing w:before="240" w:after="0" w:line="360" w:lineRule="auto"/>
        <w:jc w:val="both"/>
        <w:rPr>
          <w:rFonts w:ascii="Arial" w:hAnsi="Arial" w:cs="Arial"/>
          <w:sz w:val="24"/>
          <w:szCs w:val="24"/>
          <w:lang w:val="en-US"/>
        </w:rPr>
      </w:pPr>
      <w:r w:rsidRPr="008F3CEA">
        <w:rPr>
          <w:rFonts w:ascii="Arial" w:hAnsi="Arial" w:cs="Arial"/>
          <w:sz w:val="24"/>
          <w:szCs w:val="24"/>
          <w:lang w:val="en-US"/>
        </w:rPr>
        <w:t>Polyurethanes are versatile polymers and therefore provides a great variety of synthesis options. By selecting the chemistry of each reagent (diisocyanate, soft or hard segment, chain extender) it is possible to incorporate specific functional groups inside the polymer structure, according to the selected application.</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These groups can modify the biological performance or can provide sites for further modification, to improve biocompatibility. Ionic groups, such as sulfonate, carboxyl or amino groups can be incorporated to change the physico-chemical properties of the material [7]. Other additives, such as anti-oxidants, proteins or surfactants, can be added during the synthesis [8]. These molecules are then able to migrate towards the surface, once implanted </w:t>
      </w:r>
      <w:r w:rsidRPr="008F3CEA">
        <w:rPr>
          <w:rFonts w:ascii="Arial" w:hAnsi="Arial" w:cs="Arial"/>
          <w:i/>
          <w:sz w:val="24"/>
          <w:szCs w:val="24"/>
          <w:lang w:val="en-US"/>
        </w:rPr>
        <w:t>in vivo</w:t>
      </w:r>
      <w:r w:rsidRPr="008F3CEA">
        <w:rPr>
          <w:rFonts w:ascii="Arial" w:hAnsi="Arial" w:cs="Arial"/>
          <w:sz w:val="24"/>
          <w:szCs w:val="24"/>
          <w:lang w:val="en-US"/>
        </w:rPr>
        <w:t xml:space="preserve"> providing excellent biomimetic properties and increasing biocompatibility.  </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A.4.2 Surface modification</w:t>
      </w:r>
    </w:p>
    <w:p w:rsidR="00550A30" w:rsidRPr="008F3CEA" w:rsidRDefault="00550A30" w:rsidP="00550A30">
      <w:pPr>
        <w:spacing w:after="0" w:line="360" w:lineRule="auto"/>
        <w:jc w:val="both"/>
        <w:rPr>
          <w:rFonts w:ascii="Arial" w:hAnsi="Arial" w:cs="Arial"/>
          <w:sz w:val="24"/>
          <w:szCs w:val="24"/>
          <w:lang w:val="en-US"/>
        </w:rPr>
      </w:pPr>
      <w:r w:rsidRPr="008F3CEA">
        <w:rPr>
          <w:rFonts w:ascii="Arial" w:hAnsi="Arial" w:cs="Arial"/>
          <w:sz w:val="24"/>
          <w:szCs w:val="24"/>
          <w:lang w:val="en-US"/>
        </w:rPr>
        <w:t>Modification of the bulk material, often results in surface modification as well. Since this approach may cause excessive alteration of the physico-chemical properties, treatments for surface modification have been developed, including: (i) surface treatment after bulk modification and (ii) surface treatment alone. The insertion of carboxyl groups in the bulk material can be exploited for further attachments of peptides to the surface, as proposed by Lin et al. [9]. Heparinized surfaces to improve the hemocompatibility of the material have been obtained by incorporating ammonium groups which are able to bind Heparin through the formation of ionic bonds [10]. Molecules, such as pharmaceutical agents, peptides etc., can be covalently attached to the surface through the use of diisocyanate bridges. A large number of molecules can be attached to the surface, including poly(ethylene oxide) (PEO), albumin and heparin [11,12]. Other techniques for surface modification include graft photo-polymerization [13] and plasma glow discharge technology [14].</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A.5 Biodegradation of Polyurethanes</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It is known that many PU degrade </w:t>
      </w:r>
      <w:r w:rsidRPr="008F3CEA">
        <w:rPr>
          <w:rFonts w:ascii="Arial" w:hAnsi="Arial" w:cs="Arial"/>
          <w:i/>
          <w:sz w:val="24"/>
          <w:szCs w:val="24"/>
          <w:lang w:val="en-US"/>
        </w:rPr>
        <w:t xml:space="preserve">in vivo </w:t>
      </w:r>
      <w:r w:rsidRPr="008F3CEA">
        <w:rPr>
          <w:rFonts w:ascii="Arial" w:hAnsi="Arial" w:cs="Arial"/>
          <w:sz w:val="24"/>
          <w:szCs w:val="24"/>
          <w:lang w:val="en-US"/>
        </w:rPr>
        <w:t>as a result of a number of processes, including hydrolysis and oxidation, leading to significant changes in the mechanical properties and surface chemistry of the material [5].</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lastRenderedPageBreak/>
        <w:t>In general, when polyesters are used as macrodiols, the material is more sensitive to hydrolytic degradation; while if the PU is based on polyether diols oxidation will be the main mechanism of degradation.</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Hydrolysis is one of main mechanisms of degradation of PU in aqueous environment. Urethane bonds are little susceptible to hydrolysis and the process is facilitated by the presence of ester bonds or polar groups in the polymer.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The hydrolysis rate depends upon the reactivity of the chemical bonds and on the concentration of water inside the polymer, which is also dependent on the diffusion properties of the material.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Hydrolysis results in the cleavage of polymer chains, which causes a reduction of the molecular weight and therefore an alteration of the mechanical and physical properties of the material.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Different components, like cells, enzymes, vitamins, water, salts and peroxides are responsible for the degradation of these materials. Generally, for hydrophobic PUs degradation involves only the surface, while more hydrophilic materials undergo bulk hydrolysis.</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In chemically active media, like plasma, degradation occurs through different stages:</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1. Adsorption of the medium on the polymer surface</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2. Diffusion into the bulk material</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3. Chemical reaction with the chemically unstable bonds of the material</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4. Desorption and diffusion of the degradation products out of the material. </w:t>
      </w:r>
    </w:p>
    <w:p w:rsidR="00550A30" w:rsidRPr="008F3CEA" w:rsidRDefault="00550A30" w:rsidP="00550A30">
      <w:pPr>
        <w:autoSpaceDE w:val="0"/>
        <w:autoSpaceDN w:val="0"/>
        <w:adjustRightInd w:val="0"/>
        <w:spacing w:after="0" w:line="240" w:lineRule="auto"/>
        <w:rPr>
          <w:rFonts w:ascii="Arial" w:hAnsi="Arial" w:cs="Arial"/>
          <w:sz w:val="24"/>
          <w:szCs w:val="24"/>
          <w:lang w:val="en-US"/>
        </w:rPr>
      </w:pP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Different enzymes and Fungi are also known to cause PU degradation [2]. Porcine pancreatic elastase rapidly degrades polyester-based PU, at 10-times higher rate than polyether PUs [15]. Phua et al. [16] tested the activity of two proteolitic enzymes, papain and urease, on polyether PUs, demonstrating that papain is able to degrade both cross-linked and not cross-linked polymers, by hydrolyzing the urethane and urea linkages producing free amine and hydroxyl groups. Urease activity, because of its high molecular weight (473 kDa), was limited to the PU surface and therefore was not significant. </w:t>
      </w:r>
    </w:p>
    <w:p w:rsidR="00550A30" w:rsidRPr="008F3CEA" w:rsidRDefault="00550A30" w:rsidP="00550A30">
      <w:pPr>
        <w:spacing w:before="240" w:after="240"/>
        <w:rPr>
          <w:rFonts w:ascii="Arial" w:hAnsi="Arial" w:cs="Arial"/>
          <w:b/>
          <w:sz w:val="24"/>
          <w:szCs w:val="24"/>
          <w:lang w:val="en-US"/>
        </w:rPr>
      </w:pPr>
      <w:r w:rsidRPr="008F3CEA">
        <w:rPr>
          <w:rFonts w:ascii="Arial" w:hAnsi="Arial" w:cs="Arial"/>
          <w:b/>
          <w:sz w:val="24"/>
          <w:szCs w:val="24"/>
          <w:lang w:val="en-US"/>
        </w:rPr>
        <w:t>References</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[1] Bayer O. </w:t>
      </w:r>
      <w:r w:rsidRPr="008F3CEA">
        <w:rPr>
          <w:rFonts w:ascii="Arial" w:hAnsi="Arial" w:cs="Arial"/>
          <w:b/>
          <w:sz w:val="24"/>
          <w:szCs w:val="24"/>
          <w:lang w:val="en-US"/>
        </w:rPr>
        <w:t>1947</w:t>
      </w:r>
      <w:r w:rsidRPr="008F3CEA">
        <w:rPr>
          <w:rFonts w:ascii="Arial" w:hAnsi="Arial" w:cs="Arial"/>
          <w:sz w:val="24"/>
          <w:szCs w:val="24"/>
          <w:lang w:val="en-US"/>
        </w:rPr>
        <w:t xml:space="preserve"> Modern plastics 24: 149</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[2] Howard G.T. </w:t>
      </w:r>
      <w:r w:rsidRPr="008F3CEA">
        <w:rPr>
          <w:rFonts w:ascii="Arial" w:hAnsi="Arial" w:cs="Arial"/>
          <w:b/>
          <w:sz w:val="24"/>
          <w:szCs w:val="24"/>
          <w:lang w:val="en-US"/>
        </w:rPr>
        <w:t>2002</w:t>
      </w:r>
      <w:r w:rsidRPr="008F3CEA">
        <w:rPr>
          <w:rFonts w:ascii="Arial" w:hAnsi="Arial" w:cs="Arial"/>
          <w:sz w:val="24"/>
          <w:szCs w:val="24"/>
          <w:lang w:val="en-US"/>
        </w:rPr>
        <w:t xml:space="preserve"> Int. Biodeterioration Biodegradation 49:245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lastRenderedPageBreak/>
        <w:t xml:space="preserve">[3] Saunders JH et al. </w:t>
      </w:r>
      <w:r w:rsidRPr="008F3CEA">
        <w:rPr>
          <w:rFonts w:ascii="Arial" w:hAnsi="Arial" w:cs="Arial"/>
          <w:b/>
          <w:sz w:val="24"/>
          <w:szCs w:val="24"/>
          <w:lang w:val="en-US"/>
        </w:rPr>
        <w:t>1964</w:t>
      </w:r>
      <w:r w:rsidRPr="008F3CEA">
        <w:rPr>
          <w:rFonts w:ascii="Arial" w:hAnsi="Arial" w:cs="Arial"/>
          <w:sz w:val="24"/>
          <w:szCs w:val="24"/>
          <w:lang w:val="en-US"/>
        </w:rPr>
        <w:t xml:space="preserve"> in: Polyurethanes: chemistry and technology part II: technology. Interscience publishers, New York. </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[4] Urbanski J. et al. </w:t>
      </w:r>
      <w:r w:rsidRPr="008F3CEA">
        <w:rPr>
          <w:rFonts w:ascii="Arial" w:hAnsi="Arial" w:cs="Arial"/>
          <w:b/>
          <w:sz w:val="24"/>
          <w:szCs w:val="24"/>
          <w:lang w:val="en-US"/>
        </w:rPr>
        <w:t xml:space="preserve">1977 </w:t>
      </w:r>
      <w:r w:rsidRPr="008F3CEA">
        <w:rPr>
          <w:rFonts w:ascii="Arial" w:hAnsi="Arial" w:cs="Arial"/>
          <w:sz w:val="24"/>
          <w:szCs w:val="24"/>
          <w:lang w:val="en-US"/>
        </w:rPr>
        <w:t>in: Handbook</w:t>
      </w:r>
      <w:r w:rsidRPr="008F3CEA">
        <w:rPr>
          <w:rFonts w:ascii="Arial" w:hAnsi="Arial" w:cs="Arial"/>
          <w:b/>
          <w:sz w:val="24"/>
          <w:szCs w:val="24"/>
          <w:lang w:val="en-US"/>
        </w:rPr>
        <w:t xml:space="preserve"> </w:t>
      </w:r>
      <w:r w:rsidRPr="008F3CEA">
        <w:rPr>
          <w:rFonts w:ascii="Arial" w:hAnsi="Arial" w:cs="Arial"/>
          <w:sz w:val="24"/>
          <w:szCs w:val="24"/>
          <w:lang w:val="en-US"/>
        </w:rPr>
        <w:t>of analysis of synthetic polymers and plastics. Hellis Horwood Limited, Chichester, UK.</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[5] Lamba N.M.K. et al. </w:t>
      </w:r>
      <w:r w:rsidRPr="008F3CEA">
        <w:rPr>
          <w:rFonts w:ascii="Arial" w:hAnsi="Arial" w:cs="Arial"/>
          <w:b/>
          <w:sz w:val="24"/>
          <w:szCs w:val="24"/>
          <w:lang w:val="en-US"/>
        </w:rPr>
        <w:t xml:space="preserve">1998 </w:t>
      </w:r>
      <w:r w:rsidRPr="008F3CEA">
        <w:rPr>
          <w:rFonts w:ascii="Arial" w:hAnsi="Arial" w:cs="Arial"/>
          <w:sz w:val="24"/>
          <w:szCs w:val="24"/>
          <w:lang w:val="en-US"/>
        </w:rPr>
        <w:t>in: Polyurethanes in biomedical applications, CRC press</w:t>
      </w:r>
    </w:p>
    <w:p w:rsidR="00550A30" w:rsidRPr="008F3CEA" w:rsidRDefault="00550A30" w:rsidP="00550A30">
      <w:pPr>
        <w:autoSpaceDE w:val="0"/>
        <w:autoSpaceDN w:val="0"/>
        <w:adjustRightInd w:val="0"/>
        <w:spacing w:after="0" w:line="360" w:lineRule="auto"/>
        <w:jc w:val="both"/>
        <w:rPr>
          <w:rFonts w:ascii="Arial" w:hAnsi="Arial" w:cs="Arial"/>
          <w:noProof/>
          <w:sz w:val="24"/>
          <w:szCs w:val="24"/>
        </w:rPr>
      </w:pPr>
      <w:r w:rsidRPr="008F3CEA">
        <w:rPr>
          <w:rFonts w:ascii="Arial" w:hAnsi="Arial" w:cs="Arial"/>
          <w:sz w:val="24"/>
          <w:szCs w:val="24"/>
          <w:lang w:val="en-US"/>
        </w:rPr>
        <w:t xml:space="preserve">[6] </w:t>
      </w:r>
      <w:r w:rsidRPr="008F3CEA">
        <w:rPr>
          <w:rFonts w:ascii="Arial" w:hAnsi="Arial" w:cs="Arial"/>
          <w:bCs/>
          <w:noProof/>
          <w:sz w:val="24"/>
          <w:szCs w:val="24"/>
        </w:rPr>
        <w:t>Skarja G.A., Woodhouse K.A.</w:t>
      </w:r>
      <w:r w:rsidRPr="008F3CEA">
        <w:rPr>
          <w:rFonts w:ascii="Arial" w:hAnsi="Arial" w:cs="Arial"/>
          <w:noProof/>
          <w:sz w:val="24"/>
          <w:szCs w:val="24"/>
        </w:rPr>
        <w:t xml:space="preserve"> </w:t>
      </w:r>
      <w:r w:rsidRPr="008F3CEA">
        <w:rPr>
          <w:rFonts w:ascii="Arial" w:hAnsi="Arial" w:cs="Arial"/>
          <w:b/>
          <w:noProof/>
          <w:sz w:val="24"/>
          <w:szCs w:val="24"/>
        </w:rPr>
        <w:t>2000</w:t>
      </w:r>
      <w:r w:rsidRPr="008F3CEA">
        <w:rPr>
          <w:rFonts w:ascii="Arial" w:hAnsi="Arial" w:cs="Arial"/>
          <w:noProof/>
          <w:sz w:val="24"/>
          <w:szCs w:val="24"/>
        </w:rPr>
        <w:t xml:space="preserve"> Journal of Applied Polymer Science 75: 1522</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en-US"/>
        </w:rPr>
        <w:t xml:space="preserve">[7] Harvey R.A. et al. </w:t>
      </w:r>
      <w:r w:rsidRPr="008F3CEA">
        <w:rPr>
          <w:rFonts w:ascii="Arial" w:hAnsi="Arial" w:cs="Arial"/>
          <w:b/>
          <w:sz w:val="24"/>
          <w:szCs w:val="24"/>
          <w:lang w:val="en-US"/>
        </w:rPr>
        <w:t xml:space="preserve">1989 </w:t>
      </w:r>
      <w:r w:rsidRPr="008F3CEA">
        <w:rPr>
          <w:rFonts w:ascii="Arial" w:hAnsi="Arial" w:cs="Arial"/>
          <w:sz w:val="24"/>
          <w:szCs w:val="24"/>
          <w:lang w:val="en-US"/>
        </w:rPr>
        <w:t xml:space="preserve">Thromb. </w:t>
      </w:r>
      <w:r w:rsidRPr="008F3CEA">
        <w:rPr>
          <w:rFonts w:ascii="Arial" w:hAnsi="Arial" w:cs="Arial"/>
          <w:sz w:val="24"/>
          <w:szCs w:val="24"/>
          <w:lang w:val="fr-FR"/>
        </w:rPr>
        <w:t>Haemostat. 61:131</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fr-FR"/>
        </w:rPr>
        <w:t xml:space="preserve">[8] Santerre J.P. et al. </w:t>
      </w:r>
      <w:r w:rsidRPr="008F3CEA">
        <w:rPr>
          <w:rFonts w:ascii="Arial" w:hAnsi="Arial" w:cs="Arial"/>
          <w:b/>
          <w:sz w:val="24"/>
          <w:szCs w:val="24"/>
          <w:lang w:val="fr-FR"/>
        </w:rPr>
        <w:t xml:space="preserve">1991 </w:t>
      </w:r>
      <w:r w:rsidRPr="008F3CEA">
        <w:rPr>
          <w:rFonts w:ascii="Arial" w:hAnsi="Arial" w:cs="Arial"/>
          <w:sz w:val="24"/>
          <w:szCs w:val="24"/>
          <w:lang w:val="fr-FR"/>
        </w:rPr>
        <w:t>Macromolecules 24:5497</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fr-FR"/>
        </w:rPr>
        <w:t xml:space="preserve">[9] Lin H.B. et al. </w:t>
      </w:r>
      <w:r w:rsidRPr="008F3CEA">
        <w:rPr>
          <w:rFonts w:ascii="Arial" w:hAnsi="Arial" w:cs="Arial"/>
          <w:b/>
          <w:sz w:val="24"/>
          <w:szCs w:val="24"/>
          <w:lang w:val="fr-FR"/>
        </w:rPr>
        <w:t>1994</w:t>
      </w:r>
      <w:r w:rsidRPr="008F3CEA">
        <w:rPr>
          <w:rFonts w:ascii="Arial" w:hAnsi="Arial" w:cs="Arial"/>
          <w:sz w:val="24"/>
          <w:szCs w:val="24"/>
          <w:lang w:val="fr-FR"/>
        </w:rPr>
        <w:t xml:space="preserve"> J. Biomed. Mater. Res. 28:329</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fr-FR"/>
        </w:rPr>
        <w:t xml:space="preserve">[10] Ito Y. et al. </w:t>
      </w:r>
      <w:r w:rsidRPr="008F3CEA">
        <w:rPr>
          <w:rFonts w:ascii="Arial" w:hAnsi="Arial" w:cs="Arial"/>
          <w:b/>
          <w:sz w:val="24"/>
          <w:szCs w:val="24"/>
          <w:lang w:val="fr-FR"/>
        </w:rPr>
        <w:t>1986</w:t>
      </w:r>
      <w:r w:rsidRPr="008F3CEA">
        <w:rPr>
          <w:rFonts w:ascii="Arial" w:hAnsi="Arial" w:cs="Arial"/>
          <w:sz w:val="24"/>
          <w:szCs w:val="24"/>
          <w:lang w:val="fr-FR"/>
        </w:rPr>
        <w:t xml:space="preserve"> J. Biomed. Mater. Res. 20:1017</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fr-FR"/>
        </w:rPr>
        <w:t xml:space="preserve">[11] Bamford C.H. et al. </w:t>
      </w:r>
      <w:r w:rsidRPr="008F3CEA">
        <w:rPr>
          <w:rFonts w:ascii="Arial" w:hAnsi="Arial" w:cs="Arial"/>
          <w:b/>
          <w:sz w:val="24"/>
          <w:szCs w:val="24"/>
          <w:lang w:val="fr-FR"/>
        </w:rPr>
        <w:t xml:space="preserve">1984 </w:t>
      </w:r>
      <w:r w:rsidRPr="008F3CEA">
        <w:rPr>
          <w:rFonts w:ascii="Arial" w:hAnsi="Arial" w:cs="Arial"/>
          <w:sz w:val="24"/>
          <w:szCs w:val="24"/>
          <w:lang w:val="fr-FR"/>
        </w:rPr>
        <w:t>Polymer Prepr. 25:27</w:t>
      </w:r>
    </w:p>
    <w:p w:rsidR="00550A30" w:rsidRPr="008F3CEA" w:rsidRDefault="00550A30" w:rsidP="00550A30">
      <w:pPr>
        <w:autoSpaceDE w:val="0"/>
        <w:autoSpaceDN w:val="0"/>
        <w:adjustRightInd w:val="0"/>
        <w:spacing w:after="0" w:line="360" w:lineRule="auto"/>
        <w:jc w:val="both"/>
        <w:rPr>
          <w:rFonts w:ascii="Arial" w:hAnsi="Arial" w:cs="Arial"/>
          <w:sz w:val="24"/>
          <w:szCs w:val="24"/>
          <w:lang w:val="fr-FR"/>
        </w:rPr>
      </w:pPr>
      <w:r w:rsidRPr="008F3CEA">
        <w:rPr>
          <w:rFonts w:ascii="Arial" w:hAnsi="Arial" w:cs="Arial"/>
          <w:sz w:val="24"/>
          <w:szCs w:val="24"/>
          <w:lang w:val="fr-FR"/>
        </w:rPr>
        <w:t xml:space="preserve">[12] Joseph G. et al. </w:t>
      </w:r>
      <w:r w:rsidRPr="008F3CEA">
        <w:rPr>
          <w:rFonts w:ascii="Arial" w:hAnsi="Arial" w:cs="Arial"/>
          <w:b/>
          <w:sz w:val="24"/>
          <w:szCs w:val="24"/>
          <w:lang w:val="fr-FR"/>
        </w:rPr>
        <w:t>1987</w:t>
      </w:r>
      <w:r w:rsidRPr="008F3CEA">
        <w:rPr>
          <w:rFonts w:ascii="Arial" w:hAnsi="Arial" w:cs="Arial"/>
          <w:sz w:val="24"/>
          <w:szCs w:val="24"/>
          <w:lang w:val="fr-FR"/>
        </w:rPr>
        <w:t xml:space="preserve"> J. Biomed. Mater. Res 21:937</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fr-FR"/>
        </w:rPr>
        <w:t xml:space="preserve">[13] Jansen B. et al </w:t>
      </w:r>
      <w:r w:rsidRPr="008F3CEA">
        <w:rPr>
          <w:rFonts w:ascii="Arial" w:hAnsi="Arial" w:cs="Arial"/>
          <w:b/>
          <w:sz w:val="24"/>
          <w:szCs w:val="24"/>
          <w:lang w:val="fr-FR"/>
        </w:rPr>
        <w:t>1985</w:t>
      </w:r>
      <w:r w:rsidRPr="008F3CEA">
        <w:rPr>
          <w:rFonts w:ascii="Arial" w:hAnsi="Arial" w:cs="Arial"/>
          <w:sz w:val="24"/>
          <w:szCs w:val="24"/>
          <w:lang w:val="fr-FR"/>
        </w:rPr>
        <w:t xml:space="preserve">. </w:t>
      </w:r>
      <w:r w:rsidRPr="008F3CEA">
        <w:rPr>
          <w:rFonts w:ascii="Arial" w:hAnsi="Arial" w:cs="Arial"/>
          <w:sz w:val="24"/>
          <w:szCs w:val="24"/>
          <w:lang w:val="en-US"/>
        </w:rPr>
        <w:t>J. Biomed. Mater. Res 19: 1085</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[14] Gombotz W.R. et al. </w:t>
      </w:r>
      <w:r w:rsidRPr="008F3CEA">
        <w:rPr>
          <w:rFonts w:ascii="Arial" w:hAnsi="Arial" w:cs="Arial"/>
          <w:b/>
          <w:sz w:val="24"/>
          <w:szCs w:val="24"/>
          <w:lang w:val="en-US"/>
        </w:rPr>
        <w:t xml:space="preserve">1987 </w:t>
      </w:r>
      <w:r w:rsidRPr="008F3CEA">
        <w:rPr>
          <w:rFonts w:ascii="Arial" w:hAnsi="Arial" w:cs="Arial"/>
          <w:sz w:val="24"/>
          <w:szCs w:val="24"/>
          <w:lang w:val="en-US"/>
        </w:rPr>
        <w:t>in Critical Reviews in Biocompatibility, CRC press.</w:t>
      </w:r>
    </w:p>
    <w:p w:rsidR="00550A30" w:rsidRPr="008F3CEA"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en-US"/>
        </w:rPr>
        <w:t xml:space="preserve">[15] Labrow R.S. et al. </w:t>
      </w:r>
      <w:r w:rsidRPr="008F3CEA">
        <w:rPr>
          <w:rFonts w:ascii="Arial" w:hAnsi="Arial" w:cs="Arial"/>
          <w:b/>
          <w:sz w:val="24"/>
          <w:szCs w:val="24"/>
          <w:lang w:val="en-US"/>
        </w:rPr>
        <w:t xml:space="preserve">1996 </w:t>
      </w:r>
      <w:r w:rsidRPr="008F3CEA">
        <w:rPr>
          <w:rFonts w:ascii="Arial" w:hAnsi="Arial" w:cs="Arial"/>
          <w:sz w:val="24"/>
          <w:szCs w:val="24"/>
          <w:lang w:val="en-US"/>
        </w:rPr>
        <w:t>Biomaterials 17: 2381</w:t>
      </w:r>
    </w:p>
    <w:p w:rsidR="00550A30" w:rsidRPr="00916801" w:rsidRDefault="00550A30" w:rsidP="00550A30">
      <w:pPr>
        <w:autoSpaceDE w:val="0"/>
        <w:autoSpaceDN w:val="0"/>
        <w:adjustRightInd w:val="0"/>
        <w:spacing w:after="0" w:line="360" w:lineRule="auto"/>
        <w:jc w:val="both"/>
        <w:rPr>
          <w:rFonts w:ascii="Arial" w:hAnsi="Arial" w:cs="Arial"/>
          <w:sz w:val="24"/>
          <w:szCs w:val="24"/>
          <w:lang w:val="en-US"/>
        </w:rPr>
      </w:pPr>
      <w:r w:rsidRPr="008F3CEA">
        <w:rPr>
          <w:rFonts w:ascii="Arial" w:hAnsi="Arial" w:cs="Arial"/>
          <w:sz w:val="24"/>
          <w:szCs w:val="24"/>
          <w:lang w:val="fr-FR"/>
        </w:rPr>
        <w:t xml:space="preserve">[16] Phua S.K. et al. </w:t>
      </w:r>
      <w:r w:rsidRPr="008F3CEA">
        <w:rPr>
          <w:rFonts w:ascii="Arial" w:hAnsi="Arial" w:cs="Arial"/>
          <w:b/>
          <w:sz w:val="24"/>
          <w:szCs w:val="24"/>
          <w:lang w:val="fr-FR"/>
        </w:rPr>
        <w:t xml:space="preserve">1987 </w:t>
      </w:r>
      <w:r w:rsidRPr="008F3CEA">
        <w:rPr>
          <w:rFonts w:ascii="Arial" w:hAnsi="Arial" w:cs="Arial"/>
          <w:sz w:val="24"/>
          <w:szCs w:val="24"/>
          <w:lang w:val="fr-FR"/>
        </w:rPr>
        <w:t xml:space="preserve">J. Biomed. </w:t>
      </w:r>
      <w:r w:rsidRPr="008F3CEA">
        <w:rPr>
          <w:rFonts w:ascii="Arial" w:hAnsi="Arial" w:cs="Arial"/>
          <w:sz w:val="24"/>
          <w:szCs w:val="24"/>
          <w:lang w:val="en-US"/>
        </w:rPr>
        <w:t>Mat. Research 21:231</w:t>
      </w:r>
    </w:p>
    <w:p w:rsidR="00550A30" w:rsidRPr="00916801" w:rsidRDefault="00550A30" w:rsidP="00550A30">
      <w:pPr>
        <w:spacing w:after="0" w:line="360" w:lineRule="auto"/>
        <w:jc w:val="both"/>
        <w:rPr>
          <w:rFonts w:ascii="Arial" w:hAnsi="Arial" w:cs="Arial"/>
          <w:sz w:val="24"/>
          <w:szCs w:val="24"/>
          <w:lang w:val="en-US"/>
        </w:rPr>
      </w:pPr>
      <w:r w:rsidRPr="00916801">
        <w:rPr>
          <w:rFonts w:ascii="Arial" w:hAnsi="Arial" w:cs="Arial"/>
          <w:sz w:val="24"/>
          <w:szCs w:val="24"/>
          <w:lang w:val="en-US"/>
        </w:rPr>
        <w:t xml:space="preserve">    </w:t>
      </w:r>
    </w:p>
    <w:p w:rsidR="00550A30" w:rsidRPr="00C41A52" w:rsidRDefault="00550A30" w:rsidP="00550A30">
      <w:pPr>
        <w:spacing w:line="360" w:lineRule="auto"/>
        <w:jc w:val="right"/>
        <w:rPr>
          <w:rFonts w:ascii="Arial" w:hAnsi="Arial" w:cs="Arial"/>
          <w:b/>
          <w:sz w:val="120"/>
          <w:szCs w:val="120"/>
          <w:lang w:val="en-US"/>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Default="00550A30" w:rsidP="00387A07">
      <w:pPr>
        <w:tabs>
          <w:tab w:val="left" w:pos="1785"/>
        </w:tabs>
        <w:rPr>
          <w:lang w:val="it-IT"/>
        </w:rPr>
      </w:pPr>
    </w:p>
    <w:p w:rsidR="00550A30" w:rsidRPr="00550A30" w:rsidRDefault="00550A30" w:rsidP="00387A07">
      <w:pPr>
        <w:tabs>
          <w:tab w:val="left" w:pos="1785"/>
        </w:tabs>
        <w:rPr>
          <w:lang w:val="it-IT"/>
        </w:rPr>
      </w:pPr>
    </w:p>
    <w:sectPr w:rsidR="00550A30" w:rsidRPr="00550A30" w:rsidSect="00AE042B">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2536" w:rsidRDefault="00B02536" w:rsidP="00387A07">
      <w:pPr>
        <w:spacing w:after="0" w:line="240" w:lineRule="auto"/>
      </w:pPr>
      <w:r>
        <w:separator/>
      </w:r>
    </w:p>
  </w:endnote>
  <w:endnote w:type="continuationSeparator" w:id="1">
    <w:p w:rsidR="00B02536" w:rsidRDefault="00B02536" w:rsidP="00387A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dvTimes">
    <w:altName w:val="Arial Unicode MS"/>
    <w:panose1 w:val="00000000000000000000"/>
    <w:charset w:val="81"/>
    <w:family w:val="auto"/>
    <w:notTrueType/>
    <w:pitch w:val="default"/>
    <w:sig w:usb0="00000003" w:usb1="09060000" w:usb2="00000010" w:usb3="00000000" w:csb0="00080001" w:csb1="00000000"/>
  </w:font>
  <w:font w:name="Cambria Math">
    <w:panose1 w:val="02040503050406030204"/>
    <w:charset w:val="00"/>
    <w:family w:val="roman"/>
    <w:pitch w:val="variable"/>
    <w:sig w:usb0="E00002FF" w:usb1="420024FF" w:usb2="00000000" w:usb3="00000000" w:csb0="0000019F" w:csb1="00000000"/>
  </w:font>
  <w:font w:name="TimesNRMT">
    <w:panose1 w:val="00000000000000000000"/>
    <w:charset w:val="00"/>
    <w:family w:val="roman"/>
    <w:notTrueType/>
    <w:pitch w:val="default"/>
    <w:sig w:usb0="00000003" w:usb1="00000000" w:usb2="00000000" w:usb3="00000000" w:csb0="00000001" w:csb1="00000000"/>
  </w:font>
  <w:font w:name="OneGulliverA">
    <w:altName w:val="MS Mincho"/>
    <w:panose1 w:val="00000000000000000000"/>
    <w:charset w:val="00"/>
    <w:family w:val="auto"/>
    <w:notTrueType/>
    <w:pitch w:val="default"/>
    <w:sig w:usb0="00000000"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25A1" w:rsidRDefault="009925A1">
    <w:pPr>
      <w:pStyle w:val="Pidipagina"/>
      <w:jc w:val="center"/>
    </w:pPr>
    <w:fldSimple w:instr=" PAGE   \* MERGEFORMAT ">
      <w:r w:rsidR="00426A28">
        <w:rPr>
          <w:noProof/>
        </w:rPr>
        <w:t>11</w:t>
      </w:r>
    </w:fldSimple>
  </w:p>
  <w:p w:rsidR="009925A1" w:rsidRDefault="009925A1">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958"/>
      <w:docPartObj>
        <w:docPartGallery w:val="Page Numbers (Bottom of Page)"/>
        <w:docPartUnique/>
      </w:docPartObj>
    </w:sdtPr>
    <w:sdtContent>
      <w:p w:rsidR="009925A1" w:rsidRDefault="009925A1">
        <w:pPr>
          <w:pStyle w:val="Pidipagina"/>
          <w:jc w:val="center"/>
        </w:pPr>
        <w:fldSimple w:instr=" PAGE   \* MERGEFORMAT ">
          <w:r w:rsidR="00D873AE">
            <w:rPr>
              <w:noProof/>
            </w:rPr>
            <w:t>85</w:t>
          </w:r>
        </w:fldSimple>
      </w:p>
    </w:sdtContent>
  </w:sdt>
  <w:p w:rsidR="009925A1" w:rsidRDefault="009925A1">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2536" w:rsidRDefault="00B02536" w:rsidP="00387A07">
      <w:pPr>
        <w:spacing w:after="0" w:line="240" w:lineRule="auto"/>
      </w:pPr>
      <w:r>
        <w:separator/>
      </w:r>
    </w:p>
  </w:footnote>
  <w:footnote w:type="continuationSeparator" w:id="1">
    <w:p w:rsidR="00B02536" w:rsidRDefault="00B02536" w:rsidP="00387A0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singleLevel"/>
    <w:tmpl w:val="00000006"/>
    <w:name w:val="WW8Num6"/>
    <w:lvl w:ilvl="0">
      <w:numFmt w:val="bullet"/>
      <w:lvlText w:val=""/>
      <w:lvlJc w:val="left"/>
      <w:pPr>
        <w:tabs>
          <w:tab w:val="num" w:pos="0"/>
        </w:tabs>
        <w:ind w:left="283" w:hanging="283"/>
      </w:pPr>
      <w:rPr>
        <w:rFonts w:ascii="Symbol" w:hAnsi="Symbol"/>
      </w:rPr>
    </w:lvl>
  </w:abstractNum>
  <w:abstractNum w:abstractNumId="1">
    <w:nsid w:val="028D7C7A"/>
    <w:multiLevelType w:val="hybridMultilevel"/>
    <w:tmpl w:val="D6EA6BA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05D560C1"/>
    <w:multiLevelType w:val="hybridMultilevel"/>
    <w:tmpl w:val="E5A6D056"/>
    <w:lvl w:ilvl="0" w:tplc="F02ED86A">
      <w:start w:val="223"/>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B6D7E11"/>
    <w:multiLevelType w:val="hybridMultilevel"/>
    <w:tmpl w:val="2B3E5AD4"/>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4">
    <w:nsid w:val="0B725227"/>
    <w:multiLevelType w:val="hybridMultilevel"/>
    <w:tmpl w:val="8C52B52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0CD91B63"/>
    <w:multiLevelType w:val="multilevel"/>
    <w:tmpl w:val="B1A0E466"/>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0FCA7281"/>
    <w:multiLevelType w:val="hybridMultilevel"/>
    <w:tmpl w:val="3FEC9E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125E5689"/>
    <w:multiLevelType w:val="multilevel"/>
    <w:tmpl w:val="143EF3C2"/>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19F75215"/>
    <w:multiLevelType w:val="hybridMultilevel"/>
    <w:tmpl w:val="F6E07280"/>
    <w:lvl w:ilvl="0" w:tplc="C58410CE">
      <w:start w:val="1"/>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26721C48"/>
    <w:multiLevelType w:val="hybridMultilevel"/>
    <w:tmpl w:val="FF1C8358"/>
    <w:lvl w:ilvl="0" w:tplc="BE124A34">
      <w:start w:val="162"/>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8B7391A"/>
    <w:multiLevelType w:val="multilevel"/>
    <w:tmpl w:val="CFB8600A"/>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28EC150E"/>
    <w:multiLevelType w:val="hybridMultilevel"/>
    <w:tmpl w:val="BB8C5C26"/>
    <w:lvl w:ilvl="0" w:tplc="0410000F">
      <w:start w:val="1"/>
      <w:numFmt w:val="decimal"/>
      <w:lvlText w:val="%1."/>
      <w:lvlJc w:val="left"/>
      <w:pPr>
        <w:ind w:left="780" w:hanging="360"/>
      </w:pPr>
    </w:lvl>
    <w:lvl w:ilvl="1" w:tplc="04100019" w:tentative="1">
      <w:start w:val="1"/>
      <w:numFmt w:val="lowerLetter"/>
      <w:lvlText w:val="%2."/>
      <w:lvlJc w:val="left"/>
      <w:pPr>
        <w:ind w:left="1500" w:hanging="360"/>
      </w:p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12">
    <w:nsid w:val="2AAB1A52"/>
    <w:multiLevelType w:val="hybridMultilevel"/>
    <w:tmpl w:val="9DFAF930"/>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2C3E00F9"/>
    <w:multiLevelType w:val="multilevel"/>
    <w:tmpl w:val="E8CA4C9E"/>
    <w:lvl w:ilvl="0">
      <w:start w:val="3"/>
      <w:numFmt w:val="decimal"/>
      <w:lvlText w:val="%1"/>
      <w:lvlJc w:val="left"/>
      <w:pPr>
        <w:ind w:left="405" w:hanging="405"/>
      </w:pPr>
      <w:rPr>
        <w:rFonts w:hint="default"/>
      </w:rPr>
    </w:lvl>
    <w:lvl w:ilvl="1">
      <w:start w:val="3"/>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14">
    <w:nsid w:val="2F102B95"/>
    <w:multiLevelType w:val="hybridMultilevel"/>
    <w:tmpl w:val="BBA65B96"/>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nsid w:val="35F2310B"/>
    <w:multiLevelType w:val="hybridMultilevel"/>
    <w:tmpl w:val="502ACC0A"/>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6">
    <w:nsid w:val="375D197E"/>
    <w:multiLevelType w:val="hybridMultilevel"/>
    <w:tmpl w:val="75DA967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nsid w:val="3E6154E6"/>
    <w:multiLevelType w:val="hybridMultilevel"/>
    <w:tmpl w:val="7282602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45C13B01"/>
    <w:multiLevelType w:val="hybridMultilevel"/>
    <w:tmpl w:val="B99E75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48372D5F"/>
    <w:multiLevelType w:val="multilevel"/>
    <w:tmpl w:val="4462F4D2"/>
    <w:lvl w:ilvl="0">
      <w:start w:val="1"/>
      <w:numFmt w:val="decimal"/>
      <w:lvlText w:val="%1."/>
      <w:lvlJc w:val="left"/>
      <w:pPr>
        <w:ind w:left="780" w:hanging="360"/>
      </w:pPr>
    </w:lvl>
    <w:lvl w:ilvl="1">
      <w:start w:val="3"/>
      <w:numFmt w:val="decimal"/>
      <w:isLgl/>
      <w:lvlText w:val="%1.%2"/>
      <w:lvlJc w:val="left"/>
      <w:pPr>
        <w:ind w:left="1005" w:hanging="585"/>
      </w:pPr>
      <w:rPr>
        <w:rFonts w:hint="default"/>
      </w:rPr>
    </w:lvl>
    <w:lvl w:ilvl="2">
      <w:start w:val="2"/>
      <w:numFmt w:val="decimal"/>
      <w:isLgl/>
      <w:lvlText w:val="%1.%2.%3"/>
      <w:lvlJc w:val="left"/>
      <w:pPr>
        <w:ind w:left="1140" w:hanging="72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60" w:hanging="144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2220" w:hanging="1800"/>
      </w:pPr>
      <w:rPr>
        <w:rFonts w:hint="default"/>
      </w:rPr>
    </w:lvl>
    <w:lvl w:ilvl="8">
      <w:start w:val="1"/>
      <w:numFmt w:val="decimal"/>
      <w:isLgl/>
      <w:lvlText w:val="%1.%2.%3.%4.%5.%6.%7.%8.%9"/>
      <w:lvlJc w:val="left"/>
      <w:pPr>
        <w:ind w:left="2220" w:hanging="1800"/>
      </w:pPr>
      <w:rPr>
        <w:rFonts w:hint="default"/>
      </w:rPr>
    </w:lvl>
  </w:abstractNum>
  <w:abstractNum w:abstractNumId="20">
    <w:nsid w:val="49AA35A5"/>
    <w:multiLevelType w:val="multilevel"/>
    <w:tmpl w:val="961ACC06"/>
    <w:lvl w:ilvl="0">
      <w:start w:val="3"/>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CA17BBF"/>
    <w:multiLevelType w:val="multilevel"/>
    <w:tmpl w:val="6298DAC4"/>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4CC9057B"/>
    <w:multiLevelType w:val="multilevel"/>
    <w:tmpl w:val="CC5C7BD4"/>
    <w:lvl w:ilvl="0">
      <w:start w:val="2"/>
      <w:numFmt w:val="decimal"/>
      <w:lvlText w:val="%1"/>
      <w:lvlJc w:val="left"/>
      <w:pPr>
        <w:ind w:left="525" w:hanging="525"/>
      </w:pPr>
      <w:rPr>
        <w:rFonts w:hint="default"/>
      </w:rPr>
    </w:lvl>
    <w:lvl w:ilvl="1">
      <w:start w:val="2"/>
      <w:numFmt w:val="decimal"/>
      <w:lvlText w:val="%1.%2"/>
      <w:lvlJc w:val="left"/>
      <w:pPr>
        <w:ind w:left="1074" w:hanging="720"/>
      </w:pPr>
      <w:rPr>
        <w:rFonts w:hint="default"/>
      </w:rPr>
    </w:lvl>
    <w:lvl w:ilvl="2">
      <w:start w:val="9"/>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3">
    <w:nsid w:val="54F03BB6"/>
    <w:multiLevelType w:val="hybridMultilevel"/>
    <w:tmpl w:val="D4020B58"/>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4">
    <w:nsid w:val="5564252B"/>
    <w:multiLevelType w:val="multilevel"/>
    <w:tmpl w:val="49607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A83E7C"/>
    <w:multiLevelType w:val="hybridMultilevel"/>
    <w:tmpl w:val="A180458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nsid w:val="5AD0289D"/>
    <w:multiLevelType w:val="hybridMultilevel"/>
    <w:tmpl w:val="C576D090"/>
    <w:lvl w:ilvl="0" w:tplc="243EEB56">
      <w:start w:val="1"/>
      <w:numFmt w:val="bullet"/>
      <w:lvlText w:val=""/>
      <w:lvlJc w:val="left"/>
      <w:pPr>
        <w:ind w:left="420" w:hanging="360"/>
      </w:pPr>
      <w:rPr>
        <w:rFonts w:ascii="Wingdings" w:eastAsiaTheme="minorHAnsi" w:hAnsi="Wingdings" w:cs="Arial" w:hint="default"/>
      </w:rPr>
    </w:lvl>
    <w:lvl w:ilvl="1" w:tplc="04100003" w:tentative="1">
      <w:start w:val="1"/>
      <w:numFmt w:val="bullet"/>
      <w:lvlText w:val="o"/>
      <w:lvlJc w:val="left"/>
      <w:pPr>
        <w:ind w:left="1140" w:hanging="360"/>
      </w:pPr>
      <w:rPr>
        <w:rFonts w:ascii="Courier New" w:hAnsi="Courier New" w:cs="Courier New" w:hint="default"/>
      </w:rPr>
    </w:lvl>
    <w:lvl w:ilvl="2" w:tplc="04100005" w:tentative="1">
      <w:start w:val="1"/>
      <w:numFmt w:val="bullet"/>
      <w:lvlText w:val=""/>
      <w:lvlJc w:val="left"/>
      <w:pPr>
        <w:ind w:left="1860" w:hanging="360"/>
      </w:pPr>
      <w:rPr>
        <w:rFonts w:ascii="Wingdings" w:hAnsi="Wingdings" w:hint="default"/>
      </w:rPr>
    </w:lvl>
    <w:lvl w:ilvl="3" w:tplc="04100001" w:tentative="1">
      <w:start w:val="1"/>
      <w:numFmt w:val="bullet"/>
      <w:lvlText w:val=""/>
      <w:lvlJc w:val="left"/>
      <w:pPr>
        <w:ind w:left="2580" w:hanging="360"/>
      </w:pPr>
      <w:rPr>
        <w:rFonts w:ascii="Symbol" w:hAnsi="Symbol" w:hint="default"/>
      </w:rPr>
    </w:lvl>
    <w:lvl w:ilvl="4" w:tplc="04100003" w:tentative="1">
      <w:start w:val="1"/>
      <w:numFmt w:val="bullet"/>
      <w:lvlText w:val="o"/>
      <w:lvlJc w:val="left"/>
      <w:pPr>
        <w:ind w:left="3300" w:hanging="360"/>
      </w:pPr>
      <w:rPr>
        <w:rFonts w:ascii="Courier New" w:hAnsi="Courier New" w:cs="Courier New" w:hint="default"/>
      </w:rPr>
    </w:lvl>
    <w:lvl w:ilvl="5" w:tplc="04100005" w:tentative="1">
      <w:start w:val="1"/>
      <w:numFmt w:val="bullet"/>
      <w:lvlText w:val=""/>
      <w:lvlJc w:val="left"/>
      <w:pPr>
        <w:ind w:left="4020" w:hanging="360"/>
      </w:pPr>
      <w:rPr>
        <w:rFonts w:ascii="Wingdings" w:hAnsi="Wingdings" w:hint="default"/>
      </w:rPr>
    </w:lvl>
    <w:lvl w:ilvl="6" w:tplc="04100001" w:tentative="1">
      <w:start w:val="1"/>
      <w:numFmt w:val="bullet"/>
      <w:lvlText w:val=""/>
      <w:lvlJc w:val="left"/>
      <w:pPr>
        <w:ind w:left="4740" w:hanging="360"/>
      </w:pPr>
      <w:rPr>
        <w:rFonts w:ascii="Symbol" w:hAnsi="Symbol" w:hint="default"/>
      </w:rPr>
    </w:lvl>
    <w:lvl w:ilvl="7" w:tplc="04100003" w:tentative="1">
      <w:start w:val="1"/>
      <w:numFmt w:val="bullet"/>
      <w:lvlText w:val="o"/>
      <w:lvlJc w:val="left"/>
      <w:pPr>
        <w:ind w:left="5460" w:hanging="360"/>
      </w:pPr>
      <w:rPr>
        <w:rFonts w:ascii="Courier New" w:hAnsi="Courier New" w:cs="Courier New" w:hint="default"/>
      </w:rPr>
    </w:lvl>
    <w:lvl w:ilvl="8" w:tplc="04100005" w:tentative="1">
      <w:start w:val="1"/>
      <w:numFmt w:val="bullet"/>
      <w:lvlText w:val=""/>
      <w:lvlJc w:val="left"/>
      <w:pPr>
        <w:ind w:left="6180" w:hanging="360"/>
      </w:pPr>
      <w:rPr>
        <w:rFonts w:ascii="Wingdings" w:hAnsi="Wingdings" w:hint="default"/>
      </w:rPr>
    </w:lvl>
  </w:abstractNum>
  <w:abstractNum w:abstractNumId="27">
    <w:nsid w:val="5AE71973"/>
    <w:multiLevelType w:val="multilevel"/>
    <w:tmpl w:val="22707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6535289"/>
    <w:multiLevelType w:val="hybridMultilevel"/>
    <w:tmpl w:val="491C240A"/>
    <w:lvl w:ilvl="0" w:tplc="10D65F24">
      <w:start w:val="162"/>
      <w:numFmt w:val="bullet"/>
      <w:lvlText w:val="-"/>
      <w:lvlJc w:val="left"/>
      <w:pPr>
        <w:ind w:left="720" w:hanging="360"/>
      </w:pPr>
      <w:rPr>
        <w:rFonts w:ascii="Arial" w:eastAsia="Times New Roman" w:hAnsi="Arial" w:cs="Arial"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nsid w:val="68652CD1"/>
    <w:multiLevelType w:val="hybridMultilevel"/>
    <w:tmpl w:val="377AD5C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nsid w:val="7A1672D1"/>
    <w:multiLevelType w:val="hybridMultilevel"/>
    <w:tmpl w:val="0DB89DC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nsid w:val="7BC91923"/>
    <w:multiLevelType w:val="hybridMultilevel"/>
    <w:tmpl w:val="217C0442"/>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4"/>
  </w:num>
  <w:num w:numId="2">
    <w:abstractNumId w:val="3"/>
  </w:num>
  <w:num w:numId="3">
    <w:abstractNumId w:val="31"/>
  </w:num>
  <w:num w:numId="4">
    <w:abstractNumId w:val="14"/>
  </w:num>
  <w:num w:numId="5">
    <w:abstractNumId w:val="19"/>
  </w:num>
  <w:num w:numId="6">
    <w:abstractNumId w:val="22"/>
  </w:num>
  <w:num w:numId="7">
    <w:abstractNumId w:val="5"/>
  </w:num>
  <w:num w:numId="8">
    <w:abstractNumId w:val="25"/>
  </w:num>
  <w:num w:numId="9">
    <w:abstractNumId w:val="30"/>
  </w:num>
  <w:num w:numId="10">
    <w:abstractNumId w:val="16"/>
  </w:num>
  <w:num w:numId="11">
    <w:abstractNumId w:val="27"/>
  </w:num>
  <w:num w:numId="12">
    <w:abstractNumId w:val="24"/>
  </w:num>
  <w:num w:numId="13">
    <w:abstractNumId w:val="12"/>
  </w:num>
  <w:num w:numId="14">
    <w:abstractNumId w:val="6"/>
  </w:num>
  <w:num w:numId="15">
    <w:abstractNumId w:val="13"/>
  </w:num>
  <w:num w:numId="16">
    <w:abstractNumId w:val="20"/>
  </w:num>
  <w:num w:numId="17">
    <w:abstractNumId w:val="11"/>
  </w:num>
  <w:num w:numId="18">
    <w:abstractNumId w:val="29"/>
  </w:num>
  <w:num w:numId="19">
    <w:abstractNumId w:val="7"/>
  </w:num>
  <w:num w:numId="20">
    <w:abstractNumId w:val="21"/>
  </w:num>
  <w:num w:numId="21">
    <w:abstractNumId w:val="28"/>
  </w:num>
  <w:num w:numId="22">
    <w:abstractNumId w:val="9"/>
  </w:num>
  <w:num w:numId="23">
    <w:abstractNumId w:val="2"/>
  </w:num>
  <w:num w:numId="24">
    <w:abstractNumId w:val="17"/>
  </w:num>
  <w:num w:numId="25">
    <w:abstractNumId w:val="18"/>
  </w:num>
  <w:num w:numId="26">
    <w:abstractNumId w:val="15"/>
  </w:num>
  <w:num w:numId="27">
    <w:abstractNumId w:val="1"/>
  </w:num>
  <w:num w:numId="28">
    <w:abstractNumId w:val="10"/>
  </w:num>
  <w:num w:numId="29">
    <w:abstractNumId w:val="0"/>
  </w:num>
  <w:num w:numId="30">
    <w:abstractNumId w:val="26"/>
  </w:num>
  <w:num w:numId="31">
    <w:abstractNumId w:val="8"/>
  </w:num>
  <w:num w:numId="32">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283"/>
  <w:characterSpacingControl w:val="doNotCompress"/>
  <w:footnotePr>
    <w:footnote w:id="0"/>
    <w:footnote w:id="1"/>
  </w:footnotePr>
  <w:endnotePr>
    <w:endnote w:id="0"/>
    <w:endnote w:id="1"/>
  </w:endnotePr>
  <w:compat/>
  <w:rsids>
    <w:rsidRoot w:val="002014C1"/>
    <w:rsid w:val="001C2C90"/>
    <w:rsid w:val="002014C1"/>
    <w:rsid w:val="00267C73"/>
    <w:rsid w:val="00355918"/>
    <w:rsid w:val="00387A07"/>
    <w:rsid w:val="003D19E2"/>
    <w:rsid w:val="00426A28"/>
    <w:rsid w:val="00543234"/>
    <w:rsid w:val="00550A30"/>
    <w:rsid w:val="00562711"/>
    <w:rsid w:val="005F30E0"/>
    <w:rsid w:val="00634FC3"/>
    <w:rsid w:val="006B70F8"/>
    <w:rsid w:val="006C3574"/>
    <w:rsid w:val="008141DD"/>
    <w:rsid w:val="00860AC7"/>
    <w:rsid w:val="008700B9"/>
    <w:rsid w:val="00924D96"/>
    <w:rsid w:val="009558D0"/>
    <w:rsid w:val="009925A1"/>
    <w:rsid w:val="00A63D9E"/>
    <w:rsid w:val="00AE042B"/>
    <w:rsid w:val="00B02536"/>
    <w:rsid w:val="00B06AD9"/>
    <w:rsid w:val="00BF5547"/>
    <w:rsid w:val="00BF6AD7"/>
    <w:rsid w:val="00C72B4C"/>
    <w:rsid w:val="00CD0CDC"/>
    <w:rsid w:val="00D873AE"/>
    <w:rsid w:val="00E00734"/>
    <w:rsid w:val="00E00D62"/>
    <w:rsid w:val="00E2729C"/>
    <w:rsid w:val="00EA6427"/>
    <w:rsid w:val="00F63C79"/>
    <w:rsid w:val="00F97E81"/>
    <w:rsid w:val="00FC2893"/>
    <w:rsid w:val="00FE751F"/>
    <w:rsid w:val="00FF1DD3"/>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contacts" w:name="Sn"/>
  <w:smartTagType w:namespaceuri="urn:schemas-microsoft-com:office:smarttags" w:name="plac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014C1"/>
    <w:rPr>
      <w:lang w:val="en-GB"/>
    </w:rPr>
  </w:style>
  <w:style w:type="paragraph" w:styleId="Titolo1">
    <w:name w:val="heading 1"/>
    <w:basedOn w:val="Normale"/>
    <w:next w:val="Normale"/>
    <w:link w:val="Titolo1Carattere"/>
    <w:uiPriority w:val="9"/>
    <w:qFormat/>
    <w:rsid w:val="00387A07"/>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387A07"/>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387A07"/>
    <w:pPr>
      <w:keepNext/>
      <w:keepLines/>
      <w:spacing w:before="200" w:after="0" w:line="240" w:lineRule="auto"/>
      <w:outlineLvl w:val="2"/>
    </w:pPr>
    <w:rPr>
      <w:rFonts w:asciiTheme="majorHAnsi" w:eastAsiaTheme="majorEastAsia" w:hAnsiTheme="majorHAnsi" w:cstheme="majorBidi"/>
      <w:b/>
      <w:bCs/>
      <w:color w:val="4F81BD" w:themeColor="accent1"/>
      <w:sz w:val="20"/>
      <w:szCs w:val="20"/>
    </w:rPr>
  </w:style>
  <w:style w:type="paragraph" w:styleId="Titolo4">
    <w:name w:val="heading 4"/>
    <w:basedOn w:val="Normale"/>
    <w:next w:val="Normale"/>
    <w:link w:val="Titolo4Carattere"/>
    <w:uiPriority w:val="9"/>
    <w:unhideWhenUsed/>
    <w:qFormat/>
    <w:rsid w:val="00387A07"/>
    <w:pPr>
      <w:keepNext/>
      <w:keepLines/>
      <w:spacing w:before="200" w:after="0" w:line="240" w:lineRule="auto"/>
      <w:outlineLvl w:val="3"/>
    </w:pPr>
    <w:rPr>
      <w:rFonts w:asciiTheme="majorHAnsi" w:eastAsiaTheme="majorEastAsia" w:hAnsiTheme="majorHAnsi" w:cstheme="majorBidi"/>
      <w:b/>
      <w:bCs/>
      <w:i/>
      <w:iCs/>
      <w:color w:val="4F81BD" w:themeColor="accent1"/>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014C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014C1"/>
    <w:rPr>
      <w:rFonts w:ascii="Tahoma" w:hAnsi="Tahoma" w:cs="Tahoma"/>
      <w:sz w:val="16"/>
      <w:szCs w:val="16"/>
      <w:lang w:val="en-GB"/>
    </w:rPr>
  </w:style>
  <w:style w:type="paragraph" w:customStyle="1" w:styleId="Default">
    <w:name w:val="Default"/>
    <w:rsid w:val="00387A07"/>
    <w:pPr>
      <w:autoSpaceDE w:val="0"/>
      <w:autoSpaceDN w:val="0"/>
      <w:adjustRightInd w:val="0"/>
      <w:spacing w:after="0" w:line="240" w:lineRule="auto"/>
    </w:pPr>
    <w:rPr>
      <w:rFonts w:ascii="Times New Roman" w:hAnsi="Times New Roman" w:cs="Times New Roman"/>
      <w:color w:val="000000"/>
      <w:sz w:val="24"/>
      <w:szCs w:val="24"/>
    </w:rPr>
  </w:style>
  <w:style w:type="table" w:styleId="Grigliatabella">
    <w:name w:val="Table Grid"/>
    <w:basedOn w:val="Tabellanormale"/>
    <w:uiPriority w:val="59"/>
    <w:rsid w:val="00387A0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aragrafoelenco">
    <w:name w:val="List Paragraph"/>
    <w:basedOn w:val="Normale"/>
    <w:uiPriority w:val="34"/>
    <w:qFormat/>
    <w:rsid w:val="00387A07"/>
    <w:pPr>
      <w:ind w:left="720"/>
      <w:contextualSpacing/>
    </w:pPr>
  </w:style>
  <w:style w:type="character" w:styleId="Enfasicorsivo">
    <w:name w:val="Emphasis"/>
    <w:uiPriority w:val="20"/>
    <w:qFormat/>
    <w:rsid w:val="00387A07"/>
    <w:rPr>
      <w:i/>
      <w:iCs/>
    </w:rPr>
  </w:style>
  <w:style w:type="paragraph" w:customStyle="1" w:styleId="NanotechAuthors">
    <w:name w:val="Nanotech Authors"/>
    <w:basedOn w:val="Normale"/>
    <w:uiPriority w:val="99"/>
    <w:rsid w:val="00387A07"/>
    <w:pPr>
      <w:spacing w:after="0" w:line="240" w:lineRule="auto"/>
      <w:jc w:val="center"/>
    </w:pPr>
    <w:rPr>
      <w:rFonts w:ascii="Times New Roman" w:eastAsia="Times New Roman" w:hAnsi="Times New Roman" w:cs="Times New Roman"/>
      <w:noProof/>
      <w:sz w:val="24"/>
      <w:szCs w:val="20"/>
      <w:lang w:val="en-US"/>
    </w:rPr>
  </w:style>
  <w:style w:type="character" w:styleId="MacchinadascrivereHTML">
    <w:name w:val="HTML Typewriter"/>
    <w:basedOn w:val="Carpredefinitoparagrafo"/>
    <w:uiPriority w:val="99"/>
    <w:unhideWhenUsed/>
    <w:rsid w:val="00387A07"/>
    <w:rPr>
      <w:rFonts w:ascii="Courier New" w:eastAsia="Times New Roman" w:hAnsi="Courier New" w:cs="Courier New"/>
      <w:sz w:val="20"/>
      <w:szCs w:val="20"/>
    </w:rPr>
  </w:style>
  <w:style w:type="paragraph" w:styleId="Didascalia">
    <w:name w:val="caption"/>
    <w:basedOn w:val="Normale"/>
    <w:next w:val="Normale"/>
    <w:uiPriority w:val="35"/>
    <w:unhideWhenUsed/>
    <w:qFormat/>
    <w:rsid w:val="00387A07"/>
    <w:pPr>
      <w:spacing w:line="240" w:lineRule="auto"/>
    </w:pPr>
    <w:rPr>
      <w:b/>
      <w:bCs/>
      <w:color w:val="4F81BD" w:themeColor="accent1"/>
      <w:sz w:val="18"/>
      <w:szCs w:val="18"/>
    </w:rPr>
  </w:style>
  <w:style w:type="paragraph" w:styleId="Testonormale">
    <w:name w:val="Plain Text"/>
    <w:basedOn w:val="Normale"/>
    <w:link w:val="TestonormaleCarattere"/>
    <w:rsid w:val="00387A07"/>
    <w:pPr>
      <w:spacing w:after="0" w:line="240" w:lineRule="auto"/>
    </w:pPr>
    <w:rPr>
      <w:rFonts w:ascii="Courier New" w:eastAsia="Times New Roman" w:hAnsi="Courier New" w:cs="Times New Roman"/>
      <w:noProof/>
      <w:sz w:val="20"/>
      <w:szCs w:val="20"/>
      <w:lang w:val="en-US"/>
    </w:rPr>
  </w:style>
  <w:style w:type="character" w:customStyle="1" w:styleId="TestonormaleCarattere">
    <w:name w:val="Testo normale Carattere"/>
    <w:basedOn w:val="Carpredefinitoparagrafo"/>
    <w:link w:val="Testonormale"/>
    <w:rsid w:val="00387A07"/>
    <w:rPr>
      <w:rFonts w:ascii="Courier New" w:eastAsia="Times New Roman" w:hAnsi="Courier New" w:cs="Times New Roman"/>
      <w:noProof/>
      <w:sz w:val="20"/>
      <w:szCs w:val="20"/>
      <w:lang w:val="en-US"/>
    </w:rPr>
  </w:style>
  <w:style w:type="character" w:customStyle="1" w:styleId="Titolo1Carattere">
    <w:name w:val="Titolo 1 Carattere"/>
    <w:basedOn w:val="Carpredefinitoparagrafo"/>
    <w:link w:val="Titolo1"/>
    <w:uiPriority w:val="9"/>
    <w:rsid w:val="00387A07"/>
    <w:rPr>
      <w:rFonts w:asciiTheme="majorHAnsi" w:eastAsiaTheme="majorEastAsia" w:hAnsiTheme="majorHAnsi" w:cstheme="majorBidi"/>
      <w:b/>
      <w:bCs/>
      <w:color w:val="365F91" w:themeColor="accent1" w:themeShade="BF"/>
      <w:sz w:val="28"/>
      <w:szCs w:val="28"/>
      <w:lang w:val="en-GB"/>
    </w:rPr>
  </w:style>
  <w:style w:type="character" w:customStyle="1" w:styleId="Titolo2Carattere">
    <w:name w:val="Titolo 2 Carattere"/>
    <w:basedOn w:val="Carpredefinitoparagrafo"/>
    <w:link w:val="Titolo2"/>
    <w:uiPriority w:val="9"/>
    <w:rsid w:val="00387A07"/>
    <w:rPr>
      <w:rFonts w:asciiTheme="majorHAnsi" w:eastAsiaTheme="majorEastAsia" w:hAnsiTheme="majorHAnsi" w:cstheme="majorBidi"/>
      <w:b/>
      <w:bCs/>
      <w:color w:val="4F81BD" w:themeColor="accent1"/>
      <w:sz w:val="26"/>
      <w:szCs w:val="26"/>
      <w:lang w:val="en-GB"/>
    </w:rPr>
  </w:style>
  <w:style w:type="character" w:customStyle="1" w:styleId="Titolo3Carattere">
    <w:name w:val="Titolo 3 Carattere"/>
    <w:basedOn w:val="Carpredefinitoparagrafo"/>
    <w:link w:val="Titolo3"/>
    <w:uiPriority w:val="9"/>
    <w:rsid w:val="00387A07"/>
    <w:rPr>
      <w:rFonts w:asciiTheme="majorHAnsi" w:eastAsiaTheme="majorEastAsia" w:hAnsiTheme="majorHAnsi" w:cstheme="majorBidi"/>
      <w:b/>
      <w:bCs/>
      <w:color w:val="4F81BD" w:themeColor="accent1"/>
      <w:sz w:val="20"/>
      <w:szCs w:val="20"/>
      <w:lang w:val="en-GB"/>
    </w:rPr>
  </w:style>
  <w:style w:type="character" w:customStyle="1" w:styleId="Titolo4Carattere">
    <w:name w:val="Titolo 4 Carattere"/>
    <w:basedOn w:val="Carpredefinitoparagrafo"/>
    <w:link w:val="Titolo4"/>
    <w:uiPriority w:val="9"/>
    <w:rsid w:val="00387A07"/>
    <w:rPr>
      <w:rFonts w:asciiTheme="majorHAnsi" w:eastAsiaTheme="majorEastAsia" w:hAnsiTheme="majorHAnsi" w:cstheme="majorBidi"/>
      <w:b/>
      <w:bCs/>
      <w:i/>
      <w:iCs/>
      <w:color w:val="4F81BD" w:themeColor="accent1"/>
      <w:sz w:val="20"/>
      <w:szCs w:val="20"/>
      <w:lang w:val="en-GB"/>
    </w:rPr>
  </w:style>
  <w:style w:type="paragraph" w:styleId="Intestazione">
    <w:name w:val="header"/>
    <w:basedOn w:val="Normale"/>
    <w:link w:val="IntestazioneCarattere"/>
    <w:uiPriority w:val="99"/>
    <w:semiHidden/>
    <w:unhideWhenUsed/>
    <w:rsid w:val="00387A0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387A07"/>
    <w:rPr>
      <w:lang w:val="en-GB"/>
    </w:rPr>
  </w:style>
  <w:style w:type="paragraph" w:styleId="Pidipagina">
    <w:name w:val="footer"/>
    <w:basedOn w:val="Normale"/>
    <w:link w:val="PidipaginaCarattere"/>
    <w:uiPriority w:val="99"/>
    <w:unhideWhenUsed/>
    <w:rsid w:val="00387A0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87A07"/>
    <w:rPr>
      <w:lang w:val="en-GB"/>
    </w:rPr>
  </w:style>
  <w:style w:type="character" w:styleId="Collegamentoipertestuale">
    <w:name w:val="Hyperlink"/>
    <w:basedOn w:val="Carpredefinitoparagrafo"/>
    <w:uiPriority w:val="99"/>
    <w:semiHidden/>
    <w:unhideWhenUsed/>
    <w:rsid w:val="00387A07"/>
    <w:rPr>
      <w:color w:val="0000FF"/>
      <w:u w:val="single"/>
    </w:rPr>
  </w:style>
  <w:style w:type="character" w:styleId="Rimandocommento">
    <w:name w:val="annotation reference"/>
    <w:basedOn w:val="Carpredefinitoparagrafo"/>
    <w:uiPriority w:val="99"/>
    <w:semiHidden/>
    <w:unhideWhenUsed/>
    <w:rsid w:val="00387A07"/>
    <w:rPr>
      <w:sz w:val="16"/>
      <w:szCs w:val="16"/>
    </w:rPr>
  </w:style>
  <w:style w:type="paragraph" w:styleId="Testocommento">
    <w:name w:val="annotation text"/>
    <w:basedOn w:val="Normale"/>
    <w:link w:val="TestocommentoCarattere"/>
    <w:uiPriority w:val="99"/>
    <w:semiHidden/>
    <w:unhideWhenUsed/>
    <w:rsid w:val="00387A07"/>
    <w:pPr>
      <w:spacing w:after="0" w:line="240" w:lineRule="auto"/>
    </w:pPr>
    <w:rPr>
      <w:rFonts w:ascii="Times New Roman" w:eastAsia="Times New Roman" w:hAnsi="Times New Roman" w:cs="Times New Roman"/>
      <w:sz w:val="20"/>
      <w:szCs w:val="20"/>
    </w:rPr>
  </w:style>
  <w:style w:type="character" w:customStyle="1" w:styleId="TestocommentoCarattere">
    <w:name w:val="Testo commento Carattere"/>
    <w:basedOn w:val="Carpredefinitoparagrafo"/>
    <w:link w:val="Testocommento"/>
    <w:uiPriority w:val="99"/>
    <w:semiHidden/>
    <w:rsid w:val="00387A07"/>
    <w:rPr>
      <w:rFonts w:ascii="Times New Roman" w:eastAsia="Times New Roman" w:hAnsi="Times New Roman" w:cs="Times New Roman"/>
      <w:sz w:val="20"/>
      <w:szCs w:val="20"/>
      <w:lang w:val="en-GB"/>
    </w:rPr>
  </w:style>
  <w:style w:type="paragraph" w:customStyle="1" w:styleId="NanotechReferences">
    <w:name w:val="Nanotech References"/>
    <w:basedOn w:val="Normale"/>
    <w:rsid w:val="00387A07"/>
    <w:pPr>
      <w:spacing w:after="0" w:line="240" w:lineRule="auto"/>
      <w:ind w:left="630" w:hanging="360"/>
      <w:jc w:val="both"/>
    </w:pPr>
    <w:rPr>
      <w:rFonts w:ascii="Times New Roman" w:eastAsia="Times New Roman" w:hAnsi="Times New Roman" w:cs="Times New Roman"/>
      <w:noProof/>
      <w:sz w:val="20"/>
      <w:szCs w:val="20"/>
      <w:lang w:val="en-US"/>
    </w:rPr>
  </w:style>
  <w:style w:type="character" w:styleId="Enfasigrassetto">
    <w:name w:val="Strong"/>
    <w:basedOn w:val="Carpredefinitoparagrafo"/>
    <w:uiPriority w:val="22"/>
    <w:qFormat/>
    <w:rsid w:val="00387A07"/>
    <w:rPr>
      <w:b/>
      <w:bCs/>
    </w:rPr>
  </w:style>
  <w:style w:type="character" w:customStyle="1" w:styleId="apple-style-span">
    <w:name w:val="apple-style-span"/>
    <w:basedOn w:val="Carpredefinitoparagrafo"/>
    <w:rsid w:val="00387A07"/>
  </w:style>
  <w:style w:type="paragraph" w:styleId="NormaleWeb">
    <w:name w:val="Normal (Web)"/>
    <w:basedOn w:val="Normale"/>
    <w:rsid w:val="00387A07"/>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paragraph" w:customStyle="1" w:styleId="NanotechMainText">
    <w:name w:val="Nanotech Main Text"/>
    <w:basedOn w:val="Normale"/>
    <w:rsid w:val="00387A07"/>
    <w:pPr>
      <w:spacing w:after="0" w:line="240" w:lineRule="auto"/>
      <w:ind w:firstLine="284"/>
      <w:jc w:val="both"/>
    </w:pPr>
    <w:rPr>
      <w:rFonts w:ascii="Times New Roman" w:eastAsia="Times New Roman" w:hAnsi="Times New Roman" w:cs="Times New Roman"/>
      <w:noProof/>
      <w:sz w:val="20"/>
      <w:szCs w:val="20"/>
      <w:lang w:val="en-US"/>
    </w:rPr>
  </w:style>
  <w:style w:type="paragraph" w:styleId="Corpodeltesto2">
    <w:name w:val="Body Text 2"/>
    <w:basedOn w:val="Normale"/>
    <w:link w:val="Corpodeltesto2Carattere"/>
    <w:rsid w:val="00387A07"/>
    <w:pPr>
      <w:spacing w:after="0" w:line="240" w:lineRule="auto"/>
      <w:ind w:firstLine="284"/>
      <w:jc w:val="both"/>
    </w:pPr>
    <w:rPr>
      <w:rFonts w:ascii="Times New Roman" w:eastAsia="Times New Roman" w:hAnsi="Times New Roman" w:cs="Times New Roman"/>
      <w:sz w:val="20"/>
      <w:szCs w:val="20"/>
      <w:lang w:val="en-US"/>
    </w:rPr>
  </w:style>
  <w:style w:type="character" w:customStyle="1" w:styleId="Corpodeltesto2Carattere">
    <w:name w:val="Corpo del testo 2 Carattere"/>
    <w:basedOn w:val="Carpredefinitoparagrafo"/>
    <w:link w:val="Corpodeltesto2"/>
    <w:rsid w:val="00387A07"/>
    <w:rPr>
      <w:rFonts w:ascii="Times New Roman" w:eastAsia="Times New Roman" w:hAnsi="Times New Roman" w:cs="Times New Roman"/>
      <w:sz w:val="20"/>
      <w:szCs w:val="20"/>
      <w:lang w:val="en-US"/>
    </w:rPr>
  </w:style>
  <w:style w:type="character" w:customStyle="1" w:styleId="TestonotadichiusuraCarattere">
    <w:name w:val="Testo nota di chiusura Carattere"/>
    <w:basedOn w:val="Carpredefinitoparagrafo"/>
    <w:link w:val="Testonotadichiusura"/>
    <w:uiPriority w:val="99"/>
    <w:semiHidden/>
    <w:rsid w:val="00387A07"/>
    <w:rPr>
      <w:rFonts w:ascii="Times New Roman" w:eastAsia="Times New Roman" w:hAnsi="Times New Roman" w:cs="Times New Roman"/>
      <w:sz w:val="20"/>
      <w:szCs w:val="20"/>
      <w:lang w:val="en-GB"/>
    </w:rPr>
  </w:style>
  <w:style w:type="paragraph" w:styleId="Testonotadichiusura">
    <w:name w:val="endnote text"/>
    <w:basedOn w:val="Normale"/>
    <w:link w:val="TestonotadichiusuraCarattere"/>
    <w:uiPriority w:val="99"/>
    <w:semiHidden/>
    <w:unhideWhenUsed/>
    <w:rsid w:val="00387A07"/>
    <w:pPr>
      <w:spacing w:after="0" w:line="240" w:lineRule="auto"/>
    </w:pPr>
    <w:rPr>
      <w:rFonts w:ascii="Times New Roman" w:eastAsia="Times New Roman" w:hAnsi="Times New Roman" w:cs="Times New Roman"/>
      <w:sz w:val="20"/>
      <w:szCs w:val="20"/>
    </w:rPr>
  </w:style>
  <w:style w:type="character" w:customStyle="1" w:styleId="TestonotadichiusuraCarattere1">
    <w:name w:val="Testo nota di chiusura Carattere1"/>
    <w:basedOn w:val="Carpredefinitoparagrafo"/>
    <w:link w:val="Testonotadichiusura"/>
    <w:uiPriority w:val="99"/>
    <w:semiHidden/>
    <w:rsid w:val="00387A07"/>
    <w:rPr>
      <w:sz w:val="20"/>
      <w:szCs w:val="20"/>
      <w:lang w:val="en-GB"/>
    </w:rPr>
  </w:style>
  <w:style w:type="paragraph" w:styleId="Testonotaapidipagina">
    <w:name w:val="footnote text"/>
    <w:basedOn w:val="Normale"/>
    <w:link w:val="TestonotaapidipaginaCarattere"/>
    <w:uiPriority w:val="99"/>
    <w:semiHidden/>
    <w:unhideWhenUsed/>
    <w:rsid w:val="00387A07"/>
    <w:pPr>
      <w:spacing w:after="0" w:line="240" w:lineRule="auto"/>
    </w:pPr>
    <w:rPr>
      <w:rFonts w:ascii="Times New Roman" w:eastAsia="Times New Roman" w:hAnsi="Times New Roman" w:cs="Times New Roman"/>
      <w:sz w:val="20"/>
      <w:szCs w:val="20"/>
    </w:rPr>
  </w:style>
  <w:style w:type="character" w:customStyle="1" w:styleId="TestonotaapidipaginaCarattere">
    <w:name w:val="Testo nota a piè di pagina Carattere"/>
    <w:basedOn w:val="Carpredefinitoparagrafo"/>
    <w:link w:val="Testonotaapidipagina"/>
    <w:uiPriority w:val="99"/>
    <w:semiHidden/>
    <w:rsid w:val="00387A07"/>
    <w:rPr>
      <w:rFonts w:ascii="Times New Roman" w:eastAsia="Times New Roman" w:hAnsi="Times New Roman" w:cs="Times New Roman"/>
      <w:sz w:val="20"/>
      <w:szCs w:val="20"/>
      <w:lang w:val="en-GB"/>
    </w:rPr>
  </w:style>
  <w:style w:type="character" w:customStyle="1" w:styleId="SoggettocommentoCarattere">
    <w:name w:val="Soggetto commento Carattere"/>
    <w:basedOn w:val="TestocommentoCarattere"/>
    <w:link w:val="Soggettocommento"/>
    <w:uiPriority w:val="99"/>
    <w:semiHidden/>
    <w:rsid w:val="00387A07"/>
    <w:rPr>
      <w:b/>
      <w:bCs/>
    </w:rPr>
  </w:style>
  <w:style w:type="paragraph" w:styleId="Soggettocommento">
    <w:name w:val="annotation subject"/>
    <w:basedOn w:val="Testocommento"/>
    <w:next w:val="Testocommento"/>
    <w:link w:val="SoggettocommentoCarattere"/>
    <w:uiPriority w:val="99"/>
    <w:semiHidden/>
    <w:unhideWhenUsed/>
    <w:rsid w:val="00387A07"/>
    <w:rPr>
      <w:b/>
      <w:bCs/>
    </w:rPr>
  </w:style>
  <w:style w:type="character" w:customStyle="1" w:styleId="SoggettocommentoCarattere1">
    <w:name w:val="Soggetto commento Carattere1"/>
    <w:basedOn w:val="TestocommentoCarattere"/>
    <w:link w:val="Soggettocommento"/>
    <w:uiPriority w:val="99"/>
    <w:semiHidden/>
    <w:rsid w:val="00387A07"/>
    <w:rPr>
      <w:b/>
      <w:bCs/>
    </w:rPr>
  </w:style>
  <w:style w:type="table" w:styleId="Sfondochiaro-Colore5">
    <w:name w:val="Light Shading Accent 5"/>
    <w:basedOn w:val="Tabellanormale"/>
    <w:uiPriority w:val="99"/>
    <w:rsid w:val="00387A07"/>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stosegnaposto">
    <w:name w:val="Placeholder Text"/>
    <w:basedOn w:val="Carpredefinitoparagrafo"/>
    <w:uiPriority w:val="99"/>
    <w:semiHidden/>
    <w:rsid w:val="00387A07"/>
    <w:rPr>
      <w:color w:val="808080"/>
    </w:rPr>
  </w:style>
  <w:style w:type="table" w:customStyle="1" w:styleId="Sfondochiaro1">
    <w:name w:val="Sfondo chiaro1"/>
    <w:basedOn w:val="Tabellanormale"/>
    <w:uiPriority w:val="60"/>
    <w:rsid w:val="00387A0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Rimandonotadichiusura">
    <w:name w:val="endnote reference"/>
    <w:basedOn w:val="Carpredefinitoparagrafo"/>
    <w:uiPriority w:val="99"/>
    <w:semiHidden/>
    <w:unhideWhenUsed/>
    <w:rsid w:val="00387A07"/>
    <w:rPr>
      <w:vertAlign w:val="superscript"/>
    </w:rPr>
  </w:style>
  <w:style w:type="character" w:styleId="Rimandonotaapidipagina">
    <w:name w:val="footnote reference"/>
    <w:basedOn w:val="Carpredefinitoparagrafo"/>
    <w:uiPriority w:val="99"/>
    <w:semiHidden/>
    <w:unhideWhenUsed/>
    <w:rsid w:val="00387A07"/>
    <w:rPr>
      <w:vertAlign w:val="superscript"/>
    </w:rPr>
  </w:style>
  <w:style w:type="character" w:customStyle="1" w:styleId="fn">
    <w:name w:val="fn"/>
    <w:basedOn w:val="Carpredefinitoparagrafo"/>
    <w:rsid w:val="00387A07"/>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6.emf"/><Relationship Id="rId21" Type="http://schemas.openxmlformats.org/officeDocument/2006/relationships/image" Target="media/image14.emf"/><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png"/><Relationship Id="rId112" Type="http://schemas.openxmlformats.org/officeDocument/2006/relationships/oleObject" Target="embeddings/oleObject9.bin"/><Relationship Id="rId16" Type="http://schemas.openxmlformats.org/officeDocument/2006/relationships/image" Target="media/image9.emf"/><Relationship Id="rId107" Type="http://schemas.openxmlformats.org/officeDocument/2006/relationships/image" Target="media/image91.emf"/><Relationship Id="rId11" Type="http://schemas.openxmlformats.org/officeDocument/2006/relationships/image" Target="media/image5.jpeg"/><Relationship Id="rId32" Type="http://schemas.openxmlformats.org/officeDocument/2006/relationships/image" Target="media/image24.png"/><Relationship Id="rId37" Type="http://schemas.openxmlformats.org/officeDocument/2006/relationships/chart" Target="charts/chart1.xml"/><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emf"/><Relationship Id="rId102" Type="http://schemas.openxmlformats.org/officeDocument/2006/relationships/oleObject" Target="embeddings/oleObject4.bin"/><Relationship Id="rId123" Type="http://schemas.openxmlformats.org/officeDocument/2006/relationships/image" Target="media/image99.emf"/><Relationship Id="rId128" Type="http://schemas.openxmlformats.org/officeDocument/2006/relationships/oleObject" Target="embeddings/oleObject17.bin"/><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image" Target="media/image85.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emf"/><Relationship Id="rId69" Type="http://schemas.openxmlformats.org/officeDocument/2006/relationships/image" Target="media/image59.emf"/><Relationship Id="rId77" Type="http://schemas.openxmlformats.org/officeDocument/2006/relationships/image" Target="media/image67.emf"/><Relationship Id="rId100" Type="http://schemas.openxmlformats.org/officeDocument/2006/relationships/oleObject" Target="embeddings/oleObject3.bin"/><Relationship Id="rId105" Type="http://schemas.openxmlformats.org/officeDocument/2006/relationships/image" Target="media/image90.emf"/><Relationship Id="rId113" Type="http://schemas.openxmlformats.org/officeDocument/2006/relationships/image" Target="media/image94.emf"/><Relationship Id="rId118" Type="http://schemas.openxmlformats.org/officeDocument/2006/relationships/oleObject" Target="embeddings/oleObject12.bin"/><Relationship Id="rId126" Type="http://schemas.openxmlformats.org/officeDocument/2006/relationships/oleObject" Target="embeddings/oleObject16.bin"/><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image" Target="media/image70.emf"/><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oleObject" Target="embeddings/oleObject2.bin"/><Relationship Id="rId121" Type="http://schemas.openxmlformats.org/officeDocument/2006/relationships/image" Target="media/image98.e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emf"/><Relationship Id="rId103" Type="http://schemas.openxmlformats.org/officeDocument/2006/relationships/image" Target="media/image89.emf"/><Relationship Id="rId108" Type="http://schemas.openxmlformats.org/officeDocument/2006/relationships/oleObject" Target="embeddings/oleObject7.bin"/><Relationship Id="rId116" Type="http://schemas.openxmlformats.org/officeDocument/2006/relationships/oleObject" Target="embeddings/oleObject11.bin"/><Relationship Id="rId124" Type="http://schemas.openxmlformats.org/officeDocument/2006/relationships/oleObject" Target="embeddings/oleObject15.bin"/><Relationship Id="rId129" Type="http://schemas.openxmlformats.org/officeDocument/2006/relationships/image" Target="media/image102.emf"/><Relationship Id="rId20" Type="http://schemas.openxmlformats.org/officeDocument/2006/relationships/image" Target="media/image13.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emf"/><Relationship Id="rId75" Type="http://schemas.openxmlformats.org/officeDocument/2006/relationships/image" Target="media/image65.emf"/><Relationship Id="rId83" Type="http://schemas.openxmlformats.org/officeDocument/2006/relationships/image" Target="media/image73.emf"/><Relationship Id="rId88" Type="http://schemas.openxmlformats.org/officeDocument/2006/relationships/image" Target="media/image78.emf"/><Relationship Id="rId91" Type="http://schemas.openxmlformats.org/officeDocument/2006/relationships/image" Target="media/image81.png"/><Relationship Id="rId96" Type="http://schemas.openxmlformats.org/officeDocument/2006/relationships/oleObject" Target="embeddings/oleObject1.bin"/><Relationship Id="rId111" Type="http://schemas.openxmlformats.org/officeDocument/2006/relationships/image" Target="media/image93.emf"/><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oleObject" Target="embeddings/oleObject6.bin"/><Relationship Id="rId114" Type="http://schemas.openxmlformats.org/officeDocument/2006/relationships/oleObject" Target="embeddings/oleObject10.bin"/><Relationship Id="rId119" Type="http://schemas.openxmlformats.org/officeDocument/2006/relationships/image" Target="media/image97.emf"/><Relationship Id="rId127" Type="http://schemas.openxmlformats.org/officeDocument/2006/relationships/image" Target="media/image101.emf"/><Relationship Id="rId10" Type="http://schemas.openxmlformats.org/officeDocument/2006/relationships/image" Target="media/image4.jpe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7.emf"/><Relationship Id="rId101" Type="http://schemas.openxmlformats.org/officeDocument/2006/relationships/image" Target="media/image88.emf"/><Relationship Id="rId122" Type="http://schemas.openxmlformats.org/officeDocument/2006/relationships/oleObject" Target="embeddings/oleObject14.bin"/><Relationship Id="rId130" Type="http://schemas.openxmlformats.org/officeDocument/2006/relationships/oleObject" Target="embeddings/oleObject18.bin"/><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hyperlink" Target="http://en.wikipedia.org/wiki/Emulsified" TargetMode="External"/><Relationship Id="rId18" Type="http://schemas.openxmlformats.org/officeDocument/2006/relationships/image" Target="media/image11.emf"/><Relationship Id="rId39" Type="http://schemas.openxmlformats.org/officeDocument/2006/relationships/footer" Target="footer2.xml"/><Relationship Id="rId109" Type="http://schemas.openxmlformats.org/officeDocument/2006/relationships/image" Target="media/image92.emf"/><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emf"/><Relationship Id="rId97" Type="http://schemas.openxmlformats.org/officeDocument/2006/relationships/image" Target="media/image86.emf"/><Relationship Id="rId104" Type="http://schemas.openxmlformats.org/officeDocument/2006/relationships/oleObject" Target="embeddings/oleObject5.bin"/><Relationship Id="rId120" Type="http://schemas.openxmlformats.org/officeDocument/2006/relationships/oleObject" Target="embeddings/oleObject13.bin"/><Relationship Id="rId125" Type="http://schemas.openxmlformats.org/officeDocument/2006/relationships/image" Target="media/image100.emf"/><Relationship Id="rId7" Type="http://schemas.openxmlformats.org/officeDocument/2006/relationships/image" Target="media/image1.gif"/><Relationship Id="rId71" Type="http://schemas.openxmlformats.org/officeDocument/2006/relationships/image" Target="media/image61.emf"/><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footer" Target="footer1.xm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oleObject" Target="embeddings/oleObject8.bin"/><Relationship Id="rId115" Type="http://schemas.openxmlformats.org/officeDocument/2006/relationships/image" Target="media/image95.emf"/><Relationship Id="rId131"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Clara\Desktop\dati_assorbimento_a43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t-IT"/>
  <c:style val="1"/>
  <c:chart>
    <c:title>
      <c:tx>
        <c:rich>
          <a:bodyPr/>
          <a:lstStyle/>
          <a:p>
            <a:pPr>
              <a:defRPr/>
            </a:pPr>
            <a:r>
              <a:rPr lang="it-IT"/>
              <a:t>Uptake of nps by A431 cells</a:t>
            </a:r>
          </a:p>
        </c:rich>
      </c:tx>
    </c:title>
    <c:plotArea>
      <c:layout/>
      <c:barChart>
        <c:barDir val="col"/>
        <c:grouping val="clustered"/>
        <c:ser>
          <c:idx val="0"/>
          <c:order val="0"/>
          <c:errBars>
            <c:errBarType val="both"/>
            <c:errValType val="cust"/>
            <c:plus>
              <c:numRef>
                <c:f>Foglio1!$Q$22:$S$22</c:f>
                <c:numCache>
                  <c:formatCode>General</c:formatCode>
                  <c:ptCount val="3"/>
                  <c:pt idx="0">
                    <c:v>19.2</c:v>
                  </c:pt>
                  <c:pt idx="1">
                    <c:v>6.9</c:v>
                  </c:pt>
                  <c:pt idx="2">
                    <c:v>22.1</c:v>
                  </c:pt>
                </c:numCache>
              </c:numRef>
            </c:plus>
            <c:minus>
              <c:numRef>
                <c:f>Foglio1!$Q$22:$S$22</c:f>
                <c:numCache>
                  <c:formatCode>General</c:formatCode>
                  <c:ptCount val="3"/>
                  <c:pt idx="0">
                    <c:v>19.2</c:v>
                  </c:pt>
                  <c:pt idx="1">
                    <c:v>6.9</c:v>
                  </c:pt>
                  <c:pt idx="2">
                    <c:v>22.1</c:v>
                  </c:pt>
                </c:numCache>
              </c:numRef>
            </c:minus>
          </c:errBars>
          <c:cat>
            <c:strRef>
              <c:f>Foglio1!$Q$20:$S$20</c:f>
              <c:strCache>
                <c:ptCount val="3"/>
                <c:pt idx="0">
                  <c:v>PCL</c:v>
                </c:pt>
                <c:pt idx="1">
                  <c:v>PLA</c:v>
                </c:pt>
                <c:pt idx="2">
                  <c:v>C-BC2000</c:v>
                </c:pt>
              </c:strCache>
            </c:strRef>
          </c:cat>
          <c:val>
            <c:numRef>
              <c:f>Foglio1!$Q$21:$S$21</c:f>
              <c:numCache>
                <c:formatCode>General</c:formatCode>
                <c:ptCount val="3"/>
                <c:pt idx="0">
                  <c:v>92.9</c:v>
                </c:pt>
                <c:pt idx="1">
                  <c:v>94.1</c:v>
                </c:pt>
                <c:pt idx="2">
                  <c:v>96.1</c:v>
                </c:pt>
              </c:numCache>
            </c:numRef>
          </c:val>
        </c:ser>
        <c:axId val="189999360"/>
        <c:axId val="190001152"/>
      </c:barChart>
      <c:catAx>
        <c:axId val="189999360"/>
        <c:scaling>
          <c:orientation val="minMax"/>
        </c:scaling>
        <c:axPos val="b"/>
        <c:tickLblPos val="nextTo"/>
        <c:crossAx val="190001152"/>
        <c:crosses val="autoZero"/>
        <c:auto val="1"/>
        <c:lblAlgn val="ctr"/>
        <c:lblOffset val="100"/>
      </c:catAx>
      <c:valAx>
        <c:axId val="190001152"/>
        <c:scaling>
          <c:orientation val="minMax"/>
          <c:max val="120"/>
          <c:min val="0"/>
        </c:scaling>
        <c:axPos val="l"/>
        <c:majorGridlines/>
        <c:numFmt formatCode="General" sourceLinked="1"/>
        <c:tickLblPos val="nextTo"/>
        <c:crossAx val="189999360"/>
        <c:crosses val="autoZero"/>
        <c:crossBetween val="between"/>
      </c:valAx>
    </c:plotArea>
    <c:plotVisOnly val="1"/>
  </c:chart>
  <c:externalData r:id="rId1"/>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170</Pages>
  <Words>36780</Words>
  <Characters>209649</Characters>
  <Application>Microsoft Office Word</Application>
  <DocSecurity>0</DocSecurity>
  <Lines>1747</Lines>
  <Paragraphs>491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245938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Clara</dc:creator>
  <cp:lastModifiedBy>Clara</cp:lastModifiedBy>
  <cp:revision>4</cp:revision>
  <dcterms:created xsi:type="dcterms:W3CDTF">2012-08-14T13:41:00Z</dcterms:created>
  <dcterms:modified xsi:type="dcterms:W3CDTF">2012-08-14T14:21:00Z</dcterms:modified>
</cp:coreProperties>
</file>