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14C1" w:rsidRPr="007B7B61" w:rsidRDefault="002014C1" w:rsidP="002014C1">
      <w:pPr>
        <w:jc w:val="center"/>
        <w:rPr>
          <w:rFonts w:ascii="Arial" w:hAnsi="Arial" w:cs="Arial"/>
          <w:sz w:val="32"/>
          <w:szCs w:val="32"/>
          <w:lang w:val="en-US"/>
        </w:rPr>
      </w:pPr>
      <w:r w:rsidRPr="007B7B61">
        <w:rPr>
          <w:rFonts w:ascii="Arial" w:hAnsi="Arial" w:cs="Arial"/>
          <w:sz w:val="32"/>
          <w:szCs w:val="32"/>
          <w:lang w:val="en-US"/>
        </w:rPr>
        <w:t>POLITECNICO DI TORINO – DEPARTMENT OF MECHANICS</w:t>
      </w:r>
    </w:p>
    <w:p w:rsidR="002014C1" w:rsidRPr="007B7B61" w:rsidRDefault="002014C1" w:rsidP="002014C1">
      <w:pPr>
        <w:jc w:val="center"/>
        <w:rPr>
          <w:rFonts w:ascii="Arial" w:hAnsi="Arial" w:cs="Arial"/>
          <w:b/>
          <w:sz w:val="28"/>
          <w:szCs w:val="28"/>
          <w:lang w:val="en-US"/>
        </w:rPr>
      </w:pPr>
    </w:p>
    <w:p w:rsidR="002014C1" w:rsidRPr="006E6D6F" w:rsidRDefault="002014C1" w:rsidP="002014C1">
      <w:pPr>
        <w:jc w:val="center"/>
        <w:rPr>
          <w:rFonts w:ascii="Arial" w:hAnsi="Arial" w:cs="Arial"/>
          <w:b/>
          <w:sz w:val="28"/>
          <w:szCs w:val="28"/>
          <w:lang w:val="en-US"/>
        </w:rPr>
      </w:pPr>
      <w:r w:rsidRPr="006E6D6F">
        <w:rPr>
          <w:rFonts w:ascii="Arial" w:hAnsi="Arial" w:cs="Arial"/>
          <w:b/>
          <w:sz w:val="28"/>
          <w:szCs w:val="28"/>
          <w:lang w:val="en-US"/>
        </w:rPr>
        <w:t>DOCTORATE SCHOOL</w:t>
      </w:r>
    </w:p>
    <w:p w:rsidR="002014C1" w:rsidRDefault="002014C1" w:rsidP="002014C1">
      <w:pPr>
        <w:jc w:val="center"/>
        <w:rPr>
          <w:rFonts w:ascii="Arial" w:hAnsi="Arial" w:cs="Arial"/>
          <w:b/>
          <w:sz w:val="24"/>
          <w:szCs w:val="24"/>
          <w:lang w:val="en-US"/>
        </w:rPr>
      </w:pPr>
      <w:r w:rsidRPr="006E6D6F">
        <w:rPr>
          <w:rFonts w:ascii="Arial" w:hAnsi="Arial" w:cs="Arial"/>
          <w:b/>
          <w:sz w:val="28"/>
          <w:szCs w:val="28"/>
          <w:lang w:val="en-US"/>
        </w:rPr>
        <w:t>PhD in Biomedical Engineering</w:t>
      </w:r>
      <w:r w:rsidRPr="006E6D6F">
        <w:rPr>
          <w:rFonts w:ascii="Arial" w:hAnsi="Arial" w:cs="Arial"/>
          <w:b/>
          <w:sz w:val="24"/>
          <w:szCs w:val="24"/>
          <w:lang w:val="en-US"/>
        </w:rPr>
        <w:t xml:space="preserve"> </w:t>
      </w:r>
      <w:r>
        <w:rPr>
          <w:rFonts w:ascii="Arial" w:hAnsi="Arial" w:cs="Arial"/>
          <w:b/>
          <w:sz w:val="24"/>
          <w:szCs w:val="24"/>
          <w:lang w:val="en-US"/>
        </w:rPr>
        <w:t>– XXIV Cycle</w:t>
      </w:r>
    </w:p>
    <w:p w:rsidR="002014C1" w:rsidRPr="006E6D6F" w:rsidRDefault="002014C1" w:rsidP="002014C1">
      <w:pPr>
        <w:jc w:val="center"/>
        <w:rPr>
          <w:rFonts w:ascii="Arial" w:hAnsi="Arial" w:cs="Arial"/>
          <w:b/>
          <w:sz w:val="24"/>
          <w:szCs w:val="24"/>
          <w:lang w:val="en-US"/>
        </w:rPr>
      </w:pPr>
    </w:p>
    <w:p w:rsidR="002014C1" w:rsidRDefault="002014C1" w:rsidP="002014C1">
      <w:pPr>
        <w:jc w:val="center"/>
        <w:rPr>
          <w:rFonts w:ascii="Arial" w:hAnsi="Arial" w:cs="Arial"/>
          <w:sz w:val="24"/>
          <w:szCs w:val="24"/>
          <w:lang w:val="it-IT"/>
        </w:rPr>
      </w:pPr>
      <w:r>
        <w:rPr>
          <w:rFonts w:ascii="Arial" w:hAnsi="Arial" w:cs="Arial"/>
          <w:noProof/>
          <w:sz w:val="24"/>
          <w:szCs w:val="24"/>
          <w:lang w:val="it-IT" w:eastAsia="it-IT"/>
        </w:rPr>
        <w:drawing>
          <wp:inline distT="0" distB="0" distL="0" distR="0">
            <wp:extent cx="2105025" cy="2105025"/>
            <wp:effectExtent l="19050" t="0" r="9525" b="0"/>
            <wp:docPr id="1" name="Immagine 0" descr="Politecnico_di_Torino_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litecnico_di_Torino_Logo.gif"/>
                    <pic:cNvPicPr/>
                  </pic:nvPicPr>
                  <pic:blipFill>
                    <a:blip r:embed="rId7"/>
                    <a:stretch>
                      <a:fillRect/>
                    </a:stretch>
                  </pic:blipFill>
                  <pic:spPr>
                    <a:xfrm>
                      <a:off x="0" y="0"/>
                      <a:ext cx="2105025" cy="2105025"/>
                    </a:xfrm>
                    <a:prstGeom prst="rect">
                      <a:avLst/>
                    </a:prstGeom>
                  </pic:spPr>
                </pic:pic>
              </a:graphicData>
            </a:graphic>
          </wp:inline>
        </w:drawing>
      </w:r>
    </w:p>
    <w:p w:rsidR="002014C1" w:rsidRPr="00953A2F" w:rsidRDefault="002014C1" w:rsidP="002014C1">
      <w:pPr>
        <w:tabs>
          <w:tab w:val="left" w:pos="990"/>
        </w:tabs>
        <w:spacing w:after="480"/>
        <w:jc w:val="center"/>
        <w:rPr>
          <w:rFonts w:ascii="Arial" w:hAnsi="Arial" w:cs="Arial"/>
          <w:b/>
          <w:sz w:val="28"/>
          <w:szCs w:val="28"/>
          <w:lang w:val="en-US"/>
        </w:rPr>
      </w:pPr>
      <w:r w:rsidRPr="007B7B61">
        <w:rPr>
          <w:rFonts w:ascii="Arial" w:hAnsi="Arial" w:cs="Arial"/>
          <w:b/>
          <w:sz w:val="28"/>
          <w:szCs w:val="28"/>
          <w:lang w:val="en-US"/>
        </w:rPr>
        <w:t>PhD Dissertation</w:t>
      </w:r>
    </w:p>
    <w:p w:rsidR="002014C1" w:rsidRPr="00953A2F" w:rsidRDefault="002014C1" w:rsidP="002014C1">
      <w:pPr>
        <w:suppressAutoHyphens/>
        <w:spacing w:after="0" w:line="360" w:lineRule="auto"/>
        <w:jc w:val="center"/>
        <w:rPr>
          <w:rFonts w:cstheme="minorHAnsi"/>
          <w:b/>
          <w:sz w:val="64"/>
          <w:szCs w:val="64"/>
        </w:rPr>
      </w:pPr>
      <w:r w:rsidRPr="00953A2F">
        <w:rPr>
          <w:rFonts w:cstheme="minorHAnsi"/>
          <w:b/>
          <w:sz w:val="64"/>
          <w:szCs w:val="64"/>
        </w:rPr>
        <w:t>Smart polymeric drug nanocarriers for biomedical applications</w:t>
      </w:r>
    </w:p>
    <w:p w:rsidR="002014C1" w:rsidRDefault="002014C1" w:rsidP="002014C1">
      <w:pPr>
        <w:tabs>
          <w:tab w:val="left" w:pos="990"/>
        </w:tabs>
        <w:jc w:val="center"/>
        <w:rPr>
          <w:rFonts w:ascii="Arial" w:hAnsi="Arial" w:cs="Arial"/>
          <w:b/>
          <w:sz w:val="48"/>
          <w:szCs w:val="48"/>
          <w:lang w:val="en-US"/>
        </w:rPr>
      </w:pPr>
    </w:p>
    <w:p w:rsidR="002014C1" w:rsidRPr="007B7B61" w:rsidRDefault="002014C1" w:rsidP="002014C1">
      <w:pPr>
        <w:tabs>
          <w:tab w:val="left" w:pos="990"/>
        </w:tabs>
        <w:jc w:val="center"/>
        <w:rPr>
          <w:rFonts w:ascii="Arial" w:hAnsi="Arial" w:cs="Arial"/>
          <w:b/>
          <w:sz w:val="48"/>
          <w:szCs w:val="48"/>
          <w:lang w:val="en-US"/>
        </w:rPr>
      </w:pPr>
    </w:p>
    <w:p w:rsidR="002014C1" w:rsidRDefault="002014C1" w:rsidP="002014C1">
      <w:pPr>
        <w:tabs>
          <w:tab w:val="left" w:pos="990"/>
        </w:tabs>
        <w:rPr>
          <w:rFonts w:ascii="Arial" w:hAnsi="Arial" w:cs="Arial"/>
          <w:b/>
          <w:sz w:val="24"/>
          <w:szCs w:val="24"/>
          <w:lang w:val="it-IT"/>
        </w:rPr>
      </w:pPr>
      <w:r>
        <w:rPr>
          <w:rFonts w:ascii="Arial" w:hAnsi="Arial" w:cs="Arial"/>
          <w:b/>
          <w:sz w:val="24"/>
          <w:szCs w:val="24"/>
          <w:lang w:val="it-IT"/>
        </w:rPr>
        <w:t>SUPERVISOR                                                                                       PhD CANDIDATE</w:t>
      </w:r>
    </w:p>
    <w:p w:rsidR="002014C1" w:rsidRDefault="002014C1" w:rsidP="002014C1">
      <w:pPr>
        <w:tabs>
          <w:tab w:val="left" w:pos="990"/>
        </w:tabs>
        <w:rPr>
          <w:rFonts w:ascii="Arial" w:hAnsi="Arial" w:cs="Arial"/>
          <w:sz w:val="24"/>
          <w:szCs w:val="24"/>
          <w:lang w:val="it-IT"/>
        </w:rPr>
      </w:pPr>
      <w:r>
        <w:rPr>
          <w:rFonts w:ascii="Arial" w:hAnsi="Arial" w:cs="Arial"/>
          <w:sz w:val="24"/>
          <w:szCs w:val="24"/>
          <w:lang w:val="it-IT"/>
        </w:rPr>
        <w:t>Prof. Gianluca Ciardelli                                                                              Clara Mattu</w:t>
      </w:r>
    </w:p>
    <w:p w:rsidR="002014C1" w:rsidRDefault="002014C1" w:rsidP="002014C1">
      <w:pPr>
        <w:tabs>
          <w:tab w:val="left" w:pos="990"/>
        </w:tabs>
        <w:rPr>
          <w:rFonts w:ascii="Arial" w:hAnsi="Arial" w:cs="Arial"/>
          <w:sz w:val="24"/>
          <w:szCs w:val="24"/>
          <w:lang w:val="it-IT"/>
        </w:rPr>
      </w:pPr>
    </w:p>
    <w:p w:rsidR="002014C1" w:rsidRDefault="002014C1" w:rsidP="002014C1">
      <w:pPr>
        <w:tabs>
          <w:tab w:val="left" w:pos="990"/>
        </w:tabs>
        <w:rPr>
          <w:rFonts w:ascii="Arial" w:hAnsi="Arial" w:cs="Arial"/>
          <w:sz w:val="24"/>
          <w:szCs w:val="24"/>
          <w:lang w:val="it-IT"/>
        </w:rPr>
      </w:pPr>
    </w:p>
    <w:p w:rsidR="002014C1" w:rsidRPr="00DA5184" w:rsidRDefault="002014C1" w:rsidP="002014C1">
      <w:pPr>
        <w:tabs>
          <w:tab w:val="left" w:pos="990"/>
        </w:tabs>
        <w:jc w:val="center"/>
        <w:rPr>
          <w:rFonts w:ascii="Arial" w:hAnsi="Arial" w:cs="Arial"/>
          <w:sz w:val="24"/>
          <w:szCs w:val="24"/>
          <w:lang w:val="en-US"/>
        </w:rPr>
      </w:pPr>
      <w:r w:rsidRPr="00DA5184">
        <w:rPr>
          <w:rFonts w:ascii="Arial" w:hAnsi="Arial" w:cs="Arial"/>
          <w:sz w:val="24"/>
          <w:szCs w:val="24"/>
          <w:lang w:val="en-US"/>
        </w:rPr>
        <w:t>January 2012</w:t>
      </w: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2014C1">
      <w:pPr>
        <w:tabs>
          <w:tab w:val="left" w:pos="990"/>
        </w:tabs>
        <w:jc w:val="center"/>
        <w:rPr>
          <w:rFonts w:ascii="Arial" w:hAnsi="Arial" w:cs="Arial"/>
          <w:sz w:val="24"/>
          <w:szCs w:val="24"/>
          <w:lang w:val="en-US"/>
        </w:rPr>
      </w:pPr>
    </w:p>
    <w:p w:rsidR="002014C1" w:rsidRPr="00DA5184" w:rsidRDefault="002014C1" w:rsidP="00387A07">
      <w:pPr>
        <w:tabs>
          <w:tab w:val="left" w:pos="990"/>
        </w:tabs>
        <w:rPr>
          <w:rFonts w:ascii="Arial" w:hAnsi="Arial" w:cs="Arial"/>
          <w:sz w:val="24"/>
          <w:szCs w:val="24"/>
          <w:lang w:val="en-US"/>
        </w:rPr>
      </w:pPr>
    </w:p>
    <w:p w:rsidR="002014C1" w:rsidRPr="00DA5184" w:rsidRDefault="002014C1" w:rsidP="002014C1">
      <w:pPr>
        <w:tabs>
          <w:tab w:val="left" w:pos="990"/>
        </w:tabs>
        <w:jc w:val="right"/>
        <w:rPr>
          <w:rFonts w:ascii="Arial" w:hAnsi="Arial" w:cs="Arial"/>
          <w:sz w:val="24"/>
          <w:szCs w:val="24"/>
          <w:lang w:val="en-US"/>
        </w:rPr>
      </w:pPr>
    </w:p>
    <w:p w:rsidR="002014C1" w:rsidRDefault="002014C1" w:rsidP="002014C1">
      <w:pPr>
        <w:tabs>
          <w:tab w:val="left" w:pos="990"/>
        </w:tabs>
        <w:rPr>
          <w:rFonts w:ascii="Arial" w:hAnsi="Arial" w:cs="Arial"/>
          <w:sz w:val="24"/>
          <w:szCs w:val="24"/>
          <w:lang w:val="en-US"/>
        </w:rPr>
      </w:pPr>
    </w:p>
    <w:p w:rsidR="002014C1" w:rsidRPr="001B5A36" w:rsidRDefault="002014C1" w:rsidP="002014C1">
      <w:pPr>
        <w:tabs>
          <w:tab w:val="left" w:pos="990"/>
        </w:tabs>
        <w:rPr>
          <w:rFonts w:ascii="Arial" w:hAnsi="Arial" w:cs="Arial"/>
          <w:b/>
          <w:i/>
          <w:sz w:val="24"/>
          <w:szCs w:val="24"/>
          <w:lang w:val="en-US"/>
        </w:rPr>
      </w:pPr>
      <w:r w:rsidRPr="001B5A36">
        <w:rPr>
          <w:rFonts w:ascii="Arial" w:hAnsi="Arial" w:cs="Arial"/>
          <w:sz w:val="24"/>
          <w:szCs w:val="24"/>
          <w:lang w:val="en-US"/>
        </w:rPr>
        <w:lastRenderedPageBreak/>
        <w:t xml:space="preserve">“ </w:t>
      </w:r>
      <w:r w:rsidRPr="001B5A36">
        <w:rPr>
          <w:rFonts w:ascii="Arial" w:hAnsi="Arial" w:cs="Arial"/>
          <w:b/>
          <w:i/>
          <w:sz w:val="24"/>
          <w:szCs w:val="24"/>
          <w:lang w:val="en-US"/>
        </w:rPr>
        <w:t>In victory you deserve champagne;</w:t>
      </w:r>
    </w:p>
    <w:p w:rsidR="002014C1" w:rsidRPr="001B5A36" w:rsidRDefault="002014C1" w:rsidP="002014C1">
      <w:pPr>
        <w:tabs>
          <w:tab w:val="left" w:pos="990"/>
        </w:tabs>
        <w:rPr>
          <w:rFonts w:ascii="Arial" w:hAnsi="Arial" w:cs="Arial"/>
          <w:b/>
          <w:i/>
          <w:sz w:val="24"/>
          <w:szCs w:val="24"/>
          <w:lang w:val="en-US"/>
        </w:rPr>
      </w:pPr>
      <w:r>
        <w:rPr>
          <w:rFonts w:ascii="Arial" w:hAnsi="Arial" w:cs="Arial"/>
          <w:b/>
          <w:i/>
          <w:sz w:val="24"/>
          <w:szCs w:val="24"/>
          <w:lang w:val="en-US"/>
        </w:rPr>
        <w:t>In defeat you need it</w:t>
      </w:r>
      <w:r w:rsidRPr="001B5A36">
        <w:rPr>
          <w:rFonts w:ascii="Arial" w:hAnsi="Arial" w:cs="Arial"/>
          <w:b/>
          <w:i/>
          <w:sz w:val="24"/>
          <w:szCs w:val="24"/>
          <w:lang w:val="en-US"/>
        </w:rPr>
        <w:t>”</w:t>
      </w:r>
    </w:p>
    <w:p w:rsidR="002014C1" w:rsidRPr="00A11162" w:rsidRDefault="002014C1" w:rsidP="002014C1">
      <w:pPr>
        <w:tabs>
          <w:tab w:val="left" w:pos="990"/>
        </w:tabs>
        <w:rPr>
          <w:rFonts w:ascii="Arial" w:hAnsi="Arial" w:cs="Arial"/>
          <w:sz w:val="24"/>
          <w:szCs w:val="24"/>
          <w:lang w:val="en-US"/>
        </w:rPr>
      </w:pPr>
      <w:r>
        <w:rPr>
          <w:rFonts w:ascii="Arial" w:hAnsi="Arial" w:cs="Arial"/>
          <w:sz w:val="24"/>
          <w:szCs w:val="24"/>
          <w:lang w:val="en-US"/>
        </w:rPr>
        <w:t>N.</w:t>
      </w:r>
      <w:r w:rsidRPr="00A11162">
        <w:rPr>
          <w:rFonts w:ascii="Arial" w:hAnsi="Arial" w:cs="Arial"/>
          <w:sz w:val="24"/>
          <w:szCs w:val="24"/>
          <w:lang w:val="en-US"/>
        </w:rPr>
        <w:t xml:space="preserve"> B</w:t>
      </w:r>
      <w:r>
        <w:rPr>
          <w:rFonts w:ascii="Arial" w:hAnsi="Arial" w:cs="Arial"/>
          <w:sz w:val="24"/>
          <w:szCs w:val="24"/>
          <w:lang w:val="en-US"/>
        </w:rPr>
        <w:t>onaparte</w:t>
      </w: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2014C1" w:rsidRPr="00A11162" w:rsidRDefault="002014C1" w:rsidP="002014C1">
      <w:pPr>
        <w:tabs>
          <w:tab w:val="left" w:pos="990"/>
        </w:tabs>
        <w:rPr>
          <w:rFonts w:ascii="Arial" w:hAnsi="Arial" w:cs="Arial"/>
          <w:b/>
          <w:sz w:val="24"/>
          <w:szCs w:val="24"/>
          <w:lang w:val="en-US"/>
        </w:rPr>
      </w:pPr>
    </w:p>
    <w:p w:rsidR="00387A07" w:rsidRDefault="00387A07"/>
    <w:p w:rsidR="00387A07" w:rsidRDefault="00387A07"/>
    <w:p w:rsidR="00387A07" w:rsidRDefault="00387A07"/>
    <w:p w:rsidR="00387A07" w:rsidRDefault="00387A07"/>
    <w:p w:rsidR="00387A07" w:rsidRDefault="00387A07"/>
    <w:p w:rsidR="00387A07" w:rsidRPr="007B7B61" w:rsidRDefault="00387A07" w:rsidP="00387A07">
      <w:pPr>
        <w:tabs>
          <w:tab w:val="left" w:pos="990"/>
        </w:tabs>
        <w:jc w:val="center"/>
        <w:rPr>
          <w:rFonts w:ascii="Arial" w:hAnsi="Arial" w:cs="Arial"/>
          <w:b/>
          <w:sz w:val="36"/>
          <w:szCs w:val="36"/>
          <w:u w:val="single"/>
          <w:lang w:val="en-US"/>
        </w:rPr>
      </w:pPr>
      <w:r w:rsidRPr="007B7B61">
        <w:rPr>
          <w:rFonts w:ascii="Arial" w:hAnsi="Arial" w:cs="Arial"/>
          <w:b/>
          <w:sz w:val="36"/>
          <w:szCs w:val="36"/>
          <w:u w:val="single"/>
          <w:lang w:val="en-US"/>
        </w:rPr>
        <w:lastRenderedPageBreak/>
        <w:t>Index</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1023"/>
      </w:tblGrid>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sidRPr="00D14847">
              <w:rPr>
                <w:rFonts w:ascii="Times New Roman" w:hAnsi="Times New Roman" w:cs="Times New Roman"/>
                <w:b/>
                <w:sz w:val="26"/>
                <w:szCs w:val="26"/>
                <w:lang w:val="en-US"/>
              </w:rPr>
              <w:t>Acknowledgements</w:t>
            </w:r>
            <w:r>
              <w:rPr>
                <w:rFonts w:ascii="Times New Roman" w:hAnsi="Times New Roman" w:cs="Times New Roman"/>
                <w:b/>
                <w:sz w:val="26"/>
                <w:szCs w:val="26"/>
                <w:lang w:val="en-US"/>
              </w:rPr>
              <w:t xml:space="preserve"> ……………………………………………………………….</w:t>
            </w:r>
          </w:p>
        </w:tc>
        <w:tc>
          <w:tcPr>
            <w:tcW w:w="1023" w:type="dxa"/>
          </w:tcPr>
          <w:p w:rsidR="00387A07" w:rsidRDefault="009925A1" w:rsidP="00387A07">
            <w:pPr>
              <w:tabs>
                <w:tab w:val="left" w:pos="990"/>
              </w:tabs>
              <w:spacing w:line="360" w:lineRule="auto"/>
              <w:jc w:val="right"/>
              <w:rPr>
                <w:rFonts w:ascii="Arial" w:hAnsi="Arial" w:cs="Arial"/>
                <w:sz w:val="24"/>
                <w:szCs w:val="24"/>
                <w:lang w:val="en-US"/>
              </w:rPr>
            </w:pPr>
            <w:r>
              <w:rPr>
                <w:rFonts w:ascii="Arial" w:hAnsi="Arial" w:cs="Arial"/>
                <w:sz w:val="24"/>
                <w:szCs w:val="24"/>
                <w:lang w:val="en-US"/>
              </w:rPr>
              <w:t>12</w:t>
            </w:r>
          </w:p>
        </w:tc>
      </w:tr>
      <w:tr w:rsidR="00387A07" w:rsidTr="00387A07">
        <w:tc>
          <w:tcPr>
            <w:tcW w:w="8755" w:type="dxa"/>
          </w:tcPr>
          <w:p w:rsidR="00387A07" w:rsidRPr="00385EF0" w:rsidRDefault="00387A07" w:rsidP="00387A07">
            <w:pPr>
              <w:tabs>
                <w:tab w:val="left" w:pos="990"/>
              </w:tabs>
              <w:spacing w:line="360" w:lineRule="auto"/>
              <w:rPr>
                <w:rFonts w:ascii="Arial" w:hAnsi="Arial" w:cs="Arial"/>
                <w:sz w:val="24"/>
                <w:szCs w:val="24"/>
                <w:lang w:val="en-US"/>
              </w:rPr>
            </w:pPr>
            <w:r w:rsidRPr="00D14847">
              <w:rPr>
                <w:rFonts w:ascii="Times New Roman" w:hAnsi="Times New Roman" w:cs="Times New Roman"/>
                <w:b/>
                <w:sz w:val="26"/>
                <w:szCs w:val="26"/>
                <w:lang w:val="en-US"/>
              </w:rPr>
              <w:t xml:space="preserve">Short </w:t>
            </w:r>
            <w:r w:rsidRPr="00D14847">
              <w:rPr>
                <w:rFonts w:ascii="Times New Roman" w:hAnsi="Times New Roman" w:cs="Times New Roman"/>
                <w:b/>
                <w:i/>
                <w:sz w:val="26"/>
                <w:szCs w:val="26"/>
                <w:lang w:val="en-US"/>
              </w:rPr>
              <w:t>Curriculum Vitae</w:t>
            </w:r>
            <w:r>
              <w:rPr>
                <w:rFonts w:ascii="Times New Roman" w:hAnsi="Times New Roman" w:cs="Times New Roman"/>
                <w:b/>
                <w:i/>
                <w:sz w:val="26"/>
                <w:szCs w:val="26"/>
                <w:lang w:val="en-US"/>
              </w:rPr>
              <w:t xml:space="preserve"> </w:t>
            </w:r>
            <w:r>
              <w:rPr>
                <w:rFonts w:ascii="Times New Roman" w:hAnsi="Times New Roman" w:cs="Times New Roman"/>
                <w:b/>
                <w:sz w:val="26"/>
                <w:szCs w:val="26"/>
                <w:lang w:val="en-US"/>
              </w:rPr>
              <w:t>…………………………………………………………..</w:t>
            </w:r>
          </w:p>
        </w:tc>
        <w:tc>
          <w:tcPr>
            <w:tcW w:w="1023" w:type="dxa"/>
          </w:tcPr>
          <w:p w:rsidR="00387A07" w:rsidRDefault="009925A1" w:rsidP="00387A07">
            <w:pPr>
              <w:tabs>
                <w:tab w:val="left" w:pos="990"/>
              </w:tabs>
              <w:spacing w:line="360" w:lineRule="auto"/>
              <w:jc w:val="right"/>
              <w:rPr>
                <w:rFonts w:ascii="Arial" w:hAnsi="Arial" w:cs="Arial"/>
                <w:sz w:val="24"/>
                <w:szCs w:val="24"/>
                <w:lang w:val="en-US"/>
              </w:rPr>
            </w:pPr>
            <w:r>
              <w:rPr>
                <w:rFonts w:ascii="Arial" w:hAnsi="Arial" w:cs="Arial"/>
                <w:sz w:val="24"/>
                <w:szCs w:val="24"/>
                <w:lang w:val="en-US"/>
              </w:rPr>
              <w:t>14</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sidRPr="00D14847">
              <w:rPr>
                <w:rFonts w:ascii="Times New Roman" w:hAnsi="Times New Roman" w:cs="Times New Roman"/>
                <w:b/>
                <w:sz w:val="26"/>
                <w:szCs w:val="26"/>
                <w:lang w:val="en-US"/>
              </w:rPr>
              <w:t>List of Publications</w:t>
            </w:r>
            <w:r>
              <w:rPr>
                <w:rFonts w:ascii="Times New Roman" w:hAnsi="Times New Roman" w:cs="Times New Roman"/>
                <w:b/>
                <w:sz w:val="26"/>
                <w:szCs w:val="26"/>
                <w:lang w:val="en-US"/>
              </w:rPr>
              <w:t xml:space="preserve"> ……………………………………………………………….</w:t>
            </w:r>
          </w:p>
        </w:tc>
        <w:tc>
          <w:tcPr>
            <w:tcW w:w="1023" w:type="dxa"/>
          </w:tcPr>
          <w:p w:rsidR="00387A07" w:rsidRDefault="009925A1" w:rsidP="009925A1">
            <w:pPr>
              <w:tabs>
                <w:tab w:val="left" w:pos="990"/>
              </w:tabs>
              <w:spacing w:line="360" w:lineRule="auto"/>
              <w:jc w:val="center"/>
              <w:rPr>
                <w:rFonts w:ascii="Arial" w:hAnsi="Arial" w:cs="Arial"/>
                <w:sz w:val="24"/>
                <w:szCs w:val="24"/>
                <w:lang w:val="en-US"/>
              </w:rPr>
            </w:pPr>
            <w:r>
              <w:rPr>
                <w:rFonts w:ascii="Arial" w:hAnsi="Arial" w:cs="Arial"/>
                <w:sz w:val="24"/>
                <w:szCs w:val="24"/>
                <w:lang w:val="en-US"/>
              </w:rPr>
              <w:t xml:space="preserve">        16</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sidRPr="00D14847">
              <w:rPr>
                <w:rFonts w:ascii="Times New Roman" w:hAnsi="Times New Roman" w:cs="Times New Roman"/>
                <w:b/>
                <w:sz w:val="26"/>
                <w:szCs w:val="26"/>
                <w:lang w:val="en-US"/>
              </w:rPr>
              <w:t>Abstract</w:t>
            </w:r>
            <w:r>
              <w:rPr>
                <w:rFonts w:ascii="Times New Roman" w:hAnsi="Times New Roman" w:cs="Times New Roman"/>
                <w:b/>
                <w:sz w:val="26"/>
                <w:szCs w:val="26"/>
                <w:lang w:val="en-US"/>
              </w:rPr>
              <w:t xml:space="preserve"> …………………………………………………………………………...</w:t>
            </w:r>
          </w:p>
        </w:tc>
        <w:tc>
          <w:tcPr>
            <w:tcW w:w="1023" w:type="dxa"/>
          </w:tcPr>
          <w:p w:rsidR="00387A07" w:rsidRDefault="009925A1" w:rsidP="00387A07">
            <w:pPr>
              <w:tabs>
                <w:tab w:val="left" w:pos="990"/>
              </w:tabs>
              <w:spacing w:line="360" w:lineRule="auto"/>
              <w:jc w:val="right"/>
              <w:rPr>
                <w:rFonts w:ascii="Arial" w:hAnsi="Arial" w:cs="Arial"/>
                <w:sz w:val="24"/>
                <w:szCs w:val="24"/>
                <w:lang w:val="en-US"/>
              </w:rPr>
            </w:pPr>
            <w:r>
              <w:rPr>
                <w:rFonts w:ascii="Arial" w:hAnsi="Arial" w:cs="Arial"/>
                <w:sz w:val="24"/>
                <w:szCs w:val="24"/>
                <w:lang w:val="en-US"/>
              </w:rPr>
              <w:t>19</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sidRPr="00D14847">
              <w:rPr>
                <w:rFonts w:ascii="Times New Roman" w:hAnsi="Times New Roman" w:cs="Times New Roman"/>
                <w:b/>
                <w:sz w:val="26"/>
                <w:szCs w:val="26"/>
                <w:lang w:val="en-US"/>
              </w:rPr>
              <w:t>Thesis Outline</w:t>
            </w:r>
            <w:r>
              <w:rPr>
                <w:rFonts w:ascii="Times New Roman" w:hAnsi="Times New Roman" w:cs="Times New Roman"/>
                <w:b/>
                <w:sz w:val="26"/>
                <w:szCs w:val="26"/>
                <w:lang w:val="en-US"/>
              </w:rPr>
              <w:t xml:space="preserve"> …………………………………………………………………….</w:t>
            </w:r>
          </w:p>
        </w:tc>
        <w:tc>
          <w:tcPr>
            <w:tcW w:w="1023" w:type="dxa"/>
          </w:tcPr>
          <w:p w:rsidR="00387A07" w:rsidRDefault="009925A1" w:rsidP="00387A07">
            <w:pPr>
              <w:tabs>
                <w:tab w:val="left" w:pos="990"/>
              </w:tabs>
              <w:spacing w:line="360" w:lineRule="auto"/>
              <w:jc w:val="right"/>
              <w:rPr>
                <w:rFonts w:ascii="Arial" w:hAnsi="Arial" w:cs="Arial"/>
                <w:sz w:val="24"/>
                <w:szCs w:val="24"/>
                <w:lang w:val="en-US"/>
              </w:rPr>
            </w:pPr>
            <w:r>
              <w:rPr>
                <w:rFonts w:ascii="Arial" w:hAnsi="Arial" w:cs="Arial"/>
                <w:sz w:val="24"/>
                <w:szCs w:val="24"/>
                <w:lang w:val="en-US"/>
              </w:rPr>
              <w:t>23</w:t>
            </w:r>
          </w:p>
        </w:tc>
      </w:tr>
      <w:tr w:rsidR="00387A07" w:rsidTr="00387A07">
        <w:tc>
          <w:tcPr>
            <w:tcW w:w="9778" w:type="dxa"/>
            <w:gridSpan w:val="2"/>
          </w:tcPr>
          <w:p w:rsidR="00387A07" w:rsidRPr="0094103C" w:rsidRDefault="00387A07" w:rsidP="00387A07">
            <w:pPr>
              <w:spacing w:before="120" w:line="360" w:lineRule="auto"/>
              <w:jc w:val="center"/>
              <w:rPr>
                <w:rFonts w:ascii="Arial" w:hAnsi="Arial" w:cs="Arial"/>
                <w:b/>
                <w:sz w:val="36"/>
                <w:szCs w:val="36"/>
                <w:lang w:val="en-US"/>
              </w:rPr>
            </w:pPr>
            <w:r w:rsidRPr="00D57D88">
              <w:rPr>
                <w:rFonts w:ascii="Arial" w:hAnsi="Arial" w:cs="Arial"/>
                <w:b/>
                <w:sz w:val="36"/>
                <w:szCs w:val="36"/>
                <w:lang w:val="en-US"/>
              </w:rPr>
              <w:t xml:space="preserve">Section I </w:t>
            </w:r>
          </w:p>
        </w:tc>
      </w:tr>
      <w:tr w:rsidR="00387A07" w:rsidTr="00387A07">
        <w:tc>
          <w:tcPr>
            <w:tcW w:w="9778" w:type="dxa"/>
            <w:gridSpan w:val="2"/>
          </w:tcPr>
          <w:p w:rsidR="00387A07" w:rsidRDefault="00387A07" w:rsidP="00387A07">
            <w:pPr>
              <w:tabs>
                <w:tab w:val="left" w:pos="990"/>
              </w:tabs>
              <w:spacing w:before="120" w:line="360" w:lineRule="auto"/>
              <w:jc w:val="center"/>
              <w:rPr>
                <w:rFonts w:ascii="Arial" w:hAnsi="Arial" w:cs="Arial"/>
                <w:sz w:val="24"/>
                <w:szCs w:val="24"/>
                <w:lang w:val="en-US"/>
              </w:rPr>
            </w:pPr>
            <w:r w:rsidRPr="00D57D88">
              <w:rPr>
                <w:rFonts w:ascii="Arial" w:hAnsi="Arial" w:cs="Arial"/>
                <w:b/>
                <w:sz w:val="28"/>
                <w:szCs w:val="28"/>
                <w:lang w:val="en-US"/>
              </w:rPr>
              <w:t>Chapter 1</w:t>
            </w:r>
          </w:p>
        </w:tc>
      </w:tr>
      <w:tr w:rsidR="00387A07" w:rsidTr="00387A07">
        <w:tc>
          <w:tcPr>
            <w:tcW w:w="9778" w:type="dxa"/>
            <w:gridSpan w:val="2"/>
          </w:tcPr>
          <w:p w:rsidR="00387A07" w:rsidRPr="0094103C" w:rsidRDefault="00387A07" w:rsidP="00387A07">
            <w:pPr>
              <w:spacing w:before="120" w:after="120" w:line="360" w:lineRule="auto"/>
              <w:jc w:val="center"/>
              <w:rPr>
                <w:rFonts w:ascii="Arial" w:hAnsi="Arial" w:cs="Arial"/>
                <w:b/>
                <w:sz w:val="28"/>
                <w:szCs w:val="28"/>
                <w:lang w:val="en-US"/>
              </w:rPr>
            </w:pPr>
            <w:r w:rsidRPr="00D57D88">
              <w:rPr>
                <w:rFonts w:ascii="Arial" w:hAnsi="Arial" w:cs="Arial"/>
                <w:b/>
                <w:sz w:val="28"/>
                <w:szCs w:val="28"/>
                <w:lang w:val="en-US"/>
              </w:rPr>
              <w:t>Nanotechnology-based Drug Delivery Systems: State of the Art and Future Trends</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sidRPr="009536D2">
              <w:rPr>
                <w:rFonts w:ascii="Arial" w:hAnsi="Arial" w:cs="Arial"/>
                <w:sz w:val="24"/>
                <w:szCs w:val="24"/>
                <w:lang w:val="en-US"/>
              </w:rPr>
              <w:t>1.1 Introduction</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28</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sidRPr="009536D2">
              <w:rPr>
                <w:rFonts w:ascii="Arial" w:hAnsi="Arial" w:cs="Arial"/>
                <w:sz w:val="24"/>
                <w:szCs w:val="24"/>
                <w:lang w:val="en-US"/>
              </w:rPr>
              <w:t>1.2 Polymeric nanoparticles as drug delivery systems</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28</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w:t>
            </w:r>
            <w:r w:rsidRPr="009536D2">
              <w:rPr>
                <w:rFonts w:ascii="Arial" w:hAnsi="Arial" w:cs="Arial"/>
                <w:sz w:val="24"/>
                <w:szCs w:val="24"/>
                <w:lang w:val="en-US"/>
              </w:rPr>
              <w:t>1.2.1 Advantages of polymeric drug carriers</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29</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w:t>
            </w:r>
            <w:r w:rsidRPr="009536D2">
              <w:rPr>
                <w:rFonts w:ascii="Arial" w:hAnsi="Arial" w:cs="Arial"/>
                <w:sz w:val="24"/>
                <w:szCs w:val="24"/>
                <w:lang w:val="en-US"/>
              </w:rPr>
              <w:t>1.2.1.1 Localized and targeted drug delivery</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30</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w:t>
            </w:r>
            <w:r w:rsidRPr="009536D2">
              <w:rPr>
                <w:rFonts w:ascii="Arial" w:hAnsi="Arial" w:cs="Arial"/>
                <w:sz w:val="24"/>
                <w:szCs w:val="24"/>
                <w:lang w:val="en-US"/>
              </w:rPr>
              <w:t>1.2.1.1.1 Passive targeting</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30</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w:t>
            </w:r>
            <w:r w:rsidRPr="009536D2">
              <w:rPr>
                <w:rFonts w:ascii="Arial" w:hAnsi="Arial" w:cs="Arial"/>
                <w:sz w:val="24"/>
                <w:szCs w:val="24"/>
                <w:lang w:val="en-US"/>
              </w:rPr>
              <w:t>1.2.1.1.2 Active targeting</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31</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w:t>
            </w:r>
            <w:r w:rsidRPr="009536D2">
              <w:rPr>
                <w:rFonts w:ascii="Arial" w:hAnsi="Arial" w:cs="Arial"/>
                <w:sz w:val="24"/>
                <w:szCs w:val="24"/>
                <w:lang w:val="en-US"/>
              </w:rPr>
              <w:t>1.2.1.2 Sustained and controlled release</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32</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w:t>
            </w:r>
            <w:r w:rsidRPr="009536D2">
              <w:rPr>
                <w:rFonts w:ascii="Arial" w:hAnsi="Arial" w:cs="Arial"/>
                <w:sz w:val="24"/>
                <w:szCs w:val="24"/>
                <w:lang w:val="en-US"/>
              </w:rPr>
              <w:t>1.2.1.3 Extended blood circulation time and biodistribution</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32</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w:t>
            </w:r>
            <w:r w:rsidRPr="009536D2">
              <w:rPr>
                <w:rFonts w:ascii="Arial" w:hAnsi="Arial" w:cs="Arial"/>
                <w:sz w:val="24"/>
                <w:szCs w:val="24"/>
                <w:lang w:val="en-US"/>
              </w:rPr>
              <w:t>1.2.1.4 Delivery of poorly water soluble drugs</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32</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w:t>
            </w:r>
            <w:r w:rsidRPr="009536D2">
              <w:rPr>
                <w:rFonts w:ascii="Arial" w:hAnsi="Arial" w:cs="Arial"/>
                <w:sz w:val="24"/>
                <w:szCs w:val="24"/>
                <w:lang w:val="en-US"/>
              </w:rPr>
              <w:t>1.2.1.5 Protection of the encapsulated active principle</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32</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w:t>
            </w:r>
            <w:r w:rsidRPr="009536D2">
              <w:rPr>
                <w:rFonts w:ascii="Arial" w:hAnsi="Arial" w:cs="Arial"/>
                <w:sz w:val="24"/>
                <w:szCs w:val="24"/>
                <w:lang w:val="en-US"/>
              </w:rPr>
              <w:t>1.2.1.6 Enhanced cellular uptake and ability to cross biological barriers</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33</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w:t>
            </w:r>
            <w:r w:rsidRPr="009536D2">
              <w:rPr>
                <w:rFonts w:ascii="Arial" w:hAnsi="Arial" w:cs="Arial"/>
                <w:sz w:val="24"/>
                <w:szCs w:val="24"/>
                <w:lang w:val="en-US"/>
              </w:rPr>
              <w:t>1.2.1.7 Enhanced surface area</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33</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sidRPr="009536D2">
              <w:rPr>
                <w:rFonts w:ascii="Arial" w:hAnsi="Arial" w:cs="Arial"/>
                <w:sz w:val="24"/>
                <w:szCs w:val="24"/>
                <w:lang w:val="en-US"/>
              </w:rPr>
              <w:t>1.3 methods for the preparation of nanoparticles</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33</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w:t>
            </w:r>
            <w:r w:rsidRPr="009536D2">
              <w:rPr>
                <w:rFonts w:ascii="Arial" w:hAnsi="Arial" w:cs="Arial"/>
                <w:sz w:val="24"/>
                <w:szCs w:val="24"/>
                <w:lang w:val="en-US"/>
              </w:rPr>
              <w:t>1.3.1 Particles prepared from the polymerization of monomers</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33</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1.3.1.1 Emulsion polymerization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34</w:t>
            </w:r>
          </w:p>
        </w:tc>
      </w:tr>
      <w:tr w:rsidR="00387A07" w:rsidTr="00387A07">
        <w:tc>
          <w:tcPr>
            <w:tcW w:w="8755" w:type="dxa"/>
          </w:tcPr>
          <w:p w:rsidR="00387A07" w:rsidRPr="00D14847" w:rsidRDefault="00387A07" w:rsidP="00387A07">
            <w:pPr>
              <w:tabs>
                <w:tab w:val="left" w:pos="990"/>
              </w:tabs>
              <w:spacing w:line="360" w:lineRule="auto"/>
              <w:rPr>
                <w:rFonts w:ascii="Times New Roman" w:hAnsi="Times New Roman" w:cs="Times New Roman"/>
                <w:b/>
                <w:sz w:val="26"/>
                <w:szCs w:val="26"/>
                <w:lang w:val="en-US"/>
              </w:rPr>
            </w:pPr>
            <w:r>
              <w:rPr>
                <w:rFonts w:ascii="Arial" w:hAnsi="Arial" w:cs="Arial"/>
                <w:sz w:val="24"/>
                <w:szCs w:val="24"/>
                <w:lang w:val="en-US"/>
              </w:rPr>
              <w:t xml:space="preserve">        </w:t>
            </w:r>
            <w:r w:rsidRPr="009536D2">
              <w:rPr>
                <w:rFonts w:ascii="Arial" w:hAnsi="Arial" w:cs="Arial"/>
                <w:sz w:val="24"/>
                <w:szCs w:val="24"/>
                <w:lang w:val="en-US"/>
              </w:rPr>
              <w:t>1.3.1.2 Interfacial polymerization</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35</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9536D2">
              <w:rPr>
                <w:rFonts w:ascii="Arial" w:hAnsi="Arial" w:cs="Arial"/>
                <w:sz w:val="24"/>
                <w:szCs w:val="24"/>
                <w:lang w:val="en-US"/>
              </w:rPr>
              <w:t>1.3.2 Particles prepared from preformed polymers</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36</w:t>
            </w:r>
          </w:p>
        </w:tc>
      </w:tr>
      <w:tr w:rsidR="00387A07" w:rsidTr="00387A07">
        <w:tc>
          <w:tcPr>
            <w:tcW w:w="8755" w:type="dxa"/>
          </w:tcPr>
          <w:p w:rsidR="00387A07" w:rsidRDefault="00387A07" w:rsidP="00387A07">
            <w:pPr>
              <w:spacing w:line="360" w:lineRule="auto"/>
              <w:jc w:val="both"/>
              <w:rPr>
                <w:rFonts w:ascii="Arial" w:hAnsi="Arial" w:cs="Arial"/>
                <w:sz w:val="24"/>
                <w:szCs w:val="24"/>
                <w:lang w:val="en-US"/>
              </w:rPr>
            </w:pPr>
            <w:r>
              <w:rPr>
                <w:rFonts w:ascii="Arial" w:hAnsi="Arial" w:cs="Arial"/>
                <w:sz w:val="24"/>
                <w:szCs w:val="24"/>
                <w:lang w:val="en-US"/>
              </w:rPr>
              <w:t xml:space="preserve">        </w:t>
            </w:r>
            <w:r w:rsidRPr="009536D2">
              <w:rPr>
                <w:rFonts w:ascii="Arial" w:hAnsi="Arial" w:cs="Arial"/>
                <w:sz w:val="24"/>
                <w:szCs w:val="24"/>
                <w:lang w:val="en-US"/>
              </w:rPr>
              <w:t>1.3.2.1 Emulsifi</w:t>
            </w:r>
            <w:r>
              <w:rPr>
                <w:rFonts w:ascii="Arial" w:hAnsi="Arial" w:cs="Arial"/>
                <w:sz w:val="24"/>
                <w:szCs w:val="24"/>
                <w:lang w:val="en-US"/>
              </w:rPr>
              <w:t xml:space="preserve">cation Solvent evaporation form </w:t>
            </w:r>
            <w:r w:rsidRPr="009536D2">
              <w:rPr>
                <w:rFonts w:ascii="Arial" w:hAnsi="Arial" w:cs="Arial"/>
                <w:sz w:val="24"/>
                <w:szCs w:val="24"/>
                <w:lang w:val="en-US"/>
              </w:rPr>
              <w:t xml:space="preserve">single Oil-in-Water </w:t>
            </w:r>
            <w:r>
              <w:rPr>
                <w:rFonts w:ascii="Arial" w:hAnsi="Arial" w:cs="Arial"/>
                <w:sz w:val="24"/>
                <w:szCs w:val="24"/>
                <w:lang w:val="en-US"/>
              </w:rPr>
              <w:t xml:space="preserve"> </w:t>
            </w:r>
          </w:p>
          <w:p w:rsidR="00387A07" w:rsidRDefault="00387A07" w:rsidP="00387A07">
            <w:pPr>
              <w:spacing w:line="360" w:lineRule="auto"/>
              <w:jc w:val="both"/>
              <w:rPr>
                <w:rFonts w:ascii="Arial" w:hAnsi="Arial" w:cs="Arial"/>
                <w:sz w:val="24"/>
                <w:szCs w:val="24"/>
                <w:lang w:val="en-US"/>
              </w:rPr>
            </w:pPr>
            <w:r>
              <w:rPr>
                <w:rFonts w:ascii="Arial" w:hAnsi="Arial" w:cs="Arial"/>
                <w:sz w:val="24"/>
                <w:szCs w:val="24"/>
                <w:lang w:val="en-US"/>
              </w:rPr>
              <w:t xml:space="preserve">        </w:t>
            </w:r>
            <w:r w:rsidRPr="009536D2">
              <w:rPr>
                <w:rFonts w:ascii="Arial" w:hAnsi="Arial" w:cs="Arial"/>
                <w:sz w:val="24"/>
                <w:szCs w:val="24"/>
                <w:lang w:val="en-US"/>
              </w:rPr>
              <w:t>Emulsion</w:t>
            </w:r>
            <w:r>
              <w:rPr>
                <w:rFonts w:ascii="Arial" w:hAnsi="Arial" w:cs="Arial"/>
                <w:sz w:val="24"/>
                <w:szCs w:val="24"/>
                <w:lang w:val="en-US"/>
              </w:rPr>
              <w:t xml:space="preserve"> …………………………………………………………………………...</w:t>
            </w:r>
          </w:p>
        </w:tc>
        <w:tc>
          <w:tcPr>
            <w:tcW w:w="1023" w:type="dxa"/>
          </w:tcPr>
          <w:p w:rsidR="00387A07" w:rsidRDefault="00387A07" w:rsidP="00387A07">
            <w:pPr>
              <w:tabs>
                <w:tab w:val="left" w:pos="990"/>
              </w:tabs>
              <w:spacing w:line="360" w:lineRule="auto"/>
              <w:jc w:val="center"/>
              <w:rPr>
                <w:rFonts w:ascii="Arial" w:hAnsi="Arial" w:cs="Arial"/>
                <w:sz w:val="24"/>
                <w:szCs w:val="24"/>
                <w:lang w:val="en-US"/>
              </w:rPr>
            </w:pPr>
          </w:p>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37</w:t>
            </w:r>
          </w:p>
        </w:tc>
      </w:tr>
      <w:tr w:rsidR="00387A07" w:rsidTr="00387A07">
        <w:tc>
          <w:tcPr>
            <w:tcW w:w="8755" w:type="dxa"/>
          </w:tcPr>
          <w:p w:rsidR="00387A07" w:rsidRDefault="00387A07" w:rsidP="00387A07">
            <w:pPr>
              <w:spacing w:line="360" w:lineRule="auto"/>
              <w:jc w:val="both"/>
              <w:rPr>
                <w:rFonts w:ascii="Arial" w:hAnsi="Arial" w:cs="Arial"/>
                <w:sz w:val="24"/>
                <w:szCs w:val="24"/>
                <w:lang w:val="en-US"/>
              </w:rPr>
            </w:pPr>
            <w:r>
              <w:rPr>
                <w:rFonts w:ascii="Arial" w:hAnsi="Arial" w:cs="Arial"/>
                <w:sz w:val="24"/>
                <w:szCs w:val="24"/>
                <w:lang w:val="en-US"/>
              </w:rPr>
              <w:t xml:space="preserve">        </w:t>
            </w:r>
            <w:r w:rsidRPr="009536D2">
              <w:rPr>
                <w:rFonts w:ascii="Arial" w:hAnsi="Arial" w:cs="Arial"/>
                <w:sz w:val="24"/>
                <w:szCs w:val="24"/>
                <w:lang w:val="en-US"/>
              </w:rPr>
              <w:t>1.3.2.2 Water in Oil in Water (W/O/W)</w:t>
            </w:r>
            <w:r>
              <w:rPr>
                <w:rFonts w:ascii="Arial" w:hAnsi="Arial" w:cs="Arial"/>
                <w:sz w:val="24"/>
                <w:szCs w:val="24"/>
                <w:lang w:val="en-US"/>
              </w:rPr>
              <w:t xml:space="preserve"> </w:t>
            </w:r>
            <w:r w:rsidRPr="009536D2">
              <w:rPr>
                <w:rFonts w:ascii="Arial" w:hAnsi="Arial" w:cs="Arial"/>
                <w:sz w:val="24"/>
                <w:szCs w:val="24"/>
                <w:lang w:val="en-US"/>
              </w:rPr>
              <w:t>Double emul</w:t>
            </w:r>
            <w:r>
              <w:rPr>
                <w:rFonts w:ascii="Arial" w:hAnsi="Arial" w:cs="Arial"/>
                <w:sz w:val="24"/>
                <w:szCs w:val="24"/>
                <w:lang w:val="en-US"/>
              </w:rPr>
              <w:t xml:space="preserve">sion solvent </w:t>
            </w:r>
          </w:p>
          <w:p w:rsidR="00387A07" w:rsidRDefault="00387A07" w:rsidP="00387A07">
            <w:pPr>
              <w:spacing w:line="360" w:lineRule="auto"/>
              <w:jc w:val="both"/>
              <w:rPr>
                <w:rFonts w:ascii="Arial" w:hAnsi="Arial" w:cs="Arial"/>
                <w:sz w:val="24"/>
                <w:szCs w:val="24"/>
                <w:lang w:val="en-US"/>
              </w:rPr>
            </w:pPr>
            <w:r>
              <w:rPr>
                <w:rFonts w:ascii="Arial" w:hAnsi="Arial" w:cs="Arial"/>
                <w:sz w:val="24"/>
                <w:szCs w:val="24"/>
                <w:lang w:val="en-US"/>
              </w:rPr>
              <w:lastRenderedPageBreak/>
              <w:t xml:space="preserve">        evaporation method ………………………………………………………………</w:t>
            </w:r>
          </w:p>
        </w:tc>
        <w:tc>
          <w:tcPr>
            <w:tcW w:w="1023" w:type="dxa"/>
          </w:tcPr>
          <w:p w:rsidR="00387A07" w:rsidRDefault="00387A07" w:rsidP="00387A07">
            <w:pPr>
              <w:tabs>
                <w:tab w:val="left" w:pos="990"/>
              </w:tabs>
              <w:spacing w:line="360" w:lineRule="auto"/>
              <w:jc w:val="center"/>
              <w:rPr>
                <w:rFonts w:ascii="Arial" w:hAnsi="Arial" w:cs="Arial"/>
                <w:sz w:val="24"/>
                <w:szCs w:val="24"/>
                <w:lang w:val="en-US"/>
              </w:rPr>
            </w:pPr>
          </w:p>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lastRenderedPageBreak/>
              <w:t>38</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lastRenderedPageBreak/>
              <w:t xml:space="preserve">        </w:t>
            </w:r>
            <w:r w:rsidRPr="009536D2">
              <w:rPr>
                <w:rFonts w:ascii="Arial" w:hAnsi="Arial" w:cs="Arial"/>
                <w:sz w:val="24"/>
                <w:szCs w:val="24"/>
                <w:lang w:val="en-US"/>
              </w:rPr>
              <w:t>1.3.2.3 Solvent Displacement</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39</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9536D2">
              <w:rPr>
                <w:rFonts w:ascii="Arial" w:hAnsi="Arial" w:cs="Arial"/>
                <w:sz w:val="24"/>
                <w:szCs w:val="24"/>
                <w:lang w:val="en-US"/>
              </w:rPr>
              <w:t>1.3.2.4 Salting out</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41</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sidRPr="009536D2">
              <w:rPr>
                <w:rFonts w:ascii="Arial" w:hAnsi="Arial" w:cs="Arial"/>
                <w:sz w:val="24"/>
                <w:szCs w:val="24"/>
                <w:lang w:val="en-US"/>
              </w:rPr>
              <w:t>1.4 Polymers used in nanoparticle formulations</w:t>
            </w:r>
            <w:r>
              <w:rPr>
                <w:rFonts w:ascii="Arial" w:hAnsi="Arial" w:cs="Arial"/>
                <w:sz w:val="24"/>
                <w:szCs w:val="24"/>
                <w:lang w:val="en-US"/>
              </w:rPr>
              <w:t xml:space="preserve"> …………………………………….</w:t>
            </w:r>
          </w:p>
        </w:tc>
        <w:tc>
          <w:tcPr>
            <w:tcW w:w="1023" w:type="dxa"/>
          </w:tcPr>
          <w:p w:rsidR="009925A1" w:rsidRDefault="009925A1" w:rsidP="009925A1">
            <w:pPr>
              <w:tabs>
                <w:tab w:val="left" w:pos="990"/>
              </w:tabs>
              <w:spacing w:line="360" w:lineRule="auto"/>
              <w:jc w:val="center"/>
              <w:rPr>
                <w:rFonts w:ascii="Arial" w:hAnsi="Arial" w:cs="Arial"/>
                <w:sz w:val="24"/>
                <w:szCs w:val="24"/>
                <w:lang w:val="en-US"/>
              </w:rPr>
            </w:pPr>
            <w:r>
              <w:rPr>
                <w:rFonts w:ascii="Arial" w:hAnsi="Arial" w:cs="Arial"/>
                <w:sz w:val="24"/>
                <w:szCs w:val="24"/>
                <w:lang w:val="en-US"/>
              </w:rPr>
              <w:t>42</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9536D2">
              <w:rPr>
                <w:rFonts w:ascii="Arial" w:hAnsi="Arial" w:cs="Arial"/>
                <w:sz w:val="24"/>
                <w:szCs w:val="24"/>
                <w:lang w:val="en-US"/>
              </w:rPr>
              <w:t>1.4.1 Poly(lactic acid) (PLA</w:t>
            </w:r>
            <w:r>
              <w:rPr>
                <w:rFonts w:ascii="Arial" w:hAnsi="Arial" w:cs="Arial"/>
                <w:sz w:val="24"/>
                <w:szCs w:val="24"/>
                <w:lang w:val="en-US"/>
              </w:rPr>
              <w:t>)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42</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9536D2">
              <w:rPr>
                <w:rFonts w:ascii="Arial" w:hAnsi="Arial" w:cs="Arial"/>
                <w:sz w:val="24"/>
                <w:szCs w:val="24"/>
                <w:lang w:val="en-US"/>
              </w:rPr>
              <w:t>1.4.2 Poly-D,L-lactide-co-glycolide (PLGA)</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44</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9536D2">
              <w:rPr>
                <w:rFonts w:ascii="Arial" w:hAnsi="Arial" w:cs="Arial"/>
                <w:sz w:val="24"/>
                <w:szCs w:val="24"/>
                <w:lang w:val="en-US"/>
              </w:rPr>
              <w:t>1.4.3 Poly(ε)Caprolactone (PCL)</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45</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9536D2">
              <w:rPr>
                <w:rFonts w:ascii="Arial" w:hAnsi="Arial" w:cs="Arial"/>
                <w:sz w:val="24"/>
                <w:szCs w:val="24"/>
                <w:lang w:val="en-US"/>
              </w:rPr>
              <w:t>1.4.4 Poly (Ethylene glycol) and the concept of “stealth nanoparticles”</w:t>
            </w:r>
            <w:r>
              <w:rPr>
                <w:rFonts w:ascii="Arial" w:hAnsi="Arial" w:cs="Arial"/>
                <w:sz w:val="24"/>
                <w:szCs w:val="24"/>
                <w:lang w:val="en-US"/>
              </w:rPr>
              <w:t xml:space="preserve">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47</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1.5 Thesis goal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49</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References ………………………………………………………………………………</w:t>
            </w:r>
          </w:p>
        </w:tc>
        <w:tc>
          <w:tcPr>
            <w:tcW w:w="1023" w:type="dxa"/>
          </w:tcPr>
          <w:p w:rsidR="00387A07" w:rsidRDefault="009925A1"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52</w:t>
            </w:r>
          </w:p>
        </w:tc>
      </w:tr>
      <w:tr w:rsidR="00387A07" w:rsidTr="00387A07">
        <w:tc>
          <w:tcPr>
            <w:tcW w:w="9778" w:type="dxa"/>
            <w:gridSpan w:val="2"/>
          </w:tcPr>
          <w:p w:rsidR="00387A07" w:rsidRPr="00433963" w:rsidRDefault="00387A07" w:rsidP="00387A07">
            <w:pPr>
              <w:spacing w:before="120" w:after="120" w:line="360" w:lineRule="auto"/>
              <w:jc w:val="center"/>
              <w:rPr>
                <w:rFonts w:ascii="Arial" w:hAnsi="Arial" w:cs="Arial"/>
                <w:b/>
                <w:sz w:val="36"/>
                <w:szCs w:val="36"/>
                <w:lang w:val="en-US"/>
              </w:rPr>
            </w:pPr>
            <w:r w:rsidRPr="00D57D88">
              <w:rPr>
                <w:rFonts w:ascii="Arial" w:hAnsi="Arial" w:cs="Arial"/>
                <w:b/>
                <w:sz w:val="36"/>
                <w:szCs w:val="36"/>
                <w:lang w:val="en-US"/>
              </w:rPr>
              <w:t>Section I</w:t>
            </w:r>
            <w:r>
              <w:rPr>
                <w:rFonts w:ascii="Arial" w:hAnsi="Arial" w:cs="Arial"/>
                <w:b/>
                <w:sz w:val="36"/>
                <w:szCs w:val="36"/>
                <w:lang w:val="en-US"/>
              </w:rPr>
              <w:t>I</w:t>
            </w:r>
            <w:r w:rsidRPr="00D57D88">
              <w:rPr>
                <w:rFonts w:ascii="Arial" w:hAnsi="Arial" w:cs="Arial"/>
                <w:b/>
                <w:sz w:val="36"/>
                <w:szCs w:val="36"/>
                <w:lang w:val="en-US"/>
              </w:rPr>
              <w:t xml:space="preserve"> </w:t>
            </w:r>
          </w:p>
        </w:tc>
      </w:tr>
      <w:tr w:rsidR="00387A07" w:rsidTr="00387A07">
        <w:tc>
          <w:tcPr>
            <w:tcW w:w="9778" w:type="dxa"/>
            <w:gridSpan w:val="2"/>
          </w:tcPr>
          <w:p w:rsidR="00387A07" w:rsidRPr="00433963" w:rsidRDefault="00387A07" w:rsidP="00387A07">
            <w:pPr>
              <w:spacing w:before="120" w:after="120" w:line="360" w:lineRule="auto"/>
              <w:jc w:val="center"/>
              <w:rPr>
                <w:rFonts w:ascii="Arial" w:hAnsi="Arial" w:cs="Arial"/>
                <w:b/>
                <w:sz w:val="28"/>
                <w:szCs w:val="28"/>
                <w:lang w:val="en-US"/>
              </w:rPr>
            </w:pPr>
            <w:r>
              <w:rPr>
                <w:rFonts w:ascii="Arial" w:hAnsi="Arial" w:cs="Arial"/>
                <w:b/>
                <w:sz w:val="28"/>
                <w:szCs w:val="28"/>
                <w:lang w:val="en-US"/>
              </w:rPr>
              <w:t>Chapter 2</w:t>
            </w:r>
          </w:p>
        </w:tc>
      </w:tr>
      <w:tr w:rsidR="00387A07" w:rsidTr="00387A07">
        <w:tc>
          <w:tcPr>
            <w:tcW w:w="9778" w:type="dxa"/>
            <w:gridSpan w:val="2"/>
          </w:tcPr>
          <w:p w:rsidR="00387A07" w:rsidRDefault="00387A07" w:rsidP="00387A07">
            <w:pPr>
              <w:tabs>
                <w:tab w:val="left" w:pos="990"/>
              </w:tabs>
              <w:spacing w:before="120" w:after="120" w:line="360" w:lineRule="auto"/>
              <w:jc w:val="center"/>
              <w:rPr>
                <w:rFonts w:ascii="Arial" w:hAnsi="Arial" w:cs="Arial"/>
                <w:sz w:val="24"/>
                <w:szCs w:val="24"/>
                <w:lang w:val="en-US"/>
              </w:rPr>
            </w:pPr>
            <w:r w:rsidRPr="00B5059B">
              <w:rPr>
                <w:rFonts w:ascii="Arial" w:hAnsi="Arial" w:cs="Arial"/>
                <w:b/>
                <w:sz w:val="28"/>
                <w:szCs w:val="28"/>
                <w:lang w:val="en-US"/>
              </w:rPr>
              <w:t>Innovative biodegradable Nanoparticles</w:t>
            </w:r>
            <w:r>
              <w:rPr>
                <w:rFonts w:ascii="Arial" w:hAnsi="Arial" w:cs="Arial"/>
                <w:b/>
                <w:sz w:val="28"/>
                <w:szCs w:val="28"/>
                <w:lang w:val="en-US"/>
              </w:rPr>
              <w:t xml:space="preserve"> </w:t>
            </w:r>
            <w:r w:rsidRPr="00B5059B">
              <w:rPr>
                <w:rFonts w:ascii="Arial" w:hAnsi="Arial" w:cs="Arial"/>
                <w:b/>
                <w:sz w:val="28"/>
                <w:szCs w:val="28"/>
                <w:lang w:val="en-US"/>
              </w:rPr>
              <w:t>for Passive Targeting of Cancer</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sidRPr="000069D9">
              <w:rPr>
                <w:rFonts w:ascii="Arial" w:hAnsi="Arial" w:cs="Arial"/>
                <w:sz w:val="24"/>
                <w:szCs w:val="24"/>
                <w:lang w:val="en-US"/>
              </w:rPr>
              <w:t>Abstract</w:t>
            </w:r>
            <w:r>
              <w:rPr>
                <w:rFonts w:ascii="Arial" w:hAnsi="Arial" w:cs="Arial"/>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60</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sidRPr="000069D9">
              <w:rPr>
                <w:rFonts w:ascii="Arial" w:hAnsi="Arial" w:cs="Arial"/>
                <w:sz w:val="24"/>
                <w:szCs w:val="24"/>
                <w:lang w:val="en-US"/>
              </w:rPr>
              <w:t xml:space="preserve">2.1 </w:t>
            </w:r>
            <w:r w:rsidRPr="000069D9">
              <w:rPr>
                <w:rFonts w:ascii="Arial" w:hAnsi="Arial" w:cs="Arial"/>
                <w:sz w:val="24"/>
                <w:szCs w:val="24"/>
              </w:rPr>
              <w:t>Introduction</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65</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sidRPr="000069D9">
              <w:rPr>
                <w:rFonts w:ascii="Arial" w:hAnsi="Arial" w:cs="Arial"/>
                <w:sz w:val="24"/>
                <w:szCs w:val="24"/>
              </w:rPr>
              <w:t>2.2 Materials &amp; methods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67</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w:t>
            </w:r>
            <w:r w:rsidRPr="000069D9">
              <w:rPr>
                <w:rFonts w:ascii="Arial" w:hAnsi="Arial" w:cs="Arial"/>
                <w:sz w:val="24"/>
                <w:szCs w:val="24"/>
              </w:rPr>
              <w:t>2.2.1 Materials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67</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color w:val="000000"/>
                <w:sz w:val="24"/>
                <w:szCs w:val="24"/>
                <w:lang w:eastAsia="it-IT"/>
              </w:rPr>
              <w:t xml:space="preserve">    </w:t>
            </w:r>
            <w:r w:rsidRPr="000069D9">
              <w:rPr>
                <w:rFonts w:ascii="Arial" w:hAnsi="Arial" w:cs="Arial"/>
                <w:color w:val="000000"/>
                <w:sz w:val="24"/>
                <w:szCs w:val="24"/>
                <w:lang w:eastAsia="it-IT"/>
              </w:rPr>
              <w:t>2.2.2 Polymer Synthesis</w:t>
            </w:r>
            <w:r>
              <w:rPr>
                <w:rFonts w:ascii="Arial" w:hAnsi="Arial" w:cs="Arial"/>
                <w:color w:val="000000"/>
                <w:sz w:val="24"/>
                <w:szCs w:val="24"/>
                <w:lang w:eastAsia="it-IT"/>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67</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w:t>
            </w:r>
            <w:r w:rsidRPr="000069D9">
              <w:rPr>
                <w:rFonts w:ascii="Arial" w:hAnsi="Arial" w:cs="Arial"/>
                <w:sz w:val="24"/>
                <w:szCs w:val="24"/>
              </w:rPr>
              <w:t>2.2.3 Polymer characterization</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68</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0069D9">
              <w:rPr>
                <w:rFonts w:ascii="Arial" w:hAnsi="Arial" w:cs="Arial"/>
                <w:sz w:val="24"/>
                <w:szCs w:val="24"/>
                <w:lang w:val="en-US"/>
              </w:rPr>
              <w:t>2.2.3.1 FTIR Analysis</w:t>
            </w:r>
            <w:r>
              <w:rPr>
                <w:rFonts w:ascii="Arial" w:hAnsi="Arial" w:cs="Arial"/>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68</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0069D9">
              <w:rPr>
                <w:rFonts w:ascii="Arial" w:hAnsi="Arial" w:cs="Arial"/>
                <w:sz w:val="24"/>
                <w:szCs w:val="24"/>
                <w:lang w:val="en-US"/>
              </w:rPr>
              <w:t>2.2.3.2 GPC Analysis</w:t>
            </w:r>
            <w:r>
              <w:rPr>
                <w:rFonts w:ascii="Arial" w:hAnsi="Arial" w:cs="Arial"/>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68</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0069D9">
              <w:rPr>
                <w:rFonts w:ascii="Arial" w:hAnsi="Arial" w:cs="Arial"/>
                <w:sz w:val="24"/>
                <w:szCs w:val="24"/>
                <w:lang w:val="en-US"/>
              </w:rPr>
              <w:t>2.2.3.3 DSC analysis</w:t>
            </w:r>
            <w:r>
              <w:rPr>
                <w:rFonts w:ascii="Arial" w:hAnsi="Arial" w:cs="Arial"/>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69</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w:t>
            </w:r>
            <w:r w:rsidRPr="000069D9">
              <w:rPr>
                <w:rFonts w:ascii="Arial" w:hAnsi="Arial" w:cs="Arial"/>
                <w:sz w:val="24"/>
                <w:szCs w:val="24"/>
              </w:rPr>
              <w:t>2.2.3.4 DMTA Analysis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69</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0069D9">
              <w:rPr>
                <w:rFonts w:ascii="Arial" w:hAnsi="Arial" w:cs="Arial"/>
                <w:sz w:val="24"/>
                <w:szCs w:val="24"/>
                <w:lang w:val="en-US"/>
              </w:rPr>
              <w:t>2</w:t>
            </w:r>
            <w:r>
              <w:rPr>
                <w:rFonts w:ascii="Arial" w:hAnsi="Arial" w:cs="Arial"/>
                <w:sz w:val="24"/>
                <w:szCs w:val="24"/>
                <w:lang w:val="en-US"/>
              </w:rPr>
              <w:t>.2.4 Contact Angle measurements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70</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w:t>
            </w:r>
            <w:r w:rsidRPr="000069D9">
              <w:rPr>
                <w:rFonts w:ascii="Arial" w:hAnsi="Arial" w:cs="Arial"/>
                <w:sz w:val="24"/>
                <w:szCs w:val="24"/>
              </w:rPr>
              <w:t>2.2.5 Preparation of nanoparticles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70</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w:t>
            </w:r>
            <w:r w:rsidRPr="000069D9">
              <w:rPr>
                <w:rFonts w:ascii="Arial" w:hAnsi="Arial" w:cs="Arial"/>
                <w:sz w:val="24"/>
                <w:szCs w:val="24"/>
              </w:rPr>
              <w:t>2.2.5.1 Optimization of the protocol</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70</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color w:val="000000"/>
                <w:sz w:val="24"/>
                <w:szCs w:val="24"/>
                <w:lang w:val="en-US"/>
              </w:rPr>
              <w:t xml:space="preserve">        </w:t>
            </w:r>
            <w:r w:rsidRPr="000069D9">
              <w:rPr>
                <w:rFonts w:ascii="Arial" w:hAnsi="Arial" w:cs="Arial"/>
                <w:color w:val="000000"/>
                <w:sz w:val="24"/>
                <w:szCs w:val="24"/>
                <w:lang w:val="en-US"/>
              </w:rPr>
              <w:t>2.2.5.2 Preparation of Paclitaxel-loaded nanoparticles</w:t>
            </w:r>
            <w:r>
              <w:rPr>
                <w:rFonts w:ascii="Arial" w:hAnsi="Arial" w:cs="Arial"/>
                <w:color w:val="000000"/>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71</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color w:val="000000"/>
                <w:sz w:val="24"/>
                <w:szCs w:val="24"/>
                <w:lang w:val="en-US"/>
              </w:rPr>
              <w:t xml:space="preserve">    </w:t>
            </w:r>
            <w:r w:rsidRPr="000069D9">
              <w:rPr>
                <w:rFonts w:ascii="Arial" w:hAnsi="Arial" w:cs="Arial"/>
                <w:color w:val="000000"/>
                <w:sz w:val="24"/>
                <w:szCs w:val="24"/>
                <w:lang w:val="en-US"/>
              </w:rPr>
              <w:t>2.2.6 Characterization of nanoparticles</w:t>
            </w:r>
            <w:r>
              <w:rPr>
                <w:rFonts w:ascii="Arial" w:hAnsi="Arial" w:cs="Arial"/>
                <w:color w:val="000000"/>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71</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color w:val="000000"/>
                <w:sz w:val="24"/>
                <w:szCs w:val="24"/>
                <w:lang w:val="en-US"/>
              </w:rPr>
              <w:t xml:space="preserve">        </w:t>
            </w:r>
            <w:r w:rsidRPr="000069D9">
              <w:rPr>
                <w:rFonts w:ascii="Arial" w:hAnsi="Arial" w:cs="Arial"/>
                <w:color w:val="000000"/>
                <w:sz w:val="24"/>
                <w:szCs w:val="24"/>
                <w:lang w:val="en-US"/>
              </w:rPr>
              <w:t>2.2.6.1 P</w:t>
            </w:r>
            <w:r w:rsidRPr="000069D9">
              <w:rPr>
                <w:rFonts w:ascii="Arial" w:hAnsi="Arial" w:cs="Arial"/>
                <w:color w:val="000000"/>
                <w:sz w:val="24"/>
                <w:szCs w:val="24"/>
              </w:rPr>
              <w:t xml:space="preserve">article size and size </w:t>
            </w:r>
            <w:r>
              <w:rPr>
                <w:rFonts w:ascii="Arial" w:hAnsi="Arial" w:cs="Arial"/>
                <w:color w:val="000000"/>
                <w:sz w:val="24"/>
                <w:szCs w:val="24"/>
                <w:lang w:val="en-US"/>
              </w:rPr>
              <w:t>distribution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71</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eastAsia="AdvTimes" w:hAnsi="Arial" w:cs="Arial"/>
                <w:color w:val="000000"/>
                <w:sz w:val="24"/>
                <w:szCs w:val="24"/>
                <w:lang w:val="en-US"/>
              </w:rPr>
              <w:lastRenderedPageBreak/>
              <w:t xml:space="preserve">        </w:t>
            </w:r>
            <w:r w:rsidRPr="000069D9">
              <w:rPr>
                <w:rFonts w:ascii="Arial" w:eastAsia="AdvTimes" w:hAnsi="Arial" w:cs="Arial"/>
                <w:color w:val="000000"/>
                <w:sz w:val="24"/>
                <w:szCs w:val="24"/>
              </w:rPr>
              <w:t>2.2.6.2 Surface charge</w:t>
            </w:r>
            <w:r>
              <w:rPr>
                <w:rFonts w:ascii="Arial" w:eastAsia="AdvTimes" w:hAnsi="Arial" w:cs="Arial"/>
                <w:color w:val="000000"/>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71</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eastAsia="AdvTimes" w:hAnsi="Arial" w:cs="Arial"/>
                <w:color w:val="000000"/>
                <w:sz w:val="24"/>
                <w:szCs w:val="24"/>
              </w:rPr>
              <w:t xml:space="preserve">        </w:t>
            </w:r>
            <w:r w:rsidRPr="000069D9">
              <w:rPr>
                <w:rFonts w:ascii="Arial" w:eastAsia="AdvTimes" w:hAnsi="Arial" w:cs="Arial"/>
                <w:color w:val="000000"/>
                <w:sz w:val="24"/>
                <w:szCs w:val="24"/>
              </w:rPr>
              <w:t>2.2.6.3 Particle morphology</w:t>
            </w:r>
            <w:r>
              <w:rPr>
                <w:rFonts w:ascii="Arial" w:eastAsia="AdvTimes" w:hAnsi="Arial" w:cs="Arial"/>
                <w:color w:val="000000"/>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71</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color w:val="000000"/>
                <w:sz w:val="24"/>
                <w:szCs w:val="24"/>
                <w:lang w:val="en-US"/>
              </w:rPr>
              <w:t xml:space="preserve">        </w:t>
            </w:r>
            <w:r w:rsidRPr="000069D9">
              <w:rPr>
                <w:rFonts w:ascii="Arial" w:hAnsi="Arial" w:cs="Arial"/>
                <w:color w:val="000000"/>
                <w:sz w:val="24"/>
                <w:szCs w:val="24"/>
                <w:lang w:val="en-US"/>
              </w:rPr>
              <w:t xml:space="preserve">2.2.6.4 Determination of </w:t>
            </w:r>
            <w:r w:rsidRPr="000069D9">
              <w:rPr>
                <w:rFonts w:ascii="Arial" w:hAnsi="Arial" w:cs="Arial"/>
                <w:color w:val="000000"/>
                <w:sz w:val="24"/>
                <w:szCs w:val="24"/>
              </w:rPr>
              <w:t>Paclitaxel loading and release profiles</w:t>
            </w:r>
            <w:r>
              <w:rPr>
                <w:rFonts w:ascii="Arial" w:hAnsi="Arial" w:cs="Arial"/>
                <w:color w:val="000000"/>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72</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eastAsia="AdvTimes" w:hAnsi="Arial" w:cs="Arial"/>
                <w:color w:val="000000"/>
                <w:sz w:val="24"/>
                <w:szCs w:val="24"/>
              </w:rPr>
              <w:t xml:space="preserve">    </w:t>
            </w:r>
            <w:r w:rsidRPr="000069D9">
              <w:rPr>
                <w:rFonts w:ascii="Arial" w:eastAsia="AdvTimes" w:hAnsi="Arial" w:cs="Arial"/>
                <w:color w:val="000000"/>
                <w:sz w:val="24"/>
                <w:szCs w:val="24"/>
              </w:rPr>
              <w:t xml:space="preserve">2.2.7 </w:t>
            </w:r>
            <w:r>
              <w:rPr>
                <w:rFonts w:ascii="Arial" w:eastAsia="AdvTimes" w:hAnsi="Arial" w:cs="Arial"/>
                <w:color w:val="000000"/>
                <w:sz w:val="24"/>
                <w:szCs w:val="24"/>
              </w:rPr>
              <w:t>Hydrolytic d</w:t>
            </w:r>
            <w:r w:rsidRPr="000069D9">
              <w:rPr>
                <w:rFonts w:ascii="Arial" w:eastAsia="AdvTimes" w:hAnsi="Arial" w:cs="Arial"/>
                <w:color w:val="000000"/>
                <w:sz w:val="24"/>
                <w:szCs w:val="24"/>
              </w:rPr>
              <w:t>egradation studies</w:t>
            </w:r>
            <w:r>
              <w:rPr>
                <w:rFonts w:ascii="Arial" w:eastAsia="AdvTimes" w:hAnsi="Arial" w:cs="Arial"/>
                <w:color w:val="000000"/>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72</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1202A5">
              <w:rPr>
                <w:rFonts w:ascii="Arial" w:hAnsi="Arial" w:cs="Arial"/>
                <w:sz w:val="24"/>
                <w:szCs w:val="24"/>
                <w:lang w:val="en-US"/>
              </w:rPr>
              <w:t>2.2.8 In vitro cell viability</w:t>
            </w:r>
            <w:r>
              <w:rPr>
                <w:rFonts w:ascii="Arial" w:hAnsi="Arial" w:cs="Arial"/>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73</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2.2.9 In vitro cellular uptake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73</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sidRPr="000069D9">
              <w:rPr>
                <w:rFonts w:ascii="Arial" w:hAnsi="Arial" w:cs="Arial"/>
                <w:sz w:val="24"/>
                <w:szCs w:val="24"/>
              </w:rPr>
              <w:t>2.3 Results &amp; Discussion</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74</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w:t>
            </w:r>
            <w:r w:rsidRPr="000069D9">
              <w:rPr>
                <w:rFonts w:ascii="Arial" w:hAnsi="Arial" w:cs="Arial"/>
                <w:sz w:val="24"/>
                <w:szCs w:val="24"/>
              </w:rPr>
              <w:t>2.3.1 Polymer synthesis and characterization</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74</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w:t>
            </w:r>
            <w:r w:rsidRPr="000069D9">
              <w:rPr>
                <w:rFonts w:ascii="Arial" w:hAnsi="Arial" w:cs="Arial"/>
                <w:sz w:val="24"/>
                <w:szCs w:val="24"/>
              </w:rPr>
              <w:t>2.3.1.1 ATR-FT-IR Analysis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74</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w:t>
            </w:r>
            <w:r w:rsidRPr="000069D9">
              <w:rPr>
                <w:rFonts w:ascii="Arial" w:hAnsi="Arial" w:cs="Arial"/>
                <w:sz w:val="24"/>
                <w:szCs w:val="24"/>
              </w:rPr>
              <w:t>2.3.1.2 GPC analysis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75</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w:t>
            </w:r>
            <w:r w:rsidRPr="000069D9">
              <w:rPr>
                <w:rFonts w:ascii="Arial" w:hAnsi="Arial" w:cs="Arial"/>
                <w:sz w:val="24"/>
                <w:szCs w:val="24"/>
              </w:rPr>
              <w:t>2.3.1.3 DSC and DMTA Analysis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75</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w:t>
            </w:r>
            <w:r w:rsidRPr="000069D9">
              <w:rPr>
                <w:rFonts w:ascii="Arial" w:hAnsi="Arial" w:cs="Arial"/>
                <w:sz w:val="24"/>
                <w:szCs w:val="24"/>
              </w:rPr>
              <w:t>2.3.2 Contac Angle Analysis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76</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sz w:val="24"/>
                <w:szCs w:val="24"/>
              </w:rPr>
              <w:t xml:space="preserve">    </w:t>
            </w:r>
            <w:r w:rsidRPr="000069D9">
              <w:rPr>
                <w:rFonts w:ascii="Arial" w:hAnsi="Arial" w:cs="Arial"/>
                <w:sz w:val="24"/>
                <w:szCs w:val="24"/>
              </w:rPr>
              <w:t>2.3.3 Preparation &amp; characterization of Nanoparticles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77</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sz w:val="24"/>
                <w:szCs w:val="24"/>
              </w:rPr>
              <w:t xml:space="preserve">        </w:t>
            </w:r>
            <w:r w:rsidRPr="000069D9">
              <w:rPr>
                <w:rFonts w:ascii="Arial" w:hAnsi="Arial" w:cs="Arial"/>
                <w:sz w:val="24"/>
                <w:szCs w:val="24"/>
              </w:rPr>
              <w:t>2.3.3.1 Optimization of the protocol</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77</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bCs/>
                <w:sz w:val="24"/>
                <w:szCs w:val="24"/>
              </w:rPr>
              <w:t xml:space="preserve">        2.3.3.2 </w:t>
            </w:r>
            <w:r w:rsidRPr="000069D9">
              <w:rPr>
                <w:rFonts w:ascii="Arial" w:hAnsi="Arial" w:cs="Arial"/>
                <w:bCs/>
                <w:sz w:val="24"/>
                <w:szCs w:val="24"/>
              </w:rPr>
              <w:t xml:space="preserve">Preparation &amp; characterization of </w:t>
            </w:r>
            <w:r>
              <w:rPr>
                <w:rFonts w:ascii="Arial" w:hAnsi="Arial" w:cs="Arial"/>
                <w:bCs/>
                <w:sz w:val="24"/>
                <w:szCs w:val="24"/>
              </w:rPr>
              <w:t>Paclitaxel-loaded Nanoparticles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80</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bCs/>
                <w:sz w:val="24"/>
                <w:szCs w:val="24"/>
              </w:rPr>
              <w:t xml:space="preserve">    </w:t>
            </w:r>
            <w:r w:rsidRPr="000069D9">
              <w:rPr>
                <w:rFonts w:ascii="Arial" w:hAnsi="Arial" w:cs="Arial"/>
                <w:bCs/>
                <w:sz w:val="24"/>
                <w:szCs w:val="24"/>
              </w:rPr>
              <w:t>2.3.4 Hydrolitic degradation studies</w:t>
            </w:r>
            <w:r>
              <w:rPr>
                <w:rFonts w:ascii="Arial" w:hAnsi="Arial" w:cs="Arial"/>
                <w:bCs/>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84</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sz w:val="24"/>
                <w:szCs w:val="24"/>
              </w:rPr>
              <w:t xml:space="preserve">    2.3.5 Toxicity studies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85</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sz w:val="24"/>
                <w:szCs w:val="24"/>
              </w:rPr>
              <w:t xml:space="preserve">    </w:t>
            </w:r>
            <w:r w:rsidRPr="000069D9">
              <w:rPr>
                <w:rFonts w:ascii="Arial" w:hAnsi="Arial" w:cs="Arial"/>
                <w:sz w:val="24"/>
                <w:szCs w:val="24"/>
              </w:rPr>
              <w:t>2.3.6 Cellular uptake studies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86</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sidRPr="000069D9">
              <w:rPr>
                <w:rFonts w:ascii="Arial" w:hAnsi="Arial" w:cs="Arial"/>
                <w:sz w:val="24"/>
                <w:szCs w:val="24"/>
              </w:rPr>
              <w:t xml:space="preserve">2.4 </w:t>
            </w:r>
            <w:r>
              <w:rPr>
                <w:rFonts w:ascii="Arial" w:hAnsi="Arial" w:cs="Arial"/>
                <w:sz w:val="24"/>
                <w:szCs w:val="24"/>
              </w:rPr>
              <w:t>Conclusions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87</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sidRPr="000069D9">
              <w:rPr>
                <w:rFonts w:ascii="Arial" w:hAnsi="Arial" w:cs="Arial"/>
                <w:sz w:val="24"/>
                <w:szCs w:val="24"/>
              </w:rPr>
              <w:t>References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88</w:t>
            </w:r>
          </w:p>
        </w:tc>
      </w:tr>
      <w:tr w:rsidR="00387A07" w:rsidTr="00387A07">
        <w:tc>
          <w:tcPr>
            <w:tcW w:w="9778" w:type="dxa"/>
            <w:gridSpan w:val="2"/>
          </w:tcPr>
          <w:p w:rsidR="00387A07" w:rsidRDefault="00387A07" w:rsidP="00387A07">
            <w:pPr>
              <w:tabs>
                <w:tab w:val="left" w:pos="990"/>
              </w:tabs>
              <w:spacing w:before="120" w:after="120" w:line="360" w:lineRule="auto"/>
              <w:jc w:val="center"/>
              <w:rPr>
                <w:rFonts w:ascii="Arial" w:hAnsi="Arial" w:cs="Arial"/>
                <w:sz w:val="24"/>
                <w:szCs w:val="24"/>
                <w:lang w:val="en-US"/>
              </w:rPr>
            </w:pPr>
            <w:r>
              <w:rPr>
                <w:rFonts w:ascii="Arial" w:hAnsi="Arial" w:cs="Arial"/>
                <w:b/>
                <w:sz w:val="28"/>
                <w:szCs w:val="28"/>
                <w:lang w:val="en-US"/>
              </w:rPr>
              <w:t>Chapter 3</w:t>
            </w:r>
          </w:p>
        </w:tc>
      </w:tr>
      <w:tr w:rsidR="00387A07" w:rsidTr="00387A07">
        <w:tc>
          <w:tcPr>
            <w:tcW w:w="9778" w:type="dxa"/>
            <w:gridSpan w:val="2"/>
          </w:tcPr>
          <w:p w:rsidR="00387A07" w:rsidRPr="00402E17" w:rsidRDefault="00387A07" w:rsidP="00387A07">
            <w:pPr>
              <w:spacing w:before="120" w:after="120" w:line="360" w:lineRule="auto"/>
              <w:jc w:val="center"/>
              <w:rPr>
                <w:rFonts w:ascii="Arial" w:hAnsi="Arial" w:cs="Arial"/>
                <w:b/>
                <w:sz w:val="28"/>
                <w:szCs w:val="28"/>
                <w:lang w:val="en-US"/>
              </w:rPr>
            </w:pPr>
            <w:r>
              <w:rPr>
                <w:rFonts w:ascii="Arial" w:hAnsi="Arial" w:cs="Arial"/>
                <w:b/>
                <w:sz w:val="28"/>
                <w:szCs w:val="28"/>
                <w:lang w:val="en-US"/>
              </w:rPr>
              <w:t>Surface-decorated nanoparticles for Active targeting of breast cancer cells</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sidRPr="00D14847">
              <w:rPr>
                <w:rFonts w:ascii="Arial" w:hAnsi="Arial" w:cs="Arial"/>
                <w:sz w:val="24"/>
                <w:szCs w:val="24"/>
                <w:lang w:val="en-US"/>
              </w:rPr>
              <w:t>Abstract</w:t>
            </w:r>
            <w:r>
              <w:rPr>
                <w:rFonts w:ascii="Arial" w:hAnsi="Arial" w:cs="Arial"/>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91</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sidRPr="00D14847">
              <w:rPr>
                <w:rFonts w:ascii="Arial" w:hAnsi="Arial" w:cs="Arial"/>
                <w:sz w:val="24"/>
                <w:szCs w:val="24"/>
                <w:lang w:val="en-US"/>
              </w:rPr>
              <w:t>3.1 Introduction</w:t>
            </w:r>
            <w:r>
              <w:rPr>
                <w:rFonts w:ascii="Arial" w:hAnsi="Arial" w:cs="Arial"/>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93</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sidRPr="00D14847">
              <w:rPr>
                <w:rFonts w:ascii="Arial" w:hAnsi="Arial" w:cs="Arial"/>
                <w:sz w:val="24"/>
                <w:szCs w:val="24"/>
                <w:lang w:val="en-US"/>
              </w:rPr>
              <w:t>3.2 Materials &amp; Methods</w:t>
            </w:r>
            <w:r>
              <w:rPr>
                <w:rFonts w:ascii="Arial" w:hAnsi="Arial" w:cs="Arial"/>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94</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sz w:val="24"/>
                <w:szCs w:val="24"/>
              </w:rPr>
              <w:t xml:space="preserve">    </w:t>
            </w:r>
            <w:r w:rsidRPr="00D14847">
              <w:rPr>
                <w:rFonts w:ascii="Arial" w:hAnsi="Arial" w:cs="Arial"/>
                <w:sz w:val="24"/>
                <w:szCs w:val="24"/>
              </w:rPr>
              <w:t>3.2.1 Materials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94</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color w:val="000000"/>
                <w:sz w:val="24"/>
                <w:szCs w:val="24"/>
                <w:lang w:eastAsia="it-IT"/>
              </w:rPr>
              <w:t xml:space="preserve">    3.2.2</w:t>
            </w:r>
            <w:r w:rsidRPr="00D14847">
              <w:rPr>
                <w:rFonts w:ascii="Arial" w:hAnsi="Arial" w:cs="Arial"/>
                <w:color w:val="000000"/>
                <w:sz w:val="24"/>
                <w:szCs w:val="24"/>
                <w:lang w:eastAsia="it-IT"/>
              </w:rPr>
              <w:t xml:space="preserve"> Polymer Synthesis</w:t>
            </w:r>
            <w:r>
              <w:rPr>
                <w:rFonts w:ascii="Arial" w:hAnsi="Arial" w:cs="Arial"/>
                <w:color w:val="000000"/>
                <w:sz w:val="24"/>
                <w:szCs w:val="24"/>
                <w:lang w:eastAsia="it-IT"/>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95</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sz w:val="24"/>
                <w:szCs w:val="24"/>
                <w:lang w:val="en-US"/>
              </w:rPr>
              <w:t xml:space="preserve">    </w:t>
            </w:r>
            <w:r w:rsidRPr="00D14847">
              <w:rPr>
                <w:rFonts w:ascii="Arial" w:hAnsi="Arial" w:cs="Arial"/>
                <w:sz w:val="24"/>
                <w:szCs w:val="24"/>
                <w:lang w:val="en-US"/>
              </w:rPr>
              <w:t>3.2.3  Polymer Characterization</w:t>
            </w:r>
            <w:r>
              <w:rPr>
                <w:rFonts w:ascii="Arial" w:hAnsi="Arial" w:cs="Arial"/>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95</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sz w:val="24"/>
                <w:szCs w:val="24"/>
                <w:lang w:val="en-US"/>
              </w:rPr>
              <w:t xml:space="preserve">        </w:t>
            </w:r>
            <w:r w:rsidRPr="00D14847">
              <w:rPr>
                <w:rFonts w:ascii="Arial" w:hAnsi="Arial" w:cs="Arial"/>
                <w:sz w:val="24"/>
                <w:szCs w:val="24"/>
                <w:lang w:val="en-US"/>
              </w:rPr>
              <w:t>3.2.3.1 FTIR Analysis</w:t>
            </w:r>
            <w:r>
              <w:rPr>
                <w:rFonts w:ascii="Arial" w:hAnsi="Arial" w:cs="Arial"/>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95</w:t>
            </w:r>
          </w:p>
        </w:tc>
      </w:tr>
      <w:tr w:rsidR="00387A07" w:rsidTr="00387A07">
        <w:tc>
          <w:tcPr>
            <w:tcW w:w="8755" w:type="dxa"/>
          </w:tcPr>
          <w:p w:rsidR="00387A07" w:rsidRPr="007603E9"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D14847">
              <w:rPr>
                <w:rFonts w:ascii="Arial" w:hAnsi="Arial" w:cs="Arial"/>
                <w:sz w:val="24"/>
                <w:szCs w:val="24"/>
                <w:lang w:val="en-US"/>
              </w:rPr>
              <w:t>3.2.3.2 GPC Analysis</w:t>
            </w:r>
            <w:r>
              <w:rPr>
                <w:rFonts w:ascii="Arial" w:hAnsi="Arial" w:cs="Arial"/>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96</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sz w:val="24"/>
                <w:szCs w:val="24"/>
              </w:rPr>
              <w:t xml:space="preserve">    </w:t>
            </w:r>
            <w:r w:rsidRPr="00D14847">
              <w:rPr>
                <w:rFonts w:ascii="Arial" w:hAnsi="Arial" w:cs="Arial"/>
                <w:sz w:val="24"/>
                <w:szCs w:val="24"/>
              </w:rPr>
              <w:t>3.2.4 Preparation of nanoparticles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96</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sz w:val="24"/>
                <w:szCs w:val="24"/>
              </w:rPr>
              <w:lastRenderedPageBreak/>
              <w:t xml:space="preserve">        </w:t>
            </w:r>
            <w:r w:rsidRPr="00D14847">
              <w:rPr>
                <w:rFonts w:ascii="Arial" w:hAnsi="Arial" w:cs="Arial"/>
                <w:sz w:val="24"/>
                <w:szCs w:val="24"/>
              </w:rPr>
              <w:t>3.2.4.1 Optimization of the protocol</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96</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color w:val="000000"/>
                <w:sz w:val="24"/>
                <w:szCs w:val="24"/>
              </w:rPr>
              <w:t xml:space="preserve">        </w:t>
            </w:r>
            <w:r w:rsidRPr="00D14847">
              <w:rPr>
                <w:rFonts w:ascii="Arial" w:hAnsi="Arial" w:cs="Arial"/>
                <w:color w:val="000000"/>
                <w:sz w:val="24"/>
                <w:szCs w:val="24"/>
              </w:rPr>
              <w:t>3.2.4.2 Preparation of nanoparticles</w:t>
            </w:r>
            <w:r>
              <w:rPr>
                <w:rFonts w:ascii="Arial" w:hAnsi="Arial" w:cs="Arial"/>
                <w:color w:val="000000"/>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98</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color w:val="000000"/>
                <w:sz w:val="24"/>
                <w:szCs w:val="24"/>
                <w:lang w:val="en-US"/>
              </w:rPr>
              <w:t xml:space="preserve">        </w:t>
            </w:r>
            <w:r w:rsidRPr="00D14847">
              <w:rPr>
                <w:rFonts w:ascii="Arial" w:hAnsi="Arial" w:cs="Arial"/>
                <w:color w:val="000000"/>
                <w:sz w:val="24"/>
                <w:szCs w:val="24"/>
                <w:lang w:val="en-US"/>
              </w:rPr>
              <w:t>3.2.4.3 Preparation of Paclitaxel-loaded nanoparticles</w:t>
            </w:r>
            <w:r>
              <w:rPr>
                <w:rFonts w:ascii="Arial" w:hAnsi="Arial" w:cs="Arial"/>
                <w:color w:val="000000"/>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99</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color w:val="000000"/>
                <w:sz w:val="24"/>
                <w:szCs w:val="24"/>
              </w:rPr>
              <w:t xml:space="preserve">    </w:t>
            </w:r>
            <w:r w:rsidRPr="00D14847">
              <w:rPr>
                <w:rFonts w:ascii="Arial" w:hAnsi="Arial" w:cs="Arial"/>
                <w:color w:val="000000"/>
                <w:sz w:val="24"/>
                <w:szCs w:val="24"/>
              </w:rPr>
              <w:t>3.2.5 Surface modification of nanoparticles</w:t>
            </w:r>
            <w:r>
              <w:rPr>
                <w:rFonts w:ascii="Arial" w:hAnsi="Arial" w:cs="Arial"/>
                <w:color w:val="000000"/>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99</w:t>
            </w:r>
          </w:p>
        </w:tc>
      </w:tr>
      <w:tr w:rsidR="00387A07" w:rsidTr="00387A07">
        <w:tc>
          <w:tcPr>
            <w:tcW w:w="8755" w:type="dxa"/>
          </w:tcPr>
          <w:p w:rsidR="00387A07" w:rsidRDefault="005F30E0" w:rsidP="00387A07">
            <w:pPr>
              <w:tabs>
                <w:tab w:val="left" w:pos="990"/>
              </w:tabs>
              <w:spacing w:line="360" w:lineRule="auto"/>
              <w:rPr>
                <w:rFonts w:ascii="Arial" w:hAnsi="Arial" w:cs="Arial"/>
                <w:sz w:val="24"/>
                <w:szCs w:val="24"/>
              </w:rPr>
            </w:pPr>
            <w:r>
              <w:rPr>
                <w:rFonts w:ascii="Arial" w:hAnsi="Arial" w:cs="Arial"/>
                <w:color w:val="000000"/>
                <w:sz w:val="24"/>
                <w:szCs w:val="24"/>
                <w:lang w:val="en-US"/>
              </w:rPr>
              <w:t xml:space="preserve">    </w:t>
            </w:r>
            <w:r w:rsidR="00387A07" w:rsidRPr="00D14847">
              <w:rPr>
                <w:rFonts w:ascii="Arial" w:hAnsi="Arial" w:cs="Arial"/>
                <w:color w:val="000000"/>
                <w:sz w:val="24"/>
                <w:szCs w:val="24"/>
                <w:lang w:val="en-US"/>
              </w:rPr>
              <w:t>3.2.6 Characterization of nanoparticles</w:t>
            </w:r>
            <w:r w:rsidR="00387A07">
              <w:rPr>
                <w:rFonts w:ascii="Arial" w:hAnsi="Arial" w:cs="Arial"/>
                <w:color w:val="000000"/>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100</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color w:val="000000"/>
                <w:sz w:val="24"/>
                <w:szCs w:val="24"/>
                <w:lang w:val="en-US"/>
              </w:rPr>
              <w:t xml:space="preserve">        </w:t>
            </w:r>
            <w:r w:rsidRPr="00D14847">
              <w:rPr>
                <w:rFonts w:ascii="Arial" w:hAnsi="Arial" w:cs="Arial"/>
                <w:color w:val="000000"/>
                <w:sz w:val="24"/>
                <w:szCs w:val="24"/>
                <w:lang w:val="en-US"/>
              </w:rPr>
              <w:t>3.2.6.1 P</w:t>
            </w:r>
            <w:r w:rsidRPr="00D14847">
              <w:rPr>
                <w:rFonts w:ascii="Arial" w:hAnsi="Arial" w:cs="Arial"/>
                <w:color w:val="000000"/>
                <w:sz w:val="24"/>
                <w:szCs w:val="24"/>
              </w:rPr>
              <w:t xml:space="preserve">article size and size </w:t>
            </w:r>
            <w:r w:rsidRPr="00D14847">
              <w:rPr>
                <w:rFonts w:ascii="Arial" w:hAnsi="Arial" w:cs="Arial"/>
                <w:color w:val="000000"/>
                <w:sz w:val="24"/>
                <w:szCs w:val="24"/>
                <w:lang w:val="en-US"/>
              </w:rPr>
              <w:t>distribution</w:t>
            </w:r>
            <w:r>
              <w:rPr>
                <w:rFonts w:ascii="Arial" w:hAnsi="Arial" w:cs="Arial"/>
                <w:color w:val="000000"/>
                <w:sz w:val="24"/>
                <w:szCs w:val="24"/>
                <w:lang w:val="en-US"/>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100</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eastAsia="AdvTimes" w:hAnsi="Arial" w:cs="Arial"/>
                <w:color w:val="000000"/>
                <w:sz w:val="24"/>
                <w:szCs w:val="24"/>
              </w:rPr>
              <w:t xml:space="preserve">        </w:t>
            </w:r>
            <w:r w:rsidRPr="00D14847">
              <w:rPr>
                <w:rFonts w:ascii="Arial" w:eastAsia="AdvTimes" w:hAnsi="Arial" w:cs="Arial"/>
                <w:color w:val="000000"/>
                <w:sz w:val="24"/>
                <w:szCs w:val="24"/>
              </w:rPr>
              <w:t>3.2.6.2 Surface charge</w:t>
            </w:r>
            <w:r>
              <w:rPr>
                <w:rFonts w:ascii="Arial" w:eastAsia="AdvTimes" w:hAnsi="Arial" w:cs="Arial"/>
                <w:color w:val="000000"/>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100</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eastAsia="AdvTimes" w:hAnsi="Arial" w:cs="Arial"/>
                <w:color w:val="000000"/>
                <w:sz w:val="24"/>
                <w:szCs w:val="24"/>
              </w:rPr>
              <w:t xml:space="preserve">        </w:t>
            </w:r>
            <w:r w:rsidRPr="00D14847">
              <w:rPr>
                <w:rFonts w:ascii="Arial" w:eastAsia="AdvTimes" w:hAnsi="Arial" w:cs="Arial"/>
                <w:color w:val="000000"/>
                <w:sz w:val="24"/>
                <w:szCs w:val="24"/>
              </w:rPr>
              <w:t>3.2.6.3 Particle morphology</w:t>
            </w:r>
            <w:r>
              <w:rPr>
                <w:rFonts w:ascii="Arial" w:eastAsia="AdvTimes" w:hAnsi="Arial" w:cs="Arial"/>
                <w:color w:val="000000"/>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100</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color w:val="000000"/>
                <w:sz w:val="24"/>
                <w:szCs w:val="24"/>
                <w:lang w:val="en-US"/>
              </w:rPr>
              <w:t xml:space="preserve">    </w:t>
            </w:r>
            <w:r w:rsidRPr="00D14847">
              <w:rPr>
                <w:rFonts w:ascii="Arial" w:hAnsi="Arial" w:cs="Arial"/>
                <w:color w:val="000000"/>
                <w:sz w:val="24"/>
                <w:szCs w:val="24"/>
                <w:lang w:val="en-US"/>
              </w:rPr>
              <w:t xml:space="preserve">3.2.7 Determination of </w:t>
            </w:r>
            <w:r w:rsidRPr="00D14847">
              <w:rPr>
                <w:rFonts w:ascii="Arial" w:hAnsi="Arial" w:cs="Arial"/>
                <w:color w:val="000000"/>
                <w:sz w:val="24"/>
                <w:szCs w:val="24"/>
              </w:rPr>
              <w:t>Paclitaxel loading and in vitro release profil</w:t>
            </w:r>
            <w:r>
              <w:rPr>
                <w:rFonts w:ascii="Arial" w:hAnsi="Arial" w:cs="Arial"/>
                <w:color w:val="000000"/>
                <w:sz w:val="24"/>
                <w:szCs w:val="24"/>
              </w:rPr>
              <w:t>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100</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 xml:space="preserve">    </w:t>
            </w:r>
            <w:r w:rsidRPr="00D14847">
              <w:rPr>
                <w:rFonts w:ascii="Arial" w:hAnsi="Arial" w:cs="Arial"/>
                <w:sz w:val="24"/>
                <w:szCs w:val="24"/>
              </w:rPr>
              <w:t>3.2.8 Cell culture</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101</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color w:val="000000"/>
                <w:sz w:val="24"/>
                <w:szCs w:val="24"/>
                <w:lang w:val="en-US"/>
              </w:rPr>
              <w:t xml:space="preserve">    </w:t>
            </w:r>
            <w:r w:rsidRPr="00D14847">
              <w:rPr>
                <w:rFonts w:ascii="Arial" w:hAnsi="Arial" w:cs="Arial"/>
                <w:color w:val="000000"/>
                <w:sz w:val="24"/>
                <w:szCs w:val="24"/>
                <w:lang w:val="en-US"/>
              </w:rPr>
              <w:t xml:space="preserve">3.2.9 In vitro cellular uptake of </w:t>
            </w:r>
            <w:r>
              <w:rPr>
                <w:rFonts w:ascii="Arial" w:hAnsi="Arial" w:cs="Arial"/>
                <w:color w:val="000000"/>
                <w:sz w:val="24"/>
                <w:szCs w:val="24"/>
                <w:lang w:val="en-US"/>
              </w:rPr>
              <w:t>Coumarin-6 loaded nanoparticles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101</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 xml:space="preserve">    </w:t>
            </w:r>
            <w:r w:rsidRPr="00D14847">
              <w:rPr>
                <w:rFonts w:ascii="Arial" w:hAnsi="Arial" w:cs="Arial"/>
                <w:sz w:val="24"/>
                <w:szCs w:val="24"/>
              </w:rPr>
              <w:t>3.2.10 In vitro cytotoxicity</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102</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sidRPr="00D14847">
              <w:rPr>
                <w:rFonts w:ascii="Arial" w:hAnsi="Arial" w:cs="Arial"/>
                <w:sz w:val="24"/>
                <w:szCs w:val="24"/>
              </w:rPr>
              <w:t>3.3 Results &amp; Discussion</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102</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 xml:space="preserve">    </w:t>
            </w:r>
            <w:r w:rsidRPr="00D14847">
              <w:rPr>
                <w:rFonts w:ascii="Arial" w:hAnsi="Arial" w:cs="Arial"/>
                <w:sz w:val="24"/>
                <w:szCs w:val="24"/>
              </w:rPr>
              <w:t>3.3.1 Polymer characterization</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102</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 xml:space="preserve">        </w:t>
            </w:r>
            <w:r w:rsidRPr="00D14847">
              <w:rPr>
                <w:rFonts w:ascii="Arial" w:hAnsi="Arial" w:cs="Arial"/>
                <w:sz w:val="24"/>
                <w:szCs w:val="24"/>
              </w:rPr>
              <w:t>3.3.1.1 ATR-FT-IR Analysis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102</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 xml:space="preserve">        </w:t>
            </w:r>
            <w:r w:rsidRPr="00D14847">
              <w:rPr>
                <w:rFonts w:ascii="Arial" w:hAnsi="Arial" w:cs="Arial"/>
                <w:sz w:val="24"/>
                <w:szCs w:val="24"/>
              </w:rPr>
              <w:t>3.3.1.2 GPC analysis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103</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 xml:space="preserve">    </w:t>
            </w:r>
            <w:r w:rsidRPr="00D14847">
              <w:rPr>
                <w:rFonts w:ascii="Arial" w:hAnsi="Arial" w:cs="Arial"/>
                <w:sz w:val="24"/>
                <w:szCs w:val="24"/>
              </w:rPr>
              <w:t>3.3.2 Preparation of nanoparticles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104</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 xml:space="preserve">        </w:t>
            </w:r>
            <w:r w:rsidRPr="00D14847">
              <w:rPr>
                <w:rFonts w:ascii="Arial" w:hAnsi="Arial" w:cs="Arial"/>
                <w:sz w:val="24"/>
                <w:szCs w:val="24"/>
              </w:rPr>
              <w:t>3.3.2.1 Optimization of the protocol</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104</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 xml:space="preserve">            </w:t>
            </w:r>
            <w:r w:rsidRPr="00D14847">
              <w:rPr>
                <w:rFonts w:ascii="Arial" w:hAnsi="Arial" w:cs="Arial"/>
                <w:sz w:val="24"/>
                <w:szCs w:val="24"/>
              </w:rPr>
              <w:t>3.3.2.1.1 Effect of PVA concent</w:t>
            </w:r>
            <w:r>
              <w:rPr>
                <w:rFonts w:ascii="Arial" w:hAnsi="Arial" w:cs="Arial"/>
                <w:sz w:val="24"/>
                <w:szCs w:val="24"/>
              </w:rPr>
              <w:t>ration and homogenization speed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104</w:t>
            </w:r>
          </w:p>
        </w:tc>
      </w:tr>
      <w:tr w:rsidR="00387A07" w:rsidTr="00387A07">
        <w:tc>
          <w:tcPr>
            <w:tcW w:w="8755" w:type="dxa"/>
          </w:tcPr>
          <w:p w:rsidR="00387A07" w:rsidRDefault="00387A07" w:rsidP="00387A07">
            <w:pPr>
              <w:tabs>
                <w:tab w:val="left" w:pos="990"/>
              </w:tabs>
              <w:spacing w:line="360" w:lineRule="auto"/>
              <w:rPr>
                <w:rFonts w:ascii="Arial" w:hAnsi="Arial" w:cs="Arial"/>
                <w:sz w:val="24"/>
                <w:szCs w:val="24"/>
              </w:rPr>
            </w:pPr>
            <w:r>
              <w:rPr>
                <w:rFonts w:ascii="Arial" w:hAnsi="Arial" w:cs="Arial"/>
                <w:sz w:val="24"/>
                <w:szCs w:val="24"/>
                <w:lang w:val="en-US"/>
              </w:rPr>
              <w:t xml:space="preserve">            </w:t>
            </w:r>
            <w:r w:rsidRPr="00D14847">
              <w:rPr>
                <w:rFonts w:ascii="Arial" w:hAnsi="Arial" w:cs="Arial"/>
                <w:sz w:val="24"/>
                <w:szCs w:val="24"/>
              </w:rPr>
              <w:t>3.3.2.1.2 Effect of the washing medium and</w:t>
            </w:r>
            <w:r>
              <w:rPr>
                <w:rFonts w:ascii="Arial" w:hAnsi="Arial" w:cs="Arial"/>
                <w:sz w:val="24"/>
                <w:szCs w:val="24"/>
              </w:rPr>
              <w:t xml:space="preserve"> of the addition of NaCl </w:t>
            </w:r>
          </w:p>
          <w:p w:rsidR="00387A07" w:rsidRPr="00402E17" w:rsidRDefault="00387A07" w:rsidP="00387A07">
            <w:pPr>
              <w:tabs>
                <w:tab w:val="left" w:pos="990"/>
              </w:tabs>
              <w:spacing w:line="360" w:lineRule="auto"/>
              <w:rPr>
                <w:rFonts w:ascii="Arial" w:hAnsi="Arial" w:cs="Arial"/>
                <w:sz w:val="24"/>
                <w:szCs w:val="24"/>
              </w:rPr>
            </w:pPr>
            <w:r>
              <w:rPr>
                <w:rFonts w:ascii="Arial" w:hAnsi="Arial" w:cs="Arial"/>
                <w:sz w:val="24"/>
                <w:szCs w:val="24"/>
              </w:rPr>
              <w:t xml:space="preserve">            during </w:t>
            </w:r>
            <w:r w:rsidRPr="00D14847">
              <w:rPr>
                <w:rFonts w:ascii="Arial" w:hAnsi="Arial" w:cs="Arial"/>
                <w:sz w:val="24"/>
                <w:szCs w:val="24"/>
              </w:rPr>
              <w:t>solvent evaporation</w:t>
            </w:r>
            <w:r>
              <w:rPr>
                <w:rFonts w:ascii="Arial" w:hAnsi="Arial" w:cs="Arial"/>
                <w:sz w:val="24"/>
                <w:szCs w:val="24"/>
              </w:rPr>
              <w:t xml:space="preserve"> ........................................................................</w:t>
            </w:r>
          </w:p>
        </w:tc>
        <w:tc>
          <w:tcPr>
            <w:tcW w:w="1023" w:type="dxa"/>
          </w:tcPr>
          <w:p w:rsidR="00426A28" w:rsidRDefault="00426A28" w:rsidP="00387A07">
            <w:pPr>
              <w:tabs>
                <w:tab w:val="left" w:pos="990"/>
              </w:tabs>
              <w:spacing w:line="360" w:lineRule="auto"/>
              <w:jc w:val="center"/>
              <w:rPr>
                <w:rFonts w:ascii="Arial" w:hAnsi="Arial" w:cs="Arial"/>
                <w:sz w:val="24"/>
                <w:szCs w:val="24"/>
                <w:lang w:val="en-US"/>
              </w:rPr>
            </w:pPr>
          </w:p>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105</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bCs/>
                <w:sz w:val="24"/>
                <w:szCs w:val="24"/>
              </w:rPr>
              <w:t xml:space="preserve">        </w:t>
            </w:r>
            <w:r w:rsidRPr="00D14847">
              <w:rPr>
                <w:rFonts w:ascii="Arial" w:hAnsi="Arial" w:cs="Arial"/>
                <w:bCs/>
                <w:sz w:val="24"/>
                <w:szCs w:val="24"/>
              </w:rPr>
              <w:t xml:space="preserve">3.3.2.2 Preparation of </w:t>
            </w:r>
            <w:r>
              <w:rPr>
                <w:rFonts w:ascii="Arial" w:hAnsi="Arial" w:cs="Arial"/>
                <w:bCs/>
                <w:sz w:val="24"/>
                <w:szCs w:val="24"/>
              </w:rPr>
              <w:t>Paclitaxel-loaded Nanoparticles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107</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 xml:space="preserve">    </w:t>
            </w:r>
            <w:r w:rsidRPr="00D14847">
              <w:rPr>
                <w:rFonts w:ascii="Arial" w:hAnsi="Arial" w:cs="Arial"/>
                <w:sz w:val="24"/>
                <w:szCs w:val="24"/>
              </w:rPr>
              <w:t xml:space="preserve">3.3.3 </w:t>
            </w:r>
            <w:r>
              <w:rPr>
                <w:rFonts w:ascii="Arial" w:hAnsi="Arial" w:cs="Arial"/>
                <w:sz w:val="24"/>
                <w:szCs w:val="24"/>
              </w:rPr>
              <w:t>Encapsulation efficiency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108</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 xml:space="preserve">    </w:t>
            </w:r>
            <w:r w:rsidRPr="00D14847">
              <w:rPr>
                <w:rFonts w:ascii="Arial" w:hAnsi="Arial" w:cs="Arial"/>
                <w:sz w:val="24"/>
                <w:szCs w:val="24"/>
              </w:rPr>
              <w:t xml:space="preserve">3.3.4 </w:t>
            </w:r>
            <w:r>
              <w:rPr>
                <w:rFonts w:ascii="Arial" w:hAnsi="Arial" w:cs="Arial"/>
                <w:sz w:val="24"/>
                <w:szCs w:val="24"/>
              </w:rPr>
              <w:t>Particles morphology (SEM)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109</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 xml:space="preserve">    </w:t>
            </w:r>
            <w:r w:rsidRPr="00D14847">
              <w:rPr>
                <w:rFonts w:ascii="Arial" w:hAnsi="Arial" w:cs="Arial"/>
                <w:sz w:val="24"/>
                <w:szCs w:val="24"/>
              </w:rPr>
              <w:t>3.3.5 Surface decoration</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110</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 xml:space="preserve">        </w:t>
            </w:r>
            <w:r w:rsidRPr="00D14847">
              <w:rPr>
                <w:rFonts w:ascii="Arial" w:hAnsi="Arial" w:cs="Arial"/>
                <w:sz w:val="24"/>
                <w:szCs w:val="24"/>
              </w:rPr>
              <w:t>3.3.5.1 Effect of the incubation time</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110</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lang w:val="en-US"/>
              </w:rPr>
              <w:t xml:space="preserve">        </w:t>
            </w:r>
            <w:r>
              <w:rPr>
                <w:rFonts w:ascii="Arial" w:hAnsi="Arial" w:cs="Arial"/>
                <w:sz w:val="24"/>
                <w:szCs w:val="24"/>
              </w:rPr>
              <w:t>3.3.5.2 Preparation of Herceptin-</w:t>
            </w:r>
            <w:r w:rsidRPr="00D14847">
              <w:rPr>
                <w:rFonts w:ascii="Arial" w:hAnsi="Arial" w:cs="Arial"/>
                <w:sz w:val="24"/>
                <w:szCs w:val="24"/>
              </w:rPr>
              <w:t>coated nanoparticles</w:t>
            </w:r>
            <w:r>
              <w:rPr>
                <w:rFonts w:ascii="Arial" w:hAnsi="Arial" w:cs="Arial"/>
                <w:sz w:val="24"/>
                <w:szCs w:val="24"/>
              </w:rPr>
              <w:t xml:space="preserve">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111</w:t>
            </w:r>
          </w:p>
        </w:tc>
      </w:tr>
      <w:tr w:rsidR="00387A07" w:rsidTr="00387A07">
        <w:tc>
          <w:tcPr>
            <w:tcW w:w="8755" w:type="dxa"/>
          </w:tcPr>
          <w:p w:rsidR="00387A07" w:rsidRPr="00D1484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lang w:val="en-US"/>
              </w:rPr>
              <w:t xml:space="preserve">    </w:t>
            </w:r>
            <w:r>
              <w:rPr>
                <w:rFonts w:ascii="Arial" w:hAnsi="Arial" w:cs="Arial"/>
                <w:sz w:val="24"/>
                <w:szCs w:val="24"/>
              </w:rPr>
              <w:t>3.3.6 Drug release profiles ................................................................................</w:t>
            </w:r>
          </w:p>
        </w:tc>
        <w:tc>
          <w:tcPr>
            <w:tcW w:w="1023" w:type="dxa"/>
          </w:tcPr>
          <w:p w:rsidR="00387A0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112</w:t>
            </w:r>
          </w:p>
        </w:tc>
      </w:tr>
      <w:tr w:rsidR="00387A07" w:rsidRPr="009925A1" w:rsidTr="00387A07">
        <w:tc>
          <w:tcPr>
            <w:tcW w:w="8755" w:type="dxa"/>
          </w:tcPr>
          <w:p w:rsidR="00387A07" w:rsidRPr="00402E17" w:rsidRDefault="00387A07" w:rsidP="00387A07">
            <w:pPr>
              <w:tabs>
                <w:tab w:val="left" w:pos="990"/>
              </w:tabs>
              <w:spacing w:line="360" w:lineRule="auto"/>
              <w:rPr>
                <w:rFonts w:ascii="Arial" w:hAnsi="Arial" w:cs="Arial"/>
                <w:sz w:val="24"/>
                <w:szCs w:val="24"/>
                <w:lang w:val="it-IT"/>
              </w:rPr>
            </w:pPr>
            <w:r>
              <w:rPr>
                <w:rFonts w:ascii="Arial" w:hAnsi="Arial" w:cs="Arial"/>
                <w:sz w:val="24"/>
                <w:szCs w:val="24"/>
                <w:lang w:val="it-IT"/>
              </w:rPr>
              <w:t xml:space="preserve">    </w:t>
            </w:r>
            <w:r w:rsidRPr="00402E17">
              <w:rPr>
                <w:rFonts w:ascii="Arial" w:hAnsi="Arial" w:cs="Arial"/>
                <w:sz w:val="24"/>
                <w:szCs w:val="24"/>
                <w:lang w:val="it-IT"/>
              </w:rPr>
              <w:t>3.3.7 Quantitative in vitro cellular uptake</w:t>
            </w:r>
            <w:r>
              <w:rPr>
                <w:rFonts w:ascii="Arial" w:hAnsi="Arial" w:cs="Arial"/>
                <w:sz w:val="24"/>
                <w:szCs w:val="24"/>
                <w:lang w:val="it-IT"/>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it-IT"/>
              </w:rPr>
            </w:pPr>
            <w:r>
              <w:rPr>
                <w:rFonts w:ascii="Arial" w:hAnsi="Arial" w:cs="Arial"/>
                <w:sz w:val="24"/>
                <w:szCs w:val="24"/>
                <w:lang w:val="it-IT"/>
              </w:rPr>
              <w:t>114</w:t>
            </w:r>
          </w:p>
        </w:tc>
      </w:tr>
      <w:tr w:rsidR="00387A07" w:rsidRPr="009925A1" w:rsidTr="00387A07">
        <w:tc>
          <w:tcPr>
            <w:tcW w:w="8755" w:type="dxa"/>
          </w:tcPr>
          <w:p w:rsidR="00387A07" w:rsidRPr="00402E17" w:rsidRDefault="00387A07" w:rsidP="00387A07">
            <w:pPr>
              <w:tabs>
                <w:tab w:val="left" w:pos="990"/>
              </w:tabs>
              <w:spacing w:line="360" w:lineRule="auto"/>
              <w:rPr>
                <w:rFonts w:ascii="Arial" w:hAnsi="Arial" w:cs="Arial"/>
                <w:sz w:val="24"/>
                <w:szCs w:val="24"/>
                <w:lang w:val="it-IT"/>
              </w:rPr>
            </w:pPr>
            <w:r>
              <w:rPr>
                <w:rFonts w:ascii="Arial" w:hAnsi="Arial" w:cs="Arial"/>
                <w:sz w:val="24"/>
                <w:szCs w:val="24"/>
                <w:lang w:val="it-IT"/>
              </w:rPr>
              <w:t xml:space="preserve">    </w:t>
            </w:r>
            <w:r w:rsidRPr="00402E17">
              <w:rPr>
                <w:rFonts w:ascii="Arial" w:hAnsi="Arial" w:cs="Arial"/>
                <w:sz w:val="24"/>
                <w:szCs w:val="24"/>
                <w:lang w:val="it-IT"/>
              </w:rPr>
              <w:t>3.3.8 In vitro cellular uptake: confocal microscopi study</w:t>
            </w:r>
            <w:r>
              <w:rPr>
                <w:rFonts w:ascii="Arial" w:hAnsi="Arial" w:cs="Arial"/>
                <w:sz w:val="24"/>
                <w:szCs w:val="24"/>
                <w:lang w:val="it-IT"/>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it-IT"/>
              </w:rPr>
            </w:pPr>
            <w:r>
              <w:rPr>
                <w:rFonts w:ascii="Arial" w:hAnsi="Arial" w:cs="Arial"/>
                <w:sz w:val="24"/>
                <w:szCs w:val="24"/>
                <w:lang w:val="it-IT"/>
              </w:rPr>
              <w:t>115</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it-IT"/>
              </w:rPr>
            </w:pPr>
            <w:r w:rsidRPr="007603E9">
              <w:rPr>
                <w:rFonts w:ascii="Arial" w:hAnsi="Arial" w:cs="Arial"/>
                <w:sz w:val="24"/>
                <w:szCs w:val="24"/>
                <w:lang w:val="it-IT"/>
              </w:rPr>
              <w:t xml:space="preserve">    </w:t>
            </w:r>
            <w:r>
              <w:rPr>
                <w:rFonts w:ascii="Arial" w:hAnsi="Arial" w:cs="Arial"/>
                <w:sz w:val="24"/>
                <w:szCs w:val="24"/>
                <w:lang w:val="en-US"/>
              </w:rPr>
              <w:t>3.3.9</w:t>
            </w:r>
            <w:r w:rsidRPr="00D14847">
              <w:rPr>
                <w:rFonts w:ascii="Arial" w:hAnsi="Arial" w:cs="Arial"/>
                <w:sz w:val="24"/>
                <w:szCs w:val="24"/>
                <w:lang w:val="en-US"/>
              </w:rPr>
              <w:t xml:space="preserve"> In vitro cytotoxicity</w:t>
            </w:r>
            <w:r>
              <w:rPr>
                <w:rFonts w:ascii="Arial" w:hAnsi="Arial" w:cs="Arial"/>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it-IT"/>
              </w:rPr>
            </w:pPr>
            <w:r>
              <w:rPr>
                <w:rFonts w:ascii="Arial" w:hAnsi="Arial" w:cs="Arial"/>
                <w:sz w:val="24"/>
                <w:szCs w:val="24"/>
                <w:lang w:val="it-IT"/>
              </w:rPr>
              <w:t>116</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it-IT"/>
              </w:rPr>
            </w:pPr>
            <w:r>
              <w:rPr>
                <w:rFonts w:ascii="Arial" w:hAnsi="Arial" w:cs="Arial"/>
                <w:sz w:val="24"/>
                <w:szCs w:val="24"/>
                <w:lang w:val="en-US"/>
              </w:rPr>
              <w:t>3.4 Conclusions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it-IT"/>
              </w:rPr>
            </w:pPr>
            <w:r>
              <w:rPr>
                <w:rFonts w:ascii="Arial" w:hAnsi="Arial" w:cs="Arial"/>
                <w:sz w:val="24"/>
                <w:szCs w:val="24"/>
                <w:lang w:val="it-IT"/>
              </w:rPr>
              <w:t>118</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it-IT"/>
              </w:rPr>
            </w:pPr>
            <w:r>
              <w:rPr>
                <w:rFonts w:ascii="Arial" w:hAnsi="Arial" w:cs="Arial"/>
                <w:sz w:val="24"/>
                <w:szCs w:val="24"/>
                <w:lang w:val="en-US"/>
              </w:rPr>
              <w:t>References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it-IT"/>
              </w:rPr>
            </w:pPr>
            <w:r>
              <w:rPr>
                <w:rFonts w:ascii="Arial" w:hAnsi="Arial" w:cs="Arial"/>
                <w:sz w:val="24"/>
                <w:szCs w:val="24"/>
                <w:lang w:val="it-IT"/>
              </w:rPr>
              <w:t>119</w:t>
            </w:r>
          </w:p>
        </w:tc>
      </w:tr>
      <w:tr w:rsidR="00387A07" w:rsidRPr="00402E17" w:rsidTr="00387A07">
        <w:tc>
          <w:tcPr>
            <w:tcW w:w="8755" w:type="dxa"/>
          </w:tcPr>
          <w:p w:rsidR="00387A07" w:rsidRDefault="00387A07" w:rsidP="00387A07">
            <w:pPr>
              <w:tabs>
                <w:tab w:val="left" w:pos="990"/>
              </w:tabs>
              <w:spacing w:line="360" w:lineRule="auto"/>
              <w:rPr>
                <w:rFonts w:ascii="Arial" w:hAnsi="Arial" w:cs="Arial"/>
                <w:sz w:val="24"/>
                <w:szCs w:val="24"/>
                <w:lang w:val="en-US"/>
              </w:rPr>
            </w:pPr>
          </w:p>
        </w:tc>
        <w:tc>
          <w:tcPr>
            <w:tcW w:w="1023" w:type="dxa"/>
          </w:tcPr>
          <w:p w:rsidR="00387A07" w:rsidRPr="00402E17" w:rsidRDefault="00387A07" w:rsidP="00387A07">
            <w:pPr>
              <w:tabs>
                <w:tab w:val="left" w:pos="990"/>
              </w:tabs>
              <w:spacing w:line="360" w:lineRule="auto"/>
              <w:jc w:val="center"/>
              <w:rPr>
                <w:rFonts w:ascii="Arial" w:hAnsi="Arial" w:cs="Arial"/>
                <w:sz w:val="24"/>
                <w:szCs w:val="24"/>
                <w:lang w:val="it-IT"/>
              </w:rPr>
            </w:pPr>
          </w:p>
        </w:tc>
      </w:tr>
      <w:tr w:rsidR="00387A07" w:rsidRPr="00402E17" w:rsidTr="00387A07">
        <w:tc>
          <w:tcPr>
            <w:tcW w:w="8755" w:type="dxa"/>
          </w:tcPr>
          <w:p w:rsidR="00387A07" w:rsidRDefault="00387A07" w:rsidP="00387A07">
            <w:pPr>
              <w:tabs>
                <w:tab w:val="left" w:pos="990"/>
              </w:tabs>
              <w:spacing w:line="360" w:lineRule="auto"/>
              <w:rPr>
                <w:rFonts w:ascii="Arial" w:hAnsi="Arial" w:cs="Arial"/>
                <w:sz w:val="24"/>
                <w:szCs w:val="24"/>
                <w:lang w:val="en-US"/>
              </w:rPr>
            </w:pPr>
          </w:p>
        </w:tc>
        <w:tc>
          <w:tcPr>
            <w:tcW w:w="1023" w:type="dxa"/>
          </w:tcPr>
          <w:p w:rsidR="00387A07" w:rsidRPr="00402E17" w:rsidRDefault="00387A07" w:rsidP="00387A07">
            <w:pPr>
              <w:tabs>
                <w:tab w:val="left" w:pos="990"/>
              </w:tabs>
              <w:spacing w:line="360" w:lineRule="auto"/>
              <w:jc w:val="center"/>
              <w:rPr>
                <w:rFonts w:ascii="Arial" w:hAnsi="Arial" w:cs="Arial"/>
                <w:sz w:val="24"/>
                <w:szCs w:val="24"/>
                <w:lang w:val="it-IT"/>
              </w:rPr>
            </w:pPr>
          </w:p>
        </w:tc>
      </w:tr>
      <w:tr w:rsidR="00387A07" w:rsidRPr="00402E17" w:rsidTr="00387A07">
        <w:tc>
          <w:tcPr>
            <w:tcW w:w="9778" w:type="dxa"/>
            <w:gridSpan w:val="2"/>
          </w:tcPr>
          <w:p w:rsidR="00387A07" w:rsidRPr="00402E17" w:rsidRDefault="00387A07" w:rsidP="00387A07">
            <w:pPr>
              <w:tabs>
                <w:tab w:val="left" w:pos="990"/>
              </w:tabs>
              <w:spacing w:before="120" w:after="120" w:line="360" w:lineRule="auto"/>
              <w:jc w:val="center"/>
              <w:rPr>
                <w:rFonts w:ascii="Arial" w:hAnsi="Arial" w:cs="Arial"/>
                <w:sz w:val="24"/>
                <w:szCs w:val="24"/>
                <w:lang w:val="it-IT"/>
              </w:rPr>
            </w:pPr>
            <w:r w:rsidRPr="00D57D88">
              <w:rPr>
                <w:rFonts w:ascii="Arial" w:hAnsi="Arial" w:cs="Arial"/>
                <w:b/>
                <w:sz w:val="36"/>
                <w:szCs w:val="36"/>
                <w:lang w:val="en-US"/>
              </w:rPr>
              <w:t>Section I</w:t>
            </w:r>
            <w:r>
              <w:rPr>
                <w:rFonts w:ascii="Arial" w:hAnsi="Arial" w:cs="Arial"/>
                <w:b/>
                <w:sz w:val="36"/>
                <w:szCs w:val="36"/>
                <w:lang w:val="en-US"/>
              </w:rPr>
              <w:t>II</w:t>
            </w:r>
          </w:p>
        </w:tc>
      </w:tr>
      <w:tr w:rsidR="00387A07" w:rsidRPr="00402E17" w:rsidTr="00387A07">
        <w:tc>
          <w:tcPr>
            <w:tcW w:w="9778" w:type="dxa"/>
            <w:gridSpan w:val="2"/>
          </w:tcPr>
          <w:p w:rsidR="00387A07" w:rsidRPr="00402E17" w:rsidRDefault="00387A07" w:rsidP="00387A07">
            <w:pPr>
              <w:tabs>
                <w:tab w:val="left" w:pos="990"/>
              </w:tabs>
              <w:spacing w:before="120" w:after="120" w:line="360" w:lineRule="auto"/>
              <w:jc w:val="center"/>
              <w:rPr>
                <w:rFonts w:ascii="Arial" w:hAnsi="Arial" w:cs="Arial"/>
                <w:sz w:val="24"/>
                <w:szCs w:val="24"/>
                <w:lang w:val="it-IT"/>
              </w:rPr>
            </w:pPr>
            <w:r>
              <w:rPr>
                <w:rFonts w:ascii="Arial" w:hAnsi="Arial" w:cs="Arial"/>
                <w:b/>
                <w:sz w:val="28"/>
                <w:szCs w:val="28"/>
                <w:lang w:val="en-US"/>
              </w:rPr>
              <w:t>Chapter 4</w:t>
            </w:r>
          </w:p>
        </w:tc>
      </w:tr>
      <w:tr w:rsidR="00387A07" w:rsidRPr="00402E17" w:rsidTr="00387A07">
        <w:tc>
          <w:tcPr>
            <w:tcW w:w="9778" w:type="dxa"/>
            <w:gridSpan w:val="2"/>
          </w:tcPr>
          <w:p w:rsidR="00387A07" w:rsidRPr="00402E17" w:rsidRDefault="00387A07" w:rsidP="00387A07">
            <w:pPr>
              <w:tabs>
                <w:tab w:val="left" w:pos="990"/>
              </w:tabs>
              <w:spacing w:before="120" w:after="120" w:line="360" w:lineRule="auto"/>
              <w:jc w:val="center"/>
              <w:rPr>
                <w:rFonts w:ascii="Arial" w:hAnsi="Arial" w:cs="Arial"/>
                <w:sz w:val="24"/>
                <w:szCs w:val="24"/>
                <w:lang w:val="en-US"/>
              </w:rPr>
            </w:pPr>
            <w:r w:rsidRPr="00474B9A">
              <w:rPr>
                <w:rFonts w:ascii="Arial" w:hAnsi="Arial" w:cs="Arial"/>
                <w:b/>
                <w:sz w:val="28"/>
                <w:szCs w:val="28"/>
                <w:lang w:val="en-US"/>
              </w:rPr>
              <w:t xml:space="preserve">Innovative bioactive and biodegradable polymeric bone cements for the repair of </w:t>
            </w:r>
            <w:r>
              <w:rPr>
                <w:rFonts w:ascii="Arial" w:hAnsi="Arial" w:cs="Arial"/>
                <w:b/>
                <w:sz w:val="28"/>
                <w:szCs w:val="28"/>
                <w:lang w:val="en-US"/>
              </w:rPr>
              <w:t>vertebral injuries</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en-US"/>
              </w:rPr>
            </w:pPr>
            <w:r w:rsidRPr="000069D9">
              <w:rPr>
                <w:rFonts w:ascii="Arial" w:hAnsi="Arial" w:cs="Arial"/>
                <w:sz w:val="24"/>
                <w:szCs w:val="24"/>
                <w:lang w:val="en-US"/>
              </w:rPr>
              <w:t>Abstract</w:t>
            </w:r>
            <w:r>
              <w:rPr>
                <w:rFonts w:ascii="Arial" w:hAnsi="Arial" w:cs="Arial"/>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124</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4</w:t>
            </w:r>
            <w:r w:rsidRPr="000069D9">
              <w:rPr>
                <w:rFonts w:ascii="Arial" w:hAnsi="Arial" w:cs="Arial"/>
                <w:sz w:val="24"/>
                <w:szCs w:val="24"/>
                <w:lang w:val="en-US"/>
              </w:rPr>
              <w:t xml:space="preserve">.1 </w:t>
            </w:r>
            <w:r w:rsidRPr="000069D9">
              <w:rPr>
                <w:rFonts w:ascii="Arial" w:hAnsi="Arial" w:cs="Arial"/>
                <w:sz w:val="24"/>
                <w:szCs w:val="24"/>
              </w:rPr>
              <w:t>Introduction</w:t>
            </w:r>
            <w:r>
              <w:rPr>
                <w:rFonts w:ascii="Arial" w:hAnsi="Arial" w:cs="Arial"/>
                <w:sz w:val="24"/>
                <w:szCs w:val="24"/>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125</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4</w:t>
            </w:r>
            <w:r w:rsidRPr="000069D9">
              <w:rPr>
                <w:rFonts w:ascii="Arial" w:hAnsi="Arial" w:cs="Arial"/>
                <w:sz w:val="24"/>
                <w:szCs w:val="24"/>
              </w:rPr>
              <w:t>.2 Materials &amp; methods</w:t>
            </w:r>
            <w:r>
              <w:rPr>
                <w:rFonts w:ascii="Arial" w:hAnsi="Arial" w:cs="Arial"/>
                <w:sz w:val="24"/>
                <w:szCs w:val="24"/>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127</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4</w:t>
            </w:r>
            <w:r w:rsidRPr="000069D9">
              <w:rPr>
                <w:rFonts w:ascii="Arial" w:hAnsi="Arial" w:cs="Arial"/>
                <w:sz w:val="24"/>
                <w:szCs w:val="24"/>
              </w:rPr>
              <w:t>.2.1 Materials</w:t>
            </w:r>
            <w:r>
              <w:rPr>
                <w:rFonts w:ascii="Arial" w:hAnsi="Arial" w:cs="Arial"/>
                <w:sz w:val="24"/>
                <w:szCs w:val="24"/>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127</w:t>
            </w:r>
          </w:p>
        </w:tc>
      </w:tr>
      <w:tr w:rsidR="00387A07" w:rsidRPr="00402E17" w:rsidTr="00387A07">
        <w:tc>
          <w:tcPr>
            <w:tcW w:w="8755" w:type="dxa"/>
          </w:tcPr>
          <w:p w:rsidR="00387A07" w:rsidRDefault="00387A07" w:rsidP="00387A07">
            <w:pPr>
              <w:tabs>
                <w:tab w:val="left" w:pos="990"/>
              </w:tabs>
              <w:spacing w:line="360" w:lineRule="auto"/>
              <w:rPr>
                <w:rFonts w:ascii="Arial" w:hAnsi="Arial" w:cs="Arial"/>
                <w:color w:val="000000"/>
                <w:sz w:val="24"/>
                <w:szCs w:val="24"/>
                <w:lang w:eastAsia="it-IT"/>
              </w:rPr>
            </w:pPr>
            <w:r>
              <w:rPr>
                <w:rFonts w:ascii="Arial" w:hAnsi="Arial" w:cs="Arial"/>
                <w:color w:val="000000"/>
                <w:sz w:val="24"/>
                <w:szCs w:val="24"/>
                <w:lang w:eastAsia="it-IT"/>
              </w:rPr>
              <w:t xml:space="preserve">    </w:t>
            </w:r>
            <w:r w:rsidRPr="00474B9A">
              <w:rPr>
                <w:rFonts w:ascii="Arial" w:hAnsi="Arial" w:cs="Arial"/>
                <w:color w:val="000000"/>
                <w:sz w:val="24"/>
                <w:szCs w:val="24"/>
                <w:lang w:eastAsia="it-IT"/>
              </w:rPr>
              <w:t xml:space="preserve">4.2.2 </w:t>
            </w:r>
            <w:r w:rsidRPr="002113FC">
              <w:rPr>
                <w:rFonts w:ascii="Arial" w:hAnsi="Arial" w:cs="Arial"/>
                <w:color w:val="000000"/>
                <w:sz w:val="24"/>
                <w:szCs w:val="24"/>
                <w:lang w:eastAsia="it-IT"/>
              </w:rPr>
              <w:t>Preparation of Chitosan/βTCP bone cement: optimi</w:t>
            </w:r>
            <w:r>
              <w:rPr>
                <w:rFonts w:ascii="Arial" w:hAnsi="Arial" w:cs="Arial"/>
                <w:color w:val="000000"/>
                <w:sz w:val="24"/>
                <w:szCs w:val="24"/>
                <w:lang w:eastAsia="it-IT"/>
              </w:rPr>
              <w:t xml:space="preserve">zation of processing </w:t>
            </w:r>
          </w:p>
          <w:p w:rsidR="00387A07" w:rsidRPr="00402E17" w:rsidRDefault="00387A07" w:rsidP="00387A07">
            <w:pPr>
              <w:tabs>
                <w:tab w:val="left" w:pos="990"/>
              </w:tabs>
              <w:spacing w:line="360" w:lineRule="auto"/>
              <w:rPr>
                <w:rFonts w:ascii="Arial" w:hAnsi="Arial" w:cs="Arial"/>
                <w:sz w:val="24"/>
                <w:szCs w:val="24"/>
                <w:lang w:val="en-US"/>
              </w:rPr>
            </w:pPr>
            <w:r>
              <w:rPr>
                <w:rFonts w:ascii="Arial" w:hAnsi="Arial" w:cs="Arial"/>
                <w:color w:val="000000"/>
                <w:sz w:val="24"/>
                <w:szCs w:val="24"/>
                <w:lang w:eastAsia="it-IT"/>
              </w:rPr>
              <w:t xml:space="preserve">    Parameters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127</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Pr>
                <w:rFonts w:ascii="Arial" w:hAnsi="Arial" w:cs="Arial"/>
                <w:sz w:val="24"/>
                <w:szCs w:val="24"/>
              </w:rPr>
              <w:t>4</w:t>
            </w:r>
            <w:r w:rsidRPr="000069D9">
              <w:rPr>
                <w:rFonts w:ascii="Arial" w:hAnsi="Arial" w:cs="Arial"/>
                <w:sz w:val="24"/>
                <w:szCs w:val="24"/>
              </w:rPr>
              <w:t xml:space="preserve">.2.3 </w:t>
            </w:r>
            <w:r w:rsidRPr="00264430">
              <w:rPr>
                <w:rFonts w:ascii="Arial" w:hAnsi="Arial" w:cs="Arial"/>
                <w:sz w:val="24"/>
                <w:szCs w:val="24"/>
              </w:rPr>
              <w:t>Dissolution tests</w:t>
            </w:r>
            <w:r>
              <w:rPr>
                <w:rFonts w:ascii="Arial" w:hAnsi="Arial" w:cs="Arial"/>
                <w:sz w:val="24"/>
                <w:szCs w:val="24"/>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128</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264430">
              <w:rPr>
                <w:rFonts w:ascii="Arial" w:hAnsi="Arial" w:cs="Arial"/>
                <w:sz w:val="24"/>
                <w:szCs w:val="24"/>
                <w:lang w:val="en-US"/>
              </w:rPr>
              <w:t>4.2.4 Bioactivity assessment</w:t>
            </w:r>
            <w:r>
              <w:rPr>
                <w:rFonts w:ascii="Arial" w:hAnsi="Arial" w:cs="Arial"/>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128</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w:t>
            </w:r>
            <w:r w:rsidRPr="00264430">
              <w:rPr>
                <w:rFonts w:ascii="Arial" w:hAnsi="Arial" w:cs="Arial"/>
                <w:sz w:val="24"/>
                <w:szCs w:val="24"/>
              </w:rPr>
              <w:t xml:space="preserve">4.2.5 </w:t>
            </w:r>
            <w:r w:rsidRPr="00264430">
              <w:rPr>
                <w:rFonts w:ascii="Arial" w:hAnsi="Arial" w:cs="Arial"/>
                <w:sz w:val="24"/>
                <w:szCs w:val="24"/>
                <w:lang w:val="en-US"/>
              </w:rPr>
              <w:t>Compressive strength</w:t>
            </w:r>
            <w:r>
              <w:rPr>
                <w:rFonts w:ascii="Arial" w:hAnsi="Arial" w:cs="Arial"/>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129</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en-US"/>
              </w:rPr>
            </w:pPr>
            <w:r>
              <w:rPr>
                <w:rFonts w:ascii="Arial" w:hAnsi="Arial" w:cs="Arial"/>
                <w:sz w:val="24"/>
                <w:szCs w:val="24"/>
              </w:rPr>
              <w:t xml:space="preserve">    </w:t>
            </w:r>
            <w:r w:rsidRPr="00264430">
              <w:rPr>
                <w:rFonts w:ascii="Arial" w:hAnsi="Arial" w:cs="Arial"/>
                <w:sz w:val="24"/>
                <w:szCs w:val="24"/>
              </w:rPr>
              <w:t>4.2.6 Preparation of Indometacin-loaded PCL nanoparticles</w:t>
            </w:r>
            <w:r>
              <w:rPr>
                <w:rFonts w:ascii="Arial" w:hAnsi="Arial" w:cs="Arial"/>
                <w:sz w:val="24"/>
                <w:szCs w:val="24"/>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129</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en-US"/>
              </w:rPr>
            </w:pPr>
            <w:r>
              <w:rPr>
                <w:rFonts w:ascii="Arial" w:hAnsi="Arial" w:cs="Arial"/>
                <w:color w:val="000000"/>
                <w:sz w:val="24"/>
                <w:szCs w:val="24"/>
                <w:lang w:val="en-US"/>
              </w:rPr>
              <w:t xml:space="preserve">    </w:t>
            </w:r>
            <w:r w:rsidRPr="00264430">
              <w:rPr>
                <w:rFonts w:ascii="Arial" w:hAnsi="Arial" w:cs="Arial"/>
                <w:color w:val="000000"/>
                <w:sz w:val="24"/>
                <w:szCs w:val="24"/>
                <w:lang w:val="en-US"/>
              </w:rPr>
              <w:t>4.2.7 Characterization of nanoparticles</w:t>
            </w:r>
            <w:r>
              <w:rPr>
                <w:rFonts w:ascii="Arial" w:hAnsi="Arial" w:cs="Arial"/>
                <w:color w:val="000000"/>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130</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en-US"/>
              </w:rPr>
            </w:pPr>
            <w:r>
              <w:rPr>
                <w:rFonts w:ascii="Arial" w:hAnsi="Arial" w:cs="Arial"/>
                <w:color w:val="000000"/>
                <w:sz w:val="24"/>
                <w:szCs w:val="24"/>
                <w:lang w:val="en-US"/>
              </w:rPr>
              <w:t xml:space="preserve">        </w:t>
            </w:r>
            <w:r w:rsidRPr="00264430">
              <w:rPr>
                <w:rFonts w:ascii="Arial" w:hAnsi="Arial" w:cs="Arial"/>
                <w:color w:val="000000"/>
                <w:sz w:val="24"/>
                <w:szCs w:val="24"/>
                <w:lang w:val="en-US"/>
              </w:rPr>
              <w:t>4.2.7.1 Process Yield</w:t>
            </w:r>
            <w:r>
              <w:rPr>
                <w:rFonts w:ascii="Arial" w:hAnsi="Arial" w:cs="Arial"/>
                <w:color w:val="000000"/>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130</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en-US"/>
              </w:rPr>
            </w:pPr>
            <w:r>
              <w:rPr>
                <w:rFonts w:ascii="Arial" w:eastAsia="AdvTimes" w:hAnsi="Arial" w:cs="Arial"/>
                <w:color w:val="000000"/>
                <w:sz w:val="24"/>
                <w:szCs w:val="24"/>
              </w:rPr>
              <w:t xml:space="preserve">        </w:t>
            </w:r>
            <w:r w:rsidRPr="00264430">
              <w:rPr>
                <w:rFonts w:ascii="Arial" w:eastAsia="AdvTimes" w:hAnsi="Arial" w:cs="Arial"/>
                <w:color w:val="000000"/>
                <w:sz w:val="24"/>
                <w:szCs w:val="24"/>
              </w:rPr>
              <w:t>4.2.7.2 Particle</w:t>
            </w:r>
            <w:r>
              <w:rPr>
                <w:rFonts w:ascii="Arial" w:eastAsia="AdvTimes" w:hAnsi="Arial" w:cs="Arial"/>
                <w:color w:val="000000"/>
                <w:sz w:val="24"/>
                <w:szCs w:val="24"/>
              </w:rPr>
              <w:t>s</w:t>
            </w:r>
            <w:r w:rsidRPr="00264430">
              <w:rPr>
                <w:rFonts w:ascii="Arial" w:eastAsia="AdvTimes" w:hAnsi="Arial" w:cs="Arial"/>
                <w:color w:val="000000"/>
                <w:sz w:val="24"/>
                <w:szCs w:val="24"/>
              </w:rPr>
              <w:t xml:space="preserve"> morphology</w:t>
            </w:r>
            <w:r>
              <w:rPr>
                <w:rFonts w:ascii="Arial" w:eastAsia="AdvTimes" w:hAnsi="Arial" w:cs="Arial"/>
                <w:color w:val="000000"/>
                <w:sz w:val="24"/>
                <w:szCs w:val="24"/>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130</w:t>
            </w:r>
          </w:p>
        </w:tc>
      </w:tr>
      <w:tr w:rsidR="00387A07" w:rsidRPr="00402E17" w:rsidTr="00387A07">
        <w:tc>
          <w:tcPr>
            <w:tcW w:w="8755" w:type="dxa"/>
          </w:tcPr>
          <w:p w:rsidR="00387A07" w:rsidRPr="00402E17" w:rsidRDefault="00387A07" w:rsidP="00387A07">
            <w:pPr>
              <w:tabs>
                <w:tab w:val="left" w:pos="990"/>
              </w:tabs>
              <w:spacing w:line="360" w:lineRule="auto"/>
              <w:rPr>
                <w:rFonts w:ascii="Arial" w:hAnsi="Arial" w:cs="Arial"/>
                <w:sz w:val="24"/>
                <w:szCs w:val="24"/>
                <w:lang w:val="en-US"/>
              </w:rPr>
            </w:pPr>
            <w:r>
              <w:rPr>
                <w:rFonts w:ascii="Arial" w:eastAsia="AdvTimes" w:hAnsi="Arial" w:cs="Arial"/>
                <w:color w:val="000000"/>
                <w:sz w:val="24"/>
                <w:szCs w:val="24"/>
              </w:rPr>
              <w:t xml:space="preserve">        </w:t>
            </w:r>
            <w:r w:rsidRPr="00264430">
              <w:rPr>
                <w:rFonts w:ascii="Arial" w:eastAsia="AdvTimes" w:hAnsi="Arial" w:cs="Arial"/>
                <w:color w:val="000000"/>
                <w:sz w:val="24"/>
                <w:szCs w:val="24"/>
              </w:rPr>
              <w:t xml:space="preserve">4.2.7.3 </w:t>
            </w:r>
            <w:r w:rsidRPr="00264430">
              <w:rPr>
                <w:rFonts w:ascii="Arial" w:hAnsi="Arial" w:cs="Arial"/>
                <w:color w:val="000000"/>
                <w:sz w:val="24"/>
                <w:szCs w:val="24"/>
                <w:lang w:val="en-US"/>
              </w:rPr>
              <w:t xml:space="preserve">Determination of </w:t>
            </w:r>
            <w:r w:rsidRPr="00264430">
              <w:rPr>
                <w:rFonts w:ascii="Arial" w:hAnsi="Arial" w:cs="Arial"/>
                <w:color w:val="000000"/>
                <w:sz w:val="24"/>
                <w:szCs w:val="24"/>
              </w:rPr>
              <w:t>Indometacin loading and release profiles</w:t>
            </w:r>
            <w:r>
              <w:rPr>
                <w:rFonts w:ascii="Arial" w:hAnsi="Arial" w:cs="Arial"/>
                <w:color w:val="000000"/>
                <w:sz w:val="24"/>
                <w:szCs w:val="24"/>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130</w:t>
            </w:r>
          </w:p>
        </w:tc>
      </w:tr>
      <w:tr w:rsidR="00387A07" w:rsidRPr="00402E17" w:rsidTr="00387A07">
        <w:tc>
          <w:tcPr>
            <w:tcW w:w="8755" w:type="dxa"/>
          </w:tcPr>
          <w:p w:rsidR="00387A07" w:rsidRPr="00264430" w:rsidRDefault="00387A07" w:rsidP="00387A07">
            <w:pPr>
              <w:tabs>
                <w:tab w:val="left" w:pos="990"/>
              </w:tabs>
              <w:spacing w:line="360" w:lineRule="auto"/>
              <w:rPr>
                <w:rFonts w:ascii="Arial" w:eastAsia="AdvTimes" w:hAnsi="Arial" w:cs="Arial"/>
                <w:color w:val="000000"/>
                <w:sz w:val="24"/>
                <w:szCs w:val="24"/>
              </w:rPr>
            </w:pPr>
            <w:r>
              <w:rPr>
                <w:rFonts w:ascii="Arial" w:hAnsi="Arial" w:cs="Arial"/>
                <w:color w:val="000000"/>
                <w:sz w:val="24"/>
                <w:szCs w:val="24"/>
                <w:lang w:val="en-US"/>
              </w:rPr>
              <w:t xml:space="preserve">        </w:t>
            </w:r>
            <w:r w:rsidRPr="00264430">
              <w:rPr>
                <w:rFonts w:ascii="Arial" w:hAnsi="Arial" w:cs="Arial"/>
                <w:color w:val="000000"/>
                <w:sz w:val="24"/>
                <w:szCs w:val="24"/>
                <w:lang w:val="en-US"/>
              </w:rPr>
              <w:t xml:space="preserve">4.2.7.4 </w:t>
            </w:r>
            <w:r w:rsidRPr="00264430">
              <w:rPr>
                <w:rFonts w:ascii="Arial" w:hAnsi="Arial" w:cs="Arial"/>
                <w:sz w:val="24"/>
                <w:szCs w:val="24"/>
                <w:lang w:val="en-US"/>
              </w:rPr>
              <w:t>DSC analysis</w:t>
            </w:r>
            <w:r>
              <w:rPr>
                <w:rFonts w:ascii="Arial" w:hAnsi="Arial" w:cs="Arial"/>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131</w:t>
            </w:r>
          </w:p>
        </w:tc>
      </w:tr>
      <w:tr w:rsidR="00387A07" w:rsidRPr="00402E1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eastAsia="AdvTimes" w:hAnsi="Arial" w:cs="Arial"/>
                <w:color w:val="000000"/>
                <w:sz w:val="24"/>
                <w:szCs w:val="24"/>
              </w:rPr>
              <w:t xml:space="preserve">    4.2.8</w:t>
            </w:r>
            <w:r w:rsidRPr="000069D9">
              <w:rPr>
                <w:rFonts w:ascii="Arial" w:eastAsia="AdvTimes" w:hAnsi="Arial" w:cs="Arial"/>
                <w:color w:val="000000"/>
                <w:sz w:val="24"/>
                <w:szCs w:val="24"/>
              </w:rPr>
              <w:t xml:space="preserve"> </w:t>
            </w:r>
            <w:r w:rsidRPr="00264430">
              <w:rPr>
                <w:rFonts w:ascii="Arial" w:hAnsi="Arial" w:cs="Arial"/>
                <w:sz w:val="24"/>
                <w:szCs w:val="24"/>
                <w:lang w:val="en-US"/>
              </w:rPr>
              <w:t>Characterization of collagen and nanop</w:t>
            </w:r>
            <w:r>
              <w:rPr>
                <w:rFonts w:ascii="Arial" w:hAnsi="Arial" w:cs="Arial"/>
                <w:sz w:val="24"/>
                <w:szCs w:val="24"/>
                <w:lang w:val="en-US"/>
              </w:rPr>
              <w:t xml:space="preserve">articles-containing </w:t>
            </w:r>
          </w:p>
          <w:p w:rsidR="00387A0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lang w:val="en-US"/>
              </w:rPr>
              <w:t xml:space="preserve">    bone cement ………………………………………………………………………….</w:t>
            </w:r>
          </w:p>
        </w:tc>
        <w:tc>
          <w:tcPr>
            <w:tcW w:w="1023" w:type="dxa"/>
          </w:tcPr>
          <w:p w:rsidR="00387A07" w:rsidRDefault="00387A07" w:rsidP="00387A07">
            <w:pPr>
              <w:tabs>
                <w:tab w:val="left" w:pos="990"/>
              </w:tabs>
              <w:spacing w:line="360" w:lineRule="auto"/>
              <w:jc w:val="center"/>
              <w:rPr>
                <w:rFonts w:ascii="Arial" w:hAnsi="Arial" w:cs="Arial"/>
                <w:sz w:val="24"/>
                <w:szCs w:val="24"/>
                <w:lang w:val="en-US"/>
              </w:rPr>
            </w:pPr>
          </w:p>
          <w:p w:rsidR="00426A28"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131</w:t>
            </w:r>
          </w:p>
        </w:tc>
      </w:tr>
      <w:tr w:rsidR="00387A07" w:rsidRPr="00402E17" w:rsidTr="00387A07">
        <w:tc>
          <w:tcPr>
            <w:tcW w:w="8755" w:type="dxa"/>
          </w:tcPr>
          <w:p w:rsidR="00387A0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rPr>
              <w:t>4</w:t>
            </w:r>
            <w:r w:rsidRPr="000069D9">
              <w:rPr>
                <w:rFonts w:ascii="Arial" w:hAnsi="Arial" w:cs="Arial"/>
                <w:sz w:val="24"/>
                <w:szCs w:val="24"/>
              </w:rPr>
              <w:t>.3 Results &amp; Discussion</w:t>
            </w:r>
            <w:r>
              <w:rPr>
                <w:rFonts w:ascii="Arial" w:hAnsi="Arial" w:cs="Arial"/>
                <w:sz w:val="24"/>
                <w:szCs w:val="24"/>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132</w:t>
            </w:r>
          </w:p>
        </w:tc>
      </w:tr>
      <w:tr w:rsidR="00387A07" w:rsidRPr="00402E17" w:rsidTr="00387A07">
        <w:tc>
          <w:tcPr>
            <w:tcW w:w="8755" w:type="dxa"/>
          </w:tcPr>
          <w:p w:rsidR="00387A07" w:rsidRDefault="00387A07" w:rsidP="00387A07">
            <w:pPr>
              <w:tabs>
                <w:tab w:val="left" w:pos="990"/>
              </w:tabs>
              <w:spacing w:line="360" w:lineRule="auto"/>
              <w:rPr>
                <w:rFonts w:ascii="Arial" w:hAnsi="Arial" w:cs="Arial"/>
                <w:color w:val="000000"/>
                <w:sz w:val="24"/>
                <w:szCs w:val="24"/>
                <w:lang w:val="en-US"/>
              </w:rPr>
            </w:pPr>
            <w:r>
              <w:rPr>
                <w:rFonts w:ascii="Arial" w:hAnsi="Arial" w:cs="Arial"/>
                <w:color w:val="000000"/>
                <w:sz w:val="24"/>
                <w:szCs w:val="24"/>
                <w:lang w:eastAsia="it-IT"/>
              </w:rPr>
              <w:t xml:space="preserve">    </w:t>
            </w:r>
            <w:r w:rsidRPr="002113FC">
              <w:rPr>
                <w:rFonts w:ascii="Arial" w:hAnsi="Arial" w:cs="Arial"/>
                <w:color w:val="000000"/>
                <w:sz w:val="24"/>
                <w:szCs w:val="24"/>
                <w:lang w:eastAsia="it-IT"/>
              </w:rPr>
              <w:t>4.3.1 Optimization of the processing parameters</w:t>
            </w:r>
            <w:r>
              <w:rPr>
                <w:rFonts w:ascii="Arial" w:hAnsi="Arial" w:cs="Arial"/>
                <w:color w:val="000000"/>
                <w:sz w:val="24"/>
                <w:szCs w:val="24"/>
                <w:lang w:eastAsia="it-IT"/>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132</w:t>
            </w:r>
          </w:p>
        </w:tc>
      </w:tr>
      <w:tr w:rsidR="00387A07" w:rsidRPr="00402E17" w:rsidTr="00387A07">
        <w:tc>
          <w:tcPr>
            <w:tcW w:w="8755" w:type="dxa"/>
          </w:tcPr>
          <w:p w:rsidR="00387A07" w:rsidRDefault="00387A07" w:rsidP="00387A07">
            <w:pPr>
              <w:tabs>
                <w:tab w:val="left" w:pos="990"/>
              </w:tabs>
              <w:spacing w:line="360" w:lineRule="auto"/>
              <w:rPr>
                <w:rFonts w:ascii="Arial" w:hAnsi="Arial" w:cs="Arial"/>
                <w:color w:val="000000"/>
                <w:sz w:val="24"/>
                <w:szCs w:val="24"/>
                <w:lang w:val="en-US"/>
              </w:rPr>
            </w:pPr>
            <w:r>
              <w:rPr>
                <w:rFonts w:ascii="Arial" w:hAnsi="Arial" w:cs="Arial"/>
                <w:color w:val="000000"/>
                <w:sz w:val="24"/>
                <w:szCs w:val="24"/>
                <w:lang w:eastAsia="it-IT"/>
              </w:rPr>
              <w:t xml:space="preserve">        </w:t>
            </w:r>
            <w:r w:rsidRPr="002113FC">
              <w:rPr>
                <w:rFonts w:ascii="Arial" w:hAnsi="Arial" w:cs="Arial"/>
                <w:color w:val="000000"/>
                <w:sz w:val="24"/>
                <w:szCs w:val="24"/>
                <w:lang w:eastAsia="it-IT"/>
              </w:rPr>
              <w:t>4.3.1.1 Determination of the setting time</w:t>
            </w:r>
            <w:r>
              <w:rPr>
                <w:rFonts w:ascii="Arial" w:hAnsi="Arial" w:cs="Arial"/>
                <w:color w:val="000000"/>
                <w:sz w:val="24"/>
                <w:szCs w:val="24"/>
                <w:lang w:eastAsia="it-IT"/>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132</w:t>
            </w:r>
          </w:p>
        </w:tc>
      </w:tr>
      <w:tr w:rsidR="00387A07" w:rsidRPr="00402E17" w:rsidTr="00387A07">
        <w:tc>
          <w:tcPr>
            <w:tcW w:w="8755" w:type="dxa"/>
          </w:tcPr>
          <w:p w:rsidR="00387A07" w:rsidRDefault="00387A07" w:rsidP="00387A07">
            <w:pPr>
              <w:tabs>
                <w:tab w:val="left" w:pos="990"/>
              </w:tabs>
              <w:spacing w:line="360" w:lineRule="auto"/>
              <w:rPr>
                <w:rFonts w:ascii="Arial" w:hAnsi="Arial" w:cs="Arial"/>
                <w:color w:val="000000"/>
                <w:sz w:val="24"/>
                <w:szCs w:val="24"/>
                <w:lang w:val="en-US"/>
              </w:rPr>
            </w:pPr>
            <w:r>
              <w:rPr>
                <w:rFonts w:ascii="Arial" w:hAnsi="Arial" w:cs="Arial"/>
                <w:color w:val="000000"/>
                <w:sz w:val="24"/>
                <w:szCs w:val="24"/>
                <w:lang w:eastAsia="it-IT"/>
              </w:rPr>
              <w:t xml:space="preserve">        </w:t>
            </w:r>
            <w:r w:rsidRPr="002113FC">
              <w:rPr>
                <w:rFonts w:ascii="Arial" w:hAnsi="Arial" w:cs="Arial"/>
                <w:color w:val="000000"/>
                <w:sz w:val="24"/>
                <w:szCs w:val="24"/>
                <w:lang w:eastAsia="it-IT"/>
              </w:rPr>
              <w:t xml:space="preserve">4.3.1.2 </w:t>
            </w:r>
            <w:r w:rsidRPr="002113FC">
              <w:rPr>
                <w:rFonts w:ascii="Arial" w:hAnsi="Arial" w:cs="Arial"/>
                <w:bCs/>
                <w:iCs/>
                <w:sz w:val="24"/>
                <w:szCs w:val="24"/>
                <w:lang w:val="en-US"/>
              </w:rPr>
              <w:t>In vitro dissolution tests</w:t>
            </w:r>
            <w:r>
              <w:rPr>
                <w:rFonts w:ascii="Arial" w:hAnsi="Arial" w:cs="Arial"/>
                <w:bCs/>
                <w:iCs/>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133</w:t>
            </w:r>
          </w:p>
        </w:tc>
      </w:tr>
      <w:tr w:rsidR="00387A07" w:rsidRPr="00402E17" w:rsidTr="00387A07">
        <w:tc>
          <w:tcPr>
            <w:tcW w:w="8755" w:type="dxa"/>
          </w:tcPr>
          <w:p w:rsidR="00387A07" w:rsidRPr="008B60D6" w:rsidRDefault="00387A07" w:rsidP="00387A07">
            <w:pPr>
              <w:tabs>
                <w:tab w:val="left" w:pos="990"/>
              </w:tabs>
              <w:spacing w:line="360" w:lineRule="auto"/>
              <w:rPr>
                <w:rFonts w:ascii="Arial" w:hAnsi="Arial" w:cs="Arial"/>
                <w:color w:val="000000"/>
                <w:sz w:val="24"/>
                <w:szCs w:val="24"/>
                <w:lang w:val="en-US"/>
              </w:rPr>
            </w:pPr>
            <w:r>
              <w:rPr>
                <w:rFonts w:ascii="Arial" w:hAnsi="Arial" w:cs="Arial"/>
                <w:bCs/>
                <w:iCs/>
                <w:sz w:val="24"/>
                <w:szCs w:val="24"/>
                <w:lang w:val="en-US"/>
              </w:rPr>
              <w:t xml:space="preserve">        </w:t>
            </w:r>
            <w:r w:rsidRPr="008B60D6">
              <w:rPr>
                <w:rFonts w:ascii="Arial" w:hAnsi="Arial" w:cs="Arial"/>
                <w:bCs/>
                <w:iCs/>
                <w:sz w:val="24"/>
                <w:szCs w:val="24"/>
                <w:lang w:val="en-US"/>
              </w:rPr>
              <w:t>4.3.1.3 Determination of the compressive strength</w:t>
            </w:r>
            <w:r>
              <w:rPr>
                <w:rFonts w:ascii="Arial" w:hAnsi="Arial" w:cs="Arial"/>
                <w:bCs/>
                <w:iCs/>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136</w:t>
            </w:r>
          </w:p>
        </w:tc>
      </w:tr>
      <w:tr w:rsidR="00387A07" w:rsidRPr="00402E17" w:rsidTr="00387A07">
        <w:tc>
          <w:tcPr>
            <w:tcW w:w="8755" w:type="dxa"/>
          </w:tcPr>
          <w:p w:rsidR="00387A07" w:rsidRDefault="00387A07" w:rsidP="00387A07">
            <w:pPr>
              <w:tabs>
                <w:tab w:val="left" w:pos="990"/>
              </w:tabs>
              <w:spacing w:line="360" w:lineRule="auto"/>
              <w:rPr>
                <w:rFonts w:ascii="Arial" w:hAnsi="Arial" w:cs="Arial"/>
                <w:color w:val="000000"/>
                <w:sz w:val="24"/>
                <w:szCs w:val="24"/>
                <w:lang w:val="en-US"/>
              </w:rPr>
            </w:pPr>
            <w:r>
              <w:rPr>
                <w:rFonts w:ascii="Arial" w:hAnsi="Arial" w:cs="Arial"/>
                <w:sz w:val="24"/>
                <w:szCs w:val="24"/>
                <w:lang w:val="en-US"/>
              </w:rPr>
              <w:t xml:space="preserve">        </w:t>
            </w:r>
            <w:r w:rsidRPr="002113FC">
              <w:rPr>
                <w:rFonts w:ascii="Arial" w:hAnsi="Arial" w:cs="Arial"/>
                <w:sz w:val="24"/>
                <w:szCs w:val="24"/>
                <w:lang w:val="en-US"/>
              </w:rPr>
              <w:t>4.3.1.4 In Vitro bioactivity tests</w:t>
            </w:r>
            <w:r>
              <w:rPr>
                <w:rFonts w:ascii="Arial" w:hAnsi="Arial" w:cs="Arial"/>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137</w:t>
            </w:r>
          </w:p>
        </w:tc>
      </w:tr>
      <w:tr w:rsidR="00387A07" w:rsidRPr="00402E17" w:rsidTr="00387A07">
        <w:tc>
          <w:tcPr>
            <w:tcW w:w="8755" w:type="dxa"/>
          </w:tcPr>
          <w:p w:rsidR="00387A07" w:rsidRPr="008B60D6" w:rsidRDefault="00387A07" w:rsidP="00387A07">
            <w:pPr>
              <w:tabs>
                <w:tab w:val="left" w:pos="990"/>
              </w:tabs>
              <w:spacing w:line="360" w:lineRule="auto"/>
              <w:rPr>
                <w:rFonts w:ascii="Arial" w:hAnsi="Arial" w:cs="Arial"/>
                <w:color w:val="000000"/>
                <w:sz w:val="24"/>
                <w:szCs w:val="24"/>
                <w:lang w:val="en-US"/>
              </w:rPr>
            </w:pPr>
            <w:r>
              <w:rPr>
                <w:rFonts w:ascii="Arial" w:hAnsi="Arial" w:cs="Arial"/>
                <w:bCs/>
                <w:iCs/>
                <w:sz w:val="24"/>
                <w:szCs w:val="24"/>
                <w:lang w:val="en-US"/>
              </w:rPr>
              <w:t xml:space="preserve">    </w:t>
            </w:r>
            <w:r w:rsidRPr="008B60D6">
              <w:rPr>
                <w:rFonts w:ascii="Arial" w:hAnsi="Arial" w:cs="Arial"/>
                <w:bCs/>
                <w:iCs/>
                <w:sz w:val="24"/>
                <w:szCs w:val="24"/>
                <w:lang w:val="en-US"/>
              </w:rPr>
              <w:t>4.3.2 Preparation &amp; Characterization of nanoparticles</w:t>
            </w:r>
            <w:r>
              <w:rPr>
                <w:rFonts w:ascii="Arial" w:hAnsi="Arial" w:cs="Arial"/>
                <w:bCs/>
                <w:iCs/>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145</w:t>
            </w:r>
          </w:p>
        </w:tc>
      </w:tr>
      <w:tr w:rsidR="00387A07" w:rsidRPr="00402E17" w:rsidTr="00387A07">
        <w:tc>
          <w:tcPr>
            <w:tcW w:w="8755" w:type="dxa"/>
          </w:tcPr>
          <w:p w:rsidR="00387A07" w:rsidRPr="008B60D6" w:rsidRDefault="00387A07" w:rsidP="00387A07">
            <w:pPr>
              <w:tabs>
                <w:tab w:val="left" w:pos="990"/>
              </w:tabs>
              <w:spacing w:line="360" w:lineRule="auto"/>
              <w:rPr>
                <w:rFonts w:ascii="Arial" w:hAnsi="Arial" w:cs="Arial"/>
                <w:color w:val="000000"/>
                <w:sz w:val="24"/>
                <w:szCs w:val="24"/>
                <w:lang w:val="en-US"/>
              </w:rPr>
            </w:pPr>
            <w:r w:rsidRPr="008B60D6">
              <w:rPr>
                <w:rFonts w:ascii="Arial" w:hAnsi="Arial" w:cs="Arial"/>
                <w:bCs/>
                <w:iCs/>
                <w:sz w:val="24"/>
                <w:szCs w:val="24"/>
                <w:lang w:val="en-US"/>
              </w:rPr>
              <w:lastRenderedPageBreak/>
              <w:t xml:space="preserve">        4.3.2.1 Morphology</w:t>
            </w:r>
            <w:r>
              <w:rPr>
                <w:rFonts w:ascii="Arial" w:hAnsi="Arial" w:cs="Arial"/>
                <w:bCs/>
                <w:iCs/>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145</w:t>
            </w:r>
          </w:p>
        </w:tc>
      </w:tr>
      <w:tr w:rsidR="00387A07" w:rsidRPr="00402E17" w:rsidTr="00387A07">
        <w:tc>
          <w:tcPr>
            <w:tcW w:w="8755" w:type="dxa"/>
          </w:tcPr>
          <w:p w:rsidR="00387A07" w:rsidRPr="008B60D6" w:rsidRDefault="00387A07" w:rsidP="00387A07">
            <w:pPr>
              <w:tabs>
                <w:tab w:val="left" w:pos="990"/>
              </w:tabs>
              <w:spacing w:line="360" w:lineRule="auto"/>
              <w:rPr>
                <w:rFonts w:ascii="Arial" w:hAnsi="Arial" w:cs="Arial"/>
                <w:color w:val="000000"/>
                <w:sz w:val="24"/>
                <w:szCs w:val="24"/>
                <w:lang w:val="en-US"/>
              </w:rPr>
            </w:pPr>
            <w:r>
              <w:rPr>
                <w:rFonts w:ascii="Arial" w:hAnsi="Arial" w:cs="Arial"/>
                <w:bCs/>
                <w:iCs/>
                <w:sz w:val="24"/>
                <w:szCs w:val="24"/>
                <w:lang w:val="en-US"/>
              </w:rPr>
              <w:t xml:space="preserve">        </w:t>
            </w:r>
            <w:r w:rsidRPr="008B60D6">
              <w:rPr>
                <w:rFonts w:ascii="Arial" w:hAnsi="Arial" w:cs="Arial"/>
                <w:bCs/>
                <w:iCs/>
                <w:sz w:val="24"/>
                <w:szCs w:val="24"/>
                <w:lang w:val="en-US"/>
              </w:rPr>
              <w:t>4.3.2.2 DSC analysis</w:t>
            </w:r>
            <w:r>
              <w:rPr>
                <w:rFonts w:ascii="Arial" w:hAnsi="Arial" w:cs="Arial"/>
                <w:bCs/>
                <w:iCs/>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146</w:t>
            </w:r>
          </w:p>
        </w:tc>
      </w:tr>
      <w:tr w:rsidR="00387A07" w:rsidRPr="00402E17" w:rsidTr="00387A07">
        <w:tc>
          <w:tcPr>
            <w:tcW w:w="8755" w:type="dxa"/>
          </w:tcPr>
          <w:p w:rsidR="00387A07" w:rsidRPr="008B60D6" w:rsidRDefault="00387A07" w:rsidP="00387A07">
            <w:pPr>
              <w:tabs>
                <w:tab w:val="left" w:pos="990"/>
              </w:tabs>
              <w:spacing w:line="360" w:lineRule="auto"/>
              <w:rPr>
                <w:rFonts w:ascii="Arial" w:hAnsi="Arial" w:cs="Arial"/>
                <w:color w:val="000000"/>
                <w:sz w:val="24"/>
                <w:szCs w:val="24"/>
                <w:lang w:val="en-US"/>
              </w:rPr>
            </w:pPr>
            <w:r>
              <w:rPr>
                <w:rFonts w:ascii="Arial" w:hAnsi="Arial" w:cs="Arial"/>
                <w:bCs/>
                <w:iCs/>
                <w:sz w:val="24"/>
                <w:szCs w:val="24"/>
                <w:lang w:val="en-US"/>
              </w:rPr>
              <w:t xml:space="preserve">        </w:t>
            </w:r>
            <w:r w:rsidRPr="008B60D6">
              <w:rPr>
                <w:rFonts w:ascii="Arial" w:hAnsi="Arial" w:cs="Arial"/>
                <w:bCs/>
                <w:iCs/>
                <w:sz w:val="24"/>
                <w:szCs w:val="24"/>
                <w:lang w:val="en-US"/>
              </w:rPr>
              <w:t>4.3.2.3 Process yield and encapsulation efficiency</w:t>
            </w:r>
            <w:r>
              <w:rPr>
                <w:rFonts w:ascii="Arial" w:hAnsi="Arial" w:cs="Arial"/>
                <w:bCs/>
                <w:iCs/>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147</w:t>
            </w:r>
          </w:p>
        </w:tc>
      </w:tr>
      <w:tr w:rsidR="00387A07" w:rsidRPr="00402E17" w:rsidTr="00387A07">
        <w:tc>
          <w:tcPr>
            <w:tcW w:w="8755" w:type="dxa"/>
          </w:tcPr>
          <w:p w:rsidR="00387A07" w:rsidRPr="008B60D6" w:rsidRDefault="00387A07" w:rsidP="00387A07">
            <w:pPr>
              <w:tabs>
                <w:tab w:val="left" w:pos="990"/>
              </w:tabs>
              <w:spacing w:line="360" w:lineRule="auto"/>
              <w:rPr>
                <w:rFonts w:ascii="Arial" w:hAnsi="Arial" w:cs="Arial"/>
                <w:color w:val="000000"/>
                <w:sz w:val="24"/>
                <w:szCs w:val="24"/>
                <w:lang w:val="en-US"/>
              </w:rPr>
            </w:pPr>
            <w:r>
              <w:rPr>
                <w:rFonts w:ascii="Arial" w:hAnsi="Arial" w:cs="Arial"/>
                <w:bCs/>
                <w:iCs/>
                <w:sz w:val="24"/>
                <w:szCs w:val="24"/>
                <w:lang w:val="en-US"/>
              </w:rPr>
              <w:t xml:space="preserve">        </w:t>
            </w:r>
            <w:r w:rsidRPr="008B60D6">
              <w:rPr>
                <w:rFonts w:ascii="Arial" w:hAnsi="Arial" w:cs="Arial"/>
                <w:bCs/>
                <w:iCs/>
                <w:sz w:val="24"/>
                <w:szCs w:val="24"/>
                <w:lang w:val="en-US"/>
              </w:rPr>
              <w:t>4.3.2.4 Drug release profile</w:t>
            </w:r>
            <w:r>
              <w:rPr>
                <w:rFonts w:ascii="Arial" w:hAnsi="Arial" w:cs="Arial"/>
                <w:bCs/>
                <w:iCs/>
                <w:sz w:val="24"/>
                <w:szCs w:val="24"/>
                <w:lang w:val="en-US"/>
              </w:rPr>
              <w:t xml:space="preserve"> ………………………………………………………</w:t>
            </w:r>
          </w:p>
        </w:tc>
        <w:tc>
          <w:tcPr>
            <w:tcW w:w="1023" w:type="dxa"/>
          </w:tcPr>
          <w:p w:rsidR="00387A07" w:rsidRPr="00402E17"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148</w:t>
            </w:r>
          </w:p>
        </w:tc>
      </w:tr>
      <w:tr w:rsidR="00387A07" w:rsidRPr="00402E17" w:rsidTr="00387A07">
        <w:tc>
          <w:tcPr>
            <w:tcW w:w="8755" w:type="dxa"/>
          </w:tcPr>
          <w:p w:rsidR="00387A07" w:rsidRPr="008B60D6" w:rsidRDefault="00387A07" w:rsidP="00387A07">
            <w:pPr>
              <w:tabs>
                <w:tab w:val="left" w:pos="990"/>
              </w:tabs>
              <w:spacing w:line="360" w:lineRule="auto"/>
              <w:rPr>
                <w:rFonts w:ascii="Arial" w:hAnsi="Arial" w:cs="Arial"/>
                <w:color w:val="000000"/>
                <w:sz w:val="24"/>
                <w:szCs w:val="24"/>
                <w:lang w:val="en-US"/>
              </w:rPr>
            </w:pPr>
            <w:r>
              <w:rPr>
                <w:rFonts w:ascii="Arial" w:hAnsi="Arial" w:cs="Arial"/>
                <w:bCs/>
                <w:iCs/>
                <w:sz w:val="24"/>
                <w:szCs w:val="24"/>
                <w:lang w:val="en-US"/>
              </w:rPr>
              <w:t xml:space="preserve">    </w:t>
            </w:r>
            <w:r w:rsidRPr="008B60D6">
              <w:rPr>
                <w:rFonts w:ascii="Arial" w:hAnsi="Arial" w:cs="Arial"/>
                <w:bCs/>
                <w:iCs/>
                <w:sz w:val="24"/>
                <w:szCs w:val="24"/>
                <w:lang w:val="en-US"/>
              </w:rPr>
              <w:t>4.3.3 Analysis of the final cement composition</w:t>
            </w:r>
            <w:r>
              <w:rPr>
                <w:rFonts w:ascii="Arial" w:hAnsi="Arial" w:cs="Arial"/>
                <w:bCs/>
                <w:iCs/>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148</w:t>
            </w:r>
          </w:p>
        </w:tc>
      </w:tr>
      <w:tr w:rsidR="00387A07" w:rsidRPr="00402E17" w:rsidTr="00387A07">
        <w:tc>
          <w:tcPr>
            <w:tcW w:w="8755" w:type="dxa"/>
          </w:tcPr>
          <w:p w:rsidR="00387A07" w:rsidRPr="008B60D6" w:rsidRDefault="00387A07" w:rsidP="00387A07">
            <w:pPr>
              <w:tabs>
                <w:tab w:val="left" w:pos="990"/>
              </w:tabs>
              <w:spacing w:line="360" w:lineRule="auto"/>
              <w:rPr>
                <w:rFonts w:ascii="Arial" w:hAnsi="Arial" w:cs="Arial"/>
                <w:color w:val="000000"/>
                <w:sz w:val="24"/>
                <w:szCs w:val="24"/>
                <w:lang w:val="en-US"/>
              </w:rPr>
            </w:pPr>
            <w:r>
              <w:rPr>
                <w:rFonts w:ascii="Arial" w:hAnsi="Arial" w:cs="Arial"/>
                <w:bCs/>
                <w:iCs/>
                <w:sz w:val="24"/>
                <w:szCs w:val="24"/>
                <w:lang w:val="en-US"/>
              </w:rPr>
              <w:t xml:space="preserve">        </w:t>
            </w:r>
            <w:r w:rsidRPr="008B60D6">
              <w:rPr>
                <w:rFonts w:ascii="Arial" w:hAnsi="Arial" w:cs="Arial"/>
                <w:bCs/>
                <w:iCs/>
                <w:sz w:val="24"/>
                <w:szCs w:val="24"/>
                <w:lang w:val="en-US"/>
              </w:rPr>
              <w:t>4.3.3.1 Hardening time and injectability of the final composition</w:t>
            </w:r>
            <w:r>
              <w:rPr>
                <w:rFonts w:ascii="Arial" w:hAnsi="Arial" w:cs="Arial"/>
                <w:bCs/>
                <w:iCs/>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149</w:t>
            </w:r>
          </w:p>
        </w:tc>
      </w:tr>
      <w:tr w:rsidR="00387A07" w:rsidRPr="00402E17" w:rsidTr="00387A07">
        <w:tc>
          <w:tcPr>
            <w:tcW w:w="8755" w:type="dxa"/>
          </w:tcPr>
          <w:p w:rsidR="00387A07" w:rsidRPr="008B60D6" w:rsidRDefault="00387A07" w:rsidP="00387A07">
            <w:pPr>
              <w:tabs>
                <w:tab w:val="left" w:pos="990"/>
              </w:tabs>
              <w:spacing w:line="360" w:lineRule="auto"/>
              <w:rPr>
                <w:rFonts w:ascii="Arial" w:hAnsi="Arial" w:cs="Arial"/>
                <w:bCs/>
                <w:iCs/>
                <w:sz w:val="24"/>
                <w:szCs w:val="24"/>
                <w:lang w:val="en-US"/>
              </w:rPr>
            </w:pPr>
            <w:r>
              <w:rPr>
                <w:rFonts w:ascii="Arial" w:hAnsi="Arial" w:cs="Arial"/>
                <w:bCs/>
                <w:iCs/>
                <w:sz w:val="24"/>
                <w:szCs w:val="24"/>
                <w:lang w:val="en-US"/>
              </w:rPr>
              <w:t xml:space="preserve">        </w:t>
            </w:r>
            <w:r w:rsidRPr="008B60D6">
              <w:rPr>
                <w:rFonts w:ascii="Arial" w:hAnsi="Arial" w:cs="Arial"/>
                <w:bCs/>
                <w:iCs/>
                <w:sz w:val="24"/>
                <w:szCs w:val="24"/>
                <w:lang w:val="en-US"/>
              </w:rPr>
              <w:t>4.3.3.2 Morphology (SEM)</w:t>
            </w:r>
            <w:r>
              <w:rPr>
                <w:rFonts w:ascii="Arial" w:hAnsi="Arial" w:cs="Arial"/>
                <w:bCs/>
                <w:iCs/>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149</w:t>
            </w:r>
          </w:p>
        </w:tc>
      </w:tr>
      <w:tr w:rsidR="00387A07" w:rsidRPr="00402E17" w:rsidTr="00387A07">
        <w:tc>
          <w:tcPr>
            <w:tcW w:w="8755" w:type="dxa"/>
          </w:tcPr>
          <w:p w:rsidR="00387A07" w:rsidRDefault="00387A07" w:rsidP="00387A07">
            <w:pPr>
              <w:pStyle w:val="Default"/>
              <w:spacing w:line="360" w:lineRule="auto"/>
              <w:rPr>
                <w:rFonts w:ascii="Arial" w:hAnsi="Arial" w:cs="Arial"/>
                <w:bCs/>
                <w:iCs/>
                <w:lang w:val="en-US"/>
              </w:rPr>
            </w:pPr>
            <w:r>
              <w:rPr>
                <w:rFonts w:ascii="Arial" w:hAnsi="Arial" w:cs="Arial"/>
                <w:bCs/>
                <w:iCs/>
                <w:lang w:val="en-US"/>
              </w:rPr>
              <w:t xml:space="preserve">        </w:t>
            </w:r>
            <w:r w:rsidRPr="008B60D6">
              <w:rPr>
                <w:rFonts w:ascii="Arial" w:hAnsi="Arial" w:cs="Arial"/>
                <w:bCs/>
                <w:iCs/>
                <w:lang w:val="en-US"/>
              </w:rPr>
              <w:t xml:space="preserve">4.3.3.3 Determination of the compressive strength of the </w:t>
            </w:r>
          </w:p>
          <w:p w:rsidR="00387A07" w:rsidRPr="008B60D6" w:rsidRDefault="00387A07" w:rsidP="00387A07">
            <w:pPr>
              <w:pStyle w:val="Default"/>
              <w:spacing w:line="360" w:lineRule="auto"/>
              <w:rPr>
                <w:rFonts w:ascii="Arial" w:hAnsi="Arial" w:cs="Arial"/>
                <w:bCs/>
                <w:iCs/>
                <w:lang w:val="en-US"/>
              </w:rPr>
            </w:pPr>
            <w:r>
              <w:rPr>
                <w:rFonts w:ascii="Arial" w:hAnsi="Arial" w:cs="Arial"/>
                <w:bCs/>
                <w:iCs/>
                <w:lang w:val="en-US"/>
              </w:rPr>
              <w:t xml:space="preserve">        </w:t>
            </w:r>
            <w:r w:rsidRPr="008B60D6">
              <w:rPr>
                <w:rFonts w:ascii="Arial" w:hAnsi="Arial" w:cs="Arial"/>
                <w:bCs/>
                <w:iCs/>
                <w:lang w:val="en-US"/>
              </w:rPr>
              <w:t>final bone cement</w:t>
            </w:r>
            <w:r>
              <w:rPr>
                <w:rFonts w:ascii="Arial" w:hAnsi="Arial" w:cs="Arial"/>
                <w:bCs/>
                <w:iCs/>
                <w:lang w:val="en-US"/>
              </w:rPr>
              <w:t xml:space="preserve"> ………………………………………………………………… </w:t>
            </w:r>
          </w:p>
        </w:tc>
        <w:tc>
          <w:tcPr>
            <w:tcW w:w="1023" w:type="dxa"/>
          </w:tcPr>
          <w:p w:rsidR="00426A28" w:rsidRDefault="00426A28" w:rsidP="00387A07">
            <w:pPr>
              <w:tabs>
                <w:tab w:val="left" w:pos="990"/>
              </w:tabs>
              <w:spacing w:line="360" w:lineRule="auto"/>
              <w:jc w:val="center"/>
              <w:rPr>
                <w:rFonts w:ascii="Arial" w:hAnsi="Arial" w:cs="Arial"/>
                <w:sz w:val="24"/>
                <w:szCs w:val="24"/>
                <w:lang w:val="en-US"/>
              </w:rPr>
            </w:pPr>
          </w:p>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150</w:t>
            </w:r>
          </w:p>
        </w:tc>
      </w:tr>
      <w:tr w:rsidR="00387A07" w:rsidRPr="00402E17" w:rsidTr="00387A07">
        <w:tc>
          <w:tcPr>
            <w:tcW w:w="8755" w:type="dxa"/>
          </w:tcPr>
          <w:p w:rsidR="00387A07" w:rsidRPr="008B60D6" w:rsidRDefault="00387A07" w:rsidP="00387A07">
            <w:pPr>
              <w:tabs>
                <w:tab w:val="left" w:pos="990"/>
              </w:tabs>
              <w:spacing w:line="360" w:lineRule="auto"/>
              <w:rPr>
                <w:rFonts w:ascii="Arial" w:hAnsi="Arial" w:cs="Arial"/>
                <w:bCs/>
                <w:iCs/>
                <w:sz w:val="24"/>
                <w:szCs w:val="24"/>
                <w:lang w:val="en-US"/>
              </w:rPr>
            </w:pPr>
            <w:r w:rsidRPr="008B60D6">
              <w:rPr>
                <w:rFonts w:ascii="Arial" w:hAnsi="Arial" w:cs="Arial"/>
                <w:sz w:val="24"/>
                <w:szCs w:val="24"/>
              </w:rPr>
              <w:t>4.4 Conclusions</w:t>
            </w:r>
            <w:r>
              <w:rPr>
                <w:rFonts w:ascii="Arial" w:hAnsi="Arial" w:cs="Arial"/>
                <w:sz w:val="24"/>
                <w:szCs w:val="24"/>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150</w:t>
            </w:r>
          </w:p>
        </w:tc>
      </w:tr>
      <w:tr w:rsidR="00387A07" w:rsidRPr="00402E17" w:rsidTr="00387A07">
        <w:tc>
          <w:tcPr>
            <w:tcW w:w="8755" w:type="dxa"/>
          </w:tcPr>
          <w:p w:rsidR="00387A07" w:rsidRPr="008B60D6" w:rsidRDefault="00387A07" w:rsidP="00387A07">
            <w:pPr>
              <w:tabs>
                <w:tab w:val="left" w:pos="990"/>
              </w:tabs>
              <w:spacing w:line="360" w:lineRule="auto"/>
              <w:rPr>
                <w:rFonts w:ascii="Arial" w:hAnsi="Arial" w:cs="Arial"/>
                <w:bCs/>
                <w:iCs/>
                <w:sz w:val="24"/>
                <w:szCs w:val="24"/>
                <w:lang w:val="en-US"/>
              </w:rPr>
            </w:pPr>
            <w:r w:rsidRPr="008B60D6">
              <w:rPr>
                <w:rFonts w:ascii="Arial" w:hAnsi="Arial" w:cs="Arial"/>
                <w:sz w:val="24"/>
                <w:szCs w:val="24"/>
              </w:rPr>
              <w:t>References</w:t>
            </w:r>
            <w:r>
              <w:rPr>
                <w:rFonts w:ascii="Arial" w:hAnsi="Arial" w:cs="Arial"/>
                <w:sz w:val="24"/>
                <w:szCs w:val="24"/>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151</w:t>
            </w:r>
          </w:p>
        </w:tc>
      </w:tr>
      <w:tr w:rsidR="00387A07" w:rsidRPr="00402E17" w:rsidTr="00387A07">
        <w:tc>
          <w:tcPr>
            <w:tcW w:w="9778" w:type="dxa"/>
            <w:gridSpan w:val="2"/>
          </w:tcPr>
          <w:p w:rsidR="00387A07" w:rsidRPr="00D57D88" w:rsidRDefault="00387A07" w:rsidP="00387A07">
            <w:pPr>
              <w:spacing w:before="120" w:after="120" w:line="360" w:lineRule="auto"/>
              <w:jc w:val="center"/>
              <w:rPr>
                <w:rFonts w:ascii="Arial" w:hAnsi="Arial" w:cs="Arial"/>
                <w:b/>
                <w:sz w:val="36"/>
                <w:szCs w:val="36"/>
                <w:lang w:val="en-US"/>
              </w:rPr>
            </w:pPr>
            <w:r>
              <w:rPr>
                <w:rFonts w:ascii="Arial" w:hAnsi="Arial" w:cs="Arial"/>
                <w:b/>
                <w:sz w:val="36"/>
                <w:szCs w:val="36"/>
                <w:lang w:val="en-US"/>
              </w:rPr>
              <w:t>Section IV</w:t>
            </w:r>
          </w:p>
          <w:p w:rsidR="00387A07" w:rsidRPr="008B60D6" w:rsidRDefault="00387A07" w:rsidP="00387A07">
            <w:pPr>
              <w:tabs>
                <w:tab w:val="left" w:pos="990"/>
              </w:tabs>
              <w:spacing w:before="120" w:after="120" w:line="360" w:lineRule="auto"/>
              <w:jc w:val="center"/>
              <w:rPr>
                <w:rFonts w:ascii="Arial" w:hAnsi="Arial" w:cs="Arial"/>
                <w:sz w:val="24"/>
                <w:szCs w:val="24"/>
                <w:lang w:val="en-US"/>
              </w:rPr>
            </w:pPr>
            <w:r>
              <w:rPr>
                <w:rFonts w:ascii="Arial" w:hAnsi="Arial" w:cs="Arial"/>
                <w:b/>
                <w:sz w:val="28"/>
                <w:szCs w:val="28"/>
                <w:lang w:val="en-US"/>
              </w:rPr>
              <w:t>Chapter 5</w:t>
            </w:r>
          </w:p>
        </w:tc>
      </w:tr>
      <w:tr w:rsidR="00387A07" w:rsidRPr="00402E17" w:rsidTr="00387A07">
        <w:tc>
          <w:tcPr>
            <w:tcW w:w="9778" w:type="dxa"/>
            <w:gridSpan w:val="2"/>
          </w:tcPr>
          <w:p w:rsidR="00387A07" w:rsidRPr="008B60D6" w:rsidRDefault="00387A07" w:rsidP="00387A07">
            <w:pPr>
              <w:tabs>
                <w:tab w:val="left" w:pos="990"/>
              </w:tabs>
              <w:spacing w:before="120" w:after="120" w:line="360" w:lineRule="auto"/>
              <w:jc w:val="center"/>
              <w:rPr>
                <w:rFonts w:ascii="Arial" w:hAnsi="Arial" w:cs="Arial"/>
                <w:sz w:val="24"/>
                <w:szCs w:val="24"/>
                <w:lang w:val="en-US"/>
              </w:rPr>
            </w:pPr>
            <w:r>
              <w:rPr>
                <w:rFonts w:ascii="Arial" w:hAnsi="Arial" w:cs="Arial"/>
                <w:b/>
                <w:sz w:val="28"/>
                <w:szCs w:val="28"/>
                <w:lang w:val="en-US"/>
              </w:rPr>
              <w:t>Final discussion and conclusions</w:t>
            </w:r>
          </w:p>
        </w:tc>
      </w:tr>
      <w:tr w:rsidR="00387A07" w:rsidRPr="00402E17" w:rsidTr="00387A07">
        <w:tc>
          <w:tcPr>
            <w:tcW w:w="8755" w:type="dxa"/>
          </w:tcPr>
          <w:p w:rsidR="00387A07" w:rsidRDefault="00387A07" w:rsidP="00387A07">
            <w:pPr>
              <w:tabs>
                <w:tab w:val="left" w:pos="990"/>
              </w:tabs>
              <w:spacing w:line="360" w:lineRule="auto"/>
              <w:rPr>
                <w:rFonts w:ascii="Arial" w:hAnsi="Arial" w:cs="Arial"/>
                <w:bCs/>
                <w:iCs/>
                <w:sz w:val="24"/>
                <w:szCs w:val="24"/>
                <w:lang w:val="en-US"/>
              </w:rPr>
            </w:pPr>
            <w:r w:rsidRPr="00D14847">
              <w:rPr>
                <w:rFonts w:ascii="Arial" w:hAnsi="Arial" w:cs="Arial"/>
                <w:sz w:val="24"/>
                <w:szCs w:val="24"/>
                <w:lang w:val="en-US"/>
              </w:rPr>
              <w:t>5.1 General discussion</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158</w:t>
            </w:r>
          </w:p>
        </w:tc>
      </w:tr>
      <w:tr w:rsidR="00387A07" w:rsidRPr="00402E17" w:rsidTr="00387A07">
        <w:tc>
          <w:tcPr>
            <w:tcW w:w="8755" w:type="dxa"/>
          </w:tcPr>
          <w:p w:rsidR="00387A07" w:rsidRDefault="00387A07" w:rsidP="00387A07">
            <w:pPr>
              <w:tabs>
                <w:tab w:val="left" w:pos="990"/>
              </w:tabs>
              <w:spacing w:line="360" w:lineRule="auto"/>
              <w:rPr>
                <w:rFonts w:ascii="Arial" w:hAnsi="Arial" w:cs="Arial"/>
                <w:bCs/>
                <w:iCs/>
                <w:sz w:val="24"/>
                <w:szCs w:val="24"/>
                <w:lang w:val="en-US"/>
              </w:rPr>
            </w:pPr>
            <w:r w:rsidRPr="005641D3">
              <w:rPr>
                <w:rFonts w:ascii="Arial" w:hAnsi="Arial" w:cs="Arial"/>
                <w:sz w:val="24"/>
                <w:szCs w:val="24"/>
                <w:lang w:val="en-US"/>
              </w:rPr>
              <w:t xml:space="preserve">5.2 </w:t>
            </w:r>
            <w:r>
              <w:rPr>
                <w:rFonts w:ascii="Arial" w:hAnsi="Arial" w:cs="Arial"/>
                <w:sz w:val="24"/>
                <w:szCs w:val="24"/>
                <w:lang w:val="en-US"/>
              </w:rPr>
              <w:t>Conclusions &amp; f</w:t>
            </w:r>
            <w:r w:rsidRPr="005641D3">
              <w:rPr>
                <w:rFonts w:ascii="Arial" w:hAnsi="Arial" w:cs="Arial"/>
                <w:sz w:val="24"/>
                <w:szCs w:val="24"/>
                <w:lang w:val="en-US"/>
              </w:rPr>
              <w:t>uture development</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161</w:t>
            </w:r>
          </w:p>
        </w:tc>
      </w:tr>
      <w:tr w:rsidR="00387A07" w:rsidRPr="00402E17" w:rsidTr="00387A07">
        <w:tc>
          <w:tcPr>
            <w:tcW w:w="8755" w:type="dxa"/>
          </w:tcPr>
          <w:p w:rsidR="00387A07" w:rsidRDefault="00387A07" w:rsidP="00387A07">
            <w:pPr>
              <w:tabs>
                <w:tab w:val="left" w:pos="990"/>
              </w:tabs>
              <w:spacing w:line="360" w:lineRule="auto"/>
              <w:rPr>
                <w:rFonts w:ascii="Arial" w:hAnsi="Arial" w:cs="Arial"/>
                <w:bCs/>
                <w:iCs/>
                <w:sz w:val="24"/>
                <w:szCs w:val="24"/>
                <w:lang w:val="en-US"/>
              </w:rPr>
            </w:pPr>
            <w:r w:rsidRPr="005641D3">
              <w:rPr>
                <w:rFonts w:ascii="Arial" w:hAnsi="Arial" w:cs="Arial"/>
                <w:sz w:val="24"/>
                <w:szCs w:val="24"/>
                <w:lang w:val="en-US"/>
              </w:rPr>
              <w:t>References</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161</w:t>
            </w:r>
          </w:p>
        </w:tc>
      </w:tr>
      <w:tr w:rsidR="00387A07" w:rsidRPr="00402E17" w:rsidTr="00387A07">
        <w:tc>
          <w:tcPr>
            <w:tcW w:w="9778" w:type="dxa"/>
            <w:gridSpan w:val="2"/>
          </w:tcPr>
          <w:p w:rsidR="00387A07" w:rsidRPr="008B60D6" w:rsidRDefault="00387A07" w:rsidP="00387A07">
            <w:pPr>
              <w:tabs>
                <w:tab w:val="left" w:pos="990"/>
              </w:tabs>
              <w:spacing w:before="120" w:after="120" w:line="360" w:lineRule="auto"/>
              <w:jc w:val="center"/>
              <w:rPr>
                <w:rFonts w:ascii="Arial" w:hAnsi="Arial" w:cs="Arial"/>
                <w:sz w:val="24"/>
                <w:szCs w:val="24"/>
                <w:lang w:val="en-US"/>
              </w:rPr>
            </w:pPr>
            <w:r>
              <w:rPr>
                <w:rFonts w:ascii="Arial" w:hAnsi="Arial" w:cs="Arial"/>
                <w:b/>
                <w:sz w:val="36"/>
                <w:szCs w:val="36"/>
                <w:lang w:val="en-US"/>
              </w:rPr>
              <w:t>Appendix A</w:t>
            </w:r>
          </w:p>
        </w:tc>
      </w:tr>
      <w:tr w:rsidR="00387A07" w:rsidRPr="00402E17" w:rsidTr="00387A07">
        <w:tc>
          <w:tcPr>
            <w:tcW w:w="9778" w:type="dxa"/>
            <w:gridSpan w:val="2"/>
          </w:tcPr>
          <w:p w:rsidR="00387A07" w:rsidRPr="008B60D6" w:rsidRDefault="00387A07" w:rsidP="00387A07">
            <w:pPr>
              <w:tabs>
                <w:tab w:val="left" w:pos="990"/>
              </w:tabs>
              <w:spacing w:before="120" w:after="120" w:line="360" w:lineRule="auto"/>
              <w:jc w:val="center"/>
              <w:rPr>
                <w:rFonts w:ascii="Arial" w:hAnsi="Arial" w:cs="Arial"/>
                <w:sz w:val="24"/>
                <w:szCs w:val="24"/>
                <w:lang w:val="en-US"/>
              </w:rPr>
            </w:pPr>
            <w:r>
              <w:rPr>
                <w:rFonts w:ascii="Arial" w:hAnsi="Arial" w:cs="Arial"/>
                <w:b/>
                <w:sz w:val="28"/>
                <w:szCs w:val="28"/>
                <w:lang w:val="en-US"/>
              </w:rPr>
              <w:t>Polyurethanes</w:t>
            </w:r>
          </w:p>
        </w:tc>
      </w:tr>
      <w:tr w:rsidR="00387A07" w:rsidRPr="00402E17" w:rsidTr="00387A07">
        <w:tc>
          <w:tcPr>
            <w:tcW w:w="8755" w:type="dxa"/>
          </w:tcPr>
          <w:p w:rsidR="00387A07" w:rsidRDefault="00387A07" w:rsidP="00387A07">
            <w:pPr>
              <w:tabs>
                <w:tab w:val="left" w:pos="990"/>
              </w:tabs>
              <w:spacing w:line="360" w:lineRule="auto"/>
              <w:rPr>
                <w:rFonts w:ascii="Arial" w:hAnsi="Arial" w:cs="Arial"/>
                <w:bCs/>
                <w:iCs/>
                <w:sz w:val="24"/>
                <w:szCs w:val="24"/>
                <w:lang w:val="en-US"/>
              </w:rPr>
            </w:pPr>
            <w:r w:rsidRPr="00A33A88">
              <w:rPr>
                <w:rFonts w:ascii="Arial" w:hAnsi="Arial" w:cs="Arial"/>
                <w:sz w:val="24"/>
                <w:szCs w:val="24"/>
                <w:lang w:val="en-US"/>
              </w:rPr>
              <w:t>A.1 Introduction</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165</w:t>
            </w:r>
          </w:p>
        </w:tc>
      </w:tr>
      <w:tr w:rsidR="00387A07" w:rsidRPr="00402E17" w:rsidTr="00387A07">
        <w:tc>
          <w:tcPr>
            <w:tcW w:w="8755" w:type="dxa"/>
          </w:tcPr>
          <w:p w:rsidR="00387A07" w:rsidRDefault="00387A07" w:rsidP="00387A07">
            <w:pPr>
              <w:tabs>
                <w:tab w:val="left" w:pos="990"/>
              </w:tabs>
              <w:spacing w:line="360" w:lineRule="auto"/>
              <w:rPr>
                <w:rFonts w:ascii="Arial" w:hAnsi="Arial" w:cs="Arial"/>
                <w:bCs/>
                <w:iCs/>
                <w:sz w:val="24"/>
                <w:szCs w:val="24"/>
                <w:lang w:val="en-US"/>
              </w:rPr>
            </w:pPr>
            <w:r w:rsidRPr="00A33A88">
              <w:rPr>
                <w:rFonts w:ascii="Arial" w:hAnsi="Arial" w:cs="Arial"/>
                <w:sz w:val="24"/>
                <w:szCs w:val="24"/>
                <w:lang w:val="en-US"/>
              </w:rPr>
              <w:t>A.2 Chemistry of Polyurethanes</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165</w:t>
            </w:r>
          </w:p>
        </w:tc>
      </w:tr>
      <w:tr w:rsidR="00387A07" w:rsidRPr="00402E17" w:rsidTr="00387A07">
        <w:tc>
          <w:tcPr>
            <w:tcW w:w="8755" w:type="dxa"/>
          </w:tcPr>
          <w:p w:rsidR="00387A07" w:rsidRDefault="00387A07" w:rsidP="00387A07">
            <w:pPr>
              <w:tabs>
                <w:tab w:val="left" w:pos="990"/>
              </w:tabs>
              <w:spacing w:line="360" w:lineRule="auto"/>
              <w:rPr>
                <w:rFonts w:ascii="Arial" w:hAnsi="Arial" w:cs="Arial"/>
                <w:bCs/>
                <w:iCs/>
                <w:sz w:val="24"/>
                <w:szCs w:val="24"/>
                <w:lang w:val="en-US"/>
              </w:rPr>
            </w:pPr>
            <w:r>
              <w:rPr>
                <w:rFonts w:ascii="Arial" w:hAnsi="Arial" w:cs="Arial"/>
                <w:sz w:val="24"/>
                <w:szCs w:val="24"/>
                <w:lang w:val="en-US"/>
              </w:rPr>
              <w:t xml:space="preserve">    </w:t>
            </w:r>
            <w:r w:rsidRPr="00A33A88">
              <w:rPr>
                <w:rFonts w:ascii="Arial" w:hAnsi="Arial" w:cs="Arial"/>
                <w:sz w:val="24"/>
                <w:szCs w:val="24"/>
                <w:lang w:val="en-US"/>
              </w:rPr>
              <w:t>A.2.1 Synthesis reaction</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165</w:t>
            </w:r>
          </w:p>
        </w:tc>
      </w:tr>
      <w:tr w:rsidR="00387A07" w:rsidRPr="00402E17" w:rsidTr="00387A07">
        <w:tc>
          <w:tcPr>
            <w:tcW w:w="8755" w:type="dxa"/>
          </w:tcPr>
          <w:p w:rsidR="00387A07" w:rsidRDefault="00387A07" w:rsidP="00387A07">
            <w:pPr>
              <w:tabs>
                <w:tab w:val="left" w:pos="990"/>
              </w:tabs>
              <w:spacing w:line="360" w:lineRule="auto"/>
              <w:rPr>
                <w:rFonts w:ascii="Arial" w:hAnsi="Arial" w:cs="Arial"/>
                <w:bCs/>
                <w:iCs/>
                <w:sz w:val="24"/>
                <w:szCs w:val="24"/>
                <w:lang w:val="en-US"/>
              </w:rPr>
            </w:pPr>
            <w:r w:rsidRPr="00A33A88">
              <w:rPr>
                <w:rFonts w:ascii="Arial" w:hAnsi="Arial" w:cs="Arial"/>
                <w:sz w:val="24"/>
                <w:szCs w:val="24"/>
                <w:lang w:val="en-US"/>
              </w:rPr>
              <w:t>A.3 Raw materials in polyurethanes synthesis</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167</w:t>
            </w:r>
          </w:p>
        </w:tc>
      </w:tr>
      <w:tr w:rsidR="00387A07" w:rsidRPr="00402E17" w:rsidTr="00387A07">
        <w:tc>
          <w:tcPr>
            <w:tcW w:w="8755" w:type="dxa"/>
          </w:tcPr>
          <w:p w:rsidR="00387A07" w:rsidRDefault="00387A07" w:rsidP="00387A07">
            <w:pPr>
              <w:tabs>
                <w:tab w:val="left" w:pos="990"/>
              </w:tabs>
              <w:spacing w:line="360" w:lineRule="auto"/>
              <w:rPr>
                <w:rFonts w:ascii="Arial" w:hAnsi="Arial" w:cs="Arial"/>
                <w:bCs/>
                <w:iCs/>
                <w:sz w:val="24"/>
                <w:szCs w:val="24"/>
                <w:lang w:val="en-US"/>
              </w:rPr>
            </w:pPr>
            <w:r>
              <w:rPr>
                <w:rFonts w:ascii="Arial" w:hAnsi="Arial" w:cs="Arial"/>
                <w:sz w:val="24"/>
                <w:szCs w:val="24"/>
                <w:lang w:val="en-US"/>
              </w:rPr>
              <w:t xml:space="preserve">    </w:t>
            </w:r>
            <w:r w:rsidRPr="00A33A88">
              <w:rPr>
                <w:rFonts w:ascii="Arial" w:hAnsi="Arial" w:cs="Arial"/>
                <w:sz w:val="24"/>
                <w:szCs w:val="24"/>
                <w:lang w:val="en-US"/>
              </w:rPr>
              <w:t>A.3.1 Isocyanate</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167</w:t>
            </w:r>
          </w:p>
        </w:tc>
      </w:tr>
      <w:tr w:rsidR="00387A07" w:rsidRPr="00402E17" w:rsidTr="00387A07">
        <w:tc>
          <w:tcPr>
            <w:tcW w:w="8755" w:type="dxa"/>
          </w:tcPr>
          <w:p w:rsidR="00387A07" w:rsidRDefault="00387A07" w:rsidP="00387A07">
            <w:pPr>
              <w:tabs>
                <w:tab w:val="left" w:pos="990"/>
              </w:tabs>
              <w:spacing w:line="360" w:lineRule="auto"/>
              <w:rPr>
                <w:rFonts w:ascii="Arial" w:hAnsi="Arial" w:cs="Arial"/>
                <w:bCs/>
                <w:iCs/>
                <w:sz w:val="24"/>
                <w:szCs w:val="24"/>
                <w:lang w:val="en-US"/>
              </w:rPr>
            </w:pPr>
            <w:r>
              <w:rPr>
                <w:rFonts w:ascii="Arial" w:hAnsi="Arial" w:cs="Arial"/>
                <w:sz w:val="24"/>
                <w:szCs w:val="24"/>
                <w:lang w:val="en-US"/>
              </w:rPr>
              <w:t xml:space="preserve">    </w:t>
            </w:r>
            <w:r w:rsidRPr="00A33A88">
              <w:rPr>
                <w:rFonts w:ascii="Arial" w:hAnsi="Arial" w:cs="Arial"/>
                <w:sz w:val="24"/>
                <w:szCs w:val="24"/>
                <w:lang w:val="en-US"/>
              </w:rPr>
              <w:t>A.3.2 Polyols</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169</w:t>
            </w:r>
          </w:p>
        </w:tc>
      </w:tr>
      <w:tr w:rsidR="00387A07" w:rsidRPr="00402E17" w:rsidTr="00387A07">
        <w:tc>
          <w:tcPr>
            <w:tcW w:w="8755" w:type="dxa"/>
          </w:tcPr>
          <w:p w:rsidR="00387A07" w:rsidRDefault="00387A07" w:rsidP="00387A07">
            <w:pPr>
              <w:tabs>
                <w:tab w:val="left" w:pos="990"/>
              </w:tabs>
              <w:spacing w:line="360" w:lineRule="auto"/>
              <w:rPr>
                <w:rFonts w:ascii="Arial" w:hAnsi="Arial" w:cs="Arial"/>
                <w:bCs/>
                <w:iCs/>
                <w:sz w:val="24"/>
                <w:szCs w:val="24"/>
                <w:lang w:val="en-US"/>
              </w:rPr>
            </w:pPr>
            <w:r>
              <w:rPr>
                <w:rFonts w:ascii="Arial" w:hAnsi="Arial" w:cs="Arial"/>
                <w:sz w:val="24"/>
                <w:szCs w:val="24"/>
                <w:lang w:val="en-US"/>
              </w:rPr>
              <w:t xml:space="preserve">    </w:t>
            </w:r>
            <w:r w:rsidRPr="00A33A88">
              <w:rPr>
                <w:rFonts w:ascii="Arial" w:hAnsi="Arial" w:cs="Arial"/>
                <w:sz w:val="24"/>
                <w:szCs w:val="24"/>
                <w:lang w:val="en-US"/>
              </w:rPr>
              <w:t>A.3.3 Chain extenders</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170</w:t>
            </w:r>
          </w:p>
        </w:tc>
      </w:tr>
      <w:tr w:rsidR="00387A07" w:rsidRPr="00402E17" w:rsidTr="00387A07">
        <w:tc>
          <w:tcPr>
            <w:tcW w:w="8755" w:type="dxa"/>
          </w:tcPr>
          <w:p w:rsidR="00387A07" w:rsidRDefault="00387A07" w:rsidP="00387A07">
            <w:pPr>
              <w:tabs>
                <w:tab w:val="left" w:pos="990"/>
              </w:tabs>
              <w:spacing w:line="360" w:lineRule="auto"/>
              <w:rPr>
                <w:rFonts w:ascii="Arial" w:hAnsi="Arial" w:cs="Arial"/>
                <w:bCs/>
                <w:iCs/>
                <w:sz w:val="24"/>
                <w:szCs w:val="24"/>
                <w:lang w:val="en-US"/>
              </w:rPr>
            </w:pPr>
            <w:r w:rsidRPr="00A33A88">
              <w:rPr>
                <w:rFonts w:ascii="Arial" w:hAnsi="Arial" w:cs="Arial"/>
                <w:sz w:val="24"/>
                <w:szCs w:val="24"/>
                <w:lang w:val="en-US"/>
              </w:rPr>
              <w:t>A.4 Tuning PU properties</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171</w:t>
            </w:r>
          </w:p>
        </w:tc>
      </w:tr>
      <w:tr w:rsidR="00387A07" w:rsidRPr="00402E17" w:rsidTr="00387A07">
        <w:tc>
          <w:tcPr>
            <w:tcW w:w="8755" w:type="dxa"/>
          </w:tcPr>
          <w:p w:rsidR="00387A07" w:rsidRDefault="00387A07" w:rsidP="00387A07">
            <w:pPr>
              <w:tabs>
                <w:tab w:val="left" w:pos="990"/>
              </w:tabs>
              <w:spacing w:line="360" w:lineRule="auto"/>
              <w:rPr>
                <w:rFonts w:ascii="Arial" w:hAnsi="Arial" w:cs="Arial"/>
                <w:bCs/>
                <w:iCs/>
                <w:sz w:val="24"/>
                <w:szCs w:val="24"/>
                <w:lang w:val="en-US"/>
              </w:rPr>
            </w:pPr>
            <w:r>
              <w:rPr>
                <w:rFonts w:ascii="Arial" w:hAnsi="Arial" w:cs="Arial"/>
                <w:sz w:val="24"/>
                <w:szCs w:val="24"/>
                <w:lang w:val="en-US"/>
              </w:rPr>
              <w:t xml:space="preserve">    </w:t>
            </w:r>
            <w:r w:rsidRPr="00A33A88">
              <w:rPr>
                <w:rFonts w:ascii="Arial" w:hAnsi="Arial" w:cs="Arial"/>
                <w:sz w:val="24"/>
                <w:szCs w:val="24"/>
                <w:lang w:val="en-US"/>
              </w:rPr>
              <w:t>A.4.1 Bulk modification</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171</w:t>
            </w:r>
          </w:p>
        </w:tc>
      </w:tr>
      <w:tr w:rsidR="00387A07" w:rsidRPr="00402E1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Pr>
                <w:rFonts w:ascii="Arial" w:hAnsi="Arial" w:cs="Arial"/>
                <w:sz w:val="24"/>
                <w:szCs w:val="24"/>
                <w:lang w:val="en-US"/>
              </w:rPr>
              <w:t xml:space="preserve">    </w:t>
            </w:r>
            <w:r w:rsidRPr="00A33A88">
              <w:rPr>
                <w:rFonts w:ascii="Arial" w:hAnsi="Arial" w:cs="Arial"/>
                <w:sz w:val="24"/>
                <w:szCs w:val="24"/>
                <w:lang w:val="en-US"/>
              </w:rPr>
              <w:t>A.4.2 Surface modification</w:t>
            </w:r>
            <w:r>
              <w:rPr>
                <w:rFonts w:ascii="Arial" w:hAnsi="Arial" w:cs="Arial"/>
                <w:sz w:val="24"/>
                <w:szCs w:val="24"/>
                <w:lang w:val="en-US"/>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171</w:t>
            </w:r>
          </w:p>
        </w:tc>
      </w:tr>
      <w:tr w:rsidR="00387A07" w:rsidRPr="00402E17" w:rsidTr="00387A07">
        <w:tc>
          <w:tcPr>
            <w:tcW w:w="8755" w:type="dxa"/>
          </w:tcPr>
          <w:p w:rsidR="00387A07" w:rsidRDefault="00387A07" w:rsidP="00387A07">
            <w:pPr>
              <w:tabs>
                <w:tab w:val="left" w:pos="990"/>
              </w:tabs>
              <w:spacing w:line="360" w:lineRule="auto"/>
              <w:rPr>
                <w:rFonts w:ascii="Arial" w:hAnsi="Arial" w:cs="Arial"/>
                <w:sz w:val="24"/>
                <w:szCs w:val="24"/>
                <w:lang w:val="en-US"/>
              </w:rPr>
            </w:pPr>
            <w:r w:rsidRPr="00A33A88">
              <w:rPr>
                <w:rFonts w:ascii="Arial" w:hAnsi="Arial" w:cs="Arial"/>
                <w:sz w:val="24"/>
                <w:szCs w:val="24"/>
                <w:lang w:val="en-US"/>
              </w:rPr>
              <w:lastRenderedPageBreak/>
              <w:t xml:space="preserve">A.5 Biodegradation </w:t>
            </w:r>
            <w:r>
              <w:rPr>
                <w:rFonts w:ascii="Arial" w:hAnsi="Arial" w:cs="Arial"/>
                <w:sz w:val="24"/>
                <w:szCs w:val="24"/>
                <w:lang w:val="en-US"/>
              </w:rPr>
              <w:t>of Polyurethanes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171</w:t>
            </w:r>
          </w:p>
        </w:tc>
      </w:tr>
      <w:tr w:rsidR="00387A07" w:rsidRPr="00402E17" w:rsidTr="00387A07">
        <w:tc>
          <w:tcPr>
            <w:tcW w:w="8755" w:type="dxa"/>
          </w:tcPr>
          <w:p w:rsidR="00387A07" w:rsidRPr="00A33A88" w:rsidRDefault="00387A07" w:rsidP="00387A07">
            <w:pPr>
              <w:tabs>
                <w:tab w:val="left" w:pos="990"/>
              </w:tabs>
              <w:spacing w:line="360" w:lineRule="auto"/>
              <w:rPr>
                <w:rFonts w:ascii="Arial" w:hAnsi="Arial" w:cs="Arial"/>
                <w:sz w:val="24"/>
                <w:szCs w:val="24"/>
                <w:lang w:val="en-US"/>
              </w:rPr>
            </w:pPr>
            <w:r w:rsidRPr="005641D3">
              <w:rPr>
                <w:rFonts w:ascii="Arial" w:hAnsi="Arial" w:cs="Arial"/>
                <w:sz w:val="24"/>
                <w:szCs w:val="24"/>
                <w:lang w:val="it-IT"/>
              </w:rPr>
              <w:t>References</w:t>
            </w:r>
            <w:r>
              <w:rPr>
                <w:rFonts w:ascii="Arial" w:hAnsi="Arial" w:cs="Arial"/>
                <w:sz w:val="24"/>
                <w:szCs w:val="24"/>
                <w:lang w:val="it-IT"/>
              </w:rPr>
              <w:t xml:space="preserve"> ………………………………………………………………………………</w:t>
            </w:r>
          </w:p>
        </w:tc>
        <w:tc>
          <w:tcPr>
            <w:tcW w:w="1023" w:type="dxa"/>
          </w:tcPr>
          <w:p w:rsidR="00387A07" w:rsidRPr="008B60D6" w:rsidRDefault="00426A28" w:rsidP="00387A07">
            <w:pPr>
              <w:tabs>
                <w:tab w:val="left" w:pos="990"/>
              </w:tabs>
              <w:spacing w:line="360" w:lineRule="auto"/>
              <w:jc w:val="center"/>
              <w:rPr>
                <w:rFonts w:ascii="Arial" w:hAnsi="Arial" w:cs="Arial"/>
                <w:sz w:val="24"/>
                <w:szCs w:val="24"/>
                <w:lang w:val="en-US"/>
              </w:rPr>
            </w:pPr>
            <w:r>
              <w:rPr>
                <w:rFonts w:ascii="Arial" w:hAnsi="Arial" w:cs="Arial"/>
                <w:sz w:val="24"/>
                <w:szCs w:val="24"/>
                <w:lang w:val="en-US"/>
              </w:rPr>
              <w:t>172</w:t>
            </w:r>
          </w:p>
        </w:tc>
      </w:tr>
    </w:tbl>
    <w:p w:rsidR="00387A07" w:rsidRDefault="00387A07" w:rsidP="00387A07">
      <w:pPr>
        <w:spacing w:after="0" w:line="360" w:lineRule="auto"/>
        <w:jc w:val="both"/>
        <w:rPr>
          <w:rFonts w:ascii="Arial" w:hAnsi="Arial" w:cs="Arial"/>
          <w:sz w:val="24"/>
          <w:szCs w:val="24"/>
          <w:lang w:val="en-US"/>
        </w:rPr>
      </w:pPr>
      <w:r w:rsidRPr="00402E17">
        <w:rPr>
          <w:rFonts w:ascii="Arial" w:hAnsi="Arial" w:cs="Arial"/>
          <w:sz w:val="24"/>
          <w:szCs w:val="24"/>
          <w:lang w:val="en-US"/>
        </w:rPr>
        <w:t xml:space="preserve"> </w:t>
      </w: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Pr="00CD3216" w:rsidRDefault="00387A07" w:rsidP="00387A07">
      <w:pPr>
        <w:spacing w:after="240" w:line="360" w:lineRule="auto"/>
        <w:jc w:val="center"/>
        <w:rPr>
          <w:rFonts w:ascii="Arial" w:hAnsi="Arial" w:cs="Arial"/>
          <w:b/>
          <w:color w:val="1F497D" w:themeColor="text2"/>
          <w:sz w:val="28"/>
          <w:szCs w:val="28"/>
          <w:u w:val="single"/>
          <w:lang w:val="it-IT"/>
        </w:rPr>
      </w:pPr>
      <w:r w:rsidRPr="00CD3216">
        <w:rPr>
          <w:rFonts w:ascii="Arial" w:hAnsi="Arial" w:cs="Arial"/>
          <w:b/>
          <w:color w:val="1F497D" w:themeColor="text2"/>
          <w:sz w:val="28"/>
          <w:szCs w:val="28"/>
          <w:u w:val="single"/>
          <w:lang w:val="it-IT"/>
        </w:rPr>
        <w:lastRenderedPageBreak/>
        <w:t>ACKNOWLEDGEMENTS</w:t>
      </w:r>
    </w:p>
    <w:p w:rsidR="00387A07" w:rsidRDefault="00387A07" w:rsidP="00387A07">
      <w:pPr>
        <w:spacing w:line="360" w:lineRule="auto"/>
        <w:jc w:val="both"/>
        <w:rPr>
          <w:rFonts w:ascii="Arial" w:hAnsi="Arial" w:cs="Arial"/>
          <w:sz w:val="24"/>
          <w:szCs w:val="24"/>
          <w:lang w:val="it-IT"/>
        </w:rPr>
      </w:pPr>
      <w:r w:rsidRPr="007B7B61">
        <w:rPr>
          <w:rFonts w:ascii="Arial" w:hAnsi="Arial" w:cs="Arial"/>
          <w:sz w:val="24"/>
          <w:szCs w:val="24"/>
          <w:lang w:val="it-IT"/>
        </w:rPr>
        <w:t>Non basterebbero cento pagine p</w:t>
      </w:r>
      <w:r>
        <w:rPr>
          <w:rFonts w:ascii="Arial" w:hAnsi="Arial" w:cs="Arial"/>
          <w:sz w:val="24"/>
          <w:szCs w:val="24"/>
          <w:lang w:val="it-IT"/>
        </w:rPr>
        <w:t>er ringraziare nel modo giusto tutti quelli che in questi anni di dottorato (e non solo) mi hanno aiutata, sostenuta e incoraggiata.</w:t>
      </w:r>
    </w:p>
    <w:p w:rsidR="00387A07" w:rsidRDefault="00387A07" w:rsidP="00387A07">
      <w:pPr>
        <w:spacing w:line="360" w:lineRule="auto"/>
        <w:jc w:val="both"/>
        <w:rPr>
          <w:rFonts w:ascii="Arial" w:hAnsi="Arial" w:cs="Arial"/>
          <w:sz w:val="24"/>
          <w:szCs w:val="24"/>
          <w:lang w:val="it-IT"/>
        </w:rPr>
      </w:pPr>
      <w:r>
        <w:rPr>
          <w:rFonts w:ascii="Arial" w:hAnsi="Arial" w:cs="Arial"/>
          <w:sz w:val="24"/>
          <w:szCs w:val="24"/>
          <w:lang w:val="it-IT"/>
        </w:rPr>
        <w:t>Innanzitutto voglio ringraziare mio padre, mia mamma e tutta la mia famiglia per essermi sempre stati vicini e non avermi mai fatto mancare niente e, soprattutto, per avere sopportato pazientemente tutti i miei sfoghi in questi anni.</w:t>
      </w:r>
    </w:p>
    <w:p w:rsidR="00387A07" w:rsidRDefault="00387A07" w:rsidP="00387A07">
      <w:pPr>
        <w:spacing w:line="360" w:lineRule="auto"/>
        <w:jc w:val="both"/>
        <w:rPr>
          <w:rFonts w:ascii="Arial" w:hAnsi="Arial" w:cs="Arial"/>
          <w:sz w:val="24"/>
          <w:szCs w:val="24"/>
          <w:lang w:val="it-IT"/>
        </w:rPr>
      </w:pPr>
      <w:r>
        <w:rPr>
          <w:rFonts w:ascii="Arial" w:hAnsi="Arial" w:cs="Arial"/>
          <w:sz w:val="24"/>
          <w:szCs w:val="24"/>
          <w:lang w:val="it-IT"/>
        </w:rPr>
        <w:t>A proposito di pazienza, devo ringraziare Rosario per tutte le volte che ha subìto i miei attacchi isterici.. e non solo!</w:t>
      </w:r>
    </w:p>
    <w:p w:rsidR="00387A07" w:rsidRDefault="00387A07" w:rsidP="00387A07">
      <w:pPr>
        <w:spacing w:line="360" w:lineRule="auto"/>
        <w:jc w:val="both"/>
        <w:rPr>
          <w:rFonts w:ascii="Arial" w:hAnsi="Arial" w:cs="Arial"/>
          <w:sz w:val="24"/>
          <w:szCs w:val="24"/>
          <w:lang w:val="it-IT"/>
        </w:rPr>
      </w:pPr>
      <w:r>
        <w:rPr>
          <w:rFonts w:ascii="Arial" w:hAnsi="Arial" w:cs="Arial"/>
          <w:sz w:val="24"/>
          <w:szCs w:val="24"/>
          <w:lang w:val="it-IT"/>
        </w:rPr>
        <w:t>La mia personal shopper Silvia, per tutti i consigli e per le lunghissime telefonate che mi hanno tenuto compagnia (e aggiornata puntualmente) in questi anni che ho trascorso lontano da casa.</w:t>
      </w:r>
    </w:p>
    <w:p w:rsidR="00387A07" w:rsidRDefault="00387A07" w:rsidP="00387A07">
      <w:pPr>
        <w:spacing w:line="360" w:lineRule="auto"/>
        <w:jc w:val="both"/>
        <w:rPr>
          <w:rFonts w:ascii="Arial" w:hAnsi="Arial" w:cs="Arial"/>
          <w:sz w:val="24"/>
          <w:szCs w:val="24"/>
          <w:lang w:val="it-IT"/>
        </w:rPr>
      </w:pPr>
      <w:r>
        <w:rPr>
          <w:rFonts w:ascii="Arial" w:hAnsi="Arial" w:cs="Arial"/>
          <w:sz w:val="24"/>
          <w:szCs w:val="24"/>
          <w:lang w:val="it-IT"/>
        </w:rPr>
        <w:t>Grazie infinite al mio tutor, prof. Gianluca Ciardelli per il supporto umano e scientifico che in questi tre anni non mi ha mai fatto mancare.</w:t>
      </w:r>
    </w:p>
    <w:p w:rsidR="00387A07" w:rsidRDefault="00387A07" w:rsidP="00387A07">
      <w:pPr>
        <w:spacing w:line="360" w:lineRule="auto"/>
        <w:jc w:val="both"/>
        <w:rPr>
          <w:rFonts w:ascii="Arial" w:hAnsi="Arial" w:cs="Arial"/>
          <w:sz w:val="24"/>
          <w:szCs w:val="24"/>
          <w:lang w:val="it-IT"/>
        </w:rPr>
      </w:pPr>
      <w:r>
        <w:rPr>
          <w:rFonts w:ascii="Arial" w:hAnsi="Arial" w:cs="Arial"/>
          <w:sz w:val="24"/>
          <w:szCs w:val="24"/>
          <w:lang w:val="it-IT"/>
        </w:rPr>
        <w:t>Come potrei non ringraziare tutti i colleghi, ma dovrei dire gli amici, del laboratorio che hanno reso questi anni così belli, tanto che mi sembra di avere iniziato solo ieri?</w:t>
      </w:r>
    </w:p>
    <w:p w:rsidR="00387A07" w:rsidRDefault="00387A07" w:rsidP="00387A07">
      <w:pPr>
        <w:spacing w:line="360" w:lineRule="auto"/>
        <w:jc w:val="both"/>
        <w:rPr>
          <w:rFonts w:ascii="Arial" w:hAnsi="Arial" w:cs="Arial"/>
          <w:sz w:val="24"/>
          <w:szCs w:val="24"/>
          <w:lang w:val="it-IT"/>
        </w:rPr>
      </w:pPr>
      <w:r>
        <w:rPr>
          <w:rFonts w:ascii="Arial" w:hAnsi="Arial" w:cs="Arial"/>
          <w:sz w:val="24"/>
          <w:szCs w:val="24"/>
          <w:lang w:val="it-IT"/>
        </w:rPr>
        <w:t>Perciò grazie alle mie insuperabili compagne di viaggio Antonels, Zia Fa e Jennifer con cui ho condiviso avvincenti avventure alla ricerca della città perduta (Alessandria) e superato innumerevoli ostacoli sulla strada per viale T Michel. Ma tra una risata isterica e qualche pianto, questi viaggi mi rimarranno sempre nella memoria!</w:t>
      </w:r>
    </w:p>
    <w:p w:rsidR="00387A07" w:rsidRDefault="00387A07" w:rsidP="00387A07">
      <w:pPr>
        <w:spacing w:line="360" w:lineRule="auto"/>
        <w:jc w:val="both"/>
        <w:rPr>
          <w:rFonts w:ascii="Arial" w:hAnsi="Arial" w:cs="Arial"/>
          <w:sz w:val="24"/>
          <w:szCs w:val="24"/>
          <w:lang w:val="it-IT"/>
        </w:rPr>
      </w:pPr>
      <w:r>
        <w:rPr>
          <w:rFonts w:ascii="Arial" w:hAnsi="Arial" w:cs="Arial"/>
          <w:sz w:val="24"/>
          <w:szCs w:val="24"/>
          <w:lang w:val="it-IT"/>
        </w:rPr>
        <w:t xml:space="preserve">Grazie a Santa Monica per tutte le volte che col suo elicottero personale ci ha salvate e ci ha risparmiato il viaggio in notturna e a Susy per il tutto il supporto, l’incoraggiamento e i preziosi consigli. </w:t>
      </w:r>
    </w:p>
    <w:p w:rsidR="00387A07" w:rsidRDefault="00387A07" w:rsidP="00387A07">
      <w:pPr>
        <w:spacing w:line="360" w:lineRule="auto"/>
        <w:jc w:val="both"/>
        <w:rPr>
          <w:rFonts w:ascii="Arial" w:hAnsi="Arial" w:cs="Arial"/>
          <w:sz w:val="24"/>
          <w:szCs w:val="24"/>
          <w:lang w:val="it-IT"/>
        </w:rPr>
      </w:pPr>
      <w:r>
        <w:rPr>
          <w:rFonts w:ascii="Arial" w:hAnsi="Arial" w:cs="Arial"/>
          <w:sz w:val="24"/>
          <w:szCs w:val="24"/>
          <w:lang w:val="it-IT"/>
        </w:rPr>
        <w:t xml:space="preserve">Ancora grazie a Marins, per aver cercato di convertirmi a uno stile di vita sano e alla filosofia Yoga..ahimè con scarso successo!! </w:t>
      </w:r>
    </w:p>
    <w:p w:rsidR="00387A07" w:rsidRDefault="00387A07" w:rsidP="00387A07">
      <w:pPr>
        <w:spacing w:line="360" w:lineRule="auto"/>
        <w:jc w:val="both"/>
        <w:rPr>
          <w:rFonts w:ascii="Arial" w:hAnsi="Arial" w:cs="Arial"/>
          <w:sz w:val="24"/>
          <w:szCs w:val="24"/>
          <w:lang w:val="it-IT"/>
        </w:rPr>
      </w:pPr>
      <w:r>
        <w:rPr>
          <w:rFonts w:ascii="Arial" w:hAnsi="Arial" w:cs="Arial"/>
          <w:sz w:val="24"/>
          <w:szCs w:val="24"/>
          <w:lang w:val="it-IT"/>
        </w:rPr>
        <w:t>Grazie a tutte le ragazze e ai boys, stabili e di passaggio, del mitico Biolab di Alessandria e non: Cristina, Susy, Marins, Santa, Antonels, PG, Chiara, Valery, Zia, Ruo, il mago Simon, Irene, Michele, Gambetta, Anna, Tony, Rodolfo, Anna (Di Rienzo), Patrizia, Daniela e tutti gli altri per tutti i bellissimi e divertentissimi momenti passati insieme!!</w:t>
      </w:r>
    </w:p>
    <w:p w:rsidR="00387A07" w:rsidRDefault="00387A07" w:rsidP="00387A07">
      <w:pPr>
        <w:spacing w:line="360" w:lineRule="auto"/>
        <w:jc w:val="both"/>
        <w:rPr>
          <w:rFonts w:ascii="Arial" w:hAnsi="Arial" w:cs="Arial"/>
          <w:sz w:val="24"/>
          <w:szCs w:val="24"/>
          <w:lang w:val="it-IT"/>
        </w:rPr>
      </w:pPr>
      <w:r>
        <w:rPr>
          <w:rFonts w:ascii="Arial" w:hAnsi="Arial" w:cs="Arial"/>
          <w:sz w:val="24"/>
          <w:szCs w:val="24"/>
          <w:lang w:val="it-IT"/>
        </w:rPr>
        <w:lastRenderedPageBreak/>
        <w:t>Un grazie particolare a Irene, che ha diviso con me il king size bed a Boston.. dove è stata iniziata al Moment act !</w:t>
      </w:r>
    </w:p>
    <w:p w:rsidR="00387A07" w:rsidRPr="0031774F" w:rsidRDefault="00387A07" w:rsidP="00387A07">
      <w:pPr>
        <w:spacing w:line="360" w:lineRule="auto"/>
        <w:jc w:val="both"/>
        <w:rPr>
          <w:rFonts w:ascii="Arial" w:hAnsi="Arial" w:cs="Arial"/>
          <w:sz w:val="24"/>
          <w:szCs w:val="24"/>
          <w:lang w:val="en-US"/>
        </w:rPr>
      </w:pPr>
      <w:r>
        <w:rPr>
          <w:rFonts w:ascii="Arial" w:hAnsi="Arial" w:cs="Arial"/>
          <w:sz w:val="24"/>
          <w:szCs w:val="24"/>
          <w:lang w:val="it-IT"/>
        </w:rPr>
        <w:t xml:space="preserve">E ancora grazie ai mitici Amici di Franco Maria (che ora hanno un nuovo nome che non ricordo): Penny, Dario, Diana, Diego, Aria, Gianluca, Giulia, Irene, Fabio, Gambetta, Giorgia, Marta, Elena Mancuso &amp; Adelina (fornitrice di torte) e al fantastico PG - mr. </w:t>
      </w:r>
      <w:r w:rsidRPr="009F1346">
        <w:rPr>
          <w:rFonts w:ascii="Arial" w:hAnsi="Arial" w:cs="Arial"/>
          <w:sz w:val="24"/>
          <w:szCs w:val="24"/>
          <w:lang w:val="it-IT"/>
        </w:rPr>
        <w:t xml:space="preserve">Daimond: mi sono divertita tantissimo a giocare con voi, siete persone fantastiche! </w:t>
      </w:r>
      <w:r w:rsidRPr="0031774F">
        <w:rPr>
          <w:rFonts w:ascii="Arial" w:hAnsi="Arial" w:cs="Arial"/>
          <w:sz w:val="24"/>
          <w:szCs w:val="24"/>
          <w:lang w:val="en-US"/>
        </w:rPr>
        <w:t>(Abbasso gli Ambaradan!!!).</w:t>
      </w:r>
    </w:p>
    <w:p w:rsidR="00387A07" w:rsidRDefault="00387A07" w:rsidP="00387A07">
      <w:pPr>
        <w:spacing w:line="360" w:lineRule="auto"/>
        <w:jc w:val="both"/>
        <w:rPr>
          <w:rFonts w:ascii="Arial" w:hAnsi="Arial" w:cs="Arial"/>
          <w:sz w:val="24"/>
          <w:szCs w:val="24"/>
          <w:lang w:val="en-US"/>
        </w:rPr>
      </w:pPr>
      <w:r w:rsidRPr="0031774F">
        <w:rPr>
          <w:rFonts w:ascii="Arial" w:hAnsi="Arial" w:cs="Arial"/>
          <w:sz w:val="24"/>
          <w:szCs w:val="24"/>
          <w:lang w:val="en-US"/>
        </w:rPr>
        <w:t>A special thanks to Dr Zeibun Ramtoola, for kindly hosting me in her lab and for her support and constant help.</w:t>
      </w:r>
    </w:p>
    <w:p w:rsidR="00387A07" w:rsidRDefault="00387A07" w:rsidP="00387A07">
      <w:pPr>
        <w:spacing w:line="360" w:lineRule="auto"/>
        <w:jc w:val="both"/>
        <w:rPr>
          <w:rFonts w:ascii="Arial" w:hAnsi="Arial" w:cs="Arial"/>
          <w:sz w:val="24"/>
          <w:szCs w:val="24"/>
          <w:lang w:val="en-US"/>
        </w:rPr>
      </w:pPr>
      <w:r>
        <w:rPr>
          <w:rFonts w:ascii="Arial" w:hAnsi="Arial" w:cs="Arial"/>
          <w:sz w:val="24"/>
          <w:szCs w:val="24"/>
          <w:lang w:val="en-US"/>
        </w:rPr>
        <w:t xml:space="preserve">Thanks to Ritesh, who helped so much in doing </w:t>
      </w:r>
      <w:r w:rsidRPr="0031774F">
        <w:rPr>
          <w:rFonts w:ascii="Arial" w:hAnsi="Arial" w:cs="Arial"/>
          <w:sz w:val="24"/>
          <w:szCs w:val="24"/>
          <w:lang w:val="en-US"/>
        </w:rPr>
        <w:t xml:space="preserve"> </w:t>
      </w:r>
      <w:r>
        <w:rPr>
          <w:rFonts w:ascii="Arial" w:hAnsi="Arial" w:cs="Arial"/>
          <w:sz w:val="24"/>
          <w:szCs w:val="24"/>
          <w:lang w:val="en-US"/>
        </w:rPr>
        <w:t>lots of work in very little time.. and for his kindness and patience. Thanks to Danielle, Ben and Awadh for being such nice friends as well as Gymn/breakfast/tea/coffee buddies.</w:t>
      </w:r>
    </w:p>
    <w:p w:rsidR="00387A07" w:rsidRDefault="00387A07" w:rsidP="00387A07">
      <w:pPr>
        <w:spacing w:line="360" w:lineRule="auto"/>
        <w:jc w:val="both"/>
        <w:rPr>
          <w:rFonts w:ascii="Arial" w:hAnsi="Arial" w:cs="Arial"/>
          <w:sz w:val="24"/>
          <w:szCs w:val="24"/>
          <w:lang w:val="en-US"/>
        </w:rPr>
      </w:pPr>
    </w:p>
    <w:p w:rsidR="00387A07" w:rsidRDefault="00387A07" w:rsidP="00387A07">
      <w:pPr>
        <w:spacing w:line="360" w:lineRule="auto"/>
        <w:jc w:val="both"/>
        <w:rPr>
          <w:rFonts w:ascii="Arial" w:hAnsi="Arial" w:cs="Arial"/>
          <w:sz w:val="24"/>
          <w:szCs w:val="24"/>
          <w:lang w:val="en-US"/>
        </w:rPr>
      </w:pPr>
    </w:p>
    <w:p w:rsidR="00387A07" w:rsidRDefault="00387A07" w:rsidP="00387A07">
      <w:pPr>
        <w:spacing w:line="360" w:lineRule="auto"/>
        <w:jc w:val="both"/>
        <w:rPr>
          <w:rFonts w:ascii="Arial" w:hAnsi="Arial" w:cs="Arial"/>
          <w:sz w:val="24"/>
          <w:szCs w:val="24"/>
          <w:lang w:val="en-US"/>
        </w:rPr>
      </w:pPr>
    </w:p>
    <w:p w:rsidR="00387A07" w:rsidRDefault="00387A07" w:rsidP="00387A07">
      <w:pPr>
        <w:spacing w:line="360" w:lineRule="auto"/>
        <w:jc w:val="both"/>
        <w:rPr>
          <w:rFonts w:ascii="Arial" w:hAnsi="Arial" w:cs="Arial"/>
          <w:sz w:val="24"/>
          <w:szCs w:val="24"/>
          <w:lang w:val="en-US"/>
        </w:rPr>
      </w:pPr>
    </w:p>
    <w:p w:rsidR="00387A07" w:rsidRDefault="00387A07" w:rsidP="00387A07">
      <w:pPr>
        <w:spacing w:line="360" w:lineRule="auto"/>
        <w:jc w:val="both"/>
        <w:rPr>
          <w:rFonts w:ascii="Arial" w:hAnsi="Arial" w:cs="Arial"/>
          <w:sz w:val="24"/>
          <w:szCs w:val="24"/>
          <w:lang w:val="en-US"/>
        </w:rPr>
      </w:pPr>
    </w:p>
    <w:p w:rsidR="00387A07" w:rsidRDefault="00387A07" w:rsidP="00387A07">
      <w:pPr>
        <w:spacing w:line="360" w:lineRule="auto"/>
        <w:jc w:val="both"/>
        <w:rPr>
          <w:rFonts w:ascii="Arial" w:hAnsi="Arial" w:cs="Arial"/>
          <w:sz w:val="24"/>
          <w:szCs w:val="24"/>
          <w:lang w:val="en-US"/>
        </w:rPr>
      </w:pPr>
    </w:p>
    <w:p w:rsidR="00387A07" w:rsidRDefault="00387A07" w:rsidP="00387A07">
      <w:pPr>
        <w:spacing w:line="360" w:lineRule="auto"/>
        <w:jc w:val="both"/>
        <w:rPr>
          <w:rFonts w:ascii="Arial" w:hAnsi="Arial" w:cs="Arial"/>
          <w:sz w:val="24"/>
          <w:szCs w:val="24"/>
          <w:lang w:val="en-US"/>
        </w:rPr>
      </w:pPr>
    </w:p>
    <w:p w:rsidR="00387A07" w:rsidRDefault="00387A07" w:rsidP="00387A07">
      <w:pPr>
        <w:spacing w:line="360" w:lineRule="auto"/>
        <w:jc w:val="both"/>
        <w:rPr>
          <w:rFonts w:ascii="Arial" w:hAnsi="Arial" w:cs="Arial"/>
          <w:sz w:val="24"/>
          <w:szCs w:val="24"/>
          <w:lang w:val="en-US"/>
        </w:rPr>
      </w:pPr>
    </w:p>
    <w:p w:rsidR="00387A07" w:rsidRDefault="00387A07" w:rsidP="00387A07">
      <w:pPr>
        <w:spacing w:line="360" w:lineRule="auto"/>
        <w:jc w:val="both"/>
        <w:rPr>
          <w:rFonts w:ascii="Arial" w:hAnsi="Arial" w:cs="Arial"/>
          <w:sz w:val="24"/>
          <w:szCs w:val="24"/>
          <w:lang w:val="en-US"/>
        </w:rPr>
      </w:pPr>
    </w:p>
    <w:p w:rsidR="00387A07" w:rsidRDefault="00387A07" w:rsidP="00387A07">
      <w:pPr>
        <w:spacing w:line="360" w:lineRule="auto"/>
        <w:rPr>
          <w:rFonts w:ascii="Arial" w:hAnsi="Arial" w:cs="Arial"/>
          <w:sz w:val="24"/>
          <w:szCs w:val="24"/>
          <w:lang w:val="en-US"/>
        </w:rPr>
      </w:pPr>
    </w:p>
    <w:p w:rsidR="00550A30" w:rsidRDefault="00550A30" w:rsidP="00387A07">
      <w:pPr>
        <w:spacing w:line="360" w:lineRule="auto"/>
        <w:rPr>
          <w:rFonts w:ascii="Arial" w:hAnsi="Arial" w:cs="Arial"/>
          <w:sz w:val="24"/>
          <w:szCs w:val="24"/>
          <w:lang w:val="en-US"/>
        </w:rPr>
      </w:pPr>
    </w:p>
    <w:p w:rsidR="00550A30" w:rsidRDefault="00550A30" w:rsidP="00387A07">
      <w:pPr>
        <w:spacing w:line="360" w:lineRule="auto"/>
        <w:rPr>
          <w:rFonts w:ascii="Arial" w:hAnsi="Arial" w:cs="Arial"/>
          <w:sz w:val="24"/>
          <w:szCs w:val="24"/>
          <w:lang w:val="en-US"/>
        </w:rPr>
      </w:pPr>
    </w:p>
    <w:p w:rsidR="00550A30" w:rsidRDefault="00550A30" w:rsidP="00387A07">
      <w:pPr>
        <w:spacing w:line="360" w:lineRule="auto"/>
        <w:rPr>
          <w:rFonts w:ascii="Arial" w:hAnsi="Arial" w:cs="Arial"/>
          <w:sz w:val="24"/>
          <w:szCs w:val="24"/>
          <w:lang w:val="en-US"/>
        </w:rPr>
      </w:pPr>
    </w:p>
    <w:p w:rsidR="00387A07" w:rsidRPr="00CD3216" w:rsidRDefault="00387A07" w:rsidP="00387A07">
      <w:pPr>
        <w:spacing w:after="240" w:line="360" w:lineRule="auto"/>
        <w:jc w:val="center"/>
        <w:rPr>
          <w:rFonts w:ascii="Arial" w:hAnsi="Arial" w:cs="Arial"/>
          <w:b/>
          <w:i/>
          <w:color w:val="1F497D" w:themeColor="text2"/>
          <w:sz w:val="28"/>
          <w:szCs w:val="28"/>
          <w:u w:val="single"/>
          <w:lang w:val="en-US"/>
        </w:rPr>
      </w:pPr>
      <w:r w:rsidRPr="00CD3216">
        <w:rPr>
          <w:rFonts w:ascii="Arial" w:hAnsi="Arial" w:cs="Arial"/>
          <w:b/>
          <w:color w:val="1F497D" w:themeColor="text2"/>
          <w:sz w:val="28"/>
          <w:szCs w:val="28"/>
          <w:u w:val="single"/>
          <w:lang w:val="en-US"/>
        </w:rPr>
        <w:lastRenderedPageBreak/>
        <w:t xml:space="preserve">SHORT </w:t>
      </w:r>
      <w:r w:rsidRPr="00CD3216">
        <w:rPr>
          <w:rFonts w:ascii="Arial" w:hAnsi="Arial" w:cs="Arial"/>
          <w:b/>
          <w:i/>
          <w:color w:val="1F497D" w:themeColor="text2"/>
          <w:sz w:val="28"/>
          <w:szCs w:val="28"/>
          <w:u w:val="single"/>
          <w:lang w:val="en-US"/>
        </w:rPr>
        <w:t>CURRICULUM VITAE</w:t>
      </w:r>
    </w:p>
    <w:p w:rsidR="00387A07" w:rsidRPr="00A46EBA" w:rsidRDefault="00387A07" w:rsidP="00387A07">
      <w:pPr>
        <w:spacing w:line="360" w:lineRule="auto"/>
        <w:jc w:val="both"/>
        <w:rPr>
          <w:rFonts w:ascii="Arial" w:hAnsi="Arial" w:cs="Arial"/>
          <w:sz w:val="24"/>
          <w:szCs w:val="24"/>
          <w:lang w:val="en-US"/>
        </w:rPr>
      </w:pPr>
      <w:r>
        <w:rPr>
          <w:rFonts w:ascii="Arial" w:hAnsi="Arial" w:cs="Arial"/>
          <w:sz w:val="24"/>
          <w:szCs w:val="24"/>
          <w:lang w:val="en-US"/>
        </w:rPr>
        <w:t xml:space="preserve">Clara Mattu was born </w:t>
      </w:r>
      <w:r w:rsidRPr="00A46EBA">
        <w:rPr>
          <w:rFonts w:ascii="Arial" w:hAnsi="Arial" w:cs="Arial"/>
          <w:sz w:val="24"/>
          <w:szCs w:val="24"/>
          <w:lang w:val="en-US"/>
        </w:rPr>
        <w:t xml:space="preserve">in Nuoro (NU) </w:t>
      </w:r>
      <w:smartTag w:uri="urn:schemas-microsoft-com:office:smarttags" w:element="country-region">
        <w:smartTag w:uri="urn:schemas:contacts" w:element="Sn">
          <w:smartTag w:uri="urn:schemas-microsoft-com:office:smarttags" w:element="place">
            <w:r w:rsidRPr="00A46EBA">
              <w:rPr>
                <w:rFonts w:ascii="Arial" w:hAnsi="Arial" w:cs="Arial"/>
                <w:sz w:val="24"/>
                <w:szCs w:val="24"/>
                <w:lang w:val="en-US"/>
              </w:rPr>
              <w:t>Italy</w:t>
            </w:r>
          </w:smartTag>
        </w:smartTag>
      </w:smartTag>
      <w:r w:rsidRPr="00A46EBA">
        <w:rPr>
          <w:rFonts w:ascii="Arial" w:hAnsi="Arial" w:cs="Arial"/>
          <w:sz w:val="24"/>
          <w:szCs w:val="24"/>
          <w:lang w:val="en-US"/>
        </w:rPr>
        <w:t xml:space="preserve"> on July 20</w:t>
      </w:r>
      <w:r w:rsidRPr="00A46EBA">
        <w:rPr>
          <w:rFonts w:ascii="Arial" w:hAnsi="Arial" w:cs="Arial"/>
          <w:sz w:val="24"/>
          <w:szCs w:val="24"/>
          <w:vertAlign w:val="superscript"/>
          <w:lang w:val="en-US"/>
        </w:rPr>
        <w:t xml:space="preserve">th </w:t>
      </w:r>
      <w:r w:rsidRPr="00A46EBA">
        <w:rPr>
          <w:rFonts w:ascii="Arial" w:hAnsi="Arial" w:cs="Arial"/>
          <w:sz w:val="24"/>
          <w:szCs w:val="24"/>
          <w:lang w:val="en-US"/>
        </w:rPr>
        <w:t xml:space="preserve">1982. She currently lives in </w:t>
      </w:r>
      <w:smartTag w:uri="urn:schemas-microsoft-com:office:smarttags" w:element="City">
        <w:smartTag w:uri="urn:schemas:contacts" w:element="Sn">
          <w:smartTag w:uri="urn:schemas-microsoft-com:office:smarttags" w:element="place">
            <w:r w:rsidRPr="00A46EBA">
              <w:rPr>
                <w:rFonts w:ascii="Arial" w:hAnsi="Arial" w:cs="Arial"/>
                <w:sz w:val="24"/>
                <w:szCs w:val="24"/>
                <w:lang w:val="en-US"/>
              </w:rPr>
              <w:t>Turin</w:t>
            </w:r>
          </w:smartTag>
        </w:smartTag>
      </w:smartTag>
      <w:r w:rsidRPr="00A46EBA">
        <w:rPr>
          <w:rFonts w:ascii="Arial" w:hAnsi="Arial" w:cs="Arial"/>
          <w:sz w:val="24"/>
          <w:szCs w:val="24"/>
          <w:lang w:val="en-US"/>
        </w:rPr>
        <w:t xml:space="preserve"> where she works as a PhD student in the Bioengineering Group at Politecnico di Torino. </w:t>
      </w:r>
    </w:p>
    <w:p w:rsidR="00387A07" w:rsidRPr="00A46EBA" w:rsidRDefault="00387A07" w:rsidP="00387A07">
      <w:pPr>
        <w:spacing w:after="120" w:line="360" w:lineRule="auto"/>
        <w:jc w:val="both"/>
        <w:rPr>
          <w:rFonts w:ascii="Arial" w:hAnsi="Arial" w:cs="Arial"/>
          <w:sz w:val="24"/>
          <w:szCs w:val="24"/>
          <w:lang w:val="en-US"/>
        </w:rPr>
      </w:pPr>
      <w:r w:rsidRPr="00A46EBA">
        <w:rPr>
          <w:rFonts w:ascii="Arial" w:hAnsi="Arial" w:cs="Arial"/>
          <w:sz w:val="24"/>
          <w:szCs w:val="24"/>
          <w:lang w:val="en-US"/>
        </w:rPr>
        <w:t xml:space="preserve">She received her Bachelor and Master Degree in Biomedical Engineering at Politecnico di Torino in 2005 and 2008 respectively. During the last year of </w:t>
      </w:r>
      <w:r>
        <w:rPr>
          <w:rFonts w:ascii="Arial" w:hAnsi="Arial" w:cs="Arial"/>
          <w:sz w:val="24"/>
          <w:szCs w:val="24"/>
          <w:lang w:val="en-US"/>
        </w:rPr>
        <w:t>her Marster Degree</w:t>
      </w:r>
      <w:r w:rsidRPr="00A46EBA">
        <w:rPr>
          <w:rFonts w:ascii="Arial" w:hAnsi="Arial" w:cs="Arial"/>
          <w:sz w:val="24"/>
          <w:szCs w:val="24"/>
          <w:lang w:val="en-US"/>
        </w:rPr>
        <w:t xml:space="preserve"> she worked in the field of Bone tissue engineering. In particular her work dealt with the preparation of antibiotic-loaded bioactive glasses or glass ceramics to be used as bone substitutes.</w:t>
      </w:r>
    </w:p>
    <w:p w:rsidR="00387A07" w:rsidRPr="00A46EBA" w:rsidRDefault="00387A07" w:rsidP="00387A07">
      <w:pPr>
        <w:spacing w:after="120" w:line="360" w:lineRule="auto"/>
        <w:jc w:val="both"/>
        <w:rPr>
          <w:rFonts w:ascii="Arial" w:hAnsi="Arial" w:cs="Arial"/>
          <w:sz w:val="24"/>
          <w:szCs w:val="24"/>
          <w:lang w:val="en-US"/>
        </w:rPr>
      </w:pPr>
      <w:r w:rsidRPr="00A46EBA">
        <w:rPr>
          <w:rFonts w:ascii="Arial" w:hAnsi="Arial" w:cs="Arial"/>
          <w:sz w:val="24"/>
          <w:szCs w:val="24"/>
          <w:lang w:val="en-US"/>
        </w:rPr>
        <w:t xml:space="preserve">From 2009 she is a PhD student in the </w:t>
      </w:r>
      <w:r>
        <w:rPr>
          <w:rFonts w:ascii="Arial" w:hAnsi="Arial" w:cs="Arial"/>
          <w:sz w:val="24"/>
          <w:szCs w:val="24"/>
          <w:lang w:val="en-US"/>
        </w:rPr>
        <w:t xml:space="preserve">Industrial </w:t>
      </w:r>
      <w:r w:rsidRPr="00A46EBA">
        <w:rPr>
          <w:rFonts w:ascii="Arial" w:hAnsi="Arial" w:cs="Arial"/>
          <w:sz w:val="24"/>
          <w:szCs w:val="24"/>
          <w:lang w:val="en-US"/>
        </w:rPr>
        <w:t xml:space="preserve">Bioengineering </w:t>
      </w:r>
      <w:r>
        <w:rPr>
          <w:rFonts w:ascii="Arial" w:hAnsi="Arial" w:cs="Arial"/>
          <w:sz w:val="24"/>
          <w:szCs w:val="24"/>
          <w:lang w:val="en-US"/>
        </w:rPr>
        <w:t xml:space="preserve">research </w:t>
      </w:r>
      <w:r w:rsidRPr="00A46EBA">
        <w:rPr>
          <w:rFonts w:ascii="Arial" w:hAnsi="Arial" w:cs="Arial"/>
          <w:sz w:val="24"/>
          <w:szCs w:val="24"/>
          <w:lang w:val="en-US"/>
        </w:rPr>
        <w:t>group. Her work is focused on the preparation and characterization of biodegradable nanoparticles (prepared with commercial or proprietary materials) for the controlled drug release, especially for what concerns the field of Cancer treatment.</w:t>
      </w:r>
    </w:p>
    <w:p w:rsidR="00387A07" w:rsidRPr="00A46EBA" w:rsidRDefault="00387A07" w:rsidP="00387A07">
      <w:pPr>
        <w:autoSpaceDE w:val="0"/>
        <w:autoSpaceDN w:val="0"/>
        <w:adjustRightInd w:val="0"/>
        <w:spacing w:after="0" w:line="360" w:lineRule="auto"/>
        <w:jc w:val="both"/>
        <w:rPr>
          <w:rFonts w:ascii="Arial" w:hAnsi="Arial" w:cs="Arial"/>
          <w:bCs/>
          <w:sz w:val="24"/>
          <w:szCs w:val="24"/>
          <w:lang w:val="en-US"/>
        </w:rPr>
      </w:pPr>
      <w:r w:rsidRPr="00A46EBA">
        <w:rPr>
          <w:rFonts w:ascii="Arial" w:hAnsi="Arial" w:cs="Arial"/>
          <w:bCs/>
          <w:sz w:val="24"/>
          <w:szCs w:val="24"/>
          <w:lang w:val="en-US"/>
        </w:rPr>
        <w:t>As a PhD Student she collaborated for scientific research within project MANUNET NANOWELL (“</w:t>
      </w:r>
      <w:r w:rsidRPr="00A46EBA">
        <w:rPr>
          <w:rFonts w:ascii="Arial" w:hAnsi="Arial" w:cs="Arial"/>
          <w:iCs/>
          <w:sz w:val="24"/>
          <w:szCs w:val="24"/>
          <w:lang w:val="en-US" w:eastAsia="it-IT"/>
        </w:rPr>
        <w:t>Nanostructured functional and active textiles for well-being</w:t>
      </w:r>
      <w:r w:rsidRPr="00A46EBA">
        <w:rPr>
          <w:rFonts w:ascii="Arial" w:hAnsi="Arial" w:cs="Arial"/>
          <w:bCs/>
          <w:sz w:val="24"/>
          <w:szCs w:val="24"/>
          <w:lang w:val="en-US"/>
        </w:rPr>
        <w:t xml:space="preserve">”). </w:t>
      </w:r>
    </w:p>
    <w:p w:rsidR="00387A07" w:rsidRPr="00A46EBA" w:rsidRDefault="00387A07" w:rsidP="00387A07">
      <w:pPr>
        <w:autoSpaceDE w:val="0"/>
        <w:autoSpaceDN w:val="0"/>
        <w:adjustRightInd w:val="0"/>
        <w:spacing w:after="120" w:line="360" w:lineRule="auto"/>
        <w:jc w:val="both"/>
        <w:rPr>
          <w:rFonts w:ascii="Arial" w:hAnsi="Arial" w:cs="Arial"/>
          <w:bCs/>
          <w:sz w:val="24"/>
          <w:szCs w:val="24"/>
          <w:lang w:val="en-US"/>
        </w:rPr>
      </w:pPr>
      <w:r w:rsidRPr="00A46EBA">
        <w:rPr>
          <w:rFonts w:ascii="Arial" w:hAnsi="Arial" w:cs="Arial"/>
          <w:bCs/>
          <w:sz w:val="24"/>
          <w:szCs w:val="24"/>
          <w:lang w:val="en-US"/>
        </w:rPr>
        <w:t xml:space="preserve">The work dealt with the functionalization of surgical nets for abdominal wall repair with biodegradable nanoparticles </w:t>
      </w:r>
      <w:r>
        <w:rPr>
          <w:rFonts w:ascii="Arial" w:hAnsi="Arial" w:cs="Arial"/>
          <w:bCs/>
          <w:sz w:val="24"/>
          <w:szCs w:val="24"/>
          <w:lang w:val="en-US"/>
        </w:rPr>
        <w:t>able to release</w:t>
      </w:r>
      <w:r w:rsidRPr="00A46EBA">
        <w:rPr>
          <w:rFonts w:ascii="Arial" w:hAnsi="Arial" w:cs="Arial"/>
          <w:bCs/>
          <w:sz w:val="24"/>
          <w:szCs w:val="24"/>
          <w:lang w:val="en-US"/>
        </w:rPr>
        <w:t xml:space="preserve"> a proper anti-inflammatory agent. </w:t>
      </w:r>
    </w:p>
    <w:p w:rsidR="00387A07" w:rsidRDefault="00387A07" w:rsidP="00387A07">
      <w:pPr>
        <w:spacing w:after="0" w:line="360" w:lineRule="auto"/>
        <w:jc w:val="both"/>
        <w:rPr>
          <w:rFonts w:ascii="Arial" w:hAnsi="Arial" w:cs="Arial"/>
          <w:bCs/>
          <w:sz w:val="24"/>
          <w:szCs w:val="24"/>
          <w:lang w:val="en-US"/>
        </w:rPr>
      </w:pPr>
      <w:r w:rsidRPr="00A46EBA">
        <w:rPr>
          <w:rFonts w:ascii="Arial" w:hAnsi="Arial" w:cs="Arial"/>
          <w:sz w:val="24"/>
          <w:szCs w:val="24"/>
          <w:lang w:val="en-US"/>
        </w:rPr>
        <w:t xml:space="preserve">In 2011 she worked for 3 months </w:t>
      </w:r>
      <w:r>
        <w:rPr>
          <w:rFonts w:ascii="Arial" w:hAnsi="Arial" w:cs="Arial"/>
          <w:sz w:val="24"/>
          <w:szCs w:val="24"/>
          <w:lang w:val="en-US"/>
        </w:rPr>
        <w:t xml:space="preserve">at </w:t>
      </w:r>
      <w:r w:rsidRPr="00A46EBA">
        <w:rPr>
          <w:rFonts w:ascii="Arial" w:hAnsi="Arial" w:cs="Arial"/>
          <w:bCs/>
          <w:sz w:val="24"/>
          <w:szCs w:val="24"/>
          <w:lang w:val="en-US"/>
        </w:rPr>
        <w:t xml:space="preserve">The Royal College of Surgeons in </w:t>
      </w:r>
      <w:smartTag w:uri="urn:schemas-microsoft-com:office:smarttags" w:element="country-region">
        <w:smartTag w:uri="urn:schemas:contacts" w:element="Sn">
          <w:r w:rsidRPr="00A46EBA">
            <w:rPr>
              <w:rFonts w:ascii="Arial" w:hAnsi="Arial" w:cs="Arial"/>
              <w:bCs/>
              <w:sz w:val="24"/>
              <w:szCs w:val="24"/>
              <w:lang w:val="en-US"/>
            </w:rPr>
            <w:t>Irelan</w:t>
          </w:r>
          <w:r>
            <w:rPr>
              <w:rFonts w:ascii="Arial" w:hAnsi="Arial" w:cs="Arial"/>
              <w:bCs/>
              <w:sz w:val="24"/>
              <w:szCs w:val="24"/>
              <w:lang w:val="en-US"/>
            </w:rPr>
            <w:t>d</w:t>
          </w:r>
        </w:smartTag>
      </w:smartTag>
      <w:r>
        <w:rPr>
          <w:rFonts w:ascii="Arial" w:hAnsi="Arial" w:cs="Arial"/>
          <w:bCs/>
          <w:sz w:val="24"/>
          <w:szCs w:val="24"/>
          <w:lang w:val="en-US"/>
        </w:rPr>
        <w:t xml:space="preserve"> (</w:t>
      </w:r>
      <w:smartTag w:uri="urn:schemas-microsoft-com:office:smarttags" w:element="City">
        <w:smartTag w:uri="urn:schemas:contacts" w:element="Sn">
          <w:smartTag w:uri="urn:schemas-microsoft-com:office:smarttags" w:element="place">
            <w:r>
              <w:rPr>
                <w:rFonts w:ascii="Arial" w:hAnsi="Arial" w:cs="Arial"/>
                <w:bCs/>
                <w:sz w:val="24"/>
                <w:szCs w:val="24"/>
                <w:lang w:val="en-US"/>
              </w:rPr>
              <w:t>Dublin</w:t>
            </w:r>
          </w:smartTag>
        </w:smartTag>
      </w:smartTag>
      <w:r>
        <w:rPr>
          <w:rFonts w:ascii="Arial" w:hAnsi="Arial" w:cs="Arial"/>
          <w:bCs/>
          <w:sz w:val="24"/>
          <w:szCs w:val="24"/>
          <w:lang w:val="en-US"/>
        </w:rPr>
        <w:t xml:space="preserve">)  In the </w:t>
      </w:r>
      <w:r>
        <w:rPr>
          <w:rFonts w:ascii="Arial" w:hAnsi="Arial" w:cs="Arial"/>
          <w:sz w:val="24"/>
          <w:szCs w:val="24"/>
          <w:lang w:val="en-US"/>
        </w:rPr>
        <w:t>Pharmacy G</w:t>
      </w:r>
      <w:r w:rsidRPr="00A46EBA">
        <w:rPr>
          <w:rFonts w:ascii="Arial" w:hAnsi="Arial" w:cs="Arial"/>
          <w:sz w:val="24"/>
          <w:szCs w:val="24"/>
          <w:lang w:val="en-US"/>
        </w:rPr>
        <w:t xml:space="preserve">roup </w:t>
      </w:r>
      <w:r w:rsidRPr="00A46EBA">
        <w:rPr>
          <w:rFonts w:ascii="Arial" w:hAnsi="Arial" w:cs="Arial"/>
          <w:bCs/>
          <w:sz w:val="24"/>
          <w:szCs w:val="24"/>
          <w:lang w:val="en-US"/>
        </w:rPr>
        <w:t>on the preparation and characterization of biodegradable nanoparticles for the active targeting of breast cancer. The work dealt with the preparation of polymeric (poly</w:t>
      </w:r>
      <w:r>
        <w:rPr>
          <w:rFonts w:ascii="Arial" w:hAnsi="Arial" w:cs="Arial"/>
          <w:bCs/>
          <w:sz w:val="24"/>
          <w:szCs w:val="24"/>
          <w:lang w:val="en-US"/>
        </w:rPr>
        <w:t>urethane) nanoparticles surface-</w:t>
      </w:r>
      <w:r w:rsidRPr="00A46EBA">
        <w:rPr>
          <w:rFonts w:ascii="Arial" w:hAnsi="Arial" w:cs="Arial"/>
          <w:bCs/>
          <w:sz w:val="24"/>
          <w:szCs w:val="24"/>
          <w:lang w:val="en-US"/>
        </w:rPr>
        <w:t>coat</w:t>
      </w:r>
      <w:r>
        <w:rPr>
          <w:rFonts w:ascii="Arial" w:hAnsi="Arial" w:cs="Arial"/>
          <w:bCs/>
          <w:sz w:val="24"/>
          <w:szCs w:val="24"/>
          <w:lang w:val="en-US"/>
        </w:rPr>
        <w:t>ed with a monoclonal antibody (H</w:t>
      </w:r>
      <w:r w:rsidRPr="00A46EBA">
        <w:rPr>
          <w:rFonts w:ascii="Arial" w:hAnsi="Arial" w:cs="Arial"/>
          <w:bCs/>
          <w:sz w:val="24"/>
          <w:szCs w:val="24"/>
          <w:lang w:val="en-US"/>
        </w:rPr>
        <w:t>erceptin) through the Single Emulsion Solvent Evaporation Technique.</w:t>
      </w:r>
    </w:p>
    <w:p w:rsidR="00387A07" w:rsidRPr="00A46EBA" w:rsidRDefault="00387A07" w:rsidP="00387A07">
      <w:pPr>
        <w:spacing w:after="0" w:line="360" w:lineRule="auto"/>
        <w:jc w:val="both"/>
        <w:rPr>
          <w:rFonts w:ascii="Arial" w:hAnsi="Arial" w:cs="Arial"/>
          <w:bCs/>
          <w:sz w:val="24"/>
          <w:szCs w:val="24"/>
          <w:lang w:val="en-US"/>
        </w:rPr>
      </w:pPr>
      <w:r>
        <w:rPr>
          <w:rFonts w:ascii="Arial" w:hAnsi="Arial" w:cs="Arial"/>
          <w:bCs/>
          <w:sz w:val="24"/>
          <w:szCs w:val="24"/>
          <w:lang w:val="en-US"/>
        </w:rPr>
        <w:t xml:space="preserve">In 2011 she won the research contest Working Capital PNI, founded by Telecom Italia with a research project based on the preparation of injectable thermo-sensitive polymers (polyurethanes) for tissue engineering and regeneration.  </w:t>
      </w:r>
    </w:p>
    <w:p w:rsidR="00387A07" w:rsidRPr="00A95231" w:rsidRDefault="00387A07" w:rsidP="00387A07">
      <w:pPr>
        <w:spacing w:before="120" w:after="0" w:line="360" w:lineRule="auto"/>
        <w:jc w:val="both"/>
        <w:rPr>
          <w:rFonts w:ascii="Arial" w:hAnsi="Arial" w:cs="Arial"/>
          <w:bCs/>
          <w:sz w:val="24"/>
          <w:szCs w:val="24"/>
          <w:lang w:val="en-US"/>
        </w:rPr>
      </w:pPr>
      <w:r w:rsidRPr="00A46EBA">
        <w:rPr>
          <w:rFonts w:ascii="Arial" w:hAnsi="Arial" w:cs="Arial"/>
          <w:bCs/>
          <w:sz w:val="24"/>
          <w:szCs w:val="24"/>
          <w:lang w:val="en-US"/>
        </w:rPr>
        <w:t xml:space="preserve">During her PhD she attended some of the most important national and international conferences in the field of nanotechnology in drug delivery and is author of 2 Papers, 13 abstracts in national and international congresses proceedings and 1 patent. </w:t>
      </w:r>
    </w:p>
    <w:p w:rsidR="00387A07" w:rsidRPr="00A46EBA" w:rsidRDefault="00387A07" w:rsidP="00387A07">
      <w:pPr>
        <w:autoSpaceDE w:val="0"/>
        <w:autoSpaceDN w:val="0"/>
        <w:adjustRightInd w:val="0"/>
        <w:spacing w:after="0" w:line="240" w:lineRule="auto"/>
        <w:jc w:val="both"/>
        <w:outlineLvl w:val="0"/>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Pr="00CD3216" w:rsidRDefault="00387A07" w:rsidP="00387A07">
      <w:pPr>
        <w:autoSpaceDE w:val="0"/>
        <w:autoSpaceDN w:val="0"/>
        <w:adjustRightInd w:val="0"/>
        <w:spacing w:after="240" w:line="240" w:lineRule="auto"/>
        <w:jc w:val="center"/>
        <w:outlineLvl w:val="0"/>
        <w:rPr>
          <w:rFonts w:ascii="Arial" w:hAnsi="Arial" w:cs="Arial"/>
          <w:b/>
          <w:bCs/>
          <w:color w:val="1F497D" w:themeColor="text2"/>
          <w:sz w:val="28"/>
          <w:szCs w:val="28"/>
          <w:u w:val="single"/>
          <w:lang w:val="en-US"/>
        </w:rPr>
      </w:pPr>
      <w:r w:rsidRPr="00CD3216">
        <w:rPr>
          <w:rFonts w:ascii="Arial" w:hAnsi="Arial" w:cs="Arial"/>
          <w:b/>
          <w:bCs/>
          <w:color w:val="1F497D" w:themeColor="text2"/>
          <w:sz w:val="28"/>
          <w:szCs w:val="28"/>
          <w:u w:val="single"/>
          <w:lang w:val="en-US"/>
        </w:rPr>
        <w:lastRenderedPageBreak/>
        <w:t>LIST OF PUBLICATIONS</w:t>
      </w:r>
    </w:p>
    <w:p w:rsidR="00387A07" w:rsidRPr="00A46EBA" w:rsidRDefault="00387A07" w:rsidP="00387A07">
      <w:pPr>
        <w:pStyle w:val="Paragrafoelenco"/>
        <w:numPr>
          <w:ilvl w:val="0"/>
          <w:numId w:val="1"/>
        </w:numPr>
        <w:autoSpaceDE w:val="0"/>
        <w:autoSpaceDN w:val="0"/>
        <w:adjustRightInd w:val="0"/>
        <w:spacing w:line="240" w:lineRule="auto"/>
        <w:jc w:val="both"/>
        <w:outlineLvl w:val="0"/>
        <w:rPr>
          <w:rFonts w:ascii="Arial" w:hAnsi="Arial" w:cs="Arial"/>
          <w:b/>
          <w:bCs/>
          <w:sz w:val="24"/>
          <w:szCs w:val="24"/>
          <w:lang w:val="en-US"/>
        </w:rPr>
      </w:pPr>
      <w:r w:rsidRPr="00A46EBA">
        <w:rPr>
          <w:rFonts w:ascii="Arial" w:hAnsi="Arial" w:cs="Arial"/>
          <w:b/>
          <w:bCs/>
          <w:sz w:val="24"/>
          <w:szCs w:val="24"/>
          <w:lang w:val="en-US"/>
        </w:rPr>
        <w:t>International journal articles</w:t>
      </w:r>
    </w:p>
    <w:p w:rsidR="00387A07" w:rsidRPr="00A46EBA" w:rsidRDefault="00387A07" w:rsidP="00387A07">
      <w:pPr>
        <w:autoSpaceDE w:val="0"/>
        <w:autoSpaceDN w:val="0"/>
        <w:adjustRightInd w:val="0"/>
        <w:spacing w:before="240" w:after="0" w:line="240" w:lineRule="auto"/>
        <w:jc w:val="both"/>
        <w:rPr>
          <w:rFonts w:ascii="Arial" w:hAnsi="Arial" w:cs="Arial"/>
          <w:bCs/>
          <w:sz w:val="24"/>
          <w:szCs w:val="24"/>
          <w:lang w:val="en-US"/>
        </w:rPr>
      </w:pPr>
      <w:r w:rsidRPr="00A46EBA">
        <w:rPr>
          <w:rFonts w:ascii="Arial" w:hAnsi="Arial" w:cs="Arial"/>
          <w:b/>
          <w:bCs/>
          <w:sz w:val="24"/>
          <w:szCs w:val="24"/>
          <w:lang w:val="en-US"/>
        </w:rPr>
        <w:t>“Cross-linked collagen sponges loaded with plant polyphenols with inhibitory activity towards chronic wound enzymes”</w:t>
      </w:r>
    </w:p>
    <w:p w:rsidR="00387A07" w:rsidRPr="00A46EBA" w:rsidRDefault="00387A07" w:rsidP="00387A07">
      <w:pPr>
        <w:autoSpaceDE w:val="0"/>
        <w:autoSpaceDN w:val="0"/>
        <w:adjustRightInd w:val="0"/>
        <w:spacing w:after="0" w:line="240" w:lineRule="auto"/>
        <w:jc w:val="both"/>
        <w:rPr>
          <w:rFonts w:ascii="Arial" w:hAnsi="Arial" w:cs="Arial"/>
          <w:bCs/>
          <w:sz w:val="24"/>
          <w:szCs w:val="24"/>
          <w:lang w:val="en-US"/>
        </w:rPr>
      </w:pPr>
      <w:r w:rsidRPr="00A46EBA">
        <w:rPr>
          <w:rFonts w:ascii="Arial" w:hAnsi="Arial" w:cs="Arial"/>
          <w:bCs/>
          <w:sz w:val="24"/>
          <w:szCs w:val="24"/>
          <w:lang w:val="en-US"/>
        </w:rPr>
        <w:t xml:space="preserve">A. Francesko, S. Tourino, </w:t>
      </w:r>
      <w:r w:rsidRPr="00A46EBA">
        <w:rPr>
          <w:rFonts w:ascii="Arial" w:hAnsi="Arial" w:cs="Arial"/>
          <w:b/>
          <w:bCs/>
          <w:sz w:val="24"/>
          <w:szCs w:val="24"/>
          <w:lang w:val="en-US"/>
        </w:rPr>
        <w:t>C. Mattu</w:t>
      </w:r>
      <w:r w:rsidRPr="00A46EBA">
        <w:rPr>
          <w:rFonts w:ascii="Arial" w:hAnsi="Arial" w:cs="Arial"/>
          <w:bCs/>
          <w:sz w:val="24"/>
          <w:szCs w:val="24"/>
          <w:lang w:val="en-US"/>
        </w:rPr>
        <w:t>, P. Gentile, V. Chiono, G. Ciardelli and T. Tzanov Biotechnol J. (2011) - Accepted</w:t>
      </w:r>
    </w:p>
    <w:p w:rsidR="00387A07" w:rsidRPr="00A46EBA" w:rsidRDefault="00387A07" w:rsidP="00387A07">
      <w:pPr>
        <w:autoSpaceDE w:val="0"/>
        <w:autoSpaceDN w:val="0"/>
        <w:adjustRightInd w:val="0"/>
        <w:spacing w:before="240" w:after="0" w:line="240" w:lineRule="auto"/>
        <w:jc w:val="both"/>
        <w:rPr>
          <w:rFonts w:ascii="Arial" w:hAnsi="Arial" w:cs="Arial"/>
          <w:bCs/>
          <w:sz w:val="24"/>
          <w:szCs w:val="24"/>
          <w:lang w:val="en-US"/>
        </w:rPr>
      </w:pPr>
      <w:r w:rsidRPr="00A46EBA">
        <w:rPr>
          <w:rFonts w:ascii="Arial" w:hAnsi="Arial" w:cs="Arial"/>
          <w:b/>
          <w:bCs/>
          <w:sz w:val="24"/>
          <w:szCs w:val="24"/>
          <w:lang w:val="en-US"/>
        </w:rPr>
        <w:t xml:space="preserve">“Crosslinked gelatin nanofibrous matrices for nerve tissue engineering” </w:t>
      </w:r>
    </w:p>
    <w:p w:rsidR="00387A07" w:rsidRPr="00A46EBA" w:rsidRDefault="00387A07" w:rsidP="00387A07">
      <w:pPr>
        <w:autoSpaceDE w:val="0"/>
        <w:autoSpaceDN w:val="0"/>
        <w:adjustRightInd w:val="0"/>
        <w:spacing w:after="0" w:line="240" w:lineRule="auto"/>
        <w:jc w:val="both"/>
        <w:rPr>
          <w:rFonts w:ascii="Arial" w:hAnsi="Arial" w:cs="Arial"/>
          <w:bCs/>
          <w:sz w:val="24"/>
          <w:szCs w:val="24"/>
          <w:lang w:val="it-IT"/>
        </w:rPr>
      </w:pPr>
      <w:r w:rsidRPr="00A46EBA">
        <w:rPr>
          <w:rFonts w:ascii="Arial" w:hAnsi="Arial" w:cs="Arial"/>
          <w:bCs/>
          <w:sz w:val="24"/>
          <w:szCs w:val="24"/>
          <w:lang w:val="it-IT"/>
        </w:rPr>
        <w:t xml:space="preserve">C. Tonda-Turo, E. Cipriani, S. Gnavi, V. Chiono, </w:t>
      </w:r>
      <w:r w:rsidRPr="00A46EBA">
        <w:rPr>
          <w:rFonts w:ascii="Arial" w:hAnsi="Arial" w:cs="Arial"/>
          <w:b/>
          <w:bCs/>
          <w:sz w:val="24"/>
          <w:szCs w:val="24"/>
          <w:lang w:val="it-IT"/>
        </w:rPr>
        <w:t>C. Mattu</w:t>
      </w:r>
      <w:r w:rsidRPr="00A46EBA">
        <w:rPr>
          <w:rFonts w:ascii="Arial" w:hAnsi="Arial" w:cs="Arial"/>
          <w:bCs/>
          <w:sz w:val="24"/>
          <w:szCs w:val="24"/>
          <w:lang w:val="it-IT"/>
        </w:rPr>
        <w:t xml:space="preserve">, P. Gentile, I. Perroteau, M. Zanetti and G. Ciardelli. </w:t>
      </w:r>
    </w:p>
    <w:p w:rsidR="00387A07" w:rsidRPr="00A46EBA" w:rsidRDefault="00387A07" w:rsidP="00387A07">
      <w:pPr>
        <w:autoSpaceDE w:val="0"/>
        <w:autoSpaceDN w:val="0"/>
        <w:adjustRightInd w:val="0"/>
        <w:spacing w:after="0" w:line="240" w:lineRule="auto"/>
        <w:jc w:val="both"/>
        <w:rPr>
          <w:rFonts w:ascii="Arial" w:hAnsi="Arial" w:cs="Arial"/>
          <w:bCs/>
          <w:sz w:val="24"/>
          <w:szCs w:val="24"/>
          <w:lang w:val="en-US"/>
        </w:rPr>
      </w:pPr>
      <w:r w:rsidRPr="00A46EBA">
        <w:rPr>
          <w:rFonts w:ascii="Arial" w:hAnsi="Arial" w:cs="Arial"/>
          <w:bCs/>
          <w:sz w:val="24"/>
          <w:szCs w:val="24"/>
          <w:lang w:val="en-US"/>
        </w:rPr>
        <w:t>Journal of Neural Engineering - Submitted</w:t>
      </w:r>
    </w:p>
    <w:p w:rsidR="00387A07" w:rsidRPr="00A46EBA" w:rsidRDefault="00387A07" w:rsidP="00387A07">
      <w:pPr>
        <w:autoSpaceDE w:val="0"/>
        <w:autoSpaceDN w:val="0"/>
        <w:adjustRightInd w:val="0"/>
        <w:spacing w:before="240" w:after="0" w:line="240" w:lineRule="auto"/>
        <w:jc w:val="both"/>
        <w:rPr>
          <w:rFonts w:ascii="Arial" w:eastAsia="Calibri" w:hAnsi="Arial" w:cs="Arial"/>
          <w:b/>
          <w:sz w:val="24"/>
          <w:szCs w:val="24"/>
          <w:lang w:val="en-US"/>
        </w:rPr>
      </w:pPr>
      <w:r w:rsidRPr="00A46EBA">
        <w:rPr>
          <w:rStyle w:val="MacchinadascrivereHTML"/>
          <w:rFonts w:ascii="Arial" w:eastAsia="Calibri" w:hAnsi="Arial" w:cs="Arial"/>
          <w:b/>
          <w:sz w:val="24"/>
          <w:szCs w:val="24"/>
          <w:lang w:val="en-US"/>
        </w:rPr>
        <w:t>“Antibiotic loading on bioactive glasses and</w:t>
      </w:r>
      <w:r w:rsidRPr="00A46EBA">
        <w:rPr>
          <w:rFonts w:ascii="Arial" w:hAnsi="Arial" w:cs="Arial"/>
          <w:b/>
          <w:sz w:val="24"/>
          <w:szCs w:val="24"/>
          <w:lang w:val="en-US"/>
        </w:rPr>
        <w:t xml:space="preserve"> </w:t>
      </w:r>
      <w:r w:rsidRPr="00A46EBA">
        <w:rPr>
          <w:rStyle w:val="MacchinadascrivereHTML"/>
          <w:rFonts w:ascii="Arial" w:eastAsia="Calibri" w:hAnsi="Arial" w:cs="Arial"/>
          <w:b/>
          <w:sz w:val="24"/>
          <w:szCs w:val="24"/>
          <w:lang w:val="en-US"/>
        </w:rPr>
        <w:t>glass-ceramics: an approach to surface modification”</w:t>
      </w:r>
    </w:p>
    <w:p w:rsidR="00387A07" w:rsidRPr="00A46EBA" w:rsidRDefault="00387A07" w:rsidP="00387A07">
      <w:pPr>
        <w:autoSpaceDE w:val="0"/>
        <w:autoSpaceDN w:val="0"/>
        <w:adjustRightInd w:val="0"/>
        <w:spacing w:after="0" w:line="240" w:lineRule="auto"/>
        <w:jc w:val="both"/>
        <w:rPr>
          <w:rStyle w:val="MacchinadascrivereHTML"/>
          <w:rFonts w:ascii="Arial" w:eastAsia="Calibri" w:hAnsi="Arial" w:cs="Arial"/>
          <w:sz w:val="24"/>
          <w:szCs w:val="24"/>
          <w:lang w:val="it-IT"/>
        </w:rPr>
      </w:pPr>
      <w:r w:rsidRPr="00A46EBA">
        <w:rPr>
          <w:rFonts w:ascii="Arial" w:hAnsi="Arial" w:cs="Arial"/>
          <w:sz w:val="24"/>
          <w:szCs w:val="24"/>
          <w:lang w:val="it-IT"/>
        </w:rPr>
        <w:t>M. Miola</w:t>
      </w:r>
      <w:r w:rsidRPr="00A46EBA">
        <w:rPr>
          <w:rFonts w:ascii="Arial" w:hAnsi="Arial" w:cs="Arial"/>
          <w:sz w:val="24"/>
          <w:szCs w:val="24"/>
          <w:vertAlign w:val="superscript"/>
          <w:lang w:val="it-IT"/>
        </w:rPr>
        <w:t>,</w:t>
      </w:r>
      <w:r w:rsidRPr="00A46EBA">
        <w:rPr>
          <w:rFonts w:ascii="Arial" w:hAnsi="Arial" w:cs="Arial"/>
          <w:sz w:val="24"/>
          <w:szCs w:val="24"/>
          <w:lang w:val="it-IT"/>
        </w:rPr>
        <w:t xml:space="preserve"> C. Vitale Brovarone, </w:t>
      </w:r>
      <w:r w:rsidRPr="00A46EBA">
        <w:rPr>
          <w:rFonts w:ascii="Arial" w:hAnsi="Arial" w:cs="Arial"/>
          <w:b/>
          <w:sz w:val="24"/>
          <w:szCs w:val="24"/>
          <w:lang w:val="it-IT"/>
        </w:rPr>
        <w:t>C. Mattu</w:t>
      </w:r>
      <w:r w:rsidRPr="00A46EBA">
        <w:rPr>
          <w:rFonts w:ascii="Arial" w:hAnsi="Arial" w:cs="Arial"/>
          <w:sz w:val="24"/>
          <w:szCs w:val="24"/>
          <w:lang w:val="it-IT"/>
        </w:rPr>
        <w:t>, E. Vernè</w:t>
      </w:r>
      <w:r w:rsidRPr="00A46EBA">
        <w:rPr>
          <w:rStyle w:val="MacchinadascrivereHTML"/>
          <w:rFonts w:ascii="Arial" w:eastAsia="Calibri" w:hAnsi="Arial" w:cs="Arial"/>
          <w:sz w:val="24"/>
          <w:szCs w:val="24"/>
          <w:lang w:val="it-IT"/>
        </w:rPr>
        <w:t xml:space="preserve">. </w:t>
      </w:r>
    </w:p>
    <w:p w:rsidR="00387A07" w:rsidRPr="006569C8" w:rsidRDefault="00387A07" w:rsidP="00387A07">
      <w:pPr>
        <w:autoSpaceDE w:val="0"/>
        <w:autoSpaceDN w:val="0"/>
        <w:adjustRightInd w:val="0"/>
        <w:spacing w:after="0" w:line="240" w:lineRule="auto"/>
        <w:jc w:val="both"/>
        <w:rPr>
          <w:rFonts w:ascii="Arial" w:eastAsia="Calibri" w:hAnsi="Arial" w:cs="Arial"/>
          <w:sz w:val="24"/>
          <w:szCs w:val="24"/>
          <w:lang w:val="en-US"/>
        </w:rPr>
      </w:pPr>
      <w:r w:rsidRPr="006569C8">
        <w:rPr>
          <w:rStyle w:val="MacchinadascrivereHTML"/>
          <w:rFonts w:ascii="Arial" w:eastAsiaTheme="majorEastAsia" w:hAnsi="Arial" w:cs="Arial"/>
          <w:sz w:val="24"/>
          <w:szCs w:val="24"/>
        </w:rPr>
        <w:t>Journal of Biomaterial Applications</w:t>
      </w:r>
      <w:r>
        <w:rPr>
          <w:rStyle w:val="MacchinadascrivereHTML"/>
          <w:rFonts w:ascii="Arial" w:eastAsiaTheme="majorEastAsia" w:hAnsi="Arial" w:cs="Arial"/>
          <w:sz w:val="24"/>
          <w:szCs w:val="24"/>
        </w:rPr>
        <w:t xml:space="preserve"> </w:t>
      </w:r>
      <w:r w:rsidRPr="006569C8">
        <w:rPr>
          <w:rStyle w:val="MacchinadascrivereHTML"/>
          <w:rFonts w:ascii="Arial" w:eastAsia="Calibri" w:hAnsi="Arial" w:cs="Arial"/>
          <w:sz w:val="24"/>
          <w:szCs w:val="24"/>
          <w:lang w:val="en-US"/>
        </w:rPr>
        <w:t>- Submitted</w:t>
      </w:r>
    </w:p>
    <w:p w:rsidR="00387A07" w:rsidRPr="006569C8" w:rsidRDefault="00387A07" w:rsidP="00387A07">
      <w:pPr>
        <w:autoSpaceDE w:val="0"/>
        <w:autoSpaceDN w:val="0"/>
        <w:adjustRightInd w:val="0"/>
        <w:spacing w:after="0"/>
        <w:jc w:val="both"/>
        <w:outlineLvl w:val="0"/>
        <w:rPr>
          <w:rFonts w:ascii="Arial" w:hAnsi="Arial" w:cs="Arial"/>
          <w:b/>
          <w:bCs/>
          <w:sz w:val="24"/>
          <w:szCs w:val="24"/>
          <w:lang w:val="en-US"/>
        </w:rPr>
      </w:pPr>
    </w:p>
    <w:p w:rsidR="00387A07" w:rsidRPr="00A46EBA" w:rsidRDefault="00387A07" w:rsidP="00387A07">
      <w:pPr>
        <w:pStyle w:val="Paragrafoelenco"/>
        <w:numPr>
          <w:ilvl w:val="0"/>
          <w:numId w:val="1"/>
        </w:numPr>
        <w:autoSpaceDE w:val="0"/>
        <w:autoSpaceDN w:val="0"/>
        <w:adjustRightInd w:val="0"/>
        <w:spacing w:after="0"/>
        <w:jc w:val="both"/>
        <w:outlineLvl w:val="0"/>
        <w:rPr>
          <w:rFonts w:ascii="Arial" w:hAnsi="Arial" w:cs="Arial"/>
          <w:b/>
          <w:bCs/>
          <w:sz w:val="24"/>
          <w:szCs w:val="24"/>
          <w:lang w:val="en-US"/>
        </w:rPr>
      </w:pPr>
      <w:r w:rsidRPr="00A46EBA">
        <w:rPr>
          <w:rFonts w:ascii="Arial" w:hAnsi="Arial" w:cs="Arial"/>
          <w:b/>
          <w:bCs/>
          <w:sz w:val="24"/>
          <w:szCs w:val="24"/>
          <w:lang w:val="en-US"/>
        </w:rPr>
        <w:t xml:space="preserve">Comunications in National/International conferences.  </w:t>
      </w:r>
    </w:p>
    <w:p w:rsidR="00387A07" w:rsidRPr="00A46EBA" w:rsidRDefault="00387A07" w:rsidP="00387A07">
      <w:pPr>
        <w:pStyle w:val="Paragrafoelenco"/>
        <w:autoSpaceDE w:val="0"/>
        <w:autoSpaceDN w:val="0"/>
        <w:adjustRightInd w:val="0"/>
        <w:spacing w:after="0"/>
        <w:jc w:val="both"/>
        <w:outlineLvl w:val="0"/>
        <w:rPr>
          <w:rFonts w:ascii="Arial" w:hAnsi="Arial" w:cs="Arial"/>
          <w:b/>
          <w:bCs/>
          <w:sz w:val="24"/>
          <w:szCs w:val="24"/>
          <w:lang w:val="en-US"/>
        </w:rPr>
      </w:pPr>
    </w:p>
    <w:p w:rsidR="00387A07" w:rsidRPr="00A46EBA" w:rsidRDefault="00387A07" w:rsidP="00387A07">
      <w:pPr>
        <w:pStyle w:val="NanotechAuthors"/>
        <w:jc w:val="left"/>
        <w:outlineLvl w:val="0"/>
        <w:rPr>
          <w:rFonts w:ascii="Arial" w:hAnsi="Arial" w:cs="Arial"/>
          <w:b/>
          <w:szCs w:val="24"/>
        </w:rPr>
      </w:pPr>
      <w:r w:rsidRPr="00A46EBA">
        <w:rPr>
          <w:rFonts w:ascii="Arial" w:hAnsi="Arial" w:cs="Arial"/>
          <w:b/>
          <w:szCs w:val="24"/>
        </w:rPr>
        <w:t>“Biodegradable M</w:t>
      </w:r>
      <w:r w:rsidRPr="00A46EBA">
        <w:rPr>
          <w:rFonts w:ascii="Arial" w:hAnsi="Arial" w:cs="Arial"/>
          <w:b/>
          <w:szCs w:val="24"/>
          <w:lang w:val="en-GB"/>
        </w:rPr>
        <w:t>icro and Nanoparticles for Controlled Drug Release”</w:t>
      </w:r>
    </w:p>
    <w:p w:rsidR="00387A07" w:rsidRPr="00A46EBA" w:rsidRDefault="00387A07" w:rsidP="00387A07">
      <w:pPr>
        <w:pStyle w:val="NanotechAuthors"/>
        <w:jc w:val="left"/>
        <w:outlineLvl w:val="0"/>
        <w:rPr>
          <w:rFonts w:ascii="Arial" w:hAnsi="Arial" w:cs="Arial"/>
          <w:szCs w:val="24"/>
          <w:lang w:val="it-IT"/>
        </w:rPr>
      </w:pPr>
      <w:r w:rsidRPr="00A46EBA">
        <w:rPr>
          <w:rFonts w:ascii="Arial" w:hAnsi="Arial" w:cs="Arial"/>
          <w:b/>
          <w:szCs w:val="24"/>
          <w:lang w:val="it-IT"/>
        </w:rPr>
        <w:t>C. Mattu</w:t>
      </w:r>
      <w:r w:rsidRPr="00A46EBA">
        <w:rPr>
          <w:rFonts w:ascii="Arial" w:hAnsi="Arial" w:cs="Arial"/>
          <w:szCs w:val="24"/>
          <w:lang w:val="it-IT"/>
        </w:rPr>
        <w:t>, S. Sartori, E. Ranzato, M. Boffito,</w:t>
      </w:r>
      <w:r w:rsidRPr="00A46EBA">
        <w:rPr>
          <w:rFonts w:ascii="Arial" w:hAnsi="Arial" w:cs="Arial"/>
          <w:szCs w:val="24"/>
          <w:vertAlign w:val="superscript"/>
          <w:lang w:val="it-IT"/>
        </w:rPr>
        <w:t xml:space="preserve">  </w:t>
      </w:r>
      <w:r w:rsidRPr="00A46EBA">
        <w:rPr>
          <w:rFonts w:ascii="Arial" w:hAnsi="Arial" w:cs="Arial"/>
          <w:szCs w:val="24"/>
          <w:lang w:val="it-IT"/>
        </w:rPr>
        <w:t xml:space="preserve">R. Li and G. Ciardelli. </w:t>
      </w:r>
    </w:p>
    <w:p w:rsidR="00387A07" w:rsidRPr="00A46EBA" w:rsidRDefault="00387A07" w:rsidP="00387A07">
      <w:pPr>
        <w:pStyle w:val="NanotechAuthors"/>
        <w:jc w:val="left"/>
        <w:outlineLvl w:val="0"/>
        <w:rPr>
          <w:rFonts w:ascii="Arial" w:hAnsi="Arial" w:cs="Arial"/>
          <w:szCs w:val="24"/>
        </w:rPr>
      </w:pPr>
      <w:r w:rsidRPr="00A46EBA">
        <w:rPr>
          <w:rFonts w:ascii="Arial" w:hAnsi="Arial" w:cs="Arial"/>
          <w:szCs w:val="24"/>
        </w:rPr>
        <w:t xml:space="preserve">Nanotech Conference &amp; Expo, June 13-16 2011 pp Boston MA </w:t>
      </w:r>
    </w:p>
    <w:p w:rsidR="00387A07" w:rsidRPr="00A46EBA" w:rsidRDefault="00387A07" w:rsidP="00387A07">
      <w:pPr>
        <w:autoSpaceDE w:val="0"/>
        <w:autoSpaceDN w:val="0"/>
        <w:adjustRightInd w:val="0"/>
        <w:spacing w:after="0"/>
        <w:jc w:val="both"/>
        <w:outlineLvl w:val="0"/>
        <w:rPr>
          <w:rFonts w:ascii="Arial" w:hAnsi="Arial" w:cs="Arial"/>
          <w:b/>
          <w:bCs/>
          <w:sz w:val="24"/>
          <w:szCs w:val="24"/>
          <w:lang w:val="en-US"/>
        </w:rPr>
      </w:pPr>
    </w:p>
    <w:p w:rsidR="00387A07" w:rsidRPr="00A46EBA" w:rsidRDefault="00387A07" w:rsidP="00387A07">
      <w:pPr>
        <w:suppressAutoHyphens/>
        <w:autoSpaceDE w:val="0"/>
        <w:spacing w:after="0" w:line="240" w:lineRule="auto"/>
        <w:jc w:val="both"/>
        <w:rPr>
          <w:rFonts w:ascii="Arial" w:hAnsi="Arial" w:cs="Arial"/>
          <w:sz w:val="24"/>
          <w:szCs w:val="24"/>
          <w:lang w:val="en-US"/>
        </w:rPr>
      </w:pPr>
      <w:r w:rsidRPr="00A46EBA">
        <w:rPr>
          <w:rFonts w:ascii="Arial" w:hAnsi="Arial" w:cs="Arial"/>
          <w:b/>
          <w:sz w:val="24"/>
          <w:szCs w:val="24"/>
          <w:lang w:val="it-IT"/>
        </w:rPr>
        <w:t>C. Mattu</w:t>
      </w:r>
      <w:r w:rsidRPr="00A46EBA">
        <w:rPr>
          <w:rFonts w:ascii="Arial" w:hAnsi="Arial" w:cs="Arial"/>
          <w:sz w:val="24"/>
          <w:szCs w:val="24"/>
          <w:lang w:val="it-IT"/>
        </w:rPr>
        <w:t xml:space="preserve">, R. Li, G. Ciardelli. </w:t>
      </w:r>
      <w:r w:rsidRPr="00A46EBA">
        <w:rPr>
          <w:rFonts w:ascii="Arial" w:hAnsi="Arial" w:cs="Arial"/>
          <w:sz w:val="24"/>
          <w:szCs w:val="24"/>
          <w:lang w:val="en-US"/>
        </w:rPr>
        <w:t xml:space="preserve">“Nanoparticles for targeted Drug Delivery in Cancer treatment”; </w:t>
      </w:r>
    </w:p>
    <w:p w:rsidR="00387A07" w:rsidRPr="00A46EBA" w:rsidRDefault="00387A07" w:rsidP="00387A07">
      <w:pPr>
        <w:suppressAutoHyphens/>
        <w:autoSpaceDE w:val="0"/>
        <w:spacing w:after="0" w:line="240" w:lineRule="auto"/>
        <w:jc w:val="both"/>
        <w:rPr>
          <w:rFonts w:ascii="Arial" w:hAnsi="Arial" w:cs="Arial"/>
          <w:sz w:val="24"/>
          <w:szCs w:val="24"/>
          <w:lang w:val="en-US"/>
        </w:rPr>
      </w:pPr>
    </w:p>
    <w:p w:rsidR="00387A07" w:rsidRPr="00A46EBA" w:rsidRDefault="00387A07" w:rsidP="00387A07">
      <w:pPr>
        <w:suppressAutoHyphens/>
        <w:autoSpaceDE w:val="0"/>
        <w:spacing w:after="0" w:line="240" w:lineRule="auto"/>
        <w:jc w:val="both"/>
        <w:rPr>
          <w:rFonts w:ascii="Arial" w:hAnsi="Arial" w:cs="Arial"/>
          <w:bCs/>
          <w:sz w:val="24"/>
          <w:szCs w:val="24"/>
          <w:lang w:val="en-US"/>
        </w:rPr>
      </w:pPr>
      <w:r w:rsidRPr="00A46EBA">
        <w:rPr>
          <w:rFonts w:ascii="Arial" w:hAnsi="Arial" w:cs="Arial"/>
          <w:sz w:val="24"/>
          <w:szCs w:val="24"/>
          <w:lang w:val="it-IT"/>
        </w:rPr>
        <w:t xml:space="preserve">R.Li, </w:t>
      </w:r>
      <w:r w:rsidRPr="00A46EBA">
        <w:rPr>
          <w:rFonts w:ascii="Arial" w:hAnsi="Arial" w:cs="Arial"/>
          <w:b/>
          <w:sz w:val="24"/>
          <w:szCs w:val="24"/>
          <w:lang w:val="it-IT"/>
        </w:rPr>
        <w:t>C. Mattu</w:t>
      </w:r>
      <w:r w:rsidRPr="00A46EBA">
        <w:rPr>
          <w:rFonts w:ascii="Arial" w:hAnsi="Arial" w:cs="Arial"/>
          <w:sz w:val="24"/>
          <w:szCs w:val="24"/>
          <w:lang w:val="it-IT"/>
        </w:rPr>
        <w:t>, G. Ciardelli.</w:t>
      </w:r>
      <w:r w:rsidRPr="00A46EBA">
        <w:rPr>
          <w:rFonts w:ascii="Arial" w:hAnsi="Arial" w:cs="Arial"/>
          <w:b/>
          <w:sz w:val="24"/>
          <w:szCs w:val="24"/>
          <w:lang w:val="it-IT"/>
        </w:rPr>
        <w:t xml:space="preserve"> </w:t>
      </w:r>
      <w:r w:rsidRPr="00A46EBA">
        <w:rPr>
          <w:rFonts w:ascii="Arial" w:hAnsi="Arial" w:cs="Arial"/>
          <w:b/>
          <w:sz w:val="24"/>
          <w:szCs w:val="24"/>
          <w:lang w:val="en-US"/>
        </w:rPr>
        <w:t>“</w:t>
      </w:r>
      <w:r w:rsidRPr="00A46EBA">
        <w:rPr>
          <w:rFonts w:ascii="Arial" w:hAnsi="Arial" w:cs="Arial"/>
          <w:sz w:val="24"/>
          <w:szCs w:val="24"/>
          <w:lang w:val="en-US"/>
        </w:rPr>
        <w:t xml:space="preserve">The application of Chitosan in Biomedical Engineering”; </w:t>
      </w:r>
    </w:p>
    <w:p w:rsidR="00387A07" w:rsidRPr="00A46EBA" w:rsidRDefault="00387A07" w:rsidP="00387A07">
      <w:pPr>
        <w:suppressAutoHyphens/>
        <w:autoSpaceDE w:val="0"/>
        <w:spacing w:after="0" w:line="240" w:lineRule="auto"/>
        <w:jc w:val="both"/>
        <w:rPr>
          <w:rFonts w:ascii="Arial" w:hAnsi="Arial" w:cs="Arial"/>
          <w:bCs/>
          <w:sz w:val="24"/>
          <w:szCs w:val="24"/>
          <w:lang w:val="en-US"/>
        </w:rPr>
      </w:pPr>
    </w:p>
    <w:p w:rsidR="00387A07" w:rsidRPr="00A46EBA" w:rsidRDefault="00387A07" w:rsidP="00387A07">
      <w:pPr>
        <w:suppressAutoHyphens/>
        <w:autoSpaceDE w:val="0"/>
        <w:spacing w:after="0" w:line="240" w:lineRule="auto"/>
        <w:jc w:val="both"/>
        <w:rPr>
          <w:rFonts w:ascii="Arial" w:hAnsi="Arial" w:cs="Arial"/>
          <w:bCs/>
          <w:sz w:val="24"/>
          <w:szCs w:val="24"/>
          <w:lang w:val="en-US"/>
        </w:rPr>
      </w:pPr>
      <w:r w:rsidRPr="00A46EBA">
        <w:rPr>
          <w:rFonts w:ascii="Arial" w:hAnsi="Arial" w:cs="Arial"/>
          <w:bCs/>
          <w:sz w:val="24"/>
          <w:szCs w:val="24"/>
          <w:lang w:val="it-IT"/>
        </w:rPr>
        <w:t xml:space="preserve">P Gentile, V Chiono, F Baino, F Boccafoschi, I Carmagnola, A M Ferreira-Duarte, I Pashkuleva, </w:t>
      </w:r>
      <w:r w:rsidRPr="00A46EBA">
        <w:rPr>
          <w:rFonts w:ascii="Arial" w:hAnsi="Arial" w:cs="Arial"/>
          <w:b/>
          <w:bCs/>
          <w:sz w:val="24"/>
          <w:szCs w:val="24"/>
          <w:lang w:val="it-IT"/>
        </w:rPr>
        <w:t>C Mattu</w:t>
      </w:r>
      <w:r w:rsidRPr="00A46EBA">
        <w:rPr>
          <w:rFonts w:ascii="Arial" w:hAnsi="Arial" w:cs="Arial"/>
          <w:bCs/>
          <w:sz w:val="24"/>
          <w:szCs w:val="24"/>
          <w:lang w:val="it-IT"/>
        </w:rPr>
        <w:t xml:space="preserve">, L R Reis, C Vitale-Brovarone, G Georgiev, and G Ciardelli. </w:t>
      </w:r>
      <w:r w:rsidRPr="00A46EBA">
        <w:rPr>
          <w:rFonts w:ascii="Arial" w:hAnsi="Arial" w:cs="Arial"/>
          <w:bCs/>
          <w:sz w:val="24"/>
          <w:szCs w:val="24"/>
          <w:lang w:val="en-US"/>
        </w:rPr>
        <w:t xml:space="preserve">“Engineering of bioactive polymeric or composite scaffolds for bone tissue regeneration”; </w:t>
      </w:r>
    </w:p>
    <w:p w:rsidR="00387A07" w:rsidRPr="00A46EBA" w:rsidRDefault="00387A07" w:rsidP="00387A07">
      <w:pPr>
        <w:suppressAutoHyphens/>
        <w:autoSpaceDE w:val="0"/>
        <w:spacing w:after="0" w:line="240" w:lineRule="auto"/>
        <w:jc w:val="both"/>
        <w:rPr>
          <w:rFonts w:ascii="Arial" w:hAnsi="Arial" w:cs="Arial"/>
          <w:bCs/>
          <w:sz w:val="24"/>
          <w:szCs w:val="24"/>
          <w:lang w:val="en-US"/>
        </w:rPr>
      </w:pPr>
    </w:p>
    <w:p w:rsidR="00387A07" w:rsidRPr="00A46EBA" w:rsidRDefault="00387A07" w:rsidP="00387A07">
      <w:pPr>
        <w:suppressAutoHyphens/>
        <w:autoSpaceDE w:val="0"/>
        <w:spacing w:after="0" w:line="240" w:lineRule="auto"/>
        <w:jc w:val="both"/>
        <w:rPr>
          <w:rFonts w:ascii="Arial" w:hAnsi="Arial" w:cs="Arial"/>
          <w:bCs/>
          <w:sz w:val="24"/>
          <w:szCs w:val="24"/>
          <w:lang w:val="en-US"/>
        </w:rPr>
      </w:pPr>
      <w:r w:rsidRPr="00A46EBA">
        <w:rPr>
          <w:rFonts w:ascii="Arial" w:hAnsi="Arial" w:cs="Arial"/>
          <w:bCs/>
          <w:sz w:val="24"/>
          <w:szCs w:val="24"/>
          <w:lang w:val="it-IT"/>
        </w:rPr>
        <w:t xml:space="preserve">A M Ferreira-Duarte, V Chiono, I Carmagnola, P Gentile, </w:t>
      </w:r>
      <w:r w:rsidRPr="00A46EBA">
        <w:rPr>
          <w:rFonts w:ascii="Arial" w:hAnsi="Arial" w:cs="Arial"/>
          <w:b/>
          <w:bCs/>
          <w:sz w:val="24"/>
          <w:szCs w:val="24"/>
          <w:lang w:val="it-IT"/>
        </w:rPr>
        <w:t>C Mattu</w:t>
      </w:r>
      <w:r w:rsidRPr="00A46EBA">
        <w:rPr>
          <w:rFonts w:ascii="Arial" w:hAnsi="Arial" w:cs="Arial"/>
          <w:bCs/>
          <w:sz w:val="24"/>
          <w:szCs w:val="24"/>
          <w:lang w:val="it-IT"/>
        </w:rPr>
        <w:t xml:space="preserve">, and G Ciardelli. </w:t>
      </w:r>
      <w:r w:rsidRPr="00A46EBA">
        <w:rPr>
          <w:rFonts w:ascii="Arial" w:hAnsi="Arial" w:cs="Arial"/>
          <w:bCs/>
          <w:sz w:val="24"/>
          <w:szCs w:val="24"/>
          <w:lang w:val="en-US"/>
        </w:rPr>
        <w:t xml:space="preserve">“Surface modification of silicone prostheses by plasma treatment for further grafting with Chitosan-Rose Bengal”; </w:t>
      </w:r>
    </w:p>
    <w:p w:rsidR="00387A07" w:rsidRPr="00A46EBA" w:rsidRDefault="00387A07" w:rsidP="00387A07">
      <w:pPr>
        <w:suppressAutoHyphens/>
        <w:autoSpaceDE w:val="0"/>
        <w:spacing w:after="0" w:line="240" w:lineRule="auto"/>
        <w:jc w:val="both"/>
        <w:rPr>
          <w:rFonts w:ascii="Arial" w:hAnsi="Arial" w:cs="Arial"/>
          <w:bCs/>
          <w:sz w:val="24"/>
          <w:szCs w:val="24"/>
          <w:lang w:val="en-US"/>
        </w:rPr>
      </w:pPr>
    </w:p>
    <w:p w:rsidR="00387A07" w:rsidRPr="00A46EBA" w:rsidRDefault="00387A07" w:rsidP="00387A07">
      <w:pPr>
        <w:suppressAutoHyphens/>
        <w:autoSpaceDE w:val="0"/>
        <w:spacing w:after="0" w:line="240" w:lineRule="auto"/>
        <w:jc w:val="both"/>
        <w:rPr>
          <w:rFonts w:ascii="Arial" w:hAnsi="Arial" w:cs="Arial"/>
          <w:bCs/>
          <w:sz w:val="24"/>
          <w:szCs w:val="24"/>
          <w:lang w:val="it-IT"/>
        </w:rPr>
      </w:pPr>
      <w:r w:rsidRPr="00A46EBA">
        <w:rPr>
          <w:rFonts w:ascii="Arial" w:hAnsi="Arial" w:cs="Arial"/>
          <w:bCs/>
          <w:sz w:val="24"/>
          <w:szCs w:val="24"/>
          <w:lang w:val="it-IT"/>
        </w:rPr>
        <w:t>A Gambino, C Tonda-Turo, V Chiono,</w:t>
      </w:r>
      <w:r w:rsidRPr="00A46EBA">
        <w:rPr>
          <w:rFonts w:ascii="Arial" w:hAnsi="Arial" w:cs="Arial"/>
          <w:b/>
          <w:bCs/>
          <w:sz w:val="24"/>
          <w:szCs w:val="24"/>
          <w:lang w:val="it-IT"/>
        </w:rPr>
        <w:t xml:space="preserve"> </w:t>
      </w:r>
      <w:r w:rsidRPr="00A46EBA">
        <w:rPr>
          <w:rFonts w:ascii="Arial" w:hAnsi="Arial" w:cs="Arial"/>
          <w:bCs/>
          <w:sz w:val="24"/>
          <w:szCs w:val="24"/>
          <w:lang w:val="it-IT"/>
        </w:rPr>
        <w:t xml:space="preserve">P Gentile, A Sacco, </w:t>
      </w:r>
      <w:r w:rsidRPr="00A46EBA">
        <w:rPr>
          <w:rFonts w:ascii="Arial" w:hAnsi="Arial" w:cs="Arial"/>
          <w:b/>
          <w:bCs/>
          <w:sz w:val="24"/>
          <w:szCs w:val="24"/>
          <w:lang w:val="it-IT"/>
        </w:rPr>
        <w:t>C Mattu</w:t>
      </w:r>
      <w:r w:rsidRPr="00A46EBA">
        <w:rPr>
          <w:rFonts w:ascii="Arial" w:hAnsi="Arial" w:cs="Arial"/>
          <w:bCs/>
          <w:sz w:val="24"/>
          <w:szCs w:val="24"/>
          <w:lang w:val="it-IT"/>
        </w:rPr>
        <w:t xml:space="preserve">, and G Ciardelli. “Chitosan porous biocompatible membranes for peripheral nerve regeneration”; </w:t>
      </w:r>
    </w:p>
    <w:p w:rsidR="00387A07" w:rsidRPr="00A46EBA" w:rsidRDefault="00387A07" w:rsidP="00387A07">
      <w:pPr>
        <w:suppressAutoHyphens/>
        <w:autoSpaceDE w:val="0"/>
        <w:spacing w:after="0" w:line="240" w:lineRule="auto"/>
        <w:jc w:val="both"/>
        <w:rPr>
          <w:rFonts w:ascii="Arial" w:hAnsi="Arial" w:cs="Arial"/>
          <w:bCs/>
          <w:sz w:val="24"/>
          <w:szCs w:val="24"/>
          <w:lang w:val="it-IT"/>
        </w:rPr>
      </w:pPr>
    </w:p>
    <w:p w:rsidR="00387A07" w:rsidRPr="00A46EBA" w:rsidRDefault="00387A07" w:rsidP="00387A07">
      <w:pPr>
        <w:suppressAutoHyphens/>
        <w:autoSpaceDE w:val="0"/>
        <w:spacing w:after="0" w:line="240" w:lineRule="auto"/>
        <w:jc w:val="both"/>
        <w:rPr>
          <w:rFonts w:ascii="Arial" w:hAnsi="Arial" w:cs="Arial"/>
          <w:bCs/>
          <w:sz w:val="24"/>
          <w:szCs w:val="24"/>
          <w:lang w:val="en-US"/>
        </w:rPr>
      </w:pPr>
      <w:r w:rsidRPr="00A46EBA">
        <w:rPr>
          <w:rFonts w:ascii="Arial" w:hAnsi="Arial" w:cs="Arial"/>
          <w:bCs/>
          <w:sz w:val="24"/>
          <w:szCs w:val="24"/>
          <w:lang w:val="it-IT"/>
        </w:rPr>
        <w:t xml:space="preserve">I Carmagnola, V Chiono, P Gentile, A M Ferreira-Duarte, </w:t>
      </w:r>
      <w:r w:rsidRPr="00A46EBA">
        <w:rPr>
          <w:rFonts w:ascii="Arial" w:hAnsi="Arial" w:cs="Arial"/>
          <w:b/>
          <w:bCs/>
          <w:sz w:val="24"/>
          <w:szCs w:val="24"/>
          <w:lang w:val="it-IT"/>
        </w:rPr>
        <w:t>C Mattu</w:t>
      </w:r>
      <w:r w:rsidRPr="00A46EBA">
        <w:rPr>
          <w:rFonts w:ascii="Arial" w:hAnsi="Arial" w:cs="Arial"/>
          <w:bCs/>
          <w:sz w:val="24"/>
          <w:szCs w:val="24"/>
          <w:lang w:val="it-IT"/>
        </w:rPr>
        <w:t xml:space="preserve">, I Pashkuleva, L R Reis, G Georgiev, and G Ciardelli. </w:t>
      </w:r>
      <w:r w:rsidRPr="00A46EBA">
        <w:rPr>
          <w:rFonts w:ascii="Arial" w:hAnsi="Arial" w:cs="Arial"/>
          <w:bCs/>
          <w:sz w:val="24"/>
          <w:szCs w:val="24"/>
          <w:lang w:val="en-US"/>
        </w:rPr>
        <w:t xml:space="preserve">“Nanostructured coating via Layer-by-layer of photoactive polymers for tissue engineering”; </w:t>
      </w:r>
    </w:p>
    <w:p w:rsidR="00387A07" w:rsidRPr="00A46EBA" w:rsidRDefault="00387A07" w:rsidP="00387A07">
      <w:pPr>
        <w:suppressAutoHyphens/>
        <w:autoSpaceDE w:val="0"/>
        <w:spacing w:after="0" w:line="240" w:lineRule="auto"/>
        <w:jc w:val="both"/>
        <w:rPr>
          <w:rFonts w:ascii="Arial" w:hAnsi="Arial" w:cs="Arial"/>
          <w:bCs/>
          <w:sz w:val="24"/>
          <w:szCs w:val="24"/>
          <w:lang w:val="en-US"/>
        </w:rPr>
      </w:pPr>
    </w:p>
    <w:p w:rsidR="00387A07" w:rsidRPr="00A46EBA" w:rsidRDefault="00387A07" w:rsidP="00387A07">
      <w:pPr>
        <w:suppressAutoHyphens/>
        <w:autoSpaceDE w:val="0"/>
        <w:spacing w:after="0" w:line="240" w:lineRule="auto"/>
        <w:jc w:val="both"/>
        <w:rPr>
          <w:rFonts w:ascii="Arial" w:hAnsi="Arial" w:cs="Arial"/>
          <w:bCs/>
          <w:sz w:val="24"/>
          <w:szCs w:val="24"/>
          <w:lang w:val="en-US"/>
        </w:rPr>
      </w:pPr>
      <w:r w:rsidRPr="00A46EBA">
        <w:rPr>
          <w:rFonts w:ascii="Arial" w:hAnsi="Arial" w:cs="Arial"/>
          <w:bCs/>
          <w:sz w:val="24"/>
          <w:szCs w:val="24"/>
          <w:lang w:val="it-IT"/>
        </w:rPr>
        <w:t xml:space="preserve">V K Nandagiri, P Gentile, V Chiono, </w:t>
      </w:r>
      <w:r w:rsidRPr="00A46EBA">
        <w:rPr>
          <w:rFonts w:ascii="Arial" w:hAnsi="Arial" w:cs="Arial"/>
          <w:b/>
          <w:bCs/>
          <w:sz w:val="24"/>
          <w:szCs w:val="24"/>
          <w:lang w:val="it-IT"/>
        </w:rPr>
        <w:t>C Mattu</w:t>
      </w:r>
      <w:r w:rsidRPr="00A46EBA">
        <w:rPr>
          <w:rFonts w:ascii="Arial" w:hAnsi="Arial" w:cs="Arial"/>
          <w:bCs/>
          <w:sz w:val="24"/>
          <w:szCs w:val="24"/>
          <w:lang w:val="it-IT"/>
        </w:rPr>
        <w:t xml:space="preserve">, G Ciardelli, F M Montevecchi, and Z Ramtoola. </w:t>
      </w:r>
      <w:r w:rsidRPr="00A46EBA">
        <w:rPr>
          <w:rFonts w:ascii="Arial" w:hAnsi="Arial" w:cs="Arial"/>
          <w:bCs/>
          <w:sz w:val="24"/>
          <w:szCs w:val="24"/>
          <w:lang w:val="en-US"/>
        </w:rPr>
        <w:t xml:space="preserve">“Porous chitosan-gelatin scaffolds embedded with PLGA nanoparticles for bone repair”; </w:t>
      </w:r>
    </w:p>
    <w:p w:rsidR="00387A07" w:rsidRPr="00A46EBA" w:rsidRDefault="00387A07" w:rsidP="00387A07">
      <w:pPr>
        <w:suppressAutoHyphens/>
        <w:autoSpaceDE w:val="0"/>
        <w:spacing w:after="0" w:line="240" w:lineRule="auto"/>
        <w:jc w:val="both"/>
        <w:rPr>
          <w:rFonts w:ascii="Arial" w:hAnsi="Arial" w:cs="Arial"/>
          <w:bCs/>
          <w:sz w:val="24"/>
          <w:szCs w:val="24"/>
          <w:lang w:val="en-US"/>
        </w:rPr>
      </w:pPr>
    </w:p>
    <w:p w:rsidR="00387A07" w:rsidRPr="00A46EBA" w:rsidRDefault="00387A07" w:rsidP="00387A07">
      <w:pPr>
        <w:suppressAutoHyphens/>
        <w:autoSpaceDE w:val="0"/>
        <w:spacing w:after="0" w:line="240" w:lineRule="auto"/>
        <w:jc w:val="both"/>
        <w:rPr>
          <w:rFonts w:ascii="Arial" w:hAnsi="Arial" w:cs="Arial"/>
          <w:sz w:val="24"/>
          <w:szCs w:val="24"/>
          <w:lang w:val="en-US"/>
        </w:rPr>
      </w:pPr>
      <w:r w:rsidRPr="00A46EBA">
        <w:rPr>
          <w:rFonts w:ascii="Arial" w:hAnsi="Arial" w:cs="Arial"/>
          <w:sz w:val="24"/>
          <w:szCs w:val="24"/>
          <w:lang w:val="it-IT"/>
        </w:rPr>
        <w:lastRenderedPageBreak/>
        <w:t xml:space="preserve">A.Silvestri, S. Sartori, P.M. Serafini, P. Ferrando, </w:t>
      </w:r>
      <w:r w:rsidRPr="00A46EBA">
        <w:rPr>
          <w:rFonts w:ascii="Arial" w:hAnsi="Arial" w:cs="Arial"/>
          <w:b/>
          <w:sz w:val="24"/>
          <w:szCs w:val="24"/>
          <w:lang w:val="it-IT"/>
        </w:rPr>
        <w:t>C. Mattu</w:t>
      </w:r>
      <w:r w:rsidRPr="00A46EBA">
        <w:rPr>
          <w:rFonts w:ascii="Arial" w:hAnsi="Arial" w:cs="Arial"/>
          <w:sz w:val="24"/>
          <w:szCs w:val="24"/>
          <w:lang w:val="it-IT"/>
        </w:rPr>
        <w:t xml:space="preserve">, S. Milione, G. Ciardelli. </w:t>
      </w:r>
      <w:r w:rsidRPr="00A46EBA">
        <w:rPr>
          <w:rFonts w:ascii="Arial" w:hAnsi="Arial" w:cs="Arial"/>
          <w:sz w:val="24"/>
          <w:szCs w:val="24"/>
          <w:lang w:val="en-US"/>
        </w:rPr>
        <w:t xml:space="preserve">“Polysiloxane based polyurethane formulations for cardiovascular applications” </w:t>
      </w:r>
      <w:r w:rsidRPr="00A46EBA">
        <w:rPr>
          <w:rFonts w:ascii="Arial" w:hAnsi="Arial" w:cs="Arial"/>
          <w:bCs/>
          <w:sz w:val="24"/>
          <w:szCs w:val="24"/>
          <w:lang w:val="en-US"/>
        </w:rPr>
        <w:t xml:space="preserve">(2010). In: GNB -  Second National Congress of Bioengineering, Turin, Italy </w:t>
      </w:r>
    </w:p>
    <w:p w:rsidR="00387A07" w:rsidRPr="00A46EBA" w:rsidRDefault="00387A07" w:rsidP="00387A07">
      <w:pPr>
        <w:autoSpaceDE w:val="0"/>
        <w:autoSpaceDN w:val="0"/>
        <w:adjustRightInd w:val="0"/>
        <w:spacing w:before="240" w:after="0" w:line="240" w:lineRule="auto"/>
        <w:jc w:val="both"/>
        <w:rPr>
          <w:rFonts w:ascii="Arial" w:hAnsi="Arial" w:cs="Arial"/>
          <w:color w:val="111111"/>
          <w:sz w:val="24"/>
          <w:szCs w:val="24"/>
          <w:lang w:val="en-US"/>
        </w:rPr>
      </w:pPr>
      <w:r w:rsidRPr="00A46EBA">
        <w:rPr>
          <w:rFonts w:ascii="Arial" w:hAnsi="Arial" w:cs="Arial"/>
          <w:bCs/>
          <w:sz w:val="24"/>
          <w:szCs w:val="24"/>
          <w:lang w:val="it-IT"/>
        </w:rPr>
        <w:t xml:space="preserve">A Gambino, A Sacco, C Tonda-Turo, V Chiono, P Gentile, </w:t>
      </w:r>
      <w:r w:rsidRPr="00A46EBA">
        <w:rPr>
          <w:rFonts w:ascii="Arial" w:hAnsi="Arial" w:cs="Arial"/>
          <w:b/>
          <w:bCs/>
          <w:sz w:val="24"/>
          <w:szCs w:val="24"/>
          <w:lang w:val="it-IT"/>
        </w:rPr>
        <w:t>C Mattu</w:t>
      </w:r>
      <w:r w:rsidRPr="00A46EBA">
        <w:rPr>
          <w:rFonts w:ascii="Arial" w:hAnsi="Arial" w:cs="Arial"/>
          <w:bCs/>
          <w:sz w:val="24"/>
          <w:szCs w:val="24"/>
          <w:lang w:val="it-IT"/>
        </w:rPr>
        <w:t xml:space="preserve">, and G Ciardelli. </w:t>
      </w:r>
      <w:r w:rsidRPr="00A46EBA">
        <w:rPr>
          <w:rFonts w:ascii="Arial" w:hAnsi="Arial" w:cs="Arial"/>
          <w:bCs/>
          <w:sz w:val="24"/>
          <w:szCs w:val="24"/>
          <w:lang w:val="en-US"/>
        </w:rPr>
        <w:t xml:space="preserve">“Chitosan porous membranesas nerve guides” (2010). In: CIMTEC -  5th Forum New Materials, Montecatini Terme, Italy </w:t>
      </w:r>
    </w:p>
    <w:p w:rsidR="00387A07" w:rsidRPr="00A46EBA" w:rsidRDefault="00387A07" w:rsidP="00387A07">
      <w:pPr>
        <w:autoSpaceDE w:val="0"/>
        <w:autoSpaceDN w:val="0"/>
        <w:adjustRightInd w:val="0"/>
        <w:spacing w:before="240" w:after="0" w:line="240" w:lineRule="auto"/>
        <w:jc w:val="both"/>
        <w:rPr>
          <w:rFonts w:ascii="Arial" w:hAnsi="Arial" w:cs="Arial"/>
          <w:color w:val="111111"/>
          <w:sz w:val="24"/>
          <w:szCs w:val="24"/>
          <w:lang w:val="en-US"/>
        </w:rPr>
      </w:pPr>
      <w:r w:rsidRPr="00A46EBA">
        <w:rPr>
          <w:rFonts w:ascii="Arial" w:hAnsi="Arial" w:cs="Arial"/>
          <w:color w:val="111111"/>
          <w:sz w:val="24"/>
          <w:szCs w:val="24"/>
          <w:lang w:val="it-IT"/>
        </w:rPr>
        <w:t xml:space="preserve">A. Silvestri, S. Sartori, P. Serafini, P. Ferrando, </w:t>
      </w:r>
      <w:r w:rsidRPr="00A46EBA">
        <w:rPr>
          <w:rFonts w:ascii="Arial" w:hAnsi="Arial" w:cs="Arial"/>
          <w:b/>
          <w:color w:val="111111"/>
          <w:sz w:val="24"/>
          <w:szCs w:val="24"/>
          <w:lang w:val="it-IT"/>
        </w:rPr>
        <w:t>C. Mattu</w:t>
      </w:r>
      <w:r w:rsidRPr="00A46EBA">
        <w:rPr>
          <w:rFonts w:ascii="Arial" w:hAnsi="Arial" w:cs="Arial"/>
          <w:color w:val="111111"/>
          <w:sz w:val="24"/>
          <w:szCs w:val="24"/>
          <w:lang w:val="it-IT"/>
        </w:rPr>
        <w:t xml:space="preserve">, S. Milione, F. Boccafoschi, G. Ciardelli. </w:t>
      </w:r>
      <w:r w:rsidRPr="00A46EBA">
        <w:rPr>
          <w:rFonts w:ascii="Arial" w:hAnsi="Arial" w:cs="Arial"/>
          <w:color w:val="111111"/>
          <w:sz w:val="24"/>
          <w:szCs w:val="24"/>
          <w:lang w:val="en-US"/>
        </w:rPr>
        <w:t xml:space="preserve">“Silicone Containing Biomaterials in Cardiovascular Application” (2010). In: 5th International Conference on Times of Polymers (TOP) and Composites, June 20-23 2010 , Ischia (Italy). </w:t>
      </w:r>
    </w:p>
    <w:p w:rsidR="00387A07" w:rsidRPr="00A46EBA" w:rsidRDefault="00387A07" w:rsidP="00387A07">
      <w:pPr>
        <w:autoSpaceDE w:val="0"/>
        <w:autoSpaceDN w:val="0"/>
        <w:adjustRightInd w:val="0"/>
        <w:spacing w:before="240" w:after="0" w:line="240" w:lineRule="auto"/>
        <w:jc w:val="both"/>
        <w:rPr>
          <w:rFonts w:ascii="Arial" w:hAnsi="Arial" w:cs="Arial"/>
          <w:color w:val="111111"/>
          <w:sz w:val="24"/>
          <w:szCs w:val="24"/>
          <w:lang w:val="it-IT"/>
        </w:rPr>
      </w:pPr>
      <w:r w:rsidRPr="00A46EBA">
        <w:rPr>
          <w:rFonts w:ascii="Arial" w:hAnsi="Arial" w:cs="Arial"/>
          <w:bCs/>
          <w:sz w:val="24"/>
          <w:szCs w:val="24"/>
          <w:lang w:val="it-IT"/>
        </w:rPr>
        <w:t xml:space="preserve">P Gentile, V K Nandagiri, C Tonda-Turo, V Chiono, </w:t>
      </w:r>
      <w:r w:rsidRPr="00A46EBA">
        <w:rPr>
          <w:rFonts w:ascii="Arial" w:hAnsi="Arial" w:cs="Arial"/>
          <w:b/>
          <w:bCs/>
          <w:sz w:val="24"/>
          <w:szCs w:val="24"/>
          <w:lang w:val="it-IT"/>
        </w:rPr>
        <w:t>C Mattu</w:t>
      </w:r>
      <w:r w:rsidRPr="00A46EBA">
        <w:rPr>
          <w:rFonts w:ascii="Arial" w:hAnsi="Arial" w:cs="Arial"/>
          <w:bCs/>
          <w:sz w:val="24"/>
          <w:szCs w:val="24"/>
          <w:lang w:val="it-IT"/>
        </w:rPr>
        <w:t xml:space="preserve">, L Ruo, and G Ciardelli. </w:t>
      </w:r>
      <w:r w:rsidRPr="00A46EBA">
        <w:rPr>
          <w:rFonts w:ascii="Arial" w:hAnsi="Arial" w:cs="Arial"/>
          <w:bCs/>
          <w:sz w:val="24"/>
          <w:szCs w:val="24"/>
          <w:lang w:val="en-US"/>
        </w:rPr>
        <w:t xml:space="preserve">“Bioactive and resorbable glass/gelatin composite scaffolds for bone tissue engineering” (2009). </w:t>
      </w:r>
      <w:r w:rsidRPr="00A46EBA">
        <w:rPr>
          <w:rFonts w:ascii="Arial" w:hAnsi="Arial" w:cs="Arial"/>
          <w:bCs/>
          <w:sz w:val="24"/>
          <w:szCs w:val="24"/>
          <w:lang w:val="it-IT"/>
        </w:rPr>
        <w:t xml:space="preserve">In: 22nd European Conference on Biomaterials, Lausanne, Switzerland </w:t>
      </w:r>
    </w:p>
    <w:p w:rsidR="00387A07" w:rsidRPr="00A46EBA" w:rsidRDefault="00387A07" w:rsidP="00387A07">
      <w:pPr>
        <w:autoSpaceDE w:val="0"/>
        <w:autoSpaceDN w:val="0"/>
        <w:adjustRightInd w:val="0"/>
        <w:spacing w:before="240" w:after="0" w:line="240" w:lineRule="auto"/>
        <w:jc w:val="both"/>
        <w:rPr>
          <w:rFonts w:ascii="Arial" w:hAnsi="Arial" w:cs="Arial"/>
          <w:bCs/>
          <w:sz w:val="24"/>
          <w:szCs w:val="24"/>
          <w:lang w:val="en-US"/>
        </w:rPr>
      </w:pPr>
      <w:r w:rsidRPr="00A46EBA">
        <w:rPr>
          <w:rFonts w:ascii="Arial" w:hAnsi="Arial" w:cs="Arial"/>
          <w:color w:val="111111"/>
          <w:sz w:val="24"/>
          <w:szCs w:val="24"/>
          <w:lang w:val="it-IT"/>
        </w:rPr>
        <w:t xml:space="preserve">A. Rechichi, A. Silvestri, P. Serafini, </w:t>
      </w:r>
      <w:r w:rsidRPr="00A46EBA">
        <w:rPr>
          <w:rFonts w:ascii="Arial" w:hAnsi="Arial" w:cs="Arial"/>
          <w:b/>
          <w:color w:val="111111"/>
          <w:sz w:val="24"/>
          <w:szCs w:val="24"/>
          <w:lang w:val="it-IT"/>
        </w:rPr>
        <w:t>C. Mattu</w:t>
      </w:r>
      <w:r w:rsidRPr="00A46EBA">
        <w:rPr>
          <w:rFonts w:ascii="Arial" w:hAnsi="Arial" w:cs="Arial"/>
          <w:color w:val="111111"/>
          <w:sz w:val="24"/>
          <w:szCs w:val="24"/>
          <w:lang w:val="it-IT"/>
        </w:rPr>
        <w:t xml:space="preserve">, R. Li, V. K. Nandagiri, G. Ciardelli. </w:t>
      </w:r>
      <w:r w:rsidRPr="00A46EBA">
        <w:rPr>
          <w:rFonts w:ascii="Arial" w:hAnsi="Arial" w:cs="Arial"/>
          <w:color w:val="111111"/>
          <w:sz w:val="24"/>
          <w:szCs w:val="24"/>
          <w:lang w:val="en-US"/>
        </w:rPr>
        <w:t>“</w:t>
      </w:r>
      <w:r w:rsidRPr="00A46EBA">
        <w:rPr>
          <w:rStyle w:val="Enfasicorsivo"/>
          <w:rFonts w:ascii="Arial" w:hAnsi="Arial" w:cs="Arial"/>
          <w:bCs/>
          <w:sz w:val="24"/>
          <w:szCs w:val="24"/>
          <w:lang w:val="en-US"/>
        </w:rPr>
        <w:t>Biodegradable polymeric particles for cancer treatment and regenerative medicine”</w:t>
      </w:r>
      <w:r w:rsidRPr="00A46EBA">
        <w:rPr>
          <w:rFonts w:ascii="Arial" w:hAnsi="Arial" w:cs="Arial"/>
          <w:color w:val="111111"/>
          <w:sz w:val="24"/>
          <w:szCs w:val="24"/>
          <w:lang w:val="en-US"/>
        </w:rPr>
        <w:t xml:space="preserve"> (2009). In COST Action 868 Biotechnical Biopolymers in Textile, Packaging, Cosmetics and Medical Applications, May 18-19 2009, ISOLA D'ELBA (ITALY). </w:t>
      </w:r>
    </w:p>
    <w:p w:rsidR="00387A07" w:rsidRPr="00A46EBA" w:rsidRDefault="00387A07" w:rsidP="00387A07">
      <w:pPr>
        <w:autoSpaceDE w:val="0"/>
        <w:autoSpaceDN w:val="0"/>
        <w:adjustRightInd w:val="0"/>
        <w:spacing w:after="0" w:line="240" w:lineRule="auto"/>
        <w:jc w:val="both"/>
        <w:outlineLvl w:val="0"/>
        <w:rPr>
          <w:rFonts w:ascii="Arial" w:hAnsi="Arial" w:cs="Arial"/>
          <w:bCs/>
          <w:sz w:val="24"/>
          <w:szCs w:val="24"/>
          <w:lang w:val="en-US"/>
        </w:rPr>
      </w:pPr>
      <w:r w:rsidRPr="00A46EBA">
        <w:rPr>
          <w:rFonts w:ascii="Arial" w:hAnsi="Arial" w:cs="Arial"/>
          <w:bCs/>
          <w:sz w:val="24"/>
          <w:szCs w:val="24"/>
          <w:lang w:val="en-US"/>
        </w:rPr>
        <w:t xml:space="preserve"> </w:t>
      </w:r>
    </w:p>
    <w:p w:rsidR="00387A07" w:rsidRPr="00A46EBA" w:rsidRDefault="00387A07" w:rsidP="00387A07">
      <w:pPr>
        <w:autoSpaceDE w:val="0"/>
        <w:autoSpaceDN w:val="0"/>
        <w:adjustRightInd w:val="0"/>
        <w:spacing w:after="0" w:line="240" w:lineRule="auto"/>
        <w:jc w:val="center"/>
        <w:outlineLvl w:val="0"/>
        <w:rPr>
          <w:rFonts w:ascii="Arial" w:hAnsi="Arial" w:cs="Arial"/>
          <w:b/>
          <w:bCs/>
          <w:sz w:val="24"/>
          <w:szCs w:val="24"/>
          <w:lang w:val="it-IT"/>
        </w:rPr>
      </w:pPr>
      <w:r w:rsidRPr="00A46EBA">
        <w:rPr>
          <w:rFonts w:ascii="Arial" w:hAnsi="Arial" w:cs="Arial"/>
          <w:b/>
          <w:bCs/>
          <w:sz w:val="24"/>
          <w:szCs w:val="24"/>
          <w:lang w:val="it-IT"/>
        </w:rPr>
        <w:t>PATENTS</w:t>
      </w:r>
    </w:p>
    <w:p w:rsidR="00387A07" w:rsidRPr="00A46EBA" w:rsidRDefault="00387A07" w:rsidP="00387A07">
      <w:pPr>
        <w:autoSpaceDE w:val="0"/>
        <w:autoSpaceDN w:val="0"/>
        <w:adjustRightInd w:val="0"/>
        <w:spacing w:after="0" w:line="240" w:lineRule="auto"/>
        <w:jc w:val="both"/>
        <w:rPr>
          <w:rFonts w:ascii="Arial" w:hAnsi="Arial" w:cs="Arial"/>
          <w:b/>
          <w:bCs/>
          <w:sz w:val="24"/>
          <w:szCs w:val="24"/>
          <w:lang w:val="it-IT"/>
        </w:rPr>
      </w:pPr>
    </w:p>
    <w:p w:rsidR="00387A07" w:rsidRPr="00A46EBA" w:rsidRDefault="00387A07" w:rsidP="00387A07">
      <w:pPr>
        <w:autoSpaceDE w:val="0"/>
        <w:autoSpaceDN w:val="0"/>
        <w:adjustRightInd w:val="0"/>
        <w:spacing w:after="0" w:line="240" w:lineRule="auto"/>
        <w:jc w:val="both"/>
        <w:rPr>
          <w:rFonts w:ascii="Arial" w:hAnsi="Arial" w:cs="Arial"/>
          <w:bCs/>
          <w:sz w:val="24"/>
          <w:szCs w:val="24"/>
          <w:lang w:val="en-US"/>
        </w:rPr>
      </w:pPr>
      <w:r w:rsidRPr="00A46EBA">
        <w:rPr>
          <w:rFonts w:ascii="Arial" w:hAnsi="Arial" w:cs="Arial"/>
          <w:bCs/>
          <w:sz w:val="24"/>
          <w:szCs w:val="24"/>
          <w:lang w:val="it-IT"/>
        </w:rPr>
        <w:t xml:space="preserve">G Ciardelli, P Gentile, C Tonda Turo, V Chiono, </w:t>
      </w:r>
      <w:r w:rsidRPr="00A46EBA">
        <w:rPr>
          <w:rFonts w:ascii="Arial" w:hAnsi="Arial" w:cs="Arial"/>
          <w:b/>
          <w:bCs/>
          <w:sz w:val="24"/>
          <w:szCs w:val="24"/>
          <w:lang w:val="it-IT"/>
        </w:rPr>
        <w:t>C. Mattu</w:t>
      </w:r>
      <w:r w:rsidRPr="00A46EBA">
        <w:rPr>
          <w:rFonts w:ascii="Arial" w:hAnsi="Arial" w:cs="Arial"/>
          <w:bCs/>
          <w:sz w:val="24"/>
          <w:szCs w:val="24"/>
          <w:lang w:val="it-IT"/>
        </w:rPr>
        <w:t xml:space="preserve">, A.M. Ferreira-Duarte. </w:t>
      </w:r>
      <w:r w:rsidRPr="00A46EBA">
        <w:rPr>
          <w:rFonts w:ascii="Arial" w:hAnsi="Arial" w:cs="Arial"/>
          <w:bCs/>
          <w:sz w:val="24"/>
          <w:szCs w:val="24"/>
          <w:lang w:val="en-US"/>
        </w:rPr>
        <w:t>“B</w:t>
      </w:r>
      <w:r w:rsidRPr="00A46EBA">
        <w:rPr>
          <w:rFonts w:ascii="Arial" w:hAnsi="Arial" w:cs="Arial"/>
          <w:sz w:val="24"/>
          <w:szCs w:val="24"/>
          <w:lang w:val="en-US"/>
        </w:rPr>
        <w:t>iomimetic and biodegradable polymeric bone cements for vertebroplasty</w:t>
      </w:r>
      <w:r w:rsidRPr="00A46EBA">
        <w:rPr>
          <w:rFonts w:ascii="Arial" w:hAnsi="Arial" w:cs="Arial"/>
          <w:bCs/>
          <w:sz w:val="24"/>
          <w:szCs w:val="24"/>
          <w:lang w:val="en-US"/>
        </w:rPr>
        <w:t>” Italian Patent number TO2011A000549, issued Jun. 23, 2011.</w:t>
      </w:r>
    </w:p>
    <w:p w:rsidR="00387A07" w:rsidRPr="00A46EBA" w:rsidRDefault="00387A07" w:rsidP="00387A07">
      <w:pPr>
        <w:autoSpaceDE w:val="0"/>
        <w:autoSpaceDN w:val="0"/>
        <w:adjustRightInd w:val="0"/>
        <w:spacing w:before="240" w:after="0" w:line="240" w:lineRule="auto"/>
        <w:jc w:val="both"/>
        <w:rPr>
          <w:rFonts w:ascii="Arial" w:hAnsi="Arial" w:cs="Arial"/>
          <w:bCs/>
          <w:sz w:val="24"/>
          <w:szCs w:val="24"/>
          <w:lang w:val="en-US"/>
        </w:rPr>
      </w:pPr>
    </w:p>
    <w:p w:rsidR="00387A07" w:rsidRPr="00A46EBA" w:rsidRDefault="00387A07" w:rsidP="00387A07">
      <w:pPr>
        <w:autoSpaceDE w:val="0"/>
        <w:autoSpaceDN w:val="0"/>
        <w:adjustRightInd w:val="0"/>
        <w:spacing w:after="0"/>
        <w:jc w:val="both"/>
        <w:rPr>
          <w:rFonts w:ascii="Arial" w:hAnsi="Arial" w:cs="Arial"/>
          <w:b/>
          <w:bCs/>
          <w:sz w:val="24"/>
          <w:szCs w:val="24"/>
          <w:lang w:val="en-US"/>
        </w:rPr>
      </w:pPr>
    </w:p>
    <w:p w:rsidR="00387A07" w:rsidRPr="00A46EBA" w:rsidRDefault="00387A07" w:rsidP="00387A07">
      <w:pPr>
        <w:jc w:val="both"/>
        <w:rPr>
          <w:rFonts w:ascii="Arial" w:hAnsi="Arial" w:cs="Arial"/>
          <w:sz w:val="24"/>
          <w:szCs w:val="24"/>
          <w:lang w:val="en-US"/>
        </w:rPr>
      </w:pPr>
    </w:p>
    <w:p w:rsidR="00387A07" w:rsidRPr="00A46EBA" w:rsidRDefault="00387A07" w:rsidP="00387A07">
      <w:pPr>
        <w:jc w:val="both"/>
        <w:rPr>
          <w:rFonts w:ascii="Arial" w:hAnsi="Arial" w:cs="Arial"/>
          <w:sz w:val="24"/>
          <w:szCs w:val="24"/>
          <w:lang w:val="en-US"/>
        </w:rPr>
      </w:pPr>
    </w:p>
    <w:p w:rsidR="00387A07" w:rsidRPr="00A46EBA" w:rsidRDefault="00387A07" w:rsidP="00387A07">
      <w:pPr>
        <w:jc w:val="both"/>
        <w:rPr>
          <w:rFonts w:ascii="Arial" w:hAnsi="Arial" w:cs="Arial"/>
          <w:sz w:val="24"/>
          <w:szCs w:val="24"/>
          <w:lang w:val="en-US"/>
        </w:rPr>
      </w:pPr>
    </w:p>
    <w:p w:rsidR="00387A07" w:rsidRPr="00A46EBA" w:rsidRDefault="00387A07" w:rsidP="00387A07">
      <w:pPr>
        <w:jc w:val="both"/>
        <w:rPr>
          <w:rFonts w:ascii="Arial" w:hAnsi="Arial" w:cs="Arial"/>
          <w:sz w:val="24"/>
          <w:szCs w:val="24"/>
          <w:lang w:val="en-US"/>
        </w:rPr>
      </w:pPr>
    </w:p>
    <w:p w:rsidR="00387A07" w:rsidRPr="00A46EBA" w:rsidRDefault="00387A07" w:rsidP="00387A07">
      <w:pPr>
        <w:jc w:val="both"/>
        <w:rPr>
          <w:rFonts w:ascii="Arial" w:hAnsi="Arial" w:cs="Arial"/>
          <w:sz w:val="24"/>
          <w:szCs w:val="24"/>
          <w:lang w:val="en-US"/>
        </w:rPr>
      </w:pPr>
    </w:p>
    <w:p w:rsidR="00387A07" w:rsidRPr="00A46EBA" w:rsidRDefault="00387A07" w:rsidP="00387A07">
      <w:pPr>
        <w:jc w:val="both"/>
        <w:rPr>
          <w:rFonts w:ascii="Arial" w:hAnsi="Arial" w:cs="Arial"/>
          <w:sz w:val="24"/>
          <w:szCs w:val="24"/>
          <w:lang w:val="en-US"/>
        </w:rPr>
      </w:pPr>
    </w:p>
    <w:p w:rsidR="00387A07" w:rsidRDefault="00387A07" w:rsidP="00387A07">
      <w:pPr>
        <w:jc w:val="both"/>
        <w:rPr>
          <w:rFonts w:ascii="Arial" w:hAnsi="Arial" w:cs="Arial"/>
          <w:sz w:val="24"/>
          <w:szCs w:val="24"/>
          <w:lang w:val="en-US"/>
        </w:rPr>
      </w:pPr>
    </w:p>
    <w:p w:rsidR="00387A07" w:rsidRDefault="00387A07" w:rsidP="00387A07">
      <w:pPr>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Default="00387A07" w:rsidP="00387A07">
      <w:pPr>
        <w:spacing w:after="0" w:line="360" w:lineRule="auto"/>
        <w:jc w:val="both"/>
        <w:rPr>
          <w:rFonts w:ascii="Arial" w:hAnsi="Arial" w:cs="Arial"/>
          <w:sz w:val="24"/>
          <w:szCs w:val="24"/>
          <w:lang w:val="en-US"/>
        </w:rPr>
      </w:pPr>
    </w:p>
    <w:p w:rsidR="00387A07" w:rsidRPr="00387A07" w:rsidRDefault="00387A07" w:rsidP="00387A07">
      <w:pPr>
        <w:spacing w:after="0" w:line="360" w:lineRule="auto"/>
        <w:jc w:val="both"/>
        <w:rPr>
          <w:rFonts w:ascii="Arial" w:hAnsi="Arial" w:cs="Arial"/>
          <w:sz w:val="24"/>
          <w:szCs w:val="24"/>
          <w:lang w:val="en-US"/>
        </w:rPr>
      </w:pPr>
    </w:p>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Default="00387A07"/>
    <w:p w:rsidR="00387A07" w:rsidRPr="00CD3216" w:rsidRDefault="00387A07" w:rsidP="00387A07">
      <w:pPr>
        <w:spacing w:after="240"/>
        <w:jc w:val="center"/>
        <w:rPr>
          <w:rFonts w:ascii="Arial" w:hAnsi="Arial" w:cs="Arial"/>
          <w:b/>
          <w:color w:val="1F497D" w:themeColor="text2"/>
          <w:sz w:val="36"/>
          <w:szCs w:val="36"/>
          <w:u w:val="single"/>
          <w:lang w:val="en-US"/>
        </w:rPr>
      </w:pPr>
      <w:r w:rsidRPr="00CD3216">
        <w:rPr>
          <w:rFonts w:ascii="Arial" w:hAnsi="Arial" w:cs="Arial"/>
          <w:b/>
          <w:color w:val="1F497D" w:themeColor="text2"/>
          <w:sz w:val="36"/>
          <w:szCs w:val="36"/>
          <w:u w:val="single"/>
          <w:lang w:val="en-US"/>
        </w:rPr>
        <w:t>Abstract</w:t>
      </w:r>
    </w:p>
    <w:p w:rsidR="00387A07" w:rsidRPr="00C93DB0" w:rsidRDefault="00387A07" w:rsidP="00387A07">
      <w:pPr>
        <w:pStyle w:val="Testonormale"/>
        <w:spacing w:line="360" w:lineRule="auto"/>
        <w:jc w:val="both"/>
        <w:outlineLvl w:val="0"/>
        <w:rPr>
          <w:rFonts w:ascii="Arial" w:hAnsi="Arial" w:cs="Arial"/>
          <w:sz w:val="24"/>
          <w:szCs w:val="24"/>
        </w:rPr>
      </w:pPr>
      <w:r w:rsidRPr="00F00BA7">
        <w:rPr>
          <w:rFonts w:ascii="Arial" w:hAnsi="Arial" w:cs="Arial"/>
          <w:sz w:val="24"/>
          <w:szCs w:val="24"/>
          <w:lang w:val="en-GB"/>
        </w:rPr>
        <w:t>Biodegradable polymeric nanoparticles</w:t>
      </w:r>
      <w:r>
        <w:rPr>
          <w:rFonts w:ascii="Arial" w:hAnsi="Arial" w:cs="Arial"/>
          <w:sz w:val="24"/>
          <w:szCs w:val="24"/>
          <w:lang w:val="en-GB"/>
        </w:rPr>
        <w:t xml:space="preserve"> (nps)</w:t>
      </w:r>
      <w:r w:rsidRPr="00F00BA7">
        <w:rPr>
          <w:rFonts w:ascii="Arial" w:hAnsi="Arial" w:cs="Arial"/>
          <w:sz w:val="24"/>
          <w:szCs w:val="24"/>
          <w:lang w:val="en-GB"/>
        </w:rPr>
        <w:t xml:space="preserve"> have shown to be promising forms for the delivery of a wide array of drug formulations</w:t>
      </w:r>
      <w:r>
        <w:rPr>
          <w:rFonts w:ascii="Arial" w:hAnsi="Arial" w:cs="Arial"/>
          <w:sz w:val="24"/>
          <w:szCs w:val="24"/>
          <w:lang w:val="en-GB"/>
        </w:rPr>
        <w:t>, because of their ability to: (i) increase the drug half-life in the blood stream, (ii) enhance the solubility of poorly-water soluble drugs, which represents the main obstacle to their efficient administration (iii) improve drug bioavailability and (iv) reduce systemic toxicity. These properties are of particular interest when dealing with deseases like cancer, since they offer the possibility to overcome toxicity and administration pro</w:t>
      </w:r>
      <w:r w:rsidRPr="00C93DB0">
        <w:rPr>
          <w:rFonts w:ascii="Arial" w:hAnsi="Arial" w:cs="Arial"/>
          <w:sz w:val="24"/>
          <w:szCs w:val="24"/>
        </w:rPr>
        <w:t>blems associated with traditional chemotherapy.</w:t>
      </w:r>
    </w:p>
    <w:p w:rsidR="00387A07" w:rsidRDefault="00387A07" w:rsidP="00387A07">
      <w:pPr>
        <w:pStyle w:val="Testonormale"/>
        <w:spacing w:line="360" w:lineRule="auto"/>
        <w:ind w:firstLine="284"/>
        <w:jc w:val="both"/>
        <w:outlineLvl w:val="0"/>
        <w:rPr>
          <w:rFonts w:ascii="Arial" w:hAnsi="Arial" w:cs="Arial"/>
          <w:sz w:val="24"/>
          <w:szCs w:val="24"/>
          <w:lang w:val="en-GB"/>
        </w:rPr>
      </w:pPr>
      <w:r>
        <w:rPr>
          <w:rFonts w:ascii="Arial" w:hAnsi="Arial" w:cs="Arial"/>
          <w:sz w:val="24"/>
          <w:szCs w:val="24"/>
          <w:lang w:val="en-GB"/>
        </w:rPr>
        <w:t>Moreover,</w:t>
      </w:r>
      <w:r w:rsidRPr="00F00BA7">
        <w:rPr>
          <w:rFonts w:ascii="Arial" w:hAnsi="Arial" w:cs="Arial"/>
          <w:sz w:val="24"/>
          <w:szCs w:val="24"/>
          <w:lang w:val="en-GB"/>
        </w:rPr>
        <w:t xml:space="preserve"> </w:t>
      </w:r>
      <w:r>
        <w:rPr>
          <w:rFonts w:ascii="Arial" w:hAnsi="Arial" w:cs="Arial"/>
          <w:sz w:val="24"/>
          <w:szCs w:val="24"/>
          <w:lang w:val="en-GB"/>
        </w:rPr>
        <w:t xml:space="preserve">polymeric </w:t>
      </w:r>
      <w:r w:rsidRPr="00F00BA7">
        <w:rPr>
          <w:rFonts w:ascii="Arial" w:hAnsi="Arial" w:cs="Arial"/>
          <w:sz w:val="24"/>
          <w:szCs w:val="24"/>
          <w:lang w:val="en-GB"/>
        </w:rPr>
        <w:t xml:space="preserve">nanoparticles </w:t>
      </w:r>
      <w:r>
        <w:rPr>
          <w:rFonts w:ascii="Arial" w:hAnsi="Arial" w:cs="Arial"/>
          <w:sz w:val="24"/>
          <w:szCs w:val="24"/>
          <w:lang w:val="en-GB"/>
        </w:rPr>
        <w:t>are able</w:t>
      </w:r>
      <w:r w:rsidRPr="00F00BA7">
        <w:rPr>
          <w:rFonts w:ascii="Arial" w:hAnsi="Arial" w:cs="Arial"/>
          <w:sz w:val="24"/>
          <w:szCs w:val="24"/>
          <w:lang w:val="en-GB"/>
        </w:rPr>
        <w:t xml:space="preserve"> to passively target tumour cells through the Enhanced Permea</w:t>
      </w:r>
      <w:r>
        <w:rPr>
          <w:rFonts w:ascii="Arial" w:hAnsi="Arial" w:cs="Arial"/>
          <w:sz w:val="24"/>
          <w:szCs w:val="24"/>
          <w:lang w:val="en-GB"/>
        </w:rPr>
        <w:t>tion and Retention (EPR) Effect</w:t>
      </w:r>
      <w:r w:rsidRPr="00F00BA7">
        <w:rPr>
          <w:rFonts w:ascii="Arial" w:hAnsi="Arial" w:cs="Arial"/>
          <w:sz w:val="24"/>
          <w:szCs w:val="24"/>
          <w:lang w:val="en-GB"/>
        </w:rPr>
        <w:t xml:space="preserve">. Tumours are composed of fastly-growing cells which need an extensive supply of oxygen and other nutrients. Their vessels are therefore highly fenestrated (200-300nm) and allow small-size particles to accumulate inside cancer cells. Moreover tumours lack of an efficient lymphatic system and are not able to eliminate these particles once they entered the cells. </w:t>
      </w:r>
    </w:p>
    <w:p w:rsidR="00387A07" w:rsidRPr="00C2005B" w:rsidRDefault="00387A07" w:rsidP="00387A07">
      <w:pPr>
        <w:pStyle w:val="Testonormale"/>
        <w:spacing w:line="360" w:lineRule="auto"/>
        <w:ind w:firstLine="284"/>
        <w:jc w:val="both"/>
        <w:outlineLvl w:val="0"/>
        <w:rPr>
          <w:rFonts w:ascii="Arial" w:hAnsi="Arial" w:cs="Arial"/>
          <w:b/>
          <w:sz w:val="24"/>
          <w:szCs w:val="24"/>
          <w:lang w:val="en-GB"/>
        </w:rPr>
      </w:pPr>
      <w:r w:rsidRPr="00C2005B">
        <w:rPr>
          <w:rFonts w:ascii="Arial" w:hAnsi="Arial" w:cs="Arial"/>
          <w:b/>
          <w:sz w:val="24"/>
          <w:szCs w:val="24"/>
          <w:lang w:val="en-GB"/>
        </w:rPr>
        <w:t xml:space="preserve">In this thesis work, biodegradable polymeric nanoparticles, prepared with different materials and techniques were proposed for the active and passive targeting of cancer cells and for the functionalization of biomimetic constructs for tissue engineering. </w:t>
      </w:r>
    </w:p>
    <w:p w:rsidR="00387A07" w:rsidRDefault="00387A07" w:rsidP="00387A07">
      <w:p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rPr>
        <w:t>T</w:t>
      </w:r>
      <w:r>
        <w:rPr>
          <w:rFonts w:ascii="Arial" w:hAnsi="Arial" w:cs="Arial"/>
          <w:sz w:val="24"/>
          <w:szCs w:val="24"/>
          <w:lang w:val="en-US"/>
        </w:rPr>
        <w:t xml:space="preserve">he first section of the present work was mainly focused on the preparation of nanoparticles starting from preformed polyesterurethanes (PU) through two widely used and highly reproducible techniques. </w:t>
      </w:r>
    </w:p>
    <w:p w:rsidR="00387A07" w:rsidRDefault="00387A07" w:rsidP="00387A07">
      <w:pPr>
        <w:autoSpaceDE w:val="0"/>
        <w:autoSpaceDN w:val="0"/>
        <w:adjustRightInd w:val="0"/>
        <w:spacing w:after="0" w:line="360" w:lineRule="auto"/>
        <w:ind w:firstLine="708"/>
        <w:jc w:val="both"/>
        <w:rPr>
          <w:rFonts w:ascii="Arial" w:hAnsi="Arial" w:cs="Arial"/>
          <w:sz w:val="24"/>
          <w:szCs w:val="24"/>
          <w:lang w:val="en-US"/>
        </w:rPr>
      </w:pPr>
      <w:r>
        <w:rPr>
          <w:rFonts w:ascii="Arial" w:hAnsi="Arial" w:cs="Arial"/>
          <w:sz w:val="24"/>
          <w:szCs w:val="24"/>
          <w:lang w:val="en-US"/>
        </w:rPr>
        <w:t xml:space="preserve">Chapter two describes the preparation of nanoparticles by the Solvent Displacement method with two widely used commercial polyesters, poly(ε-caprolactone) and poly(D,L lactide) and the newly synthesized polyesterurethane C-BC2000, based on poly(ε-caprolactone) blocks. The solvent displacement method was selected, since it leads to the formation of monodisperse, small particles by simple precipitation of the polymer in the non solvent (water) without the use of toxic solvents or the application of shear stresses.  </w:t>
      </w:r>
    </w:p>
    <w:p w:rsidR="00387A07" w:rsidRDefault="00387A07" w:rsidP="00387A07">
      <w:p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t>Paclitaxel, one of the most potent antineoplastic drugs, was encapsulated inside the carriers, which were analyzed in terms of:</w:t>
      </w:r>
    </w:p>
    <w:p w:rsidR="00387A07" w:rsidRDefault="00387A07" w:rsidP="00387A07">
      <w:pPr>
        <w:pStyle w:val="Paragrafoelenco"/>
        <w:numPr>
          <w:ilvl w:val="0"/>
          <w:numId w:val="2"/>
        </w:num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t>Morphology, by means of scanning electron microscopy (SEM) and atomic force microscopy (AFM)</w:t>
      </w:r>
    </w:p>
    <w:p w:rsidR="00387A07" w:rsidRDefault="00387A07" w:rsidP="00387A07">
      <w:pPr>
        <w:pStyle w:val="Paragrafoelenco"/>
        <w:numPr>
          <w:ilvl w:val="0"/>
          <w:numId w:val="2"/>
        </w:num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lastRenderedPageBreak/>
        <w:t>S</w:t>
      </w:r>
      <w:r w:rsidRPr="00654991">
        <w:rPr>
          <w:rFonts w:ascii="Arial" w:hAnsi="Arial" w:cs="Arial"/>
          <w:sz w:val="24"/>
          <w:szCs w:val="24"/>
          <w:lang w:val="en-US"/>
        </w:rPr>
        <w:t xml:space="preserve">ize, size distribution, zeta potential </w:t>
      </w:r>
    </w:p>
    <w:p w:rsidR="00387A07" w:rsidRDefault="00387A07" w:rsidP="00387A07">
      <w:pPr>
        <w:pStyle w:val="Paragrafoelenco"/>
        <w:numPr>
          <w:ilvl w:val="0"/>
          <w:numId w:val="2"/>
        </w:num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t>E</w:t>
      </w:r>
      <w:r w:rsidRPr="00654991">
        <w:rPr>
          <w:rFonts w:ascii="Arial" w:hAnsi="Arial" w:cs="Arial"/>
          <w:sz w:val="24"/>
          <w:szCs w:val="24"/>
          <w:lang w:val="en-US"/>
        </w:rPr>
        <w:t>ncapsulation</w:t>
      </w:r>
      <w:r>
        <w:rPr>
          <w:rFonts w:ascii="Arial" w:hAnsi="Arial" w:cs="Arial"/>
          <w:sz w:val="24"/>
          <w:szCs w:val="24"/>
          <w:lang w:val="en-US"/>
        </w:rPr>
        <w:t xml:space="preserve"> efficiency</w:t>
      </w:r>
      <w:r w:rsidRPr="00654991">
        <w:rPr>
          <w:rFonts w:ascii="Arial" w:hAnsi="Arial" w:cs="Arial"/>
          <w:sz w:val="24"/>
          <w:szCs w:val="24"/>
          <w:lang w:val="en-US"/>
        </w:rPr>
        <w:t xml:space="preserve"> and release properties </w:t>
      </w:r>
    </w:p>
    <w:p w:rsidR="00387A07" w:rsidRDefault="00387A07" w:rsidP="00387A07">
      <w:pPr>
        <w:pStyle w:val="Paragrafoelenco"/>
        <w:numPr>
          <w:ilvl w:val="0"/>
          <w:numId w:val="2"/>
        </w:num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t>Hydrolytic degradation pathways</w:t>
      </w:r>
    </w:p>
    <w:p w:rsidR="00387A07" w:rsidRPr="00654991" w:rsidRDefault="00387A07" w:rsidP="00387A07">
      <w:pPr>
        <w:pStyle w:val="Paragrafoelenco"/>
        <w:numPr>
          <w:ilvl w:val="0"/>
          <w:numId w:val="2"/>
        </w:numPr>
        <w:autoSpaceDE w:val="0"/>
        <w:autoSpaceDN w:val="0"/>
        <w:adjustRightInd w:val="0"/>
        <w:spacing w:after="120" w:line="360" w:lineRule="auto"/>
        <w:ind w:left="777" w:hanging="357"/>
        <w:jc w:val="both"/>
        <w:rPr>
          <w:rFonts w:ascii="Arial" w:hAnsi="Arial" w:cs="Arial"/>
          <w:sz w:val="24"/>
          <w:szCs w:val="24"/>
          <w:lang w:val="en-US"/>
        </w:rPr>
      </w:pPr>
      <w:r>
        <w:rPr>
          <w:rFonts w:ascii="Arial" w:hAnsi="Arial" w:cs="Arial"/>
          <w:sz w:val="24"/>
          <w:szCs w:val="24"/>
          <w:lang w:val="en-US"/>
        </w:rPr>
        <w:t xml:space="preserve">Uptake by A431 human epidermal carcinoma </w:t>
      </w:r>
      <w:r w:rsidRPr="00654991">
        <w:rPr>
          <w:rFonts w:ascii="Arial" w:hAnsi="Arial" w:cs="Arial"/>
          <w:sz w:val="24"/>
          <w:szCs w:val="24"/>
          <w:lang w:val="en-US"/>
        </w:rPr>
        <w:t xml:space="preserve">cells </w:t>
      </w:r>
    </w:p>
    <w:p w:rsidR="00387A07" w:rsidRPr="00FA21C6" w:rsidRDefault="00387A07" w:rsidP="00387A07">
      <w:pPr>
        <w:spacing w:after="0" w:line="360" w:lineRule="auto"/>
        <w:jc w:val="both"/>
        <w:rPr>
          <w:rFonts w:ascii="Arial" w:hAnsi="Arial" w:cs="Arial"/>
          <w:sz w:val="24"/>
          <w:szCs w:val="24"/>
          <w:lang w:val="en-US"/>
        </w:rPr>
      </w:pPr>
      <w:r w:rsidRPr="00FA21C6">
        <w:rPr>
          <w:rFonts w:ascii="Arial" w:eastAsia="Calibri" w:hAnsi="Arial" w:cs="Arial"/>
          <w:sz w:val="24"/>
          <w:szCs w:val="24"/>
          <w:lang w:val="en-US"/>
        </w:rPr>
        <w:t xml:space="preserve">Results obtained for PU nanoparticles, </w:t>
      </w:r>
      <w:r>
        <w:rPr>
          <w:rFonts w:ascii="Arial" w:eastAsia="Calibri" w:hAnsi="Arial" w:cs="Arial"/>
          <w:sz w:val="24"/>
          <w:szCs w:val="24"/>
          <w:lang w:val="en-US"/>
        </w:rPr>
        <w:t>regarding</w:t>
      </w:r>
      <w:r w:rsidRPr="00FA21C6">
        <w:rPr>
          <w:rFonts w:ascii="Arial" w:eastAsia="Calibri" w:hAnsi="Arial" w:cs="Arial"/>
          <w:sz w:val="24"/>
          <w:szCs w:val="24"/>
          <w:lang w:val="en-US"/>
        </w:rPr>
        <w:t xml:space="preserve"> </w:t>
      </w:r>
      <w:r>
        <w:rPr>
          <w:rFonts w:ascii="Arial" w:eastAsia="Calibri" w:hAnsi="Arial" w:cs="Arial"/>
          <w:sz w:val="24"/>
          <w:szCs w:val="24"/>
          <w:lang w:val="en-US"/>
        </w:rPr>
        <w:t xml:space="preserve">morphology, </w:t>
      </w:r>
      <w:r w:rsidRPr="00FA21C6">
        <w:rPr>
          <w:rFonts w:ascii="Arial" w:eastAsia="Calibri" w:hAnsi="Arial" w:cs="Arial"/>
          <w:sz w:val="24"/>
          <w:szCs w:val="24"/>
          <w:lang w:val="en-US"/>
        </w:rPr>
        <w:t>size, size distribution and surface charge are comparable to those observed with commer</w:t>
      </w:r>
      <w:r w:rsidRPr="00FA21C6">
        <w:rPr>
          <w:rFonts w:ascii="Arial" w:hAnsi="Arial" w:cs="Arial"/>
          <w:sz w:val="24"/>
          <w:szCs w:val="24"/>
          <w:lang w:val="en-US"/>
        </w:rPr>
        <w:t xml:space="preserve">cial polyesters. </w:t>
      </w:r>
    </w:p>
    <w:p w:rsidR="00387A07" w:rsidRDefault="00387A07" w:rsidP="00387A07">
      <w:pPr>
        <w:spacing w:after="0" w:line="360" w:lineRule="auto"/>
        <w:jc w:val="both"/>
        <w:rPr>
          <w:rFonts w:ascii="Arial" w:hAnsi="Arial" w:cs="Arial"/>
          <w:b/>
          <w:sz w:val="24"/>
          <w:szCs w:val="24"/>
          <w:lang w:val="en-US"/>
        </w:rPr>
      </w:pPr>
      <w:r w:rsidRPr="00FA21C6">
        <w:rPr>
          <w:rFonts w:ascii="Arial" w:hAnsi="Arial" w:cs="Arial"/>
          <w:sz w:val="24"/>
          <w:szCs w:val="24"/>
          <w:lang w:val="en-US"/>
        </w:rPr>
        <w:t>All particles possess</w:t>
      </w:r>
      <w:r>
        <w:rPr>
          <w:rFonts w:ascii="Arial" w:hAnsi="Arial" w:cs="Arial"/>
          <w:sz w:val="24"/>
          <w:szCs w:val="24"/>
          <w:lang w:val="en-US"/>
        </w:rPr>
        <w:t xml:space="preserve"> a</w:t>
      </w:r>
      <w:r w:rsidRPr="00FA21C6">
        <w:rPr>
          <w:rFonts w:ascii="Arial" w:hAnsi="Arial" w:cs="Arial"/>
          <w:sz w:val="24"/>
          <w:szCs w:val="24"/>
          <w:lang w:val="en-US"/>
        </w:rPr>
        <w:t xml:space="preserve"> small size (&lt;250nm)</w:t>
      </w:r>
      <w:r>
        <w:rPr>
          <w:rFonts w:ascii="Arial" w:hAnsi="Arial" w:cs="Arial"/>
          <w:sz w:val="24"/>
          <w:szCs w:val="24"/>
          <w:lang w:val="en-US"/>
        </w:rPr>
        <w:t xml:space="preserve">, </w:t>
      </w:r>
      <w:r w:rsidRPr="00FA21C6">
        <w:rPr>
          <w:rFonts w:ascii="Arial" w:hAnsi="Arial" w:cs="Arial"/>
          <w:sz w:val="24"/>
          <w:szCs w:val="24"/>
          <w:lang w:val="en-US"/>
        </w:rPr>
        <w:t>a low PDI, indicating a narrow size distribution</w:t>
      </w:r>
      <w:r>
        <w:rPr>
          <w:rFonts w:ascii="Arial" w:hAnsi="Arial" w:cs="Arial"/>
          <w:sz w:val="24"/>
          <w:szCs w:val="24"/>
          <w:lang w:val="en-US"/>
        </w:rPr>
        <w:t xml:space="preserve"> and a regular spherical shape, with little coalescence.</w:t>
      </w:r>
      <w:r>
        <w:rPr>
          <w:rFonts w:ascii="Arial" w:hAnsi="Arial" w:cs="Arial"/>
          <w:b/>
          <w:sz w:val="24"/>
          <w:szCs w:val="24"/>
          <w:lang w:val="en-US"/>
        </w:rPr>
        <w:t xml:space="preserve"> </w:t>
      </w:r>
    </w:p>
    <w:p w:rsidR="00387A07" w:rsidRPr="00FA21C6" w:rsidRDefault="00387A07" w:rsidP="00387A07">
      <w:pPr>
        <w:spacing w:after="0" w:line="360" w:lineRule="auto"/>
        <w:jc w:val="both"/>
        <w:rPr>
          <w:rFonts w:ascii="Arial" w:eastAsia="Calibri" w:hAnsi="Arial" w:cs="Arial"/>
          <w:sz w:val="24"/>
          <w:szCs w:val="24"/>
          <w:lang w:val="en-US"/>
        </w:rPr>
      </w:pPr>
      <w:r w:rsidRPr="00FA21C6">
        <w:rPr>
          <w:rFonts w:ascii="Arial" w:eastAsia="Calibri" w:hAnsi="Arial" w:cs="Arial"/>
          <w:sz w:val="24"/>
          <w:szCs w:val="24"/>
          <w:lang w:val="en-US"/>
        </w:rPr>
        <w:t xml:space="preserve">In addition, </w:t>
      </w:r>
      <w:r>
        <w:rPr>
          <w:rFonts w:ascii="Arial" w:eastAsia="Calibri" w:hAnsi="Arial" w:cs="Arial"/>
          <w:sz w:val="24"/>
          <w:szCs w:val="24"/>
          <w:lang w:val="en-US"/>
        </w:rPr>
        <w:t>polyurethane</w:t>
      </w:r>
      <w:r w:rsidRPr="00FA21C6">
        <w:rPr>
          <w:rFonts w:ascii="Arial" w:eastAsia="Calibri" w:hAnsi="Arial" w:cs="Arial"/>
          <w:sz w:val="24"/>
          <w:szCs w:val="24"/>
          <w:lang w:val="en-US"/>
        </w:rPr>
        <w:t xml:space="preserve"> nanoparticles exhibited superior properties, such as longer a</w:t>
      </w:r>
      <w:r>
        <w:rPr>
          <w:rFonts w:ascii="Arial" w:eastAsia="Calibri" w:hAnsi="Arial" w:cs="Arial"/>
          <w:sz w:val="24"/>
          <w:szCs w:val="24"/>
          <w:lang w:val="en-US"/>
        </w:rPr>
        <w:t>nd</w:t>
      </w:r>
      <w:r w:rsidRPr="00FA21C6">
        <w:rPr>
          <w:rFonts w:ascii="Arial" w:eastAsia="Calibri" w:hAnsi="Arial" w:cs="Arial"/>
          <w:sz w:val="24"/>
          <w:szCs w:val="24"/>
          <w:lang w:val="en-US"/>
        </w:rPr>
        <w:t xml:space="preserve"> more controlled release kinetics of the encapsulated drug and a higher cellular internalization.</w:t>
      </w:r>
    </w:p>
    <w:p w:rsidR="00387A07" w:rsidRPr="00316219" w:rsidRDefault="00387A07" w:rsidP="00387A07">
      <w:pPr>
        <w:spacing w:after="0" w:line="360" w:lineRule="auto"/>
        <w:jc w:val="both"/>
        <w:rPr>
          <w:rFonts w:ascii="Arial" w:hAnsi="Arial" w:cs="Arial"/>
          <w:sz w:val="24"/>
          <w:szCs w:val="24"/>
          <w:lang w:val="en-US"/>
        </w:rPr>
      </w:pPr>
      <w:r>
        <w:rPr>
          <w:rFonts w:ascii="Arial" w:eastAsia="Calibri" w:hAnsi="Arial" w:cs="Arial"/>
          <w:sz w:val="24"/>
          <w:szCs w:val="24"/>
          <w:lang w:val="en-US"/>
        </w:rPr>
        <w:t xml:space="preserve">In fact, C-BC2000 nanoparticles had the highest encapsulation efficiency (89±2%) compared to only 24±7% and 18±8% for PLA and PCL, respectively. Moreover the release profile for particles prepared with commercial polyesters, showed that almost all the encapsulated drug was released within the first 48 hours and no further release was observed after this time-point. C-BC2000 nanoparticles were able to sustain the release of the drug for longer time (up to 5 days), when 30% of the active principle was released, indicating that the therapeutic effect of these carriers could last even longer.  </w:t>
      </w:r>
    </w:p>
    <w:p w:rsidR="00387A07" w:rsidRDefault="00387A07" w:rsidP="00387A07">
      <w:pPr>
        <w:spacing w:after="0" w:line="360" w:lineRule="auto"/>
        <w:ind w:firstLine="708"/>
        <w:jc w:val="both"/>
        <w:rPr>
          <w:rFonts w:ascii="Arial" w:eastAsia="Calibri" w:hAnsi="Arial" w:cs="Arial"/>
          <w:sz w:val="24"/>
          <w:szCs w:val="24"/>
          <w:lang w:val="en-US"/>
        </w:rPr>
      </w:pPr>
      <w:r>
        <w:rPr>
          <w:rFonts w:ascii="Arial" w:eastAsia="Calibri" w:hAnsi="Arial" w:cs="Arial"/>
          <w:sz w:val="24"/>
          <w:szCs w:val="24"/>
          <w:lang w:val="en-US"/>
        </w:rPr>
        <w:t xml:space="preserve">In chapter 3 two different polyesterurethanes, synthesized with different chain extenders (named C-BC2000 and NS-BC2000) and three commercial polyesters (PCL, PLA and poly(D,L lactide-co-glycolide) PLGA)  were used to prepare Paclitaxel-loaded nanoparticles for the active targeting of breast cancer. </w:t>
      </w:r>
    </w:p>
    <w:p w:rsidR="00387A07" w:rsidRDefault="00387A07" w:rsidP="00387A07">
      <w:pPr>
        <w:spacing w:after="0" w:line="360" w:lineRule="auto"/>
        <w:jc w:val="both"/>
        <w:rPr>
          <w:rFonts w:ascii="Arial" w:hAnsi="Arial" w:cs="Arial"/>
          <w:sz w:val="24"/>
          <w:szCs w:val="24"/>
          <w:lang w:val="en-US"/>
        </w:rPr>
      </w:pPr>
      <w:r>
        <w:rPr>
          <w:rFonts w:ascii="Arial" w:eastAsia="Calibri" w:hAnsi="Arial" w:cs="Arial"/>
          <w:sz w:val="24"/>
          <w:szCs w:val="24"/>
          <w:lang w:val="en-US"/>
        </w:rPr>
        <w:t xml:space="preserve">A modified Single Emulsion Solvent Evaporation method was used, by selecting ethyl acetate as internal phase, Poly(vinyl alcohol) (PVA) as emulsifier and water as external phase. </w:t>
      </w:r>
      <w:r>
        <w:rPr>
          <w:rFonts w:ascii="Arial" w:hAnsi="Arial" w:cs="Arial"/>
          <w:sz w:val="24"/>
          <w:szCs w:val="24"/>
          <w:lang w:val="en-US"/>
        </w:rPr>
        <w:t>Particles were characterized in terms of m</w:t>
      </w:r>
      <w:r w:rsidRPr="000232B0">
        <w:rPr>
          <w:rFonts w:ascii="Arial" w:hAnsi="Arial" w:cs="Arial"/>
          <w:sz w:val="24"/>
          <w:szCs w:val="24"/>
          <w:lang w:val="en-US"/>
        </w:rPr>
        <w:t>orphology</w:t>
      </w:r>
      <w:r>
        <w:rPr>
          <w:rFonts w:ascii="Arial" w:hAnsi="Arial" w:cs="Arial"/>
          <w:sz w:val="24"/>
          <w:szCs w:val="24"/>
          <w:lang w:val="en-US"/>
        </w:rPr>
        <w:t>, s</w:t>
      </w:r>
      <w:r w:rsidRPr="000232B0">
        <w:rPr>
          <w:rFonts w:ascii="Arial" w:hAnsi="Arial" w:cs="Arial"/>
          <w:sz w:val="24"/>
          <w:szCs w:val="24"/>
          <w:lang w:val="en-US"/>
        </w:rPr>
        <w:t>ize</w:t>
      </w:r>
      <w:r>
        <w:rPr>
          <w:rFonts w:ascii="Arial" w:hAnsi="Arial" w:cs="Arial"/>
          <w:sz w:val="24"/>
          <w:szCs w:val="24"/>
          <w:lang w:val="en-US"/>
        </w:rPr>
        <w:t xml:space="preserve"> distribution and zeta potential.</w:t>
      </w:r>
    </w:p>
    <w:p w:rsidR="00387A07" w:rsidRPr="000232B0"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Carriers with good spherical shape, small size (&lt;200nm) and negative surface charge were obtained, regardless of the polymer used as matrix-forming material.  </w:t>
      </w:r>
    </w:p>
    <w:p w:rsidR="00387A07" w:rsidRDefault="00387A07" w:rsidP="00387A07">
      <w:pPr>
        <w:spacing w:after="0" w:line="360" w:lineRule="auto"/>
        <w:jc w:val="both"/>
        <w:rPr>
          <w:rFonts w:ascii="Arial" w:eastAsia="Calibri" w:hAnsi="Arial" w:cs="Arial"/>
          <w:sz w:val="24"/>
          <w:szCs w:val="24"/>
          <w:lang w:val="en-US"/>
        </w:rPr>
      </w:pPr>
      <w:r>
        <w:rPr>
          <w:rFonts w:ascii="Arial" w:hAnsi="Arial" w:cs="Arial"/>
          <w:sz w:val="24"/>
          <w:szCs w:val="24"/>
          <w:lang w:val="en-US"/>
        </w:rPr>
        <w:t>To augment the targeting ability of nanoparticles towards breast cancer cells, Herceptin, a monoclonal antibody able to selectively recognize a specific receptor (HER2) over-expressed on 25-30% of invasive breast cancer, was attached to the surface of the carriers by hydrophilic/hydrophobic interactions.</w:t>
      </w:r>
      <w:r>
        <w:rPr>
          <w:rFonts w:ascii="Arial" w:eastAsia="Calibri" w:hAnsi="Arial" w:cs="Arial"/>
          <w:sz w:val="24"/>
          <w:szCs w:val="24"/>
          <w:lang w:val="en-US"/>
        </w:rPr>
        <w:t xml:space="preserve"> </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lastRenderedPageBreak/>
        <w:t xml:space="preserve">Surface coating was successfully achieved, as shown by the changes in zeta potential detected for all carriers. </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Moreover the ability of coated particles to selectively recognize their target was tested, by using two different breast cancer cell lines: MCF7, which show a normal expression of the HER2 receptor, and SKBR3 which are known to highly over-express the same receptor. </w:t>
      </w:r>
    </w:p>
    <w:p w:rsidR="00387A07" w:rsidRDefault="00387A07" w:rsidP="00387A07">
      <w:pPr>
        <w:spacing w:after="0" w:line="360" w:lineRule="auto"/>
        <w:jc w:val="both"/>
        <w:rPr>
          <w:rFonts w:ascii="Arial" w:eastAsia="Calibri" w:hAnsi="Arial" w:cs="Arial"/>
          <w:sz w:val="24"/>
          <w:szCs w:val="24"/>
          <w:lang w:val="en-US"/>
        </w:rPr>
      </w:pPr>
      <w:r>
        <w:rPr>
          <w:rFonts w:ascii="Arial" w:eastAsia="Calibri" w:hAnsi="Arial" w:cs="Arial"/>
          <w:sz w:val="24"/>
          <w:szCs w:val="24"/>
          <w:lang w:val="en-US"/>
        </w:rPr>
        <w:t>Quantitative uptake studies showed  good cellular internalization, by both cell lines and an augmented uptake by SKBR3 cells, when the surface was coated with the monoclonal antibody, confirming that a targeting effect was achieved.</w:t>
      </w:r>
    </w:p>
    <w:p w:rsidR="00387A07" w:rsidRDefault="00387A07" w:rsidP="00387A07">
      <w:pPr>
        <w:spacing w:after="0" w:line="360" w:lineRule="auto"/>
        <w:jc w:val="both"/>
        <w:rPr>
          <w:rFonts w:ascii="Arial" w:eastAsia="Calibri" w:hAnsi="Arial" w:cs="Arial"/>
          <w:sz w:val="24"/>
          <w:szCs w:val="24"/>
          <w:lang w:val="en-US"/>
        </w:rPr>
      </w:pPr>
      <w:r>
        <w:rPr>
          <w:rFonts w:ascii="Arial" w:eastAsia="Calibri" w:hAnsi="Arial" w:cs="Arial"/>
          <w:sz w:val="24"/>
          <w:szCs w:val="24"/>
          <w:lang w:val="en-US"/>
        </w:rPr>
        <w:t xml:space="preserve">Encapsulation efficiency and release profiles from both coated and uncoated particles were also analyzed, and the ability of drug-loaded particles (at three different doses) to effectively kill SKBR3 tumor cells was evaluated. </w:t>
      </w:r>
    </w:p>
    <w:p w:rsidR="00387A07" w:rsidRPr="0049423E" w:rsidRDefault="00387A07" w:rsidP="00387A07">
      <w:pPr>
        <w:spacing w:after="0" w:line="360" w:lineRule="auto"/>
        <w:jc w:val="both"/>
        <w:rPr>
          <w:rFonts w:ascii="Arial" w:eastAsia="Calibri" w:hAnsi="Arial" w:cs="Arial"/>
          <w:sz w:val="24"/>
          <w:szCs w:val="24"/>
          <w:lang w:val="en-US"/>
        </w:rPr>
      </w:pPr>
      <w:r w:rsidRPr="0049423E">
        <w:rPr>
          <w:rFonts w:ascii="Arial" w:eastAsia="Calibri" w:hAnsi="Arial" w:cs="Arial"/>
          <w:sz w:val="24"/>
          <w:szCs w:val="24"/>
          <w:lang w:val="en-US"/>
        </w:rPr>
        <w:t xml:space="preserve">PU showed </w:t>
      </w:r>
      <w:r>
        <w:rPr>
          <w:rFonts w:ascii="Arial" w:eastAsia="Calibri" w:hAnsi="Arial" w:cs="Arial"/>
          <w:sz w:val="24"/>
          <w:szCs w:val="24"/>
          <w:lang w:val="en-US"/>
        </w:rPr>
        <w:t>interesting properties, being</w:t>
      </w:r>
      <w:r w:rsidRPr="0049423E">
        <w:rPr>
          <w:rFonts w:ascii="Arial" w:eastAsia="Calibri" w:hAnsi="Arial" w:cs="Arial"/>
          <w:sz w:val="24"/>
          <w:szCs w:val="24"/>
          <w:lang w:val="en-US"/>
        </w:rPr>
        <w:t xml:space="preserve"> superior</w:t>
      </w:r>
      <w:r>
        <w:rPr>
          <w:rFonts w:ascii="Arial" w:eastAsia="Calibri" w:hAnsi="Arial" w:cs="Arial"/>
          <w:sz w:val="24"/>
          <w:szCs w:val="24"/>
          <w:lang w:val="en-US"/>
        </w:rPr>
        <w:t xml:space="preserve"> to commercial polyester</w:t>
      </w:r>
      <w:r w:rsidRPr="0049423E">
        <w:rPr>
          <w:rFonts w:ascii="Arial" w:eastAsia="Calibri" w:hAnsi="Arial" w:cs="Arial"/>
          <w:sz w:val="24"/>
          <w:szCs w:val="24"/>
          <w:lang w:val="en-US"/>
        </w:rPr>
        <w:t xml:space="preserve"> </w:t>
      </w:r>
      <w:r>
        <w:rPr>
          <w:rFonts w:ascii="Arial" w:eastAsia="Calibri" w:hAnsi="Arial" w:cs="Arial"/>
          <w:sz w:val="24"/>
          <w:szCs w:val="24"/>
          <w:lang w:val="en-US"/>
        </w:rPr>
        <w:t>in terms of drug release profiles, cellular internalization</w:t>
      </w:r>
      <w:r w:rsidRPr="0049423E">
        <w:rPr>
          <w:rFonts w:ascii="Arial" w:eastAsia="Calibri" w:hAnsi="Arial" w:cs="Arial"/>
          <w:sz w:val="24"/>
          <w:szCs w:val="24"/>
          <w:lang w:val="en-US"/>
        </w:rPr>
        <w:t xml:space="preserve"> </w:t>
      </w:r>
      <w:r>
        <w:rPr>
          <w:rFonts w:ascii="Arial" w:eastAsia="Calibri" w:hAnsi="Arial" w:cs="Arial"/>
          <w:sz w:val="24"/>
          <w:szCs w:val="24"/>
          <w:lang w:val="en-US"/>
        </w:rPr>
        <w:t xml:space="preserve">and </w:t>
      </w:r>
      <w:r w:rsidRPr="0049423E">
        <w:rPr>
          <w:rFonts w:ascii="Arial" w:eastAsia="Calibri" w:hAnsi="Arial" w:cs="Arial"/>
          <w:sz w:val="24"/>
          <w:szCs w:val="24"/>
          <w:lang w:val="en-US"/>
        </w:rPr>
        <w:t xml:space="preserve">cytotoxic activity. </w:t>
      </w:r>
    </w:p>
    <w:p w:rsidR="00387A07" w:rsidRDefault="00387A07" w:rsidP="00387A07">
      <w:pPr>
        <w:spacing w:after="0" w:line="360" w:lineRule="auto"/>
        <w:jc w:val="both"/>
        <w:rPr>
          <w:rFonts w:ascii="Arial" w:eastAsia="Calibri" w:hAnsi="Arial" w:cs="Arial"/>
          <w:sz w:val="24"/>
          <w:szCs w:val="24"/>
          <w:lang w:val="en-US"/>
        </w:rPr>
      </w:pPr>
      <w:r>
        <w:rPr>
          <w:rFonts w:ascii="Arial" w:eastAsia="Calibri" w:hAnsi="Arial" w:cs="Arial"/>
          <w:sz w:val="24"/>
          <w:szCs w:val="24"/>
          <w:lang w:val="en-US"/>
        </w:rPr>
        <w:t>In fact, for C-BC2000 and NS-BC2000 nanoparticles, the amount of Herceptin detected on the surface was higher than for the other polymers, except for PCL. However, PCL nanoparticles showed no release of the encapsulated drug and poor cytotoxicity on SKBR3 cells.</w:t>
      </w:r>
    </w:p>
    <w:p w:rsidR="00387A07" w:rsidRPr="0049423E" w:rsidRDefault="00387A07" w:rsidP="00387A07">
      <w:pPr>
        <w:spacing w:after="0" w:line="360" w:lineRule="auto"/>
        <w:jc w:val="both"/>
        <w:rPr>
          <w:rFonts w:ascii="Arial" w:eastAsia="Calibri" w:hAnsi="Arial" w:cs="Arial"/>
          <w:sz w:val="24"/>
          <w:szCs w:val="24"/>
          <w:lang w:val="en-US"/>
        </w:rPr>
      </w:pPr>
      <w:r>
        <w:rPr>
          <w:rFonts w:ascii="Arial" w:eastAsia="Calibri" w:hAnsi="Arial" w:cs="Arial"/>
          <w:sz w:val="24"/>
          <w:szCs w:val="24"/>
          <w:lang w:val="en-US"/>
        </w:rPr>
        <w:t xml:space="preserve">Moreover, both coated and uncoated PU nanoparticles exhibited the highest cellular uptake and good activity in killing cancer cells, as demonstrated by cytotoxicity tests. </w:t>
      </w:r>
    </w:p>
    <w:p w:rsidR="00387A07" w:rsidRDefault="00387A07" w:rsidP="00387A07">
      <w:pPr>
        <w:autoSpaceDE w:val="0"/>
        <w:autoSpaceDN w:val="0"/>
        <w:adjustRightInd w:val="0"/>
        <w:spacing w:after="0" w:line="360" w:lineRule="auto"/>
        <w:ind w:firstLine="708"/>
        <w:jc w:val="both"/>
        <w:rPr>
          <w:rFonts w:ascii="Arial" w:hAnsi="Arial" w:cs="Arial"/>
          <w:sz w:val="24"/>
          <w:szCs w:val="24"/>
          <w:lang w:val="en-US"/>
        </w:rPr>
      </w:pPr>
      <w:r>
        <w:rPr>
          <w:rFonts w:ascii="Arial" w:eastAsia="Calibri" w:hAnsi="Arial" w:cs="Arial"/>
          <w:sz w:val="24"/>
          <w:szCs w:val="24"/>
          <w:lang w:val="en-US"/>
        </w:rPr>
        <w:t xml:space="preserve">The second section of the present work was dedicated to the optimization and characterization of a new, bioactive and biomimetic bone cement containing nanoparticles for the controlled release of an anti-inflammatory agent (Indomethacin). </w:t>
      </w:r>
      <w:r>
        <w:rPr>
          <w:rFonts w:ascii="Arial" w:hAnsi="Arial" w:cs="Arial"/>
          <w:sz w:val="24"/>
          <w:szCs w:val="24"/>
          <w:lang w:val="en-US"/>
        </w:rPr>
        <w:t xml:space="preserve">This material is composed of </w:t>
      </w:r>
      <w:r w:rsidRPr="0091294C">
        <w:rPr>
          <w:rFonts w:ascii="Arial" w:hAnsi="Arial" w:cs="Arial"/>
          <w:bCs/>
          <w:sz w:val="24"/>
          <w:szCs w:val="24"/>
          <w:lang w:val="en-US"/>
        </w:rPr>
        <w:t>two phases which are naturally present in bones</w:t>
      </w:r>
      <w:r>
        <w:rPr>
          <w:rFonts w:ascii="Arial" w:hAnsi="Arial" w:cs="Arial"/>
          <w:bCs/>
          <w:sz w:val="24"/>
          <w:szCs w:val="24"/>
          <w:lang w:val="en-US"/>
        </w:rPr>
        <w:t>:</w:t>
      </w:r>
      <w:r>
        <w:rPr>
          <w:rFonts w:ascii="Arial" w:hAnsi="Arial" w:cs="Arial"/>
          <w:sz w:val="24"/>
          <w:szCs w:val="24"/>
          <w:lang w:val="en-US"/>
        </w:rPr>
        <w:t xml:space="preserve"> an organic phase made of chitosan (CH) and collagen as well as of β tricalcium phosphate as inorganic phase, which is expected to increase bioactivity (i.e. the ability to stimulate new bone deposition) of the material. Chitosan and collagen were selected because of their ability to improve injectability and mechanical strength, respectively. Moreover collagen is expected to confer high biomimetic ability to the material. Genipin (GP) was selected as cross-linker for chitosan, due to its natural origin and biocompatibility. The cement composition was optimized to obtain the desired hardening time and dissolution rate and then reinforced with collagen. Moreover, anti-inflammatory properties were given by including Indometacin-loaded biodegradable nanoparticles based on Poly(ε-caprolactone) (PCL) in the cement composition.</w:t>
      </w:r>
    </w:p>
    <w:p w:rsidR="00387A07" w:rsidRDefault="00387A07" w:rsidP="00387A07">
      <w:p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lastRenderedPageBreak/>
        <w:t>Nanoparticles were prepared by the Solvent Displacement Method and their size, encapsulation efficiency as well as release profiles were characterized.</w:t>
      </w:r>
    </w:p>
    <w:p w:rsidR="00387A07" w:rsidRDefault="00387A07" w:rsidP="00387A07">
      <w:p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t>Injectability, compressive strength and bioactivity of the final cement were also investigated.</w:t>
      </w:r>
    </w:p>
    <w:p w:rsidR="00387A07" w:rsidRDefault="00387A07" w:rsidP="00387A07">
      <w:p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t>The material showed good bioactivity, promoting the formation of apatite after 14 days of incubation in simulated body fluids (SBF), especially when high concentrations of inorganic phase were used. The material also possessed a low setting time (around 20min) and good injectability (95%), making it an optimal candidate as injectable bone substitute. Mechanical strength under compression was also analyzed, resulting in poor properties when collagen is not part of the composition. After the addition of collagen, the Young modulus for compression increased from 0,15Mpa to 1Mpa, which meets the requirements for a good vertebral substitute.</w:t>
      </w:r>
    </w:p>
    <w:p w:rsidR="00387A07" w:rsidRDefault="00387A07" w:rsidP="00387A07">
      <w:p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t xml:space="preserve">Moreover the addition of nanoparticles confers anti-inflammatory properties, as well as additional mechanical strength, since the release rate of the drug is compatible with the infection raising kinetics. </w:t>
      </w:r>
    </w:p>
    <w:p w:rsidR="00387A07" w:rsidRDefault="00387A07" w:rsidP="00387A07">
      <w:pPr>
        <w:spacing w:before="240" w:after="0" w:line="360" w:lineRule="auto"/>
        <w:jc w:val="both"/>
        <w:rPr>
          <w:rFonts w:ascii="Arial" w:hAnsi="Arial" w:cs="Arial"/>
          <w:b/>
          <w:sz w:val="24"/>
          <w:szCs w:val="24"/>
          <w:lang w:val="en-US"/>
        </w:rPr>
      </w:pPr>
      <w:r>
        <w:rPr>
          <w:rFonts w:ascii="Arial" w:hAnsi="Arial" w:cs="Arial"/>
          <w:b/>
          <w:noProof/>
          <w:sz w:val="24"/>
          <w:szCs w:val="24"/>
          <w:lang w:val="it-IT" w:eastAsia="it-IT"/>
        </w:rPr>
        <w:drawing>
          <wp:inline distT="0" distB="0" distL="0" distR="0">
            <wp:extent cx="6120130" cy="1880235"/>
            <wp:effectExtent l="19050" t="0" r="0" b="0"/>
            <wp:docPr id="2" name="Immagine 1" descr="immagine abstra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abstract.png"/>
                    <pic:cNvPicPr/>
                  </pic:nvPicPr>
                  <pic:blipFill>
                    <a:blip r:embed="rId8" cstate="print"/>
                    <a:stretch>
                      <a:fillRect/>
                    </a:stretch>
                  </pic:blipFill>
                  <pic:spPr>
                    <a:xfrm>
                      <a:off x="0" y="0"/>
                      <a:ext cx="6120130" cy="1880235"/>
                    </a:xfrm>
                    <a:prstGeom prst="rect">
                      <a:avLst/>
                    </a:prstGeom>
                  </pic:spPr>
                </pic:pic>
              </a:graphicData>
            </a:graphic>
          </wp:inline>
        </w:drawing>
      </w:r>
    </w:p>
    <w:p w:rsidR="00387A07" w:rsidRDefault="00387A07" w:rsidP="00387A07">
      <w:pPr>
        <w:pStyle w:val="Didascalia"/>
        <w:rPr>
          <w:rFonts w:ascii="Arial" w:hAnsi="Arial" w:cs="Arial"/>
          <w:b w:val="0"/>
          <w:sz w:val="24"/>
          <w:szCs w:val="24"/>
          <w:lang w:val="en-US"/>
        </w:rPr>
      </w:pPr>
      <w:r>
        <w:t xml:space="preserve">Figure </w:t>
      </w:r>
      <w:fldSimple w:instr=" SEQ Figure \* ARABIC ">
        <w:r>
          <w:rPr>
            <w:noProof/>
          </w:rPr>
          <w:t>1</w:t>
        </w:r>
      </w:fldSimple>
      <w:r>
        <w:t xml:space="preserve"> AFM image of PLA nanoparticles (left) and confocal images of coumarin 6-loaded nanoparticles (green fluorescence) internalized by SKBR3 (middle) and MCF7 (right) breast cancer cells. </w:t>
      </w:r>
    </w:p>
    <w:p w:rsidR="00387A07" w:rsidRPr="00C2005B" w:rsidRDefault="00387A07" w:rsidP="00387A07">
      <w:pPr>
        <w:pStyle w:val="Testonormale"/>
        <w:spacing w:line="360" w:lineRule="auto"/>
        <w:ind w:firstLine="284"/>
        <w:jc w:val="both"/>
        <w:outlineLvl w:val="0"/>
        <w:rPr>
          <w:rFonts w:ascii="Arial" w:hAnsi="Arial" w:cs="Arial"/>
          <w:sz w:val="24"/>
          <w:szCs w:val="24"/>
        </w:rPr>
      </w:pPr>
    </w:p>
    <w:p w:rsidR="00387A07" w:rsidRDefault="00387A07" w:rsidP="00387A07">
      <w:pPr>
        <w:jc w:val="both"/>
        <w:rPr>
          <w:rFonts w:ascii="Arial" w:hAnsi="Arial" w:cs="Arial"/>
          <w:color w:val="4F81BD" w:themeColor="accent1"/>
          <w:sz w:val="24"/>
          <w:szCs w:val="24"/>
          <w:lang w:val="en-US"/>
        </w:rPr>
      </w:pPr>
    </w:p>
    <w:p w:rsidR="00387A07" w:rsidRDefault="00387A07" w:rsidP="00387A07">
      <w:pPr>
        <w:jc w:val="both"/>
        <w:rPr>
          <w:rFonts w:ascii="Arial" w:hAnsi="Arial" w:cs="Arial"/>
          <w:color w:val="4F81BD" w:themeColor="accent1"/>
          <w:sz w:val="24"/>
          <w:szCs w:val="24"/>
          <w:lang w:val="en-US"/>
        </w:rPr>
      </w:pPr>
    </w:p>
    <w:p w:rsidR="00387A07" w:rsidRDefault="00387A07" w:rsidP="00387A07">
      <w:pPr>
        <w:jc w:val="both"/>
        <w:rPr>
          <w:rFonts w:ascii="Arial" w:hAnsi="Arial" w:cs="Arial"/>
          <w:color w:val="4F81BD" w:themeColor="accent1"/>
          <w:sz w:val="24"/>
          <w:szCs w:val="24"/>
          <w:lang w:val="en-US"/>
        </w:rPr>
      </w:pPr>
    </w:p>
    <w:p w:rsidR="00387A07" w:rsidRDefault="00387A07" w:rsidP="00387A07">
      <w:pPr>
        <w:jc w:val="both"/>
        <w:rPr>
          <w:rFonts w:ascii="Arial" w:hAnsi="Arial" w:cs="Arial"/>
          <w:color w:val="4F81BD" w:themeColor="accent1"/>
          <w:sz w:val="24"/>
          <w:szCs w:val="24"/>
          <w:lang w:val="en-US"/>
        </w:rPr>
      </w:pPr>
    </w:p>
    <w:p w:rsidR="00387A07" w:rsidRDefault="00387A07" w:rsidP="00387A07">
      <w:pPr>
        <w:jc w:val="both"/>
        <w:rPr>
          <w:rFonts w:ascii="Arial" w:hAnsi="Arial" w:cs="Arial"/>
          <w:color w:val="4F81BD" w:themeColor="accent1"/>
          <w:sz w:val="24"/>
          <w:szCs w:val="24"/>
          <w:lang w:val="en-US"/>
        </w:rPr>
      </w:pPr>
    </w:p>
    <w:p w:rsidR="00387A07" w:rsidRDefault="00387A07" w:rsidP="00387A07">
      <w:pPr>
        <w:spacing w:after="240" w:line="360" w:lineRule="auto"/>
        <w:rPr>
          <w:rFonts w:ascii="Arial" w:hAnsi="Arial" w:cs="Arial"/>
          <w:color w:val="4F81BD" w:themeColor="accent1"/>
          <w:sz w:val="24"/>
          <w:szCs w:val="24"/>
          <w:lang w:val="en-US"/>
        </w:rPr>
      </w:pPr>
    </w:p>
    <w:p w:rsidR="00387A07" w:rsidRPr="00CD3216" w:rsidRDefault="00387A07" w:rsidP="00387A07">
      <w:pPr>
        <w:spacing w:after="240"/>
        <w:jc w:val="center"/>
        <w:rPr>
          <w:rFonts w:ascii="Arial" w:hAnsi="Arial" w:cs="Arial"/>
          <w:b/>
          <w:color w:val="1F497D" w:themeColor="text2"/>
          <w:sz w:val="36"/>
          <w:szCs w:val="36"/>
          <w:u w:val="single"/>
          <w:lang w:val="en-US"/>
        </w:rPr>
      </w:pPr>
      <w:r w:rsidRPr="00CD3216">
        <w:rPr>
          <w:rFonts w:ascii="Arial" w:hAnsi="Arial" w:cs="Arial"/>
          <w:b/>
          <w:color w:val="1F497D" w:themeColor="text2"/>
          <w:sz w:val="36"/>
          <w:szCs w:val="36"/>
          <w:u w:val="single"/>
          <w:lang w:val="en-US"/>
        </w:rPr>
        <w:lastRenderedPageBreak/>
        <w:t>Thesis outline</w:t>
      </w:r>
    </w:p>
    <w:p w:rsidR="00387A07" w:rsidRDefault="00387A07" w:rsidP="00387A07">
      <w:pPr>
        <w:spacing w:line="360" w:lineRule="auto"/>
        <w:jc w:val="both"/>
        <w:rPr>
          <w:rFonts w:ascii="Arial" w:hAnsi="Arial" w:cs="Arial"/>
          <w:sz w:val="24"/>
          <w:szCs w:val="24"/>
          <w:lang w:val="en-US"/>
        </w:rPr>
      </w:pPr>
      <w:r w:rsidRPr="00A46EBA">
        <w:rPr>
          <w:rFonts w:ascii="Arial" w:hAnsi="Arial" w:cs="Arial"/>
          <w:sz w:val="24"/>
          <w:szCs w:val="24"/>
          <w:lang w:val="en-US"/>
        </w:rPr>
        <w:t>The pr</w:t>
      </w:r>
      <w:r>
        <w:rPr>
          <w:rFonts w:ascii="Arial" w:hAnsi="Arial" w:cs="Arial"/>
          <w:sz w:val="24"/>
          <w:szCs w:val="24"/>
          <w:lang w:val="en-US"/>
        </w:rPr>
        <w:t xml:space="preserve">esent work is divided in four sections and five chapters. Chapter 1 is a general introduction, drafting a picture on the use of nanoparticles in medicine. The </w:t>
      </w:r>
      <w:r w:rsidRPr="00A46EBA">
        <w:rPr>
          <w:rFonts w:ascii="Arial" w:hAnsi="Arial" w:cs="Arial"/>
          <w:sz w:val="24"/>
          <w:szCs w:val="24"/>
          <w:lang w:val="en-US"/>
        </w:rPr>
        <w:t>second</w:t>
      </w:r>
      <w:r>
        <w:rPr>
          <w:rFonts w:ascii="Arial" w:hAnsi="Arial" w:cs="Arial"/>
          <w:sz w:val="24"/>
          <w:szCs w:val="24"/>
          <w:lang w:val="en-US"/>
        </w:rPr>
        <w:t xml:space="preserve"> and third sections are</w:t>
      </w:r>
      <w:r w:rsidRPr="00A46EBA">
        <w:rPr>
          <w:rFonts w:ascii="Arial" w:hAnsi="Arial" w:cs="Arial"/>
          <w:sz w:val="24"/>
          <w:szCs w:val="24"/>
          <w:lang w:val="en-US"/>
        </w:rPr>
        <w:t xml:space="preserve"> ded</w:t>
      </w:r>
      <w:r>
        <w:rPr>
          <w:rFonts w:ascii="Arial" w:hAnsi="Arial" w:cs="Arial"/>
          <w:sz w:val="24"/>
          <w:szCs w:val="24"/>
          <w:lang w:val="en-US"/>
        </w:rPr>
        <w:t xml:space="preserve">icated to the experimental work, aimed at optimizing different parameters and methods for the preparation of nanoparticles to be applied in the field of nanomedicine. Chapter 5 is a short dissertation on the future perspectives regarding the application of nanocarriers as drug delivery devices. </w:t>
      </w:r>
      <w:r w:rsidRPr="00A46EBA">
        <w:rPr>
          <w:rFonts w:ascii="Arial" w:hAnsi="Arial" w:cs="Arial"/>
          <w:sz w:val="24"/>
          <w:szCs w:val="24"/>
          <w:lang w:val="en-US"/>
        </w:rPr>
        <w:t xml:space="preserve"> </w:t>
      </w:r>
    </w:p>
    <w:p w:rsidR="00387A07" w:rsidRPr="00A46EBA" w:rsidRDefault="00387A07" w:rsidP="00387A07">
      <w:pPr>
        <w:spacing w:line="360" w:lineRule="auto"/>
        <w:jc w:val="both"/>
        <w:rPr>
          <w:rFonts w:ascii="Arial" w:hAnsi="Arial" w:cs="Arial"/>
          <w:sz w:val="24"/>
          <w:szCs w:val="24"/>
          <w:lang w:val="en-US"/>
        </w:rPr>
      </w:pPr>
      <w:r>
        <w:rPr>
          <w:rFonts w:ascii="Arial" w:hAnsi="Arial" w:cs="Arial"/>
          <w:sz w:val="24"/>
          <w:szCs w:val="24"/>
          <w:lang w:val="en-US"/>
        </w:rPr>
        <w:t>T</w:t>
      </w:r>
      <w:r w:rsidRPr="00A46EBA">
        <w:rPr>
          <w:rFonts w:ascii="Arial" w:hAnsi="Arial" w:cs="Arial"/>
          <w:sz w:val="24"/>
          <w:szCs w:val="24"/>
          <w:lang w:val="en-US"/>
        </w:rPr>
        <w:t>he basic content of each section and chapter is outlined and summarized</w:t>
      </w:r>
      <w:r>
        <w:rPr>
          <w:rFonts w:ascii="Arial" w:hAnsi="Arial" w:cs="Arial"/>
          <w:sz w:val="24"/>
          <w:szCs w:val="24"/>
          <w:lang w:val="en-US"/>
        </w:rPr>
        <w:t xml:space="preserve"> below</w:t>
      </w:r>
      <w:r w:rsidRPr="00A46EBA">
        <w:rPr>
          <w:rFonts w:ascii="Arial" w:hAnsi="Arial" w:cs="Arial"/>
          <w:sz w:val="24"/>
          <w:szCs w:val="24"/>
          <w:lang w:val="en-US"/>
        </w:rPr>
        <w:t>.</w:t>
      </w:r>
    </w:p>
    <w:p w:rsidR="00387A07" w:rsidRPr="00A46EBA" w:rsidRDefault="00387A07" w:rsidP="00387A07">
      <w:pPr>
        <w:spacing w:line="360" w:lineRule="auto"/>
        <w:jc w:val="both"/>
        <w:rPr>
          <w:rFonts w:ascii="Arial" w:hAnsi="Arial" w:cs="Arial"/>
          <w:sz w:val="24"/>
          <w:szCs w:val="24"/>
          <w:lang w:val="en-US"/>
        </w:rPr>
      </w:pPr>
      <w:r w:rsidRPr="006C3448">
        <w:rPr>
          <w:rFonts w:ascii="Arial" w:hAnsi="Arial" w:cs="Arial"/>
          <w:b/>
          <w:sz w:val="24"/>
          <w:szCs w:val="24"/>
          <w:lang w:val="en-US"/>
        </w:rPr>
        <w:t>Section I</w:t>
      </w:r>
      <w:r w:rsidRPr="00A46EBA">
        <w:rPr>
          <w:rFonts w:ascii="Arial" w:hAnsi="Arial" w:cs="Arial"/>
          <w:sz w:val="24"/>
          <w:szCs w:val="24"/>
          <w:lang w:val="en-US"/>
        </w:rPr>
        <w:t xml:space="preserve"> (</w:t>
      </w:r>
      <w:r w:rsidRPr="006C3448">
        <w:rPr>
          <w:rFonts w:ascii="Arial" w:hAnsi="Arial" w:cs="Arial"/>
          <w:i/>
          <w:sz w:val="24"/>
          <w:szCs w:val="24"/>
          <w:lang w:val="en-US"/>
        </w:rPr>
        <w:t>Chapter 1</w:t>
      </w:r>
      <w:r w:rsidRPr="00A46EBA">
        <w:rPr>
          <w:rFonts w:ascii="Arial" w:hAnsi="Arial" w:cs="Arial"/>
          <w:sz w:val="24"/>
          <w:szCs w:val="24"/>
          <w:lang w:val="en-US"/>
        </w:rPr>
        <w:t xml:space="preserve">) is a brief overview on the use of nanoparticles as drug delivery devices in literature, focused on the description of the principal materials and fabrication protocols adopted. </w:t>
      </w:r>
      <w:r>
        <w:rPr>
          <w:rFonts w:ascii="Arial" w:hAnsi="Arial" w:cs="Arial"/>
          <w:sz w:val="24"/>
          <w:szCs w:val="24"/>
          <w:lang w:val="en-US"/>
        </w:rPr>
        <w:t>T</w:t>
      </w:r>
      <w:r w:rsidRPr="00A46EBA">
        <w:rPr>
          <w:rFonts w:ascii="Arial" w:hAnsi="Arial" w:cs="Arial"/>
          <w:sz w:val="24"/>
          <w:szCs w:val="24"/>
          <w:lang w:val="en-US"/>
        </w:rPr>
        <w:t>he state of the art and future trends in this field are extensively discussed.</w:t>
      </w:r>
    </w:p>
    <w:p w:rsidR="00387A07" w:rsidRPr="00A46EBA" w:rsidRDefault="00387A07" w:rsidP="00387A07">
      <w:pPr>
        <w:spacing w:line="360" w:lineRule="auto"/>
        <w:jc w:val="both"/>
        <w:rPr>
          <w:rFonts w:ascii="Arial" w:hAnsi="Arial" w:cs="Arial"/>
          <w:sz w:val="24"/>
          <w:szCs w:val="24"/>
          <w:lang w:val="en-US"/>
        </w:rPr>
      </w:pPr>
      <w:r w:rsidRPr="006C3448">
        <w:rPr>
          <w:rFonts w:ascii="Arial" w:hAnsi="Arial" w:cs="Arial"/>
          <w:b/>
          <w:sz w:val="24"/>
          <w:szCs w:val="24"/>
          <w:lang w:val="en-US"/>
        </w:rPr>
        <w:t>Section II</w:t>
      </w:r>
      <w:r>
        <w:rPr>
          <w:rFonts w:ascii="Arial" w:hAnsi="Arial" w:cs="Arial"/>
          <w:sz w:val="24"/>
          <w:szCs w:val="24"/>
          <w:lang w:val="en-US"/>
        </w:rPr>
        <w:t xml:space="preserve"> </w:t>
      </w:r>
      <w:r w:rsidRPr="00A46EBA">
        <w:rPr>
          <w:rFonts w:ascii="Arial" w:hAnsi="Arial" w:cs="Arial"/>
          <w:sz w:val="24"/>
          <w:szCs w:val="24"/>
          <w:lang w:val="en-US"/>
        </w:rPr>
        <w:t xml:space="preserve">is dedicated to the experimental work </w:t>
      </w:r>
      <w:r>
        <w:rPr>
          <w:rFonts w:ascii="Arial" w:hAnsi="Arial" w:cs="Arial"/>
          <w:sz w:val="24"/>
          <w:szCs w:val="24"/>
          <w:lang w:val="en-US"/>
        </w:rPr>
        <w:t>dealing</w:t>
      </w:r>
      <w:r w:rsidRPr="00A46EBA">
        <w:rPr>
          <w:rFonts w:ascii="Arial" w:hAnsi="Arial" w:cs="Arial"/>
          <w:sz w:val="24"/>
          <w:szCs w:val="24"/>
          <w:lang w:val="en-US"/>
        </w:rPr>
        <w:t xml:space="preserve"> with the preparation and characterization of biodegradable nanoparticles. Two different methods were used to prepare nanoparticles for the passive (</w:t>
      </w:r>
      <w:r w:rsidRPr="006C3448">
        <w:rPr>
          <w:rFonts w:ascii="Arial" w:hAnsi="Arial" w:cs="Arial"/>
          <w:i/>
          <w:sz w:val="24"/>
          <w:szCs w:val="24"/>
          <w:lang w:val="en-US"/>
        </w:rPr>
        <w:t>Chapter 2</w:t>
      </w:r>
      <w:r w:rsidRPr="00A46EBA">
        <w:rPr>
          <w:rFonts w:ascii="Arial" w:hAnsi="Arial" w:cs="Arial"/>
          <w:sz w:val="24"/>
          <w:szCs w:val="24"/>
          <w:lang w:val="en-US"/>
        </w:rPr>
        <w:t>) and active (</w:t>
      </w:r>
      <w:r w:rsidRPr="006C3448">
        <w:rPr>
          <w:rFonts w:ascii="Arial" w:hAnsi="Arial" w:cs="Arial"/>
          <w:i/>
          <w:sz w:val="24"/>
          <w:szCs w:val="24"/>
          <w:lang w:val="en-US"/>
        </w:rPr>
        <w:t>Chapter 3</w:t>
      </w:r>
      <w:r w:rsidRPr="00A46EBA">
        <w:rPr>
          <w:rFonts w:ascii="Arial" w:hAnsi="Arial" w:cs="Arial"/>
          <w:sz w:val="24"/>
          <w:szCs w:val="24"/>
          <w:lang w:val="en-US"/>
        </w:rPr>
        <w:t>) targeting of cancer. In this section, the possibility of introducing novel biodegradable materials with tunable properties (polyurethanes)</w:t>
      </w:r>
      <w:r>
        <w:rPr>
          <w:rFonts w:ascii="Arial" w:hAnsi="Arial" w:cs="Arial"/>
          <w:sz w:val="24"/>
          <w:szCs w:val="24"/>
          <w:lang w:val="en-US"/>
        </w:rPr>
        <w:t xml:space="preserve"> as matrix-forming materials for nanoparticles</w:t>
      </w:r>
      <w:r w:rsidRPr="00A46EBA">
        <w:rPr>
          <w:rFonts w:ascii="Arial" w:hAnsi="Arial" w:cs="Arial"/>
          <w:sz w:val="24"/>
          <w:szCs w:val="24"/>
          <w:lang w:val="en-US"/>
        </w:rPr>
        <w:t xml:space="preserve"> was investigated.</w:t>
      </w:r>
    </w:p>
    <w:p w:rsidR="00387A07" w:rsidRPr="00A46EBA" w:rsidRDefault="00387A07" w:rsidP="00387A07">
      <w:pPr>
        <w:spacing w:line="360" w:lineRule="auto"/>
        <w:jc w:val="both"/>
        <w:rPr>
          <w:rFonts w:ascii="Arial" w:hAnsi="Arial" w:cs="Arial"/>
          <w:sz w:val="24"/>
          <w:szCs w:val="24"/>
          <w:lang w:val="en-US"/>
        </w:rPr>
      </w:pPr>
      <w:r w:rsidRPr="006C3448">
        <w:rPr>
          <w:rFonts w:ascii="Arial" w:hAnsi="Arial" w:cs="Arial"/>
          <w:b/>
          <w:i/>
          <w:sz w:val="24"/>
          <w:szCs w:val="24"/>
          <w:lang w:val="en-US"/>
        </w:rPr>
        <w:t>Chapter 2</w:t>
      </w:r>
      <w:r w:rsidRPr="00A46EBA">
        <w:rPr>
          <w:rFonts w:ascii="Arial" w:hAnsi="Arial" w:cs="Arial"/>
          <w:sz w:val="24"/>
          <w:szCs w:val="24"/>
          <w:lang w:val="en-US"/>
        </w:rPr>
        <w:t xml:space="preserve"> describes the preparation and charact</w:t>
      </w:r>
      <w:r>
        <w:rPr>
          <w:rFonts w:ascii="Arial" w:hAnsi="Arial" w:cs="Arial"/>
          <w:sz w:val="24"/>
          <w:szCs w:val="24"/>
          <w:lang w:val="en-US"/>
        </w:rPr>
        <w:t>erization of biodegradable nano</w:t>
      </w:r>
      <w:r w:rsidRPr="00A46EBA">
        <w:rPr>
          <w:rFonts w:ascii="Arial" w:hAnsi="Arial" w:cs="Arial"/>
          <w:sz w:val="24"/>
          <w:szCs w:val="24"/>
          <w:lang w:val="en-US"/>
        </w:rPr>
        <w:t>p</w:t>
      </w:r>
      <w:r>
        <w:rPr>
          <w:rFonts w:ascii="Arial" w:hAnsi="Arial" w:cs="Arial"/>
          <w:sz w:val="24"/>
          <w:szCs w:val="24"/>
          <w:lang w:val="en-US"/>
        </w:rPr>
        <w:t>a</w:t>
      </w:r>
      <w:r w:rsidRPr="00A46EBA">
        <w:rPr>
          <w:rFonts w:ascii="Arial" w:hAnsi="Arial" w:cs="Arial"/>
          <w:sz w:val="24"/>
          <w:szCs w:val="24"/>
          <w:lang w:val="en-US"/>
        </w:rPr>
        <w:t xml:space="preserve">rticles </w:t>
      </w:r>
      <w:r>
        <w:rPr>
          <w:rFonts w:ascii="Arial" w:hAnsi="Arial" w:cs="Arial"/>
          <w:sz w:val="24"/>
          <w:szCs w:val="24"/>
          <w:lang w:val="en-US"/>
        </w:rPr>
        <w:t>by using</w:t>
      </w:r>
      <w:r w:rsidRPr="00A46EBA">
        <w:rPr>
          <w:rFonts w:ascii="Arial" w:hAnsi="Arial" w:cs="Arial"/>
          <w:sz w:val="24"/>
          <w:szCs w:val="24"/>
          <w:lang w:val="en-US"/>
        </w:rPr>
        <w:t xml:space="preserve"> the Solvent Displacement Method</w:t>
      </w:r>
      <w:r>
        <w:rPr>
          <w:rFonts w:ascii="Arial" w:hAnsi="Arial" w:cs="Arial"/>
          <w:sz w:val="24"/>
          <w:szCs w:val="24"/>
          <w:lang w:val="en-US"/>
        </w:rPr>
        <w:t>, for the controlled release of</w:t>
      </w:r>
      <w:r w:rsidRPr="00A46EBA">
        <w:rPr>
          <w:rFonts w:ascii="Arial" w:hAnsi="Arial" w:cs="Arial"/>
          <w:sz w:val="24"/>
          <w:szCs w:val="24"/>
          <w:lang w:val="en-US"/>
        </w:rPr>
        <w:t xml:space="preserve"> the </w:t>
      </w:r>
      <w:r>
        <w:rPr>
          <w:rFonts w:ascii="Arial" w:hAnsi="Arial" w:cs="Arial"/>
          <w:sz w:val="24"/>
          <w:szCs w:val="24"/>
          <w:lang w:val="en-US"/>
        </w:rPr>
        <w:t>anticancer drug Paclitaxel.</w:t>
      </w:r>
      <w:r w:rsidRPr="00A46EBA">
        <w:rPr>
          <w:rFonts w:ascii="Arial" w:hAnsi="Arial" w:cs="Arial"/>
          <w:sz w:val="24"/>
          <w:szCs w:val="24"/>
          <w:lang w:val="en-US"/>
        </w:rPr>
        <w:t xml:space="preserve"> Three different materials were tested: two widely used biodegradable polyesters</w:t>
      </w:r>
      <w:r>
        <w:rPr>
          <w:rFonts w:ascii="Arial" w:hAnsi="Arial" w:cs="Arial"/>
          <w:sz w:val="24"/>
          <w:szCs w:val="24"/>
          <w:lang w:val="en-US"/>
        </w:rPr>
        <w:t xml:space="preserve"> (Poly(ε-caprolactone) and Poly(D,L-lactide))</w:t>
      </w:r>
      <w:r w:rsidRPr="00A46EBA">
        <w:rPr>
          <w:rFonts w:ascii="Arial" w:hAnsi="Arial" w:cs="Arial"/>
          <w:sz w:val="24"/>
          <w:szCs w:val="24"/>
          <w:lang w:val="en-US"/>
        </w:rPr>
        <w:t xml:space="preserve"> and one</w:t>
      </w:r>
      <w:r>
        <w:rPr>
          <w:rFonts w:ascii="Arial" w:hAnsi="Arial" w:cs="Arial"/>
          <w:sz w:val="24"/>
          <w:szCs w:val="24"/>
          <w:lang w:val="en-US"/>
        </w:rPr>
        <w:t xml:space="preserve"> proprietary</w:t>
      </w:r>
      <w:r w:rsidRPr="00A46EBA">
        <w:rPr>
          <w:rFonts w:ascii="Arial" w:hAnsi="Arial" w:cs="Arial"/>
          <w:sz w:val="24"/>
          <w:szCs w:val="24"/>
          <w:lang w:val="en-US"/>
        </w:rPr>
        <w:t xml:space="preserve"> polyester-urethane. </w:t>
      </w:r>
      <w:r>
        <w:rPr>
          <w:rFonts w:ascii="Arial" w:hAnsi="Arial" w:cs="Arial"/>
          <w:sz w:val="24"/>
          <w:szCs w:val="24"/>
          <w:lang w:val="en-US"/>
        </w:rPr>
        <w:t>The protocol for particles prep</w:t>
      </w:r>
      <w:r w:rsidRPr="00A46EBA">
        <w:rPr>
          <w:rFonts w:ascii="Arial" w:hAnsi="Arial" w:cs="Arial"/>
          <w:sz w:val="24"/>
          <w:szCs w:val="24"/>
          <w:lang w:val="en-US"/>
        </w:rPr>
        <w:t>a</w:t>
      </w:r>
      <w:r>
        <w:rPr>
          <w:rFonts w:ascii="Arial" w:hAnsi="Arial" w:cs="Arial"/>
          <w:sz w:val="24"/>
          <w:szCs w:val="24"/>
          <w:lang w:val="en-US"/>
        </w:rPr>
        <w:t>ra</w:t>
      </w:r>
      <w:r w:rsidRPr="00A46EBA">
        <w:rPr>
          <w:rFonts w:ascii="Arial" w:hAnsi="Arial" w:cs="Arial"/>
          <w:sz w:val="24"/>
          <w:szCs w:val="24"/>
          <w:lang w:val="en-US"/>
        </w:rPr>
        <w:t>tion was optimized in order to obtain th</w:t>
      </w:r>
      <w:r>
        <w:rPr>
          <w:rFonts w:ascii="Arial" w:hAnsi="Arial" w:cs="Arial"/>
          <w:sz w:val="24"/>
          <w:szCs w:val="24"/>
          <w:lang w:val="en-US"/>
        </w:rPr>
        <w:t>e appropriate dimensions for the passive targeting of tumor cells. The r</w:t>
      </w:r>
      <w:r w:rsidRPr="00A46EBA">
        <w:rPr>
          <w:rFonts w:ascii="Arial" w:hAnsi="Arial" w:cs="Arial"/>
          <w:sz w:val="24"/>
          <w:szCs w:val="24"/>
          <w:lang w:val="en-US"/>
        </w:rPr>
        <w:t>elease kinetics as well as the cellular uptake pathways were</w:t>
      </w:r>
      <w:r>
        <w:rPr>
          <w:rFonts w:ascii="Arial" w:hAnsi="Arial" w:cs="Arial"/>
          <w:sz w:val="24"/>
          <w:szCs w:val="24"/>
          <w:lang w:val="en-US"/>
        </w:rPr>
        <w:t xml:space="preserve"> also studied and</w:t>
      </w:r>
      <w:r w:rsidRPr="00A46EBA">
        <w:rPr>
          <w:rFonts w:ascii="Arial" w:hAnsi="Arial" w:cs="Arial"/>
          <w:sz w:val="24"/>
          <w:szCs w:val="24"/>
          <w:lang w:val="en-US"/>
        </w:rPr>
        <w:t xml:space="preserve"> characterized. </w:t>
      </w:r>
    </w:p>
    <w:p w:rsidR="00387A07" w:rsidRPr="00A46EBA" w:rsidRDefault="00387A07" w:rsidP="00387A07">
      <w:pPr>
        <w:spacing w:line="360" w:lineRule="auto"/>
        <w:jc w:val="both"/>
        <w:rPr>
          <w:rFonts w:ascii="Arial" w:hAnsi="Arial" w:cs="Arial"/>
          <w:sz w:val="24"/>
          <w:szCs w:val="24"/>
          <w:lang w:val="en-US"/>
        </w:rPr>
      </w:pPr>
      <w:r w:rsidRPr="006C3448">
        <w:rPr>
          <w:rFonts w:ascii="Arial" w:hAnsi="Arial" w:cs="Arial"/>
          <w:b/>
          <w:i/>
          <w:sz w:val="24"/>
          <w:szCs w:val="24"/>
          <w:lang w:val="en-US"/>
        </w:rPr>
        <w:t>Chapter 3</w:t>
      </w:r>
      <w:r w:rsidRPr="00A46EBA">
        <w:rPr>
          <w:rFonts w:ascii="Arial" w:hAnsi="Arial" w:cs="Arial"/>
          <w:sz w:val="24"/>
          <w:szCs w:val="24"/>
          <w:lang w:val="en-US"/>
        </w:rPr>
        <w:t xml:space="preserve"> deals with the preparation and characterization of surface-modified nanoparticles for the active targeting of breast cancer cells</w:t>
      </w:r>
      <w:r>
        <w:rPr>
          <w:rFonts w:ascii="Arial" w:hAnsi="Arial" w:cs="Arial"/>
          <w:sz w:val="24"/>
          <w:szCs w:val="24"/>
          <w:lang w:val="en-US"/>
        </w:rPr>
        <w:t>. Different materials were used as particle-forming matrices:</w:t>
      </w:r>
      <w:r w:rsidRPr="00A46EBA">
        <w:rPr>
          <w:rFonts w:ascii="Arial" w:hAnsi="Arial" w:cs="Arial"/>
          <w:sz w:val="24"/>
          <w:szCs w:val="24"/>
          <w:lang w:val="en-US"/>
        </w:rPr>
        <w:t xml:space="preserve"> three commercial polyesters and two </w:t>
      </w:r>
      <w:r>
        <w:rPr>
          <w:rFonts w:ascii="Arial" w:hAnsi="Arial" w:cs="Arial"/>
          <w:sz w:val="24"/>
          <w:szCs w:val="24"/>
          <w:lang w:val="en-US"/>
        </w:rPr>
        <w:t xml:space="preserve">proprietary </w:t>
      </w:r>
      <w:r w:rsidRPr="00A46EBA">
        <w:rPr>
          <w:rFonts w:ascii="Arial" w:hAnsi="Arial" w:cs="Arial"/>
          <w:sz w:val="24"/>
          <w:szCs w:val="24"/>
          <w:lang w:val="en-US"/>
        </w:rPr>
        <w:t>polyeter</w:t>
      </w:r>
      <w:r>
        <w:rPr>
          <w:rFonts w:ascii="Arial" w:hAnsi="Arial" w:cs="Arial"/>
          <w:sz w:val="24"/>
          <w:szCs w:val="24"/>
          <w:lang w:val="en-US"/>
        </w:rPr>
        <w:t>-urethanes, prepared with different chain extenders.</w:t>
      </w:r>
      <w:r w:rsidRPr="00A46EBA">
        <w:rPr>
          <w:rFonts w:ascii="Arial" w:hAnsi="Arial" w:cs="Arial"/>
          <w:sz w:val="24"/>
          <w:szCs w:val="24"/>
          <w:lang w:val="en-US"/>
        </w:rPr>
        <w:t xml:space="preserve"> The procedure followed for particles preparation was optimized and the surface was coated with a monoclonal antibody able to </w:t>
      </w:r>
      <w:r w:rsidRPr="00A46EBA">
        <w:rPr>
          <w:rFonts w:ascii="Arial" w:hAnsi="Arial" w:cs="Arial"/>
          <w:sz w:val="24"/>
          <w:szCs w:val="24"/>
          <w:lang w:val="en-US"/>
        </w:rPr>
        <w:lastRenderedPageBreak/>
        <w:t xml:space="preserve">selectively bind to specific </w:t>
      </w:r>
      <w:r>
        <w:rPr>
          <w:rFonts w:ascii="Arial" w:hAnsi="Arial" w:cs="Arial"/>
          <w:sz w:val="24"/>
          <w:szCs w:val="24"/>
          <w:lang w:val="en-US"/>
        </w:rPr>
        <w:t xml:space="preserve">receptors which are over-expressed on breast </w:t>
      </w:r>
      <w:r w:rsidRPr="00A46EBA">
        <w:rPr>
          <w:rFonts w:ascii="Arial" w:hAnsi="Arial" w:cs="Arial"/>
          <w:sz w:val="24"/>
          <w:szCs w:val="24"/>
          <w:lang w:val="en-US"/>
        </w:rPr>
        <w:t xml:space="preserve">cancer cells. The ability of coated and non coated particles to enter these cells as </w:t>
      </w:r>
      <w:r>
        <w:rPr>
          <w:rFonts w:ascii="Arial" w:hAnsi="Arial" w:cs="Arial"/>
          <w:sz w:val="24"/>
          <w:szCs w:val="24"/>
          <w:lang w:val="en-US"/>
        </w:rPr>
        <w:t>well as the cytotoxicity of different drug-nanoparticles formulations</w:t>
      </w:r>
      <w:r w:rsidRPr="00A46EBA">
        <w:rPr>
          <w:rFonts w:ascii="Arial" w:hAnsi="Arial" w:cs="Arial"/>
          <w:sz w:val="24"/>
          <w:szCs w:val="24"/>
          <w:lang w:val="en-US"/>
        </w:rPr>
        <w:t xml:space="preserve"> was investigated. </w:t>
      </w:r>
    </w:p>
    <w:p w:rsidR="00387A07" w:rsidRDefault="00387A07" w:rsidP="00387A07">
      <w:pPr>
        <w:spacing w:line="360" w:lineRule="auto"/>
        <w:jc w:val="both"/>
        <w:rPr>
          <w:rFonts w:ascii="Arial" w:hAnsi="Arial" w:cs="Arial"/>
          <w:sz w:val="24"/>
          <w:szCs w:val="24"/>
          <w:lang w:val="en-US"/>
        </w:rPr>
      </w:pPr>
      <w:r w:rsidRPr="00FB3952">
        <w:rPr>
          <w:rFonts w:ascii="Arial" w:hAnsi="Arial" w:cs="Arial"/>
          <w:b/>
          <w:sz w:val="24"/>
          <w:szCs w:val="24"/>
          <w:lang w:val="en-US"/>
        </w:rPr>
        <w:t>Section III</w:t>
      </w:r>
      <w:r>
        <w:rPr>
          <w:rFonts w:ascii="Arial" w:hAnsi="Arial" w:cs="Arial"/>
          <w:sz w:val="24"/>
          <w:szCs w:val="24"/>
          <w:lang w:val="en-US"/>
        </w:rPr>
        <w:t xml:space="preserve"> (</w:t>
      </w:r>
      <w:r w:rsidRPr="00FB3952">
        <w:rPr>
          <w:rFonts w:ascii="Arial" w:hAnsi="Arial" w:cs="Arial"/>
          <w:i/>
          <w:sz w:val="24"/>
          <w:szCs w:val="24"/>
          <w:lang w:val="en-US"/>
        </w:rPr>
        <w:t>chapter 4</w:t>
      </w:r>
      <w:r>
        <w:rPr>
          <w:rFonts w:ascii="Arial" w:hAnsi="Arial" w:cs="Arial"/>
          <w:sz w:val="24"/>
          <w:szCs w:val="24"/>
          <w:lang w:val="en-US"/>
        </w:rPr>
        <w:t>) describes the application of nanoparticles to the field of bone tissue engineering. Indomethacin-containing nanoparticles were</w:t>
      </w:r>
      <w:r w:rsidRPr="00A46EBA">
        <w:rPr>
          <w:rFonts w:ascii="Arial" w:hAnsi="Arial" w:cs="Arial"/>
          <w:sz w:val="24"/>
          <w:szCs w:val="24"/>
          <w:lang w:val="en-US"/>
        </w:rPr>
        <w:t xml:space="preserve"> </w:t>
      </w:r>
      <w:r>
        <w:rPr>
          <w:rFonts w:ascii="Arial" w:hAnsi="Arial" w:cs="Arial"/>
          <w:sz w:val="24"/>
          <w:szCs w:val="24"/>
          <w:lang w:val="en-US"/>
        </w:rPr>
        <w:t>prepared and loaded on injectable, biodegradable bone cements, containing β-Tricalciumphosphate (TCP) and Collagen.</w:t>
      </w:r>
    </w:p>
    <w:p w:rsidR="00387A07" w:rsidRPr="00A46EBA" w:rsidRDefault="00387A07" w:rsidP="00387A07">
      <w:pPr>
        <w:spacing w:line="360" w:lineRule="auto"/>
        <w:jc w:val="both"/>
        <w:rPr>
          <w:rFonts w:ascii="Arial" w:hAnsi="Arial" w:cs="Arial"/>
          <w:sz w:val="24"/>
          <w:szCs w:val="24"/>
          <w:lang w:val="en-US"/>
        </w:rPr>
      </w:pPr>
      <w:r>
        <w:rPr>
          <w:rFonts w:ascii="Arial" w:hAnsi="Arial" w:cs="Arial"/>
          <w:sz w:val="24"/>
          <w:szCs w:val="24"/>
          <w:lang w:val="en-US"/>
        </w:rPr>
        <w:t xml:space="preserve">In </w:t>
      </w:r>
      <w:r w:rsidRPr="00FB3952">
        <w:rPr>
          <w:rFonts w:ascii="Arial" w:hAnsi="Arial" w:cs="Arial"/>
          <w:b/>
          <w:sz w:val="24"/>
          <w:szCs w:val="24"/>
          <w:lang w:val="en-US"/>
        </w:rPr>
        <w:t>section IV</w:t>
      </w:r>
      <w:r>
        <w:rPr>
          <w:rFonts w:ascii="Arial" w:hAnsi="Arial" w:cs="Arial"/>
          <w:b/>
          <w:sz w:val="24"/>
          <w:szCs w:val="24"/>
          <w:lang w:val="en-US"/>
        </w:rPr>
        <w:t xml:space="preserve"> </w:t>
      </w:r>
      <w:r>
        <w:rPr>
          <w:rFonts w:ascii="Arial" w:hAnsi="Arial" w:cs="Arial"/>
          <w:i/>
          <w:sz w:val="24"/>
          <w:szCs w:val="24"/>
          <w:lang w:val="en-US"/>
        </w:rPr>
        <w:t>(chapter 5)</w:t>
      </w:r>
      <w:r>
        <w:rPr>
          <w:rFonts w:ascii="Arial" w:hAnsi="Arial" w:cs="Arial"/>
          <w:sz w:val="24"/>
          <w:szCs w:val="24"/>
          <w:lang w:val="en-US"/>
        </w:rPr>
        <w:t xml:space="preserve">, </w:t>
      </w:r>
      <w:r w:rsidRPr="00A46EBA">
        <w:rPr>
          <w:rFonts w:ascii="Arial" w:hAnsi="Arial" w:cs="Arial"/>
          <w:sz w:val="24"/>
          <w:szCs w:val="24"/>
          <w:lang w:val="en-US"/>
        </w:rPr>
        <w:t xml:space="preserve">the main achievements of the experimental work are presented and the future trends and general conclusions are discussed. </w:t>
      </w:r>
    </w:p>
    <w:p w:rsidR="00387A07" w:rsidRPr="00B612AD" w:rsidRDefault="00387A07" w:rsidP="00387A07">
      <w:pPr>
        <w:spacing w:line="360" w:lineRule="auto"/>
        <w:jc w:val="both"/>
        <w:rPr>
          <w:rFonts w:ascii="Times New Roman" w:hAnsi="Times New Roman" w:cs="Times New Roman"/>
          <w:sz w:val="26"/>
          <w:szCs w:val="26"/>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r w:rsidRPr="007C2F2E">
        <w:rPr>
          <w:rFonts w:ascii="Arial" w:hAnsi="Arial" w:cs="Arial"/>
          <w:b/>
          <w:color w:val="002060"/>
          <w:sz w:val="120"/>
          <w:szCs w:val="120"/>
          <w:lang w:val="en-US"/>
        </w:rPr>
        <w:t>Section I</w:t>
      </w: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Pr="007C2F2E" w:rsidRDefault="00387A07" w:rsidP="00387A07">
      <w:pPr>
        <w:spacing w:line="360" w:lineRule="auto"/>
        <w:jc w:val="right"/>
        <w:rPr>
          <w:rFonts w:ascii="Arial" w:hAnsi="Arial" w:cs="Arial"/>
          <w:b/>
          <w:color w:val="002060"/>
          <w:sz w:val="120"/>
          <w:szCs w:val="120"/>
          <w:lang w:val="en-US"/>
        </w:rPr>
      </w:pPr>
    </w:p>
    <w:p w:rsidR="00387A07" w:rsidRDefault="00387A07" w:rsidP="00387A07"/>
    <w:p w:rsidR="00387A07" w:rsidRDefault="00387A07" w:rsidP="00387A07">
      <w:pPr>
        <w:jc w:val="right"/>
        <w:rPr>
          <w:rFonts w:ascii="Arial" w:hAnsi="Arial" w:cs="Arial"/>
          <w:b/>
          <w:color w:val="4F81BD" w:themeColor="accent1"/>
          <w:sz w:val="124"/>
          <w:szCs w:val="124"/>
          <w:lang w:val="en-US"/>
        </w:rPr>
      </w:pPr>
      <w:r w:rsidRPr="00182FE9">
        <w:rPr>
          <w:rFonts w:ascii="Arial" w:hAnsi="Arial" w:cs="Arial"/>
          <w:b/>
          <w:color w:val="4F81BD" w:themeColor="accent1"/>
          <w:sz w:val="124"/>
          <w:szCs w:val="124"/>
          <w:lang w:val="en-US"/>
        </w:rPr>
        <w:lastRenderedPageBreak/>
        <w:t>Chapter 1</w:t>
      </w:r>
    </w:p>
    <w:p w:rsidR="00387A07" w:rsidRPr="00182FE9" w:rsidRDefault="00387A07" w:rsidP="00387A07">
      <w:pPr>
        <w:jc w:val="right"/>
        <w:rPr>
          <w:rFonts w:ascii="Arial" w:hAnsi="Arial" w:cs="Arial"/>
          <w:b/>
          <w:sz w:val="24"/>
          <w:szCs w:val="24"/>
          <w:lang w:val="en-US"/>
        </w:rPr>
      </w:pPr>
    </w:p>
    <w:p w:rsidR="00387A07" w:rsidRDefault="00387A07" w:rsidP="00387A07">
      <w:pPr>
        <w:rPr>
          <w:lang w:val="en-US"/>
        </w:rPr>
      </w:pPr>
    </w:p>
    <w:p w:rsidR="00387A07" w:rsidRPr="00353D75" w:rsidRDefault="00387A07" w:rsidP="00387A07">
      <w:pPr>
        <w:spacing w:line="360" w:lineRule="auto"/>
        <w:jc w:val="right"/>
        <w:rPr>
          <w:rFonts w:ascii="Arial" w:hAnsi="Arial" w:cs="Arial"/>
          <w:b/>
          <w:sz w:val="50"/>
          <w:szCs w:val="50"/>
          <w:lang w:val="en-US"/>
        </w:rPr>
      </w:pPr>
      <w:r>
        <w:rPr>
          <w:rFonts w:ascii="Arial" w:hAnsi="Arial" w:cs="Arial"/>
          <w:b/>
          <w:sz w:val="50"/>
          <w:szCs w:val="50"/>
          <w:lang w:val="en-US"/>
        </w:rPr>
        <w:t>Nanotechnology-based Drug Delivery Systems: State of the Art and Future Trends</w:t>
      </w:r>
    </w:p>
    <w:p w:rsidR="00387A07" w:rsidRDefault="00387A07" w:rsidP="00387A07">
      <w:pPr>
        <w:rPr>
          <w:rFonts w:ascii="Arial" w:hAnsi="Arial" w:cs="Arial"/>
          <w:b/>
          <w:sz w:val="24"/>
          <w:szCs w:val="24"/>
          <w:lang w:val="en-US"/>
        </w:rPr>
      </w:pPr>
    </w:p>
    <w:p w:rsidR="00387A07" w:rsidRDefault="00387A07" w:rsidP="00387A07">
      <w:pPr>
        <w:rPr>
          <w:rFonts w:ascii="Arial" w:hAnsi="Arial" w:cs="Arial"/>
          <w:b/>
          <w:sz w:val="24"/>
          <w:szCs w:val="24"/>
          <w:lang w:val="en-US"/>
        </w:rPr>
      </w:pPr>
    </w:p>
    <w:p w:rsidR="00387A07" w:rsidRDefault="00387A07" w:rsidP="00387A07">
      <w:pPr>
        <w:rPr>
          <w:rFonts w:ascii="Arial" w:hAnsi="Arial" w:cs="Arial"/>
          <w:b/>
          <w:sz w:val="24"/>
          <w:szCs w:val="24"/>
          <w:lang w:val="en-US"/>
        </w:rPr>
      </w:pPr>
    </w:p>
    <w:p w:rsidR="00387A07" w:rsidRDefault="00387A07" w:rsidP="00387A07">
      <w:pPr>
        <w:rPr>
          <w:rFonts w:ascii="Arial" w:hAnsi="Arial" w:cs="Arial"/>
          <w:b/>
          <w:sz w:val="24"/>
          <w:szCs w:val="24"/>
          <w:lang w:val="en-US"/>
        </w:rPr>
      </w:pPr>
    </w:p>
    <w:p w:rsidR="00387A07" w:rsidRDefault="00387A07" w:rsidP="00387A07">
      <w:pPr>
        <w:rPr>
          <w:rFonts w:ascii="Arial" w:hAnsi="Arial" w:cs="Arial"/>
          <w:b/>
          <w:sz w:val="24"/>
          <w:szCs w:val="24"/>
          <w:lang w:val="en-US"/>
        </w:rPr>
      </w:pPr>
    </w:p>
    <w:p w:rsidR="00387A07" w:rsidRDefault="00387A07" w:rsidP="00387A07">
      <w:pPr>
        <w:rPr>
          <w:rFonts w:ascii="Arial" w:hAnsi="Arial" w:cs="Arial"/>
          <w:b/>
          <w:sz w:val="24"/>
          <w:szCs w:val="24"/>
          <w:lang w:val="en-US"/>
        </w:rPr>
      </w:pPr>
    </w:p>
    <w:p w:rsidR="00387A07" w:rsidRDefault="00387A07" w:rsidP="00387A07">
      <w:pPr>
        <w:rPr>
          <w:rFonts w:ascii="Arial" w:hAnsi="Arial" w:cs="Arial"/>
          <w:b/>
          <w:sz w:val="24"/>
          <w:szCs w:val="24"/>
          <w:lang w:val="en-US"/>
        </w:rPr>
      </w:pPr>
    </w:p>
    <w:p w:rsidR="00387A07" w:rsidRDefault="00387A07" w:rsidP="00387A07">
      <w:pPr>
        <w:rPr>
          <w:rFonts w:ascii="Arial" w:hAnsi="Arial" w:cs="Arial"/>
          <w:b/>
          <w:sz w:val="24"/>
          <w:szCs w:val="24"/>
          <w:lang w:val="en-US"/>
        </w:rPr>
      </w:pPr>
    </w:p>
    <w:p w:rsidR="00550A30" w:rsidRDefault="00550A30" w:rsidP="00387A07">
      <w:pPr>
        <w:rPr>
          <w:rFonts w:ascii="Arial" w:hAnsi="Arial" w:cs="Arial"/>
          <w:b/>
          <w:sz w:val="24"/>
          <w:szCs w:val="24"/>
          <w:lang w:val="en-US"/>
        </w:rPr>
      </w:pPr>
    </w:p>
    <w:p w:rsidR="00550A30" w:rsidRDefault="00550A30" w:rsidP="00387A07">
      <w:pPr>
        <w:rPr>
          <w:rFonts w:ascii="Arial" w:hAnsi="Arial" w:cs="Arial"/>
          <w:b/>
          <w:sz w:val="24"/>
          <w:szCs w:val="24"/>
          <w:lang w:val="en-US"/>
        </w:rPr>
      </w:pPr>
    </w:p>
    <w:p w:rsidR="00550A30" w:rsidRDefault="00550A30" w:rsidP="00387A07">
      <w:pPr>
        <w:rPr>
          <w:rFonts w:ascii="Arial" w:hAnsi="Arial" w:cs="Arial"/>
          <w:b/>
          <w:sz w:val="24"/>
          <w:szCs w:val="24"/>
          <w:lang w:val="en-US"/>
        </w:rPr>
      </w:pPr>
    </w:p>
    <w:p w:rsidR="00550A30" w:rsidRDefault="00550A30" w:rsidP="00387A07">
      <w:pPr>
        <w:rPr>
          <w:rFonts w:ascii="Arial" w:hAnsi="Arial" w:cs="Arial"/>
          <w:b/>
          <w:sz w:val="24"/>
          <w:szCs w:val="24"/>
          <w:lang w:val="en-US"/>
        </w:rPr>
      </w:pPr>
    </w:p>
    <w:p w:rsidR="00550A30" w:rsidRDefault="00550A30" w:rsidP="00387A07">
      <w:pPr>
        <w:rPr>
          <w:rFonts w:ascii="Arial" w:hAnsi="Arial" w:cs="Arial"/>
          <w:b/>
          <w:sz w:val="24"/>
          <w:szCs w:val="24"/>
          <w:lang w:val="en-US"/>
        </w:rPr>
      </w:pPr>
    </w:p>
    <w:p w:rsidR="00550A30" w:rsidRDefault="00550A30" w:rsidP="00387A07">
      <w:pPr>
        <w:rPr>
          <w:rFonts w:ascii="Arial" w:hAnsi="Arial" w:cs="Arial"/>
          <w:b/>
          <w:sz w:val="24"/>
          <w:szCs w:val="24"/>
          <w:lang w:val="en-US"/>
        </w:rPr>
      </w:pPr>
    </w:p>
    <w:p w:rsidR="00387A07" w:rsidRDefault="00387A07" w:rsidP="00387A07">
      <w:pPr>
        <w:rPr>
          <w:rFonts w:ascii="Arial" w:hAnsi="Arial" w:cs="Arial"/>
          <w:b/>
          <w:sz w:val="24"/>
          <w:szCs w:val="24"/>
          <w:lang w:val="en-US"/>
        </w:rPr>
      </w:pPr>
    </w:p>
    <w:p w:rsidR="00387A07" w:rsidRDefault="00387A07" w:rsidP="00387A07">
      <w:pPr>
        <w:rPr>
          <w:rFonts w:ascii="Arial" w:hAnsi="Arial" w:cs="Arial"/>
          <w:b/>
          <w:sz w:val="24"/>
          <w:szCs w:val="24"/>
          <w:lang w:val="en-US"/>
        </w:rPr>
      </w:pPr>
    </w:p>
    <w:p w:rsidR="00387A07" w:rsidRPr="0019015F" w:rsidRDefault="00387A07" w:rsidP="00387A07">
      <w:pPr>
        <w:spacing w:after="240"/>
        <w:rPr>
          <w:rFonts w:ascii="Arial" w:hAnsi="Arial" w:cs="Arial"/>
          <w:b/>
          <w:sz w:val="24"/>
          <w:szCs w:val="24"/>
          <w:lang w:val="en-US"/>
        </w:rPr>
      </w:pPr>
      <w:r>
        <w:rPr>
          <w:rFonts w:ascii="Arial" w:hAnsi="Arial" w:cs="Arial"/>
          <w:b/>
          <w:sz w:val="24"/>
          <w:szCs w:val="24"/>
          <w:lang w:val="en-US"/>
        </w:rPr>
        <w:lastRenderedPageBreak/>
        <w:t>1.1 Introduction</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Nanotechnology-based drug delivery systems have gained growing attention in the past decades because they offer new opportunities in improving, and often combining, diagnosis and treatment of various diseases.</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Corporate investments in the field have increased year by year and founding raised in the United States from $116 million in 2001 to $82 billion in </w:t>
      </w:r>
      <w:r w:rsidRPr="0065313A">
        <w:rPr>
          <w:rFonts w:ascii="Arial" w:hAnsi="Arial" w:cs="Arial"/>
          <w:sz w:val="24"/>
          <w:szCs w:val="24"/>
          <w:lang w:val="en-US"/>
        </w:rPr>
        <w:t>2007 [1,2].</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A successful drug delivery system should enhance therapeutic outcome, improve patient compliance and reduce therapeutic costs.</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Moreover they are expected to offer the possibility to: (i) selectively deliver the encapsulated drug by specific recognition of their target tissues/cells; (ii) reduce toxic side effects such as infections, systemic toxicity or undesired immune reactions and (iii) minimize risks associated with drug administration by improving drug pharmacokinetic and </w:t>
      </w:r>
      <w:r w:rsidRPr="0065313A">
        <w:rPr>
          <w:rFonts w:ascii="Arial" w:hAnsi="Arial" w:cs="Arial"/>
          <w:sz w:val="24"/>
          <w:szCs w:val="24"/>
          <w:lang w:val="en-US"/>
        </w:rPr>
        <w:t>bioavailability [3].</w:t>
      </w:r>
      <w:r>
        <w:rPr>
          <w:rFonts w:ascii="Arial" w:hAnsi="Arial" w:cs="Arial"/>
          <w:sz w:val="24"/>
          <w:szCs w:val="24"/>
          <w:lang w:val="en-US"/>
        </w:rPr>
        <w:t xml:space="preserve">  </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Traditional nanotechnology for drug delivery refers to those nanoscale vehicles mainly utilized to improve the release properties of pharmacologically active molecules. Recently new multifunctional platforms have been developed to combine therapeutic purposes with the ability to perform other tasks. These tools combine the traditional function of drug delivery with diagnostics, by encapsulating fluorescent or magnetic resonance imaging agents (such as quantum dots or super-paramagnetic particles) as well as with long-term therapeutic strategies such as photothermal therapy in oncology or combined release of </w:t>
      </w:r>
      <w:r w:rsidRPr="0065313A">
        <w:rPr>
          <w:rFonts w:ascii="Arial" w:hAnsi="Arial" w:cs="Arial"/>
          <w:sz w:val="24"/>
          <w:szCs w:val="24"/>
          <w:lang w:val="en-US"/>
        </w:rPr>
        <w:t>multiple therapies such as drugs in conjugation with biomolecules like nucleic acids or peptides [4,5].</w:t>
      </w:r>
    </w:p>
    <w:p w:rsidR="00387A07" w:rsidRPr="00DA7A89" w:rsidRDefault="00387A07" w:rsidP="00387A07">
      <w:pPr>
        <w:spacing w:before="240" w:after="240" w:line="360" w:lineRule="auto"/>
        <w:jc w:val="both"/>
        <w:rPr>
          <w:rFonts w:ascii="Arial" w:hAnsi="Arial" w:cs="Arial"/>
          <w:b/>
          <w:sz w:val="24"/>
          <w:szCs w:val="24"/>
          <w:lang w:val="en-US"/>
        </w:rPr>
      </w:pPr>
      <w:r>
        <w:rPr>
          <w:rFonts w:ascii="Arial" w:hAnsi="Arial" w:cs="Arial"/>
          <w:b/>
          <w:sz w:val="24"/>
          <w:szCs w:val="24"/>
          <w:lang w:val="en-US"/>
        </w:rPr>
        <w:t>1.2 Polymeric nanoparticles as drug delivery systems</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t>Among the nanotechnology-based drug delivery systems, b</w:t>
      </w:r>
      <w:r w:rsidRPr="00C60CB6">
        <w:rPr>
          <w:rFonts w:ascii="Arial" w:hAnsi="Arial" w:cs="Arial"/>
          <w:sz w:val="24"/>
          <w:szCs w:val="24"/>
          <w:lang w:val="en-US"/>
        </w:rPr>
        <w:t>iodegradable polyme</w:t>
      </w:r>
      <w:r>
        <w:rPr>
          <w:rFonts w:ascii="Arial" w:hAnsi="Arial" w:cs="Arial"/>
          <w:sz w:val="24"/>
          <w:szCs w:val="24"/>
          <w:lang w:val="en-US"/>
        </w:rPr>
        <w:t xml:space="preserve">ric nanoparticles have attracted immense </w:t>
      </w:r>
      <w:r w:rsidRPr="0065313A">
        <w:rPr>
          <w:rFonts w:ascii="Arial" w:hAnsi="Arial" w:cs="Arial"/>
          <w:sz w:val="24"/>
          <w:szCs w:val="24"/>
          <w:lang w:val="en-US"/>
        </w:rPr>
        <w:t>interest in research because they offer several advantages over traditional medicine with respect to controlled release, therapeutic impact and targeted delivery through easy surface nanoengineering [6]. They can be tailor-made to achieve both controlled drug release and disease specific localization by tuning the polymer characteristics and surface chemistry [7-9].</w:t>
      </w:r>
    </w:p>
    <w:p w:rsidR="00387A07"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Figure 1.1 represents the increase in the number of scientific publication from 1996 to 2010 (Scopus) regarding polymer nanoparticles [10] and reflects the growing interest raised in the scientific community in this field.</w:t>
      </w:r>
      <w:r>
        <w:rPr>
          <w:rFonts w:ascii="Arial" w:hAnsi="Arial" w:cs="Arial"/>
          <w:sz w:val="24"/>
          <w:szCs w:val="24"/>
          <w:lang w:val="en-US"/>
        </w:rPr>
        <w:t xml:space="preserve"> </w:t>
      </w:r>
    </w:p>
    <w:p w:rsidR="00387A07" w:rsidRDefault="00387A07" w:rsidP="00387A07">
      <w:pPr>
        <w:spacing w:after="0" w:line="360" w:lineRule="auto"/>
        <w:jc w:val="center"/>
        <w:rPr>
          <w:rFonts w:ascii="Arial" w:hAnsi="Arial" w:cs="Arial"/>
          <w:sz w:val="24"/>
          <w:szCs w:val="24"/>
          <w:lang w:val="en-US"/>
        </w:rPr>
      </w:pPr>
      <w:r>
        <w:rPr>
          <w:rFonts w:ascii="Arial" w:hAnsi="Arial" w:cs="Arial"/>
          <w:noProof/>
          <w:sz w:val="24"/>
          <w:szCs w:val="24"/>
          <w:lang w:val="it-IT" w:eastAsia="it-IT"/>
        </w:rPr>
        <w:lastRenderedPageBreak/>
        <w:drawing>
          <wp:inline distT="0" distB="0" distL="0" distR="0">
            <wp:extent cx="4295775" cy="2743200"/>
            <wp:effectExtent l="19050" t="0" r="9525" b="0"/>
            <wp:docPr id="4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9"/>
                    <a:srcRect/>
                    <a:stretch>
                      <a:fillRect/>
                    </a:stretch>
                  </pic:blipFill>
                  <pic:spPr bwMode="auto">
                    <a:xfrm>
                      <a:off x="0" y="0"/>
                      <a:ext cx="4295775" cy="2743200"/>
                    </a:xfrm>
                    <a:prstGeom prst="rect">
                      <a:avLst/>
                    </a:prstGeom>
                    <a:noFill/>
                    <a:ln w="9525">
                      <a:noFill/>
                      <a:miter lim="800000"/>
                      <a:headEnd/>
                      <a:tailEnd/>
                    </a:ln>
                  </pic:spPr>
                </pic:pic>
              </a:graphicData>
            </a:graphic>
          </wp:inline>
        </w:drawing>
      </w:r>
    </w:p>
    <w:p w:rsidR="00387A07" w:rsidRDefault="00387A07" w:rsidP="00387A07">
      <w:pPr>
        <w:pStyle w:val="Didascalia"/>
        <w:rPr>
          <w:rFonts w:ascii="Arial" w:hAnsi="Arial" w:cs="Arial"/>
          <w:sz w:val="24"/>
          <w:szCs w:val="24"/>
          <w:lang w:val="en-US"/>
        </w:rPr>
      </w:pPr>
      <w:r>
        <w:t xml:space="preserve">Figure 1. </w:t>
      </w:r>
      <w:fldSimple w:instr=" SEQ Figure_1. \* ARABIC ">
        <w:r>
          <w:rPr>
            <w:noProof/>
          </w:rPr>
          <w:t>1</w:t>
        </w:r>
      </w:fldSimple>
      <w:r>
        <w:t xml:space="preserve"> Representation of the increase in the number of scientific publications on polymer nanoparticles [10].</w:t>
      </w:r>
    </w:p>
    <w:p w:rsidR="00387A07" w:rsidRPr="0065313A" w:rsidRDefault="00387A07" w:rsidP="00387A07">
      <w:pPr>
        <w:autoSpaceDE w:val="0"/>
        <w:autoSpaceDN w:val="0"/>
        <w:adjustRightInd w:val="0"/>
        <w:spacing w:after="0" w:line="360" w:lineRule="auto"/>
        <w:jc w:val="both"/>
        <w:rPr>
          <w:rFonts w:ascii="Arial" w:hAnsi="Arial" w:cs="Arial"/>
          <w:iCs/>
          <w:sz w:val="24"/>
          <w:szCs w:val="24"/>
          <w:lang w:val="en-US"/>
        </w:rPr>
      </w:pPr>
      <w:r w:rsidRPr="0065313A">
        <w:rPr>
          <w:rFonts w:ascii="Arial" w:hAnsi="Arial" w:cs="Arial"/>
          <w:sz w:val="24"/>
          <w:szCs w:val="24"/>
          <w:lang w:val="en-US"/>
        </w:rPr>
        <w:t>Nanoparticles are solid, colloidal particles consisting of macromolecular substances that vary in size from 10nm to 1000nm [11.]. The drug of interest could be dissolved, entrapped, adsorbed, attached or encapsulated into the polymer matrix (see figure 1.2) and according to the interactions that take place between the drug and the polymeric carriers, nanocapsules or nanospheres can be obtained [12]</w:t>
      </w:r>
      <w:r w:rsidRPr="0065313A">
        <w:rPr>
          <w:rFonts w:ascii="Arial" w:hAnsi="Arial" w:cs="Arial"/>
          <w:color w:val="FF0000"/>
          <w:sz w:val="24"/>
          <w:szCs w:val="24"/>
          <w:lang w:val="en-US"/>
        </w:rPr>
        <w:t>.</w:t>
      </w:r>
    </w:p>
    <w:p w:rsidR="00387A07" w:rsidRPr="008C1AC5"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Nanocapsules are core-shell type vesicular systems in which the active principle is confined to a cavity surrounded b</w:t>
      </w:r>
      <w:r w:rsidRPr="008C1AC5">
        <w:rPr>
          <w:rFonts w:ascii="Arial" w:hAnsi="Arial" w:cs="Arial"/>
          <w:sz w:val="24"/>
          <w:szCs w:val="24"/>
          <w:lang w:val="en-US"/>
        </w:rPr>
        <w:t>y a polymeric membrane of variable thickness.</w:t>
      </w:r>
    </w:p>
    <w:p w:rsidR="00387A07" w:rsidRPr="002E6D82" w:rsidRDefault="00387A07" w:rsidP="00387A07">
      <w:pPr>
        <w:spacing w:after="120" w:line="360" w:lineRule="auto"/>
        <w:jc w:val="both"/>
        <w:rPr>
          <w:rFonts w:ascii="Arial" w:hAnsi="Arial" w:cs="Arial"/>
          <w:sz w:val="24"/>
          <w:szCs w:val="24"/>
          <w:lang w:val="en-US"/>
        </w:rPr>
      </w:pPr>
      <w:r w:rsidRPr="002E6D82">
        <w:rPr>
          <w:rFonts w:ascii="Arial" w:hAnsi="Arial" w:cs="Arial"/>
          <w:sz w:val="24"/>
          <w:szCs w:val="24"/>
          <w:lang w:val="en-US"/>
        </w:rPr>
        <w:t xml:space="preserve">Nanospheres are matrix-type nanoparticles, in which the drug is entrapped or finely dispersed in a polymer matrix. </w:t>
      </w:r>
    </w:p>
    <w:p w:rsidR="00387A07" w:rsidRDefault="00387A07" w:rsidP="00387A07">
      <w:pPr>
        <w:autoSpaceDE w:val="0"/>
        <w:autoSpaceDN w:val="0"/>
        <w:adjustRightInd w:val="0"/>
        <w:spacing w:after="120" w:line="240" w:lineRule="auto"/>
        <w:jc w:val="center"/>
        <w:rPr>
          <w:rFonts w:ascii="Times New Roman" w:hAnsi="Times New Roman"/>
          <w:sz w:val="24"/>
          <w:szCs w:val="24"/>
          <w:lang w:val="en-US"/>
        </w:rPr>
      </w:pPr>
      <w:r>
        <w:rPr>
          <w:rFonts w:ascii="Times New Roman" w:hAnsi="Times New Roman"/>
          <w:noProof/>
          <w:sz w:val="24"/>
          <w:szCs w:val="24"/>
          <w:lang w:val="it-IT" w:eastAsia="it-IT"/>
        </w:rPr>
        <w:drawing>
          <wp:inline distT="0" distB="0" distL="0" distR="0">
            <wp:extent cx="2886075" cy="1304925"/>
            <wp:effectExtent l="19050" t="19050" r="28575" b="28575"/>
            <wp:docPr id="43" name="Immagine 4" descr="nanocapsule nanosfe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nanocapsule nanosfere.jpg"/>
                    <pic:cNvPicPr>
                      <a:picLocks noChangeAspect="1" noChangeArrowheads="1"/>
                    </pic:cNvPicPr>
                  </pic:nvPicPr>
                  <pic:blipFill>
                    <a:blip r:embed="rId10"/>
                    <a:srcRect t="7904" b="7904"/>
                    <a:stretch>
                      <a:fillRect/>
                    </a:stretch>
                  </pic:blipFill>
                  <pic:spPr bwMode="auto">
                    <a:xfrm>
                      <a:off x="0" y="0"/>
                      <a:ext cx="2886075" cy="1304925"/>
                    </a:xfrm>
                    <a:prstGeom prst="rect">
                      <a:avLst/>
                    </a:prstGeom>
                    <a:noFill/>
                    <a:ln w="9525" cmpd="sng">
                      <a:solidFill>
                        <a:srgbClr val="000000"/>
                      </a:solidFill>
                      <a:miter lim="800000"/>
                      <a:headEnd/>
                      <a:tailEnd/>
                    </a:ln>
                    <a:effectLst/>
                  </pic:spPr>
                </pic:pic>
              </a:graphicData>
            </a:graphic>
          </wp:inline>
        </w:drawing>
      </w:r>
    </w:p>
    <w:p w:rsidR="00387A07" w:rsidRPr="00D614D9" w:rsidRDefault="00387A07" w:rsidP="00387A07">
      <w:pPr>
        <w:autoSpaceDE w:val="0"/>
        <w:autoSpaceDN w:val="0"/>
        <w:adjustRightInd w:val="0"/>
        <w:spacing w:after="120"/>
        <w:jc w:val="both"/>
        <w:rPr>
          <w:rFonts w:cs="Calibri"/>
          <w:b/>
          <w:color w:val="4F81BD"/>
          <w:sz w:val="18"/>
          <w:szCs w:val="18"/>
          <w:lang w:val="en-US"/>
        </w:rPr>
      </w:pPr>
      <w:r w:rsidRPr="004E757D">
        <w:rPr>
          <w:rFonts w:cs="Calibri"/>
          <w:b/>
          <w:color w:val="4F81BD"/>
          <w:sz w:val="18"/>
          <w:szCs w:val="18"/>
        </w:rPr>
        <w:t xml:space="preserve">Figure 1. </w:t>
      </w:r>
      <w:r w:rsidR="00860AC7" w:rsidRPr="004E757D">
        <w:rPr>
          <w:rFonts w:cs="Calibri"/>
          <w:b/>
          <w:color w:val="4F81BD"/>
          <w:sz w:val="18"/>
          <w:szCs w:val="18"/>
        </w:rPr>
        <w:fldChar w:fldCharType="begin"/>
      </w:r>
      <w:r w:rsidRPr="004E757D">
        <w:rPr>
          <w:rFonts w:cs="Calibri"/>
          <w:b/>
          <w:color w:val="4F81BD"/>
          <w:sz w:val="18"/>
          <w:szCs w:val="18"/>
        </w:rPr>
        <w:instrText xml:space="preserve"> SEQ Figure_1. \* ARABIC </w:instrText>
      </w:r>
      <w:r w:rsidR="00860AC7" w:rsidRPr="004E757D">
        <w:rPr>
          <w:rFonts w:cs="Calibri"/>
          <w:b/>
          <w:color w:val="4F81BD"/>
          <w:sz w:val="18"/>
          <w:szCs w:val="18"/>
        </w:rPr>
        <w:fldChar w:fldCharType="separate"/>
      </w:r>
      <w:r>
        <w:rPr>
          <w:rFonts w:cs="Calibri"/>
          <w:b/>
          <w:noProof/>
          <w:color w:val="4F81BD"/>
          <w:sz w:val="18"/>
          <w:szCs w:val="18"/>
        </w:rPr>
        <w:t>2</w:t>
      </w:r>
      <w:r w:rsidR="00860AC7" w:rsidRPr="004E757D">
        <w:rPr>
          <w:rFonts w:cs="Calibri"/>
          <w:b/>
          <w:color w:val="4F81BD"/>
          <w:sz w:val="18"/>
          <w:szCs w:val="18"/>
        </w:rPr>
        <w:fldChar w:fldCharType="end"/>
      </w:r>
      <w:r w:rsidRPr="004E757D">
        <w:rPr>
          <w:rFonts w:cs="Calibri"/>
          <w:b/>
          <w:color w:val="4F81BD"/>
          <w:sz w:val="18"/>
          <w:szCs w:val="18"/>
        </w:rPr>
        <w:t xml:space="preserve"> </w:t>
      </w:r>
      <w:r w:rsidRPr="004E757D">
        <w:rPr>
          <w:rFonts w:cs="Calibri"/>
          <w:b/>
          <w:color w:val="4F81BD"/>
          <w:sz w:val="18"/>
          <w:szCs w:val="18"/>
          <w:lang w:val="en-US"/>
        </w:rPr>
        <w:t xml:space="preserve">Schematics of exemplary </w:t>
      </w:r>
      <w:r>
        <w:rPr>
          <w:rFonts w:cs="Calibri"/>
          <w:b/>
          <w:color w:val="4F81BD"/>
          <w:sz w:val="18"/>
          <w:szCs w:val="18"/>
          <w:lang w:val="en-US"/>
        </w:rPr>
        <w:t>types of drug nanoparticles. In m</w:t>
      </w:r>
      <w:r w:rsidRPr="004E757D">
        <w:rPr>
          <w:rFonts w:cs="Calibri"/>
          <w:b/>
          <w:color w:val="4F81BD"/>
          <w:sz w:val="18"/>
          <w:szCs w:val="18"/>
          <w:lang w:val="en-US"/>
        </w:rPr>
        <w:t>atrix type nanosphere, drug molecules are evenly dis</w:t>
      </w:r>
      <w:r>
        <w:rPr>
          <w:rFonts w:cs="Calibri"/>
          <w:b/>
          <w:color w:val="4F81BD"/>
          <w:sz w:val="18"/>
          <w:szCs w:val="18"/>
          <w:lang w:val="en-US"/>
        </w:rPr>
        <w:t>persed in the polymer matrix. In core shell nanocapsule the</w:t>
      </w:r>
      <w:r w:rsidRPr="004E757D">
        <w:rPr>
          <w:rFonts w:cs="Calibri"/>
          <w:b/>
          <w:color w:val="4F81BD"/>
          <w:sz w:val="18"/>
          <w:szCs w:val="18"/>
          <w:lang w:val="en-US"/>
        </w:rPr>
        <w:t xml:space="preserve"> drug molecule is presented in a core covered </w:t>
      </w:r>
      <w:r>
        <w:rPr>
          <w:rFonts w:cs="Calibri"/>
          <w:b/>
          <w:color w:val="4F81BD"/>
          <w:sz w:val="18"/>
          <w:szCs w:val="18"/>
          <w:lang w:val="en-US"/>
        </w:rPr>
        <w:t>by</w:t>
      </w:r>
      <w:r w:rsidRPr="004E757D">
        <w:rPr>
          <w:rFonts w:cs="Calibri"/>
          <w:b/>
          <w:color w:val="4F81BD"/>
          <w:sz w:val="18"/>
          <w:szCs w:val="18"/>
          <w:lang w:val="en-US"/>
        </w:rPr>
        <w:t xml:space="preserve"> a polymer shell.</w:t>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 xml:space="preserve">1.2.1 Advantages of polymeric drug carriers.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Polymeric nanoparticles have been extensively investigated as carriers for various drug formulations, such as hydrophilic or hydrophobic active principles [13-15], DNA [16], RNA [17] or other biomolecules [18], because of their ability to improve the therapeutic value, the solubility  and the bioavailability of the encapsulated active principles [19]. </w:t>
      </w:r>
    </w:p>
    <w:p w:rsidR="00387A07"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lastRenderedPageBreak/>
        <w:t>Traditional administration routes, such as transdermal, nasal or oral routes, though simple and comfortable for patients, display several drawbacks like poor bioavailability due to the passage through various biological barriers (like the intestine or the digestive systems) in</w:t>
      </w:r>
      <w:r>
        <w:rPr>
          <w:rFonts w:ascii="Arial" w:hAnsi="Arial" w:cs="Arial"/>
          <w:sz w:val="24"/>
          <w:szCs w:val="24"/>
          <w:lang w:val="en-US"/>
        </w:rPr>
        <w:t xml:space="preserve"> which extreme conditions (pH, applied stresses) may degrade the active principle and reduce the efficacy of therapies [</w:t>
      </w:r>
      <w:r w:rsidRPr="0065313A">
        <w:rPr>
          <w:rFonts w:ascii="Arial" w:hAnsi="Arial" w:cs="Arial"/>
          <w:sz w:val="24"/>
          <w:szCs w:val="24"/>
          <w:lang w:val="en-US"/>
        </w:rPr>
        <w:t>20-22]. Other challenges</w:t>
      </w:r>
      <w:r>
        <w:rPr>
          <w:rFonts w:ascii="Arial" w:hAnsi="Arial" w:cs="Arial"/>
          <w:sz w:val="24"/>
          <w:szCs w:val="24"/>
          <w:lang w:val="en-US"/>
        </w:rPr>
        <w:t xml:space="preserve"> involved in conventional drug delivery include reproducibility of the release kinetics, the difficulties of targeting specific regions without affecting healthy tissues and the poor water solubility of many potent active principles. </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Nanomedicine formulation depends on the choice of suitable polymeric systems having the higher encapsulation efficiency, bioavailability and retention time. </w:t>
      </w:r>
    </w:p>
    <w:p w:rsidR="00387A07" w:rsidRDefault="00387A07" w:rsidP="00387A07">
      <w:pPr>
        <w:spacing w:before="240" w:after="240" w:line="360" w:lineRule="auto"/>
        <w:jc w:val="both"/>
        <w:rPr>
          <w:rFonts w:ascii="Arial" w:hAnsi="Arial" w:cs="Arial"/>
          <w:b/>
          <w:sz w:val="24"/>
          <w:szCs w:val="24"/>
          <w:lang w:val="en-US"/>
        </w:rPr>
      </w:pPr>
      <w:r w:rsidRPr="00876141">
        <w:rPr>
          <w:rFonts w:ascii="Arial" w:hAnsi="Arial" w:cs="Arial"/>
          <w:b/>
          <w:sz w:val="24"/>
          <w:szCs w:val="24"/>
          <w:lang w:val="en-US"/>
        </w:rPr>
        <w:t>1.2.1.1</w:t>
      </w:r>
      <w:r>
        <w:rPr>
          <w:rFonts w:ascii="Arial" w:hAnsi="Arial" w:cs="Arial"/>
          <w:b/>
          <w:sz w:val="24"/>
          <w:szCs w:val="24"/>
          <w:lang w:val="en-US"/>
        </w:rPr>
        <w:t xml:space="preserve"> Localized and targeted drug delivery</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One of the major goals in drug delivery is the possibility to deliver the drug toward its specific target tissue or organ without affecting normal neighbors [23]. Nanoparticles are capable of targeting at many different levels from organs to tissue and cells. Targeting can be achieved by applying external stimuli, like ultrasounds or magnetic fields, or by simply taking advantage of the size of the carriers (passive targeting) which could be tuned in order to enable nanoparticles to leak through peculiar vasculature fenestrations of different organs and tissues. For example blood vessels in liver have fenestrations of approximately 100-170nm [24], many types of tumors are characterized by highly porous vessels with a pore cut off size between 300 and 700nm [25].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Moreover polymer nanoparticles can be surface-modified with specific ligands such as antibodies, transferring or folate for the active targeting of specific cells over-expressing specific receptors for the immobilized molecules [26,27].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The localized and targeted delivery greatly helps in reducing systemic toxicity and in increasing the efficacy of therapies [28].</w:t>
      </w:r>
    </w:p>
    <w:p w:rsidR="00387A07" w:rsidRDefault="00387A07" w:rsidP="00387A07">
      <w:pPr>
        <w:spacing w:before="240" w:after="240" w:line="360" w:lineRule="auto"/>
        <w:jc w:val="both"/>
        <w:rPr>
          <w:rFonts w:ascii="Arial" w:hAnsi="Arial" w:cs="Arial"/>
          <w:b/>
          <w:sz w:val="24"/>
          <w:szCs w:val="24"/>
          <w:lang w:val="en-US"/>
        </w:rPr>
      </w:pPr>
      <w:r w:rsidRPr="0065313A">
        <w:rPr>
          <w:rFonts w:ascii="Arial" w:hAnsi="Arial" w:cs="Arial"/>
          <w:sz w:val="24"/>
          <w:szCs w:val="24"/>
          <w:lang w:val="en-US"/>
        </w:rPr>
        <w:t xml:space="preserve"> </w:t>
      </w:r>
      <w:r w:rsidRPr="0065313A">
        <w:rPr>
          <w:rFonts w:ascii="Arial" w:hAnsi="Arial" w:cs="Arial"/>
          <w:b/>
          <w:sz w:val="24"/>
          <w:szCs w:val="24"/>
          <w:lang w:val="en-US"/>
        </w:rPr>
        <w:t>1.2.1.1.1 Passive</w:t>
      </w:r>
      <w:r>
        <w:rPr>
          <w:rFonts w:ascii="Arial" w:hAnsi="Arial" w:cs="Arial"/>
          <w:b/>
          <w:sz w:val="24"/>
          <w:szCs w:val="24"/>
          <w:lang w:val="en-US"/>
        </w:rPr>
        <w:t xml:space="preserve"> targeting</w:t>
      </w:r>
    </w:p>
    <w:p w:rsidR="00387A07" w:rsidRDefault="00387A07" w:rsidP="00387A07">
      <w:pPr>
        <w:autoSpaceDE w:val="0"/>
        <w:autoSpaceDN w:val="0"/>
        <w:adjustRightInd w:val="0"/>
        <w:spacing w:after="120" w:line="360" w:lineRule="auto"/>
        <w:jc w:val="both"/>
        <w:rPr>
          <w:rFonts w:ascii="Arial" w:hAnsi="Arial" w:cs="Arial"/>
          <w:sz w:val="24"/>
          <w:szCs w:val="24"/>
          <w:lang w:val="en-US"/>
        </w:rPr>
      </w:pPr>
      <w:r w:rsidRPr="001F5358">
        <w:rPr>
          <w:rFonts w:ascii="Arial" w:hAnsi="Arial" w:cs="Arial"/>
          <w:sz w:val="24"/>
          <w:szCs w:val="24"/>
          <w:lang w:val="en-US"/>
        </w:rPr>
        <w:t>As mentioned above, the passive targeting ability of nanoparticles relies on their small size, which enables them to preferentially concentrate</w:t>
      </w:r>
      <w:r>
        <w:rPr>
          <w:rFonts w:ascii="Arial" w:hAnsi="Arial" w:cs="Arial"/>
          <w:sz w:val="24"/>
          <w:szCs w:val="24"/>
          <w:lang w:val="en-US"/>
        </w:rPr>
        <w:t xml:space="preserve"> in the tumo</w:t>
      </w:r>
      <w:r w:rsidRPr="001F5358">
        <w:rPr>
          <w:rFonts w:ascii="Arial" w:hAnsi="Arial" w:cs="Arial"/>
          <w:sz w:val="24"/>
          <w:szCs w:val="24"/>
          <w:lang w:val="en-US"/>
        </w:rPr>
        <w:t>r tissues, inflammatory and infectious sites by virtue of the enhanced permeability and retention (EPR) effect of these tissues</w:t>
      </w:r>
      <w:r>
        <w:rPr>
          <w:rFonts w:ascii="Arial" w:hAnsi="Arial" w:cs="Arial"/>
          <w:sz w:val="24"/>
          <w:szCs w:val="24"/>
          <w:lang w:val="en-US"/>
        </w:rPr>
        <w:t xml:space="preserve"> (see figure 1.3)</w:t>
      </w:r>
      <w:r w:rsidRPr="001F5358">
        <w:rPr>
          <w:rFonts w:ascii="Arial" w:hAnsi="Arial" w:cs="Arial"/>
          <w:sz w:val="24"/>
          <w:szCs w:val="24"/>
          <w:lang w:val="en-US"/>
        </w:rPr>
        <w:t>.</w:t>
      </w:r>
      <w:r>
        <w:rPr>
          <w:rFonts w:ascii="Arial" w:hAnsi="Arial" w:cs="Arial"/>
          <w:sz w:val="24"/>
          <w:szCs w:val="24"/>
          <w:lang w:val="en-US"/>
        </w:rPr>
        <w:t xml:space="preserve"> Tumors are composed of fast-growing cells needing a high supply of nutrients in order to survive and proliferate. To sustain this abnormal growing </w:t>
      </w:r>
      <w:r>
        <w:rPr>
          <w:rFonts w:ascii="Arial" w:hAnsi="Arial" w:cs="Arial"/>
          <w:sz w:val="24"/>
          <w:szCs w:val="24"/>
          <w:lang w:val="en-US"/>
        </w:rPr>
        <w:lastRenderedPageBreak/>
        <w:t xml:space="preserve">potential, tumor vessels present specific characteristics like highly fenestrated vessels with a pore </w:t>
      </w:r>
    </w:p>
    <w:p w:rsidR="00387A07" w:rsidRDefault="00387A07" w:rsidP="00387A07">
      <w:pPr>
        <w:autoSpaceDE w:val="0"/>
        <w:autoSpaceDN w:val="0"/>
        <w:adjustRightInd w:val="0"/>
        <w:spacing w:after="0" w:line="360" w:lineRule="auto"/>
        <w:jc w:val="center"/>
        <w:rPr>
          <w:rFonts w:ascii="Arial" w:hAnsi="Arial" w:cs="Arial"/>
          <w:sz w:val="24"/>
          <w:szCs w:val="24"/>
          <w:lang w:val="en-US"/>
        </w:rPr>
      </w:pPr>
      <w:r>
        <w:rPr>
          <w:rFonts w:ascii="Arial" w:hAnsi="Arial" w:cs="Arial"/>
          <w:noProof/>
          <w:sz w:val="24"/>
          <w:szCs w:val="24"/>
          <w:lang w:val="it-IT" w:eastAsia="it-IT"/>
        </w:rPr>
        <w:drawing>
          <wp:inline distT="0" distB="0" distL="0" distR="0">
            <wp:extent cx="4838700" cy="3124200"/>
            <wp:effectExtent l="19050" t="0" r="0" b="0"/>
            <wp:docPr id="42" name="Immagine 7" descr="passive target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descr="passive targeting.jpg"/>
                    <pic:cNvPicPr>
                      <a:picLocks noChangeAspect="1" noChangeArrowheads="1"/>
                    </pic:cNvPicPr>
                  </pic:nvPicPr>
                  <pic:blipFill>
                    <a:blip r:embed="rId11"/>
                    <a:srcRect/>
                    <a:stretch>
                      <a:fillRect/>
                    </a:stretch>
                  </pic:blipFill>
                  <pic:spPr bwMode="auto">
                    <a:xfrm>
                      <a:off x="0" y="0"/>
                      <a:ext cx="4838700" cy="3124200"/>
                    </a:xfrm>
                    <a:prstGeom prst="rect">
                      <a:avLst/>
                    </a:prstGeom>
                    <a:noFill/>
                    <a:ln w="9525">
                      <a:noFill/>
                      <a:miter lim="800000"/>
                      <a:headEnd/>
                      <a:tailEnd/>
                    </a:ln>
                  </pic:spPr>
                </pic:pic>
              </a:graphicData>
            </a:graphic>
          </wp:inline>
        </w:drawing>
      </w:r>
    </w:p>
    <w:p w:rsidR="00387A07" w:rsidRPr="00EA1437" w:rsidRDefault="00387A07" w:rsidP="00387A07">
      <w:pPr>
        <w:shd w:val="clear" w:color="auto" w:fill="FFFFFF"/>
        <w:rPr>
          <w:rFonts w:ascii="Arial" w:hAnsi="Arial" w:cs="Arial"/>
          <w:b/>
          <w:color w:val="4F81BD"/>
          <w:sz w:val="18"/>
          <w:szCs w:val="18"/>
          <w:lang w:eastAsia="it-IT"/>
        </w:rPr>
      </w:pPr>
      <w:r w:rsidRPr="00EA1437">
        <w:rPr>
          <w:b/>
          <w:color w:val="4F81BD"/>
          <w:sz w:val="18"/>
          <w:szCs w:val="18"/>
        </w:rPr>
        <w:t xml:space="preserve">Figure 1. </w:t>
      </w:r>
      <w:r w:rsidR="00860AC7" w:rsidRPr="00EA1437">
        <w:rPr>
          <w:b/>
          <w:color w:val="4F81BD"/>
          <w:sz w:val="18"/>
          <w:szCs w:val="18"/>
        </w:rPr>
        <w:fldChar w:fldCharType="begin"/>
      </w:r>
      <w:r w:rsidRPr="00EA1437">
        <w:rPr>
          <w:b/>
          <w:color w:val="4F81BD"/>
          <w:sz w:val="18"/>
          <w:szCs w:val="18"/>
        </w:rPr>
        <w:instrText xml:space="preserve"> SEQ Figure_1. \* ARABIC </w:instrText>
      </w:r>
      <w:r w:rsidR="00860AC7" w:rsidRPr="00EA1437">
        <w:rPr>
          <w:b/>
          <w:color w:val="4F81BD"/>
          <w:sz w:val="18"/>
          <w:szCs w:val="18"/>
        </w:rPr>
        <w:fldChar w:fldCharType="separate"/>
      </w:r>
      <w:r>
        <w:rPr>
          <w:b/>
          <w:noProof/>
          <w:color w:val="4F81BD"/>
          <w:sz w:val="18"/>
          <w:szCs w:val="18"/>
        </w:rPr>
        <w:t>3</w:t>
      </w:r>
      <w:r w:rsidR="00860AC7" w:rsidRPr="00EA1437">
        <w:rPr>
          <w:b/>
          <w:color w:val="4F81BD"/>
          <w:sz w:val="18"/>
          <w:szCs w:val="18"/>
        </w:rPr>
        <w:fldChar w:fldCharType="end"/>
      </w:r>
      <w:r w:rsidRPr="00EA1437">
        <w:rPr>
          <w:b/>
          <w:color w:val="4F81BD"/>
          <w:sz w:val="18"/>
          <w:szCs w:val="18"/>
        </w:rPr>
        <w:t xml:space="preserve"> Representation of the passive targeting of small molecules to tumour tissues through the EPR effect. Taken from </w:t>
      </w:r>
      <w:r w:rsidRPr="00EA1437">
        <w:rPr>
          <w:b/>
          <w:color w:val="4F81BD"/>
          <w:sz w:val="18"/>
          <w:szCs w:val="18"/>
          <w:highlight w:val="yellow"/>
        </w:rPr>
        <w:t>[29]</w:t>
      </w:r>
      <w:r w:rsidRPr="00EA1437">
        <w:rPr>
          <w:b/>
          <w:color w:val="4F81BD"/>
          <w:sz w:val="18"/>
          <w:szCs w:val="18"/>
        </w:rPr>
        <w:t xml:space="preserve"> </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 xml:space="preserve">cutoff ranging from 300 to 700nm depending on the tumor type. Nanoparticles with average diameters of 100-250nm are able to selectively accumulate into tumors (Enhanced permeation effect) [30]. </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 xml:space="preserve">Moreover these tissues lack of an efficient lymphatic system and are therefore not able to eliminate these particles once they enter the cells (Retention effect).      </w:t>
      </w:r>
    </w:p>
    <w:p w:rsidR="00387A07" w:rsidRPr="0065313A" w:rsidRDefault="00387A07" w:rsidP="00387A07">
      <w:pPr>
        <w:autoSpaceDE w:val="0"/>
        <w:autoSpaceDN w:val="0"/>
        <w:adjustRightInd w:val="0"/>
        <w:spacing w:after="0" w:line="360" w:lineRule="auto"/>
        <w:jc w:val="both"/>
        <w:rPr>
          <w:rFonts w:ascii="Times New Roman" w:hAnsi="Times New Roman"/>
          <w:i/>
          <w:iCs/>
          <w:sz w:val="24"/>
          <w:szCs w:val="24"/>
          <w:lang w:val="en-US"/>
        </w:rPr>
      </w:pPr>
      <w:r w:rsidRPr="0065313A">
        <w:rPr>
          <w:rFonts w:ascii="Arial" w:hAnsi="Arial" w:cs="Arial"/>
          <w:sz w:val="24"/>
          <w:szCs w:val="24"/>
          <w:lang w:val="en-US"/>
        </w:rPr>
        <w:t xml:space="preserve">Once accumulated at the target site, hydrophobic biodegradable polymeric nanoparticles can act as a local drug depot, providing a source for a continuous supply of encapsulated therapeutic compound at the disease site [31,32]. </w:t>
      </w:r>
    </w:p>
    <w:p w:rsidR="00387A07"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 xml:space="preserve"> 1.2.1.1.2 Active targeting</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Targeting molecules may be conjugated to the surface of nanoparticles to actively target them to particular sites in the body. Targeting is mainly achieved by immobilizing small peptides (like transferrins or folate) or monoclonal antibodies which can enhance the receptor-mediated cellular internalization. </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Active targeting is particularly helpful in the treatment of cancer, since cancer cells normally over-express peculiar receptors which can be exploited for selective recognition. </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For example folate or transferrin receptors are over-expressed on various tumor cells and can enhance cellular endocytosis of decorated drug </w:t>
      </w:r>
      <w:r w:rsidRPr="0065313A">
        <w:rPr>
          <w:rFonts w:ascii="Arial" w:hAnsi="Arial" w:cs="Arial"/>
          <w:sz w:val="24"/>
          <w:szCs w:val="24"/>
          <w:lang w:val="en-US"/>
        </w:rPr>
        <w:t>carriers [33,34].</w:t>
      </w:r>
      <w:r>
        <w:rPr>
          <w:rFonts w:ascii="Arial" w:hAnsi="Arial" w:cs="Arial"/>
          <w:sz w:val="24"/>
          <w:szCs w:val="24"/>
          <w:lang w:val="en-US"/>
        </w:rPr>
        <w:t xml:space="preserve">  </w:t>
      </w:r>
    </w:p>
    <w:p w:rsidR="00387A07" w:rsidRPr="0065313A"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lastRenderedPageBreak/>
        <w:t xml:space="preserve">Monoclonal antibodies can also be used to </w:t>
      </w:r>
      <w:r w:rsidRPr="0065313A">
        <w:rPr>
          <w:rFonts w:ascii="Arial" w:hAnsi="Arial" w:cs="Arial"/>
          <w:sz w:val="24"/>
          <w:szCs w:val="24"/>
          <w:lang w:val="en-US"/>
        </w:rPr>
        <w:t xml:space="preserve">selectively target specific cancer cells with virtually none or little effect on normal cells [35].  </w:t>
      </w:r>
    </w:p>
    <w:p w:rsidR="00387A07"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1.2.1.2 Sustained and controlled releas</w:t>
      </w:r>
      <w:r>
        <w:rPr>
          <w:rFonts w:ascii="Arial" w:hAnsi="Arial" w:cs="Arial"/>
          <w:b/>
          <w:sz w:val="24"/>
          <w:szCs w:val="24"/>
          <w:lang w:val="en-US"/>
        </w:rPr>
        <w:t>e</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Nanoscale drug delivery systems offer the possibility to deliver various drug formulations at optimum dosages and at controlled intervals of time, thus improving patient compliance and optimizing therapeutic outcomes [36,37].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The release kinetics of encapsulated or matrix-entrapped active principles could be controlled and modulated according to therapeutic needs, by choosing the correct type of material for nanoparticles preparation [10].</w:t>
      </w:r>
    </w:p>
    <w:p w:rsidR="00387A07"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1.2.1.3 Extended</w:t>
      </w:r>
      <w:r>
        <w:rPr>
          <w:rFonts w:ascii="Arial" w:hAnsi="Arial" w:cs="Arial"/>
          <w:b/>
          <w:sz w:val="24"/>
          <w:szCs w:val="24"/>
          <w:lang w:val="en-US"/>
        </w:rPr>
        <w:t xml:space="preserve"> blood circulation time and biodistribution</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Nanocarriers may increase the circulation time of drugs within the body. This property is particularly important for intravenously administered nanoparticles, being a pre-requisite for targeted and sustained delivery. </w:t>
      </w:r>
    </w:p>
    <w:p w:rsidR="00387A07" w:rsidRPr="00DF7CCB"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Particles size is intrinsically related to circulation time. In particular, smaller particles (below 200nm), being able to escape phagocyte clearance, show prolonged blood circulation. Larger particles, on the other hand, </w:t>
      </w:r>
      <w:r w:rsidRPr="0065313A">
        <w:rPr>
          <w:rFonts w:ascii="Arial" w:hAnsi="Arial" w:cs="Arial"/>
          <w:sz w:val="24"/>
          <w:szCs w:val="24"/>
          <w:lang w:val="en-US"/>
        </w:rPr>
        <w:t>are easily taken up by the Reticulo-endothelial system (RES) and eliminated from the body [38,49].</w:t>
      </w:r>
      <w:r>
        <w:rPr>
          <w:rFonts w:ascii="Arial" w:hAnsi="Arial" w:cs="Arial"/>
          <w:sz w:val="24"/>
          <w:szCs w:val="24"/>
          <w:lang w:val="en-US"/>
        </w:rPr>
        <w:t xml:space="preserve">  </w:t>
      </w:r>
    </w:p>
    <w:p w:rsidR="00387A07" w:rsidRDefault="00387A07" w:rsidP="00387A07">
      <w:pPr>
        <w:spacing w:before="240" w:after="240" w:line="360" w:lineRule="auto"/>
        <w:jc w:val="both"/>
        <w:rPr>
          <w:rFonts w:ascii="Arial" w:hAnsi="Arial" w:cs="Arial"/>
          <w:b/>
          <w:sz w:val="24"/>
          <w:szCs w:val="24"/>
          <w:lang w:val="en-US"/>
        </w:rPr>
      </w:pPr>
      <w:r>
        <w:rPr>
          <w:rFonts w:ascii="Arial" w:hAnsi="Arial" w:cs="Arial"/>
          <w:b/>
          <w:sz w:val="24"/>
          <w:szCs w:val="24"/>
          <w:lang w:val="en-US"/>
        </w:rPr>
        <w:t>1.2.1.4 Delivery of poorly water soluble drugs</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Drugs are conventionally administered in the form of free, unassociated molecules. This strategy has inherent limitations especially for what concerns highly cytotoxic formulations (like most of chemotherapeutics) or environmentally sensitive substances. </w:t>
      </w:r>
    </w:p>
    <w:p w:rsidR="00387A07"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Several potent drugs are highly hydrophobic, resulting in poor bioavailability and in the need to increase dosages with a higher  risk of severe side effects.</w:t>
      </w:r>
    </w:p>
    <w:p w:rsidR="00387A07" w:rsidRPr="00B4724E"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Nanoparticles may increase the solubility of these drugs and thus represent a valid solution to the problem of their effective </w:t>
      </w:r>
      <w:r w:rsidRPr="0065313A">
        <w:rPr>
          <w:rFonts w:ascii="Arial" w:hAnsi="Arial" w:cs="Arial"/>
          <w:sz w:val="24"/>
          <w:szCs w:val="24"/>
          <w:lang w:val="en-US"/>
        </w:rPr>
        <w:t>administration [41].</w:t>
      </w:r>
      <w:r>
        <w:rPr>
          <w:rFonts w:ascii="Arial" w:hAnsi="Arial" w:cs="Arial"/>
          <w:sz w:val="24"/>
          <w:szCs w:val="24"/>
          <w:lang w:val="en-US"/>
        </w:rPr>
        <w:t xml:space="preserve">  </w:t>
      </w:r>
    </w:p>
    <w:p w:rsidR="00387A07" w:rsidRDefault="00387A07" w:rsidP="00387A07">
      <w:pPr>
        <w:spacing w:before="240" w:after="240" w:line="360" w:lineRule="auto"/>
        <w:jc w:val="both"/>
        <w:rPr>
          <w:rFonts w:ascii="Arial" w:hAnsi="Arial" w:cs="Arial"/>
          <w:b/>
          <w:sz w:val="24"/>
          <w:szCs w:val="24"/>
          <w:lang w:val="en-US"/>
        </w:rPr>
      </w:pPr>
      <w:r>
        <w:rPr>
          <w:rFonts w:ascii="Arial" w:hAnsi="Arial" w:cs="Arial"/>
          <w:b/>
          <w:sz w:val="24"/>
          <w:szCs w:val="24"/>
          <w:lang w:val="en-US"/>
        </w:rPr>
        <w:t>1.2.1.5 Protection of the encapsulated active principle</w:t>
      </w:r>
    </w:p>
    <w:p w:rsidR="00387A07" w:rsidRPr="00D614D9" w:rsidRDefault="00387A07" w:rsidP="00387A07">
      <w:pPr>
        <w:spacing w:after="0" w:line="360" w:lineRule="auto"/>
        <w:jc w:val="both"/>
        <w:rPr>
          <w:rFonts w:ascii="Arial" w:hAnsi="Arial" w:cs="Arial"/>
          <w:sz w:val="24"/>
          <w:szCs w:val="24"/>
          <w:lang w:val="en-US"/>
        </w:rPr>
      </w:pPr>
      <w:r>
        <w:rPr>
          <w:rFonts w:ascii="Arial" w:hAnsi="Arial" w:cs="Arial"/>
          <w:sz w:val="24"/>
          <w:szCs w:val="24"/>
          <w:lang w:val="en-US"/>
        </w:rPr>
        <w:t xml:space="preserve">Many drugs, especially nucleic acids and peptides, are rapidly cleared and degraded by the body during their passage through biological barriers, this often results in reduced targeting ability. Drug nanoformulations </w:t>
      </w:r>
      <w:r w:rsidRPr="00545550">
        <w:rPr>
          <w:rFonts w:ascii="Arial" w:hAnsi="Arial" w:cs="Arial"/>
          <w:sz w:val="24"/>
          <w:szCs w:val="24"/>
          <w:lang w:val="en-US"/>
        </w:rPr>
        <w:t xml:space="preserve">can protect the active principle from premature </w:t>
      </w:r>
      <w:r w:rsidRPr="00545550">
        <w:rPr>
          <w:rFonts w:ascii="Arial" w:hAnsi="Arial" w:cs="Arial"/>
          <w:sz w:val="24"/>
          <w:szCs w:val="24"/>
          <w:lang w:val="en-US"/>
        </w:rPr>
        <w:lastRenderedPageBreak/>
        <w:t>degradation and interaction with the bio</w:t>
      </w:r>
      <w:r>
        <w:rPr>
          <w:rFonts w:ascii="Arial" w:hAnsi="Arial" w:cs="Arial"/>
          <w:sz w:val="24"/>
          <w:szCs w:val="24"/>
          <w:lang w:val="en-US"/>
        </w:rPr>
        <w:t>logical environment thus enhancing</w:t>
      </w:r>
      <w:r w:rsidRPr="00545550">
        <w:rPr>
          <w:rFonts w:ascii="Arial" w:hAnsi="Arial" w:cs="Arial"/>
          <w:sz w:val="24"/>
          <w:szCs w:val="24"/>
          <w:lang w:val="en-US"/>
        </w:rPr>
        <w:t xml:space="preserve"> intracellular </w:t>
      </w:r>
      <w:r w:rsidRPr="0065313A">
        <w:rPr>
          <w:rFonts w:ascii="Arial" w:hAnsi="Arial" w:cs="Arial"/>
          <w:sz w:val="24"/>
          <w:szCs w:val="24"/>
          <w:lang w:val="en-US"/>
        </w:rPr>
        <w:t>penetration [41].</w:t>
      </w:r>
    </w:p>
    <w:p w:rsidR="00387A07" w:rsidRDefault="00387A07" w:rsidP="00387A07">
      <w:pPr>
        <w:spacing w:before="240" w:after="240" w:line="360" w:lineRule="auto"/>
        <w:jc w:val="both"/>
        <w:rPr>
          <w:rFonts w:ascii="Arial" w:hAnsi="Arial" w:cs="Arial"/>
          <w:b/>
          <w:sz w:val="24"/>
          <w:szCs w:val="24"/>
          <w:lang w:val="en-US"/>
        </w:rPr>
      </w:pPr>
      <w:r>
        <w:rPr>
          <w:rFonts w:ascii="Arial" w:hAnsi="Arial" w:cs="Arial"/>
          <w:b/>
          <w:sz w:val="24"/>
          <w:szCs w:val="24"/>
          <w:lang w:val="en-US"/>
        </w:rPr>
        <w:t>1.2.1.6 Enhanced cellular uptake and ability to cross biological barriers</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Intracellular drug delivery helps in reducing toxicity and improving dosage efficacy.</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Hydrophobic nanoscale drug carriers are able to cross biological barriers and are easily internalized by non phagocytic cells [42]. The extent of the uptake and the localization in the specific intracellular compartment is size dependent [43]. The encapsulated principle can therefore be directed to specific sites by tailoring the dimensions of the carrier.</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The small size of nanoparticles enables them to cross several biological barriers, like the blood/brain barrier or the intestinal barrier, which represent a major obstacle for the delivery of various drug formulations [44].     </w:t>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 xml:space="preserve">1.2.1.7 Enhanced surface area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As compared to conventional drug delivery systems, nanoparticles possess larger surface areas per unit of volume. This feature results in improved loading and release properties [2].</w:t>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1.3 methods for the preparation of nanoparticles</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Several methods have been developed for preparing nanoparticles. Conventionally they can be divided into two main categories, according to weather the formulation requires a polymerization reaction of monomers or is achieved directly from preformed natural or synthetic polymers [45,46].</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The choice of the proper preparation method depends on different factors such as the polymeric matrix-forming material, the area of application and the final size.</w:t>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1.3.1 Particles prepared from the polymerization of monomers</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The polymerization methods can be divided into emulsion polymerization (organic or aqueous, depending on the continuous phase) of which two versions have been proposed depending on the addition of surfactants and interfacial polymerization. </w:t>
      </w:r>
    </w:p>
    <w:p w:rsidR="00387A07"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In table 1.2 the basic characteristics of nanoparticles prepared by polymerization of monomers  are summarized.</w:t>
      </w:r>
    </w:p>
    <w:p w:rsidR="00387A07" w:rsidRPr="0065313A" w:rsidRDefault="00387A07" w:rsidP="00387A07">
      <w:pPr>
        <w:spacing w:after="0" w:line="360" w:lineRule="auto"/>
        <w:jc w:val="both"/>
        <w:rPr>
          <w:rFonts w:ascii="Arial" w:hAnsi="Arial" w:cs="Arial"/>
          <w:b/>
          <w:sz w:val="24"/>
          <w:szCs w:val="24"/>
          <w:lang w:val="en-US"/>
        </w:rPr>
      </w:pP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lastRenderedPageBreak/>
        <w:t xml:space="preserve">1.3.1.1 Emulsion polymerization </w:t>
      </w:r>
    </w:p>
    <w:p w:rsidR="00387A07" w:rsidRPr="0065313A" w:rsidRDefault="00387A07" w:rsidP="00387A07">
      <w:pPr>
        <w:spacing w:after="0" w:line="360" w:lineRule="auto"/>
        <w:jc w:val="center"/>
        <w:rPr>
          <w:rFonts w:ascii="Arial" w:hAnsi="Arial" w:cs="Arial"/>
          <w:b/>
          <w:sz w:val="24"/>
          <w:szCs w:val="24"/>
          <w:lang w:val="en-US"/>
        </w:rPr>
      </w:pPr>
      <w:r w:rsidRPr="0065313A">
        <w:rPr>
          <w:rFonts w:ascii="Arial" w:hAnsi="Arial" w:cs="Arial"/>
          <w:b/>
          <w:noProof/>
          <w:sz w:val="24"/>
          <w:szCs w:val="24"/>
          <w:lang w:val="it-IT" w:eastAsia="it-IT"/>
        </w:rPr>
        <w:drawing>
          <wp:inline distT="0" distB="0" distL="0" distR="0">
            <wp:extent cx="4695825" cy="1323975"/>
            <wp:effectExtent l="19050" t="0" r="0" b="0"/>
            <wp:docPr id="41" name="Immagine 3" descr="emulsion polymeriz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emulsion polymerization.png"/>
                    <pic:cNvPicPr>
                      <a:picLocks noChangeAspect="1" noChangeArrowheads="1"/>
                    </pic:cNvPicPr>
                  </pic:nvPicPr>
                  <pic:blipFill>
                    <a:blip r:embed="rId12"/>
                    <a:srcRect/>
                    <a:stretch>
                      <a:fillRect/>
                    </a:stretch>
                  </pic:blipFill>
                  <pic:spPr bwMode="auto">
                    <a:xfrm>
                      <a:off x="0" y="0"/>
                      <a:ext cx="4695825" cy="1323975"/>
                    </a:xfrm>
                    <a:prstGeom prst="rect">
                      <a:avLst/>
                    </a:prstGeom>
                    <a:noFill/>
                    <a:ln w="9525">
                      <a:noFill/>
                      <a:miter lim="800000"/>
                      <a:headEnd/>
                      <a:tailEnd/>
                    </a:ln>
                  </pic:spPr>
                </pic:pic>
              </a:graphicData>
            </a:graphic>
          </wp:inline>
        </w:drawing>
      </w:r>
    </w:p>
    <w:p w:rsidR="00387A07" w:rsidRPr="0065313A" w:rsidRDefault="00387A07" w:rsidP="00387A07">
      <w:pPr>
        <w:pStyle w:val="Didascalia"/>
        <w:rPr>
          <w:rFonts w:ascii="Arial" w:hAnsi="Arial" w:cs="Arial"/>
          <w:b w:val="0"/>
          <w:sz w:val="24"/>
          <w:szCs w:val="24"/>
          <w:lang w:val="en-US"/>
        </w:rPr>
      </w:pPr>
      <w:r w:rsidRPr="0065313A">
        <w:t xml:space="preserve">Figure 1. </w:t>
      </w:r>
      <w:fldSimple w:instr=" SEQ Figure_1. \* ARABIC ">
        <w:r w:rsidRPr="0065313A">
          <w:rPr>
            <w:noProof/>
          </w:rPr>
          <w:t>4</w:t>
        </w:r>
      </w:fldSimple>
      <w:r w:rsidRPr="0065313A">
        <w:t xml:space="preserve"> Schematic representation of the basic steps of the Emulsion polymerization technique.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Emulsion polymerization is a simple, common, easily scalable and fast method for the preparation of nanoparticles. Water is used as dispersing medium, since it is environmentally friendly and also allows excellent heat dissipation during the course of the polymerization.</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Based on the utilization of surfactants, the method can be classified into conventional and surfactant-free emulsion polymerization [47].</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The other ingredients are a monomer of low water solubility and a water-soluble initiator.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Initiation occurs when a monomer molecule dissolved in the continuous phase collides with an initiator molecule that may be an ion or a free radical. Alternatively, the monomer molecule can be transformed into an initiating radical by high-energy radiation, including γ-radiation, ultraviolet or strong visible light. </w:t>
      </w:r>
      <w:r w:rsidRPr="0065313A">
        <w:rPr>
          <w:rFonts w:ascii="Arial" w:hAnsi="Arial" w:cs="Arial"/>
          <w:sz w:val="24"/>
          <w:szCs w:val="24"/>
        </w:rPr>
        <w:t>The emulsion polymerization method is comprised of three major steps, as described  by Smith and Ewart [</w:t>
      </w:r>
      <w:r w:rsidRPr="0065313A">
        <w:rPr>
          <w:rFonts w:ascii="Arial" w:hAnsi="Arial" w:cs="Arial"/>
          <w:sz w:val="24"/>
          <w:szCs w:val="24"/>
          <w:lang w:eastAsia="it-IT"/>
        </w:rPr>
        <w:t>48</w:t>
      </w:r>
      <w:r w:rsidRPr="0065313A">
        <w:rPr>
          <w:rFonts w:ascii="Arial" w:hAnsi="Arial" w:cs="Arial"/>
          <w:sz w:val="24"/>
          <w:szCs w:val="24"/>
        </w:rPr>
        <w:t>].</w:t>
      </w:r>
    </w:p>
    <w:p w:rsidR="00387A07" w:rsidRPr="0065313A" w:rsidRDefault="00387A07" w:rsidP="00387A07">
      <w:pPr>
        <w:spacing w:after="0" w:line="360" w:lineRule="auto"/>
        <w:jc w:val="both"/>
        <w:rPr>
          <w:rFonts w:ascii="Times New Roman" w:hAnsi="Times New Roman"/>
          <w:sz w:val="24"/>
          <w:szCs w:val="24"/>
          <w:lang w:eastAsia="it-IT"/>
        </w:rPr>
      </w:pPr>
      <w:r w:rsidRPr="0065313A">
        <w:rPr>
          <w:rFonts w:ascii="Arial" w:hAnsi="Arial" w:cs="Arial"/>
          <w:sz w:val="24"/>
          <w:szCs w:val="24"/>
          <w:lang w:eastAsia="it-IT"/>
        </w:rPr>
        <w:t xml:space="preserve">At first, the monomer is dispersed or </w:t>
      </w:r>
      <w:hyperlink r:id="rId13" w:tooltip="Emulsified" w:history="1">
        <w:r w:rsidRPr="0065313A">
          <w:rPr>
            <w:rFonts w:ascii="Arial" w:hAnsi="Arial" w:cs="Arial"/>
            <w:sz w:val="24"/>
            <w:szCs w:val="24"/>
            <w:lang w:eastAsia="it-IT"/>
          </w:rPr>
          <w:t>emulsified</w:t>
        </w:r>
      </w:hyperlink>
      <w:r w:rsidRPr="0065313A">
        <w:rPr>
          <w:rFonts w:ascii="Arial" w:hAnsi="Arial" w:cs="Arial"/>
          <w:sz w:val="24"/>
          <w:szCs w:val="24"/>
          <w:lang w:eastAsia="it-IT"/>
        </w:rPr>
        <w:t xml:space="preserve"> in a solution of surfactant and water forming relatively large droplets of monomer in water, while excess surfactant will create small micelles in which small amounts of the monomer will slowly migrate (see figure 1.4)</w:t>
      </w:r>
      <w:r w:rsidRPr="0065313A">
        <w:rPr>
          <w:rFonts w:ascii="Times New Roman" w:hAnsi="Times New Roman"/>
          <w:sz w:val="24"/>
          <w:szCs w:val="24"/>
          <w:lang w:eastAsia="it-IT"/>
        </w:rPr>
        <w:t>.</w:t>
      </w:r>
    </w:p>
    <w:p w:rsidR="00387A07" w:rsidRPr="0065313A" w:rsidRDefault="00387A07" w:rsidP="00387A07">
      <w:pPr>
        <w:spacing w:after="0" w:line="360" w:lineRule="auto"/>
        <w:jc w:val="both"/>
        <w:rPr>
          <w:rFonts w:ascii="Arial" w:hAnsi="Arial" w:cs="Arial"/>
          <w:sz w:val="24"/>
          <w:szCs w:val="24"/>
          <w:lang w:eastAsia="it-IT"/>
        </w:rPr>
      </w:pPr>
      <w:r w:rsidRPr="0065313A">
        <w:rPr>
          <w:rFonts w:ascii="Arial" w:hAnsi="Arial" w:cs="Arial"/>
          <w:sz w:val="24"/>
          <w:szCs w:val="24"/>
          <w:lang w:eastAsia="it-IT"/>
        </w:rPr>
        <w:t xml:space="preserve">The addition of the water-soluble initiator into the water phase will cause the monomer, present inside the micelles, to react and polymerize. Since the total surface area of the micelles is much greater than the total surface area of the fewer, larger monomer droplets, the initiator typically reacts in the micelles. </w:t>
      </w:r>
    </w:p>
    <w:p w:rsidR="00387A07" w:rsidRPr="0065313A" w:rsidRDefault="00387A07" w:rsidP="00387A07">
      <w:pPr>
        <w:spacing w:after="0" w:line="360" w:lineRule="auto"/>
        <w:jc w:val="both"/>
        <w:rPr>
          <w:rFonts w:ascii="Arial" w:hAnsi="Arial" w:cs="Arial"/>
          <w:sz w:val="24"/>
          <w:szCs w:val="24"/>
          <w:lang w:eastAsia="it-IT"/>
        </w:rPr>
      </w:pPr>
      <w:r w:rsidRPr="0065313A">
        <w:rPr>
          <w:rFonts w:ascii="Arial" w:hAnsi="Arial" w:cs="Arial"/>
          <w:sz w:val="24"/>
          <w:szCs w:val="24"/>
          <w:lang w:eastAsia="it-IT"/>
        </w:rPr>
        <w:t xml:space="preserve">During the second step, the monomer in the micelles quickly polymerizes and the monomer-swollen micelle turns into a polymer particle. </w:t>
      </w:r>
    </w:p>
    <w:p w:rsidR="00387A07" w:rsidRPr="0065313A" w:rsidRDefault="00387A07" w:rsidP="00387A07">
      <w:pPr>
        <w:spacing w:after="0" w:line="360" w:lineRule="auto"/>
        <w:jc w:val="both"/>
        <w:rPr>
          <w:rFonts w:ascii="Arial" w:hAnsi="Arial" w:cs="Arial"/>
          <w:sz w:val="24"/>
          <w:szCs w:val="24"/>
          <w:lang w:eastAsia="it-IT"/>
        </w:rPr>
      </w:pPr>
      <w:r w:rsidRPr="0065313A">
        <w:rPr>
          <w:rFonts w:ascii="Arial" w:hAnsi="Arial" w:cs="Arial"/>
          <w:sz w:val="24"/>
          <w:szCs w:val="24"/>
          <w:lang w:eastAsia="it-IT"/>
        </w:rPr>
        <w:t xml:space="preserve">Since excess monomer is still present in the initial droplets, it will start to diffuse to the growing particle, where more initiators will eventually react until all remaining monomer is located in the particles.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Phase separation and formation of solid particles can take place before or after the termination of the polymerization reaction [49].</w:t>
      </w:r>
    </w:p>
    <w:p w:rsidR="00387A07" w:rsidRPr="0065313A" w:rsidRDefault="00387A07" w:rsidP="00387A07">
      <w:pPr>
        <w:spacing w:after="0" w:line="360" w:lineRule="auto"/>
        <w:jc w:val="both"/>
        <w:rPr>
          <w:rFonts w:ascii="Arial" w:hAnsi="Arial" w:cs="Arial"/>
          <w:color w:val="000000"/>
          <w:sz w:val="24"/>
          <w:szCs w:val="24"/>
          <w:lang w:val="en-US"/>
        </w:rPr>
      </w:pPr>
      <w:r w:rsidRPr="0065313A">
        <w:rPr>
          <w:rFonts w:ascii="Arial" w:hAnsi="Arial" w:cs="Arial"/>
          <w:sz w:val="24"/>
          <w:szCs w:val="24"/>
          <w:lang w:val="en-US"/>
        </w:rPr>
        <w:lastRenderedPageBreak/>
        <w:t xml:space="preserve">The size of the latex particles thereby produced is usually in the range of 50–300 nm. Under appropriate conditions, these particles, formed either by dispersion or by emulsion polymerization, may have </w:t>
      </w:r>
      <w:r w:rsidRPr="0065313A">
        <w:rPr>
          <w:rFonts w:ascii="Arial" w:hAnsi="Arial" w:cs="Arial"/>
          <w:color w:val="000000"/>
          <w:sz w:val="24"/>
          <w:szCs w:val="24"/>
          <w:lang w:val="en-US"/>
        </w:rPr>
        <w:t xml:space="preserve">a narrow size distribution </w:t>
      </w:r>
      <w:r w:rsidRPr="0065313A">
        <w:rPr>
          <w:rFonts w:ascii="Arial" w:hAnsi="Arial" w:cs="Arial"/>
          <w:sz w:val="24"/>
          <w:szCs w:val="24"/>
          <w:lang w:val="en-US"/>
        </w:rPr>
        <w:t>[50,51</w:t>
      </w:r>
      <w:r w:rsidRPr="0065313A">
        <w:rPr>
          <w:rFonts w:ascii="Arial" w:hAnsi="Arial" w:cs="Arial"/>
          <w:color w:val="00008C"/>
          <w:sz w:val="24"/>
          <w:szCs w:val="24"/>
          <w:lang w:val="en-US"/>
        </w:rPr>
        <w:t>]</w:t>
      </w:r>
      <w:r w:rsidRPr="0065313A">
        <w:rPr>
          <w:rFonts w:ascii="Arial" w:hAnsi="Arial" w:cs="Arial"/>
          <w:color w:val="000000"/>
          <w:sz w:val="24"/>
          <w:szCs w:val="24"/>
          <w:lang w:val="en-US"/>
        </w:rPr>
        <w:t>. Previous studies also</w:t>
      </w:r>
      <w:r w:rsidRPr="0065313A">
        <w:rPr>
          <w:rFonts w:ascii="Arial" w:hAnsi="Arial" w:cs="Arial"/>
          <w:sz w:val="24"/>
          <w:szCs w:val="24"/>
          <w:lang w:val="en-US"/>
        </w:rPr>
        <w:t xml:space="preserve"> </w:t>
      </w:r>
      <w:r w:rsidRPr="0065313A">
        <w:rPr>
          <w:rFonts w:ascii="Arial" w:hAnsi="Arial" w:cs="Arial"/>
          <w:color w:val="000000"/>
          <w:sz w:val="24"/>
          <w:szCs w:val="24"/>
          <w:lang w:val="en-US"/>
        </w:rPr>
        <w:t>demonstrated that various conditions, such as the nature and</w:t>
      </w:r>
      <w:r w:rsidRPr="0065313A">
        <w:rPr>
          <w:rFonts w:ascii="Arial" w:hAnsi="Arial" w:cs="Arial"/>
          <w:sz w:val="24"/>
          <w:szCs w:val="24"/>
          <w:lang w:val="en-US"/>
        </w:rPr>
        <w:t xml:space="preserve"> </w:t>
      </w:r>
      <w:r w:rsidRPr="0065313A">
        <w:rPr>
          <w:rFonts w:ascii="Arial" w:hAnsi="Arial" w:cs="Arial"/>
          <w:color w:val="000000"/>
          <w:sz w:val="24"/>
          <w:szCs w:val="24"/>
          <w:lang w:val="en-US"/>
        </w:rPr>
        <w:t>concentration of the surfactant, monomer and initiator concentration play an important role in determining the</w:t>
      </w:r>
      <w:r w:rsidRPr="0065313A">
        <w:rPr>
          <w:rFonts w:ascii="Arial" w:hAnsi="Arial" w:cs="Arial"/>
          <w:sz w:val="24"/>
          <w:szCs w:val="24"/>
          <w:lang w:val="en-US"/>
        </w:rPr>
        <w:t xml:space="preserve"> </w:t>
      </w:r>
      <w:r w:rsidRPr="0065313A">
        <w:rPr>
          <w:rFonts w:ascii="Arial" w:hAnsi="Arial" w:cs="Arial"/>
          <w:color w:val="000000"/>
          <w:sz w:val="24"/>
          <w:szCs w:val="24"/>
          <w:lang w:val="en-US"/>
        </w:rPr>
        <w:t>size and size distribution of the particles, as well as the efficiency</w:t>
      </w:r>
      <w:r w:rsidRPr="0065313A">
        <w:rPr>
          <w:rFonts w:ascii="Arial" w:hAnsi="Arial" w:cs="Arial"/>
          <w:sz w:val="24"/>
          <w:szCs w:val="24"/>
          <w:lang w:val="en-US"/>
        </w:rPr>
        <w:t xml:space="preserve"> </w:t>
      </w:r>
      <w:r w:rsidRPr="0065313A">
        <w:rPr>
          <w:rFonts w:ascii="Arial" w:hAnsi="Arial" w:cs="Arial"/>
          <w:color w:val="000000"/>
          <w:sz w:val="24"/>
          <w:szCs w:val="24"/>
          <w:lang w:val="en-US"/>
        </w:rPr>
        <w:t>of the polymerization process.</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Conventional emulsion polymerization systems utilize varying quantities of surfactants that need to be eliminated from the final product but are hard to remove completely. Removal of surfactants is a time consuming process that increases the cost of production [52,53].</w:t>
      </w:r>
      <w:r w:rsidRPr="0065313A">
        <w:rPr>
          <w:rFonts w:ascii="Arial" w:hAnsi="Arial" w:cs="Arial"/>
          <w:color w:val="000077"/>
          <w:sz w:val="24"/>
          <w:szCs w:val="24"/>
          <w:lang w:val="en-US"/>
        </w:rPr>
        <w:t xml:space="preserve">  </w:t>
      </w:r>
      <w:r w:rsidRPr="0065313A">
        <w:rPr>
          <w:rFonts w:ascii="Arial" w:hAnsi="Arial" w:cs="Arial"/>
          <w:sz w:val="24"/>
          <w:szCs w:val="24"/>
          <w:lang w:val="en-US"/>
        </w:rPr>
        <w:t>As an alternative, emulsion polymerization has been performed in the absence of emulsifier (surfactant free emulsion polymerization).  The reagents used include deionized water, a water soluble initiator and monomers. In such polymerization systems, stabilization of NPs occurs through the use of ionizable initiators or ionic co-monomers.</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 xml:space="preserve">To further reduce the size of the droplets a slight modification of the tradition emulsion polymerization method has been proposed, called mini-emulsion polymerization. The key difference between these two methods, summarized in table 1.1, is the additional use of low molecular masses co-stabilizers and the use of high shear devices to form the emulsion. </w:t>
      </w:r>
    </w:p>
    <w:p w:rsidR="00387A07" w:rsidRPr="0065313A" w:rsidRDefault="00387A07" w:rsidP="00387A07">
      <w:pPr>
        <w:autoSpaceDE w:val="0"/>
        <w:autoSpaceDN w:val="0"/>
        <w:adjustRightInd w:val="0"/>
        <w:spacing w:after="120" w:line="360" w:lineRule="auto"/>
        <w:jc w:val="both"/>
        <w:rPr>
          <w:rFonts w:ascii="Arial" w:hAnsi="Arial" w:cs="Arial"/>
          <w:sz w:val="24"/>
          <w:szCs w:val="24"/>
          <w:lang w:val="en-US"/>
        </w:rPr>
      </w:pPr>
      <w:r w:rsidRPr="0065313A">
        <w:rPr>
          <w:rFonts w:ascii="Arial" w:hAnsi="Arial" w:cs="Arial"/>
          <w:sz w:val="24"/>
          <w:szCs w:val="24"/>
          <w:lang w:val="en-US"/>
        </w:rPr>
        <w:t xml:space="preserve">Particles with very low polydispersity and small size, ranging from 10 to 30 nm, can be obtained with this method [54,55]. </w:t>
      </w:r>
    </w:p>
    <w:tbl>
      <w:tblPr>
        <w:tblW w:w="0" w:type="auto"/>
        <w:jc w:val="center"/>
        <w:tblBorders>
          <w:top w:val="single" w:sz="4" w:space="0" w:color="000000"/>
          <w:left w:val="single" w:sz="4" w:space="0" w:color="000000"/>
          <w:bottom w:val="single" w:sz="4" w:space="0" w:color="000000"/>
          <w:right w:val="single" w:sz="4" w:space="0" w:color="000000"/>
        </w:tblBorders>
        <w:tblLook w:val="00A0"/>
      </w:tblPr>
      <w:tblGrid>
        <w:gridCol w:w="2943"/>
        <w:gridCol w:w="2410"/>
        <w:gridCol w:w="2409"/>
      </w:tblGrid>
      <w:tr w:rsidR="00387A07" w:rsidRPr="0065313A" w:rsidTr="00387A07">
        <w:trPr>
          <w:jc w:val="center"/>
        </w:trPr>
        <w:tc>
          <w:tcPr>
            <w:tcW w:w="2943" w:type="dxa"/>
            <w:tcBorders>
              <w:top w:val="single" w:sz="4" w:space="0" w:color="000000"/>
              <w:left w:val="nil"/>
              <w:bottom w:val="single" w:sz="4" w:space="0" w:color="auto"/>
            </w:tcBorders>
            <w:shd w:val="clear" w:color="auto" w:fill="F2F2F2"/>
          </w:tcPr>
          <w:p w:rsidR="00387A07" w:rsidRPr="0065313A" w:rsidRDefault="00387A07" w:rsidP="00387A07">
            <w:pPr>
              <w:rPr>
                <w:b/>
              </w:rPr>
            </w:pPr>
            <w:r w:rsidRPr="0065313A">
              <w:rPr>
                <w:b/>
              </w:rPr>
              <w:t>Characteristics</w:t>
            </w:r>
          </w:p>
        </w:tc>
        <w:tc>
          <w:tcPr>
            <w:tcW w:w="2410" w:type="dxa"/>
            <w:tcBorders>
              <w:top w:val="single" w:sz="4" w:space="0" w:color="000000"/>
              <w:bottom w:val="single" w:sz="4" w:space="0" w:color="auto"/>
            </w:tcBorders>
            <w:shd w:val="clear" w:color="auto" w:fill="F2F2F2"/>
          </w:tcPr>
          <w:p w:rsidR="00387A07" w:rsidRPr="0065313A" w:rsidRDefault="00387A07" w:rsidP="00387A07">
            <w:pPr>
              <w:rPr>
                <w:b/>
              </w:rPr>
            </w:pPr>
            <w:r w:rsidRPr="0065313A">
              <w:rPr>
                <w:b/>
              </w:rPr>
              <w:t>Emulsion</w:t>
            </w:r>
          </w:p>
        </w:tc>
        <w:tc>
          <w:tcPr>
            <w:tcW w:w="2409" w:type="dxa"/>
            <w:tcBorders>
              <w:top w:val="single" w:sz="4" w:space="0" w:color="000000"/>
              <w:bottom w:val="single" w:sz="4" w:space="0" w:color="auto"/>
              <w:right w:val="nil"/>
            </w:tcBorders>
            <w:shd w:val="clear" w:color="auto" w:fill="F2F2F2"/>
          </w:tcPr>
          <w:p w:rsidR="00387A07" w:rsidRPr="0065313A" w:rsidRDefault="00387A07" w:rsidP="00387A07">
            <w:pPr>
              <w:rPr>
                <w:b/>
              </w:rPr>
            </w:pPr>
            <w:r w:rsidRPr="0065313A">
              <w:rPr>
                <w:b/>
              </w:rPr>
              <w:t>Mini-emulsion</w:t>
            </w:r>
          </w:p>
        </w:tc>
      </w:tr>
      <w:tr w:rsidR="00387A07" w:rsidRPr="0065313A" w:rsidTr="00387A07">
        <w:trPr>
          <w:jc w:val="center"/>
        </w:trPr>
        <w:tc>
          <w:tcPr>
            <w:tcW w:w="2943" w:type="dxa"/>
            <w:tcBorders>
              <w:top w:val="single" w:sz="4" w:space="0" w:color="auto"/>
              <w:left w:val="nil"/>
            </w:tcBorders>
            <w:shd w:val="clear" w:color="auto" w:fill="F2F2F2"/>
          </w:tcPr>
          <w:p w:rsidR="00387A07" w:rsidRPr="0065313A" w:rsidRDefault="00387A07" w:rsidP="00387A07">
            <w:r w:rsidRPr="0065313A">
              <w:t>Thermodynamic stability</w:t>
            </w:r>
          </w:p>
        </w:tc>
        <w:tc>
          <w:tcPr>
            <w:tcW w:w="2410" w:type="dxa"/>
            <w:tcBorders>
              <w:top w:val="single" w:sz="4" w:space="0" w:color="auto"/>
            </w:tcBorders>
            <w:shd w:val="clear" w:color="auto" w:fill="F2F2F2"/>
          </w:tcPr>
          <w:p w:rsidR="00387A07" w:rsidRPr="0065313A" w:rsidRDefault="00387A07" w:rsidP="00387A07">
            <w:r w:rsidRPr="0065313A">
              <w:t>Non-stable</w:t>
            </w:r>
          </w:p>
        </w:tc>
        <w:tc>
          <w:tcPr>
            <w:tcW w:w="2409" w:type="dxa"/>
            <w:tcBorders>
              <w:top w:val="single" w:sz="4" w:space="0" w:color="auto"/>
              <w:right w:val="nil"/>
            </w:tcBorders>
            <w:shd w:val="clear" w:color="auto" w:fill="F2F2F2"/>
          </w:tcPr>
          <w:p w:rsidR="00387A07" w:rsidRPr="0065313A" w:rsidRDefault="00387A07" w:rsidP="00387A07">
            <w:r w:rsidRPr="0065313A">
              <w:t>Non-stable</w:t>
            </w:r>
          </w:p>
        </w:tc>
      </w:tr>
      <w:tr w:rsidR="00387A07" w:rsidRPr="0065313A" w:rsidTr="00387A07">
        <w:trPr>
          <w:jc w:val="center"/>
        </w:trPr>
        <w:tc>
          <w:tcPr>
            <w:tcW w:w="2943" w:type="dxa"/>
            <w:tcBorders>
              <w:left w:val="nil"/>
            </w:tcBorders>
            <w:shd w:val="clear" w:color="auto" w:fill="F2F2F2"/>
          </w:tcPr>
          <w:p w:rsidR="00387A07" w:rsidRPr="0065313A" w:rsidRDefault="00387A07" w:rsidP="00387A07">
            <w:r w:rsidRPr="0065313A">
              <w:t>Stability period</w:t>
            </w:r>
          </w:p>
        </w:tc>
        <w:tc>
          <w:tcPr>
            <w:tcW w:w="2410" w:type="dxa"/>
            <w:shd w:val="clear" w:color="auto" w:fill="F2F2F2"/>
          </w:tcPr>
          <w:p w:rsidR="00387A07" w:rsidRPr="0065313A" w:rsidRDefault="00387A07" w:rsidP="00387A07">
            <w:r w:rsidRPr="0065313A">
              <w:t>Seconds to months</w:t>
            </w:r>
          </w:p>
        </w:tc>
        <w:tc>
          <w:tcPr>
            <w:tcW w:w="2409" w:type="dxa"/>
            <w:tcBorders>
              <w:right w:val="nil"/>
            </w:tcBorders>
            <w:shd w:val="clear" w:color="auto" w:fill="F2F2F2"/>
          </w:tcPr>
          <w:p w:rsidR="00387A07" w:rsidRPr="0065313A" w:rsidRDefault="00387A07" w:rsidP="00387A07">
            <w:r w:rsidRPr="0065313A">
              <w:t>Hours to months</w:t>
            </w:r>
          </w:p>
        </w:tc>
      </w:tr>
      <w:tr w:rsidR="00387A07" w:rsidRPr="0065313A" w:rsidTr="00387A07">
        <w:trPr>
          <w:jc w:val="center"/>
        </w:trPr>
        <w:tc>
          <w:tcPr>
            <w:tcW w:w="2943" w:type="dxa"/>
            <w:tcBorders>
              <w:left w:val="nil"/>
            </w:tcBorders>
            <w:shd w:val="clear" w:color="auto" w:fill="F2F2F2"/>
          </w:tcPr>
          <w:p w:rsidR="00387A07" w:rsidRPr="0065313A" w:rsidRDefault="00387A07" w:rsidP="00387A07">
            <w:r w:rsidRPr="0065313A">
              <w:t>Droplet size</w:t>
            </w:r>
          </w:p>
        </w:tc>
        <w:tc>
          <w:tcPr>
            <w:tcW w:w="2410" w:type="dxa"/>
            <w:shd w:val="clear" w:color="auto" w:fill="F2F2F2"/>
          </w:tcPr>
          <w:p w:rsidR="00387A07" w:rsidRPr="0065313A" w:rsidRDefault="00387A07" w:rsidP="00387A07">
            <w:r w:rsidRPr="0065313A">
              <w:t xml:space="preserve">1-10 </w:t>
            </w:r>
            <w:r w:rsidRPr="0065313A">
              <w:rPr>
                <w:rFonts w:cs="Calibri"/>
              </w:rPr>
              <w:t>µ</w:t>
            </w:r>
            <w:r w:rsidRPr="0065313A">
              <w:t>m</w:t>
            </w:r>
          </w:p>
        </w:tc>
        <w:tc>
          <w:tcPr>
            <w:tcW w:w="2409" w:type="dxa"/>
            <w:tcBorders>
              <w:right w:val="nil"/>
            </w:tcBorders>
            <w:shd w:val="clear" w:color="auto" w:fill="F2F2F2"/>
          </w:tcPr>
          <w:p w:rsidR="00387A07" w:rsidRPr="0065313A" w:rsidRDefault="00387A07" w:rsidP="00387A07">
            <w:r w:rsidRPr="0065313A">
              <w:t>20-200 nm</w:t>
            </w:r>
          </w:p>
        </w:tc>
      </w:tr>
      <w:tr w:rsidR="00387A07" w:rsidRPr="0065313A" w:rsidTr="00387A07">
        <w:trPr>
          <w:jc w:val="center"/>
        </w:trPr>
        <w:tc>
          <w:tcPr>
            <w:tcW w:w="2943" w:type="dxa"/>
            <w:tcBorders>
              <w:left w:val="nil"/>
            </w:tcBorders>
            <w:shd w:val="clear" w:color="auto" w:fill="F2F2F2"/>
          </w:tcPr>
          <w:p w:rsidR="00387A07" w:rsidRPr="0065313A" w:rsidRDefault="00387A07" w:rsidP="00387A07">
            <w:r w:rsidRPr="0065313A">
              <w:t>Polydispersity</w:t>
            </w:r>
          </w:p>
        </w:tc>
        <w:tc>
          <w:tcPr>
            <w:tcW w:w="2410" w:type="dxa"/>
            <w:shd w:val="clear" w:color="auto" w:fill="F2F2F2"/>
          </w:tcPr>
          <w:p w:rsidR="00387A07" w:rsidRPr="0065313A" w:rsidRDefault="00387A07" w:rsidP="00387A07">
            <w:r w:rsidRPr="0065313A">
              <w:t>Low</w:t>
            </w:r>
          </w:p>
        </w:tc>
        <w:tc>
          <w:tcPr>
            <w:tcW w:w="2409" w:type="dxa"/>
            <w:tcBorders>
              <w:right w:val="nil"/>
            </w:tcBorders>
            <w:shd w:val="clear" w:color="auto" w:fill="F2F2F2"/>
          </w:tcPr>
          <w:p w:rsidR="00387A07" w:rsidRPr="0065313A" w:rsidRDefault="00387A07" w:rsidP="00387A07">
            <w:r w:rsidRPr="0065313A">
              <w:t>Very low</w:t>
            </w:r>
          </w:p>
        </w:tc>
      </w:tr>
      <w:tr w:rsidR="00387A07" w:rsidRPr="0065313A" w:rsidTr="00387A07">
        <w:trPr>
          <w:jc w:val="center"/>
        </w:trPr>
        <w:tc>
          <w:tcPr>
            <w:tcW w:w="2943" w:type="dxa"/>
            <w:tcBorders>
              <w:left w:val="nil"/>
              <w:bottom w:val="single" w:sz="4" w:space="0" w:color="000000"/>
            </w:tcBorders>
            <w:shd w:val="clear" w:color="auto" w:fill="F2F2F2"/>
          </w:tcPr>
          <w:p w:rsidR="00387A07" w:rsidRPr="0065313A" w:rsidRDefault="00387A07" w:rsidP="00387A07">
            <w:r w:rsidRPr="0065313A">
              <w:t>Particle size</w:t>
            </w:r>
          </w:p>
        </w:tc>
        <w:tc>
          <w:tcPr>
            <w:tcW w:w="2410" w:type="dxa"/>
            <w:tcBorders>
              <w:bottom w:val="single" w:sz="4" w:space="0" w:color="000000"/>
            </w:tcBorders>
            <w:shd w:val="clear" w:color="auto" w:fill="F2F2F2"/>
          </w:tcPr>
          <w:p w:rsidR="00387A07" w:rsidRPr="0065313A" w:rsidRDefault="00387A07" w:rsidP="00387A07">
            <w:r w:rsidRPr="0065313A">
              <w:t>50-300 nm</w:t>
            </w:r>
          </w:p>
        </w:tc>
        <w:tc>
          <w:tcPr>
            <w:tcW w:w="2409" w:type="dxa"/>
            <w:tcBorders>
              <w:bottom w:val="single" w:sz="4" w:space="0" w:color="000000"/>
              <w:right w:val="nil"/>
            </w:tcBorders>
            <w:shd w:val="clear" w:color="auto" w:fill="F2F2F2"/>
          </w:tcPr>
          <w:p w:rsidR="00387A07" w:rsidRPr="0065313A" w:rsidRDefault="00387A07" w:rsidP="00387A07">
            <w:r w:rsidRPr="0065313A">
              <w:t>10-30 nm</w:t>
            </w:r>
          </w:p>
        </w:tc>
      </w:tr>
    </w:tbl>
    <w:p w:rsidR="00387A07" w:rsidRPr="0065313A" w:rsidRDefault="00387A07" w:rsidP="00387A07">
      <w:pPr>
        <w:pStyle w:val="Didascalia"/>
        <w:spacing w:after="240"/>
        <w:rPr>
          <w:rFonts w:ascii="Arial" w:hAnsi="Arial" w:cs="Arial"/>
          <w:sz w:val="24"/>
          <w:szCs w:val="24"/>
          <w:lang w:val="en-US"/>
        </w:rPr>
      </w:pPr>
      <w:r w:rsidRPr="0065313A">
        <w:t xml:space="preserve">Table 1. </w:t>
      </w:r>
      <w:fldSimple w:instr=" SEQ Table_1. \* ARABIC ">
        <w:r w:rsidRPr="0065313A">
          <w:rPr>
            <w:noProof/>
          </w:rPr>
          <w:t>1</w:t>
        </w:r>
      </w:fldSimple>
      <w:r w:rsidRPr="0065313A">
        <w:t xml:space="preserve"> Basics differences between emulsion and mini-emulsion polymerization. Adapted from [10].</w:t>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1.3.1.2 Interfacial polymerization</w:t>
      </w:r>
    </w:p>
    <w:p w:rsidR="00387A07" w:rsidRPr="0065313A" w:rsidRDefault="00387A07" w:rsidP="00387A07">
      <w:pPr>
        <w:autoSpaceDE w:val="0"/>
        <w:autoSpaceDN w:val="0"/>
        <w:adjustRightInd w:val="0"/>
        <w:spacing w:after="120" w:line="360" w:lineRule="auto"/>
        <w:jc w:val="both"/>
        <w:rPr>
          <w:rFonts w:ascii="Arial" w:hAnsi="Arial" w:cs="Arial"/>
          <w:color w:val="000000"/>
          <w:sz w:val="24"/>
          <w:szCs w:val="24"/>
          <w:lang w:val="en-US"/>
        </w:rPr>
      </w:pPr>
      <w:r w:rsidRPr="0065313A">
        <w:rPr>
          <w:rFonts w:ascii="Arial" w:hAnsi="Arial" w:cs="Arial"/>
          <w:color w:val="000000"/>
          <w:sz w:val="24"/>
          <w:szCs w:val="24"/>
          <w:lang w:val="en-US"/>
        </w:rPr>
        <w:t xml:space="preserve">Interfacial polymerization is one of the well established methods used for the preparation of polymer nanoparticles It involves step polymerization of two reactive monomers or </w:t>
      </w:r>
      <w:r w:rsidRPr="0065313A">
        <w:rPr>
          <w:rFonts w:ascii="Arial" w:hAnsi="Arial" w:cs="Arial"/>
          <w:color w:val="000000"/>
          <w:sz w:val="24"/>
          <w:szCs w:val="24"/>
          <w:lang w:val="en-US"/>
        </w:rPr>
        <w:lastRenderedPageBreak/>
        <w:t xml:space="preserve">agents, which are dissolved respectively in two phases (i.e., continuous and dispersed phase), and the reaction takes place at the interface of the two liquids </w:t>
      </w:r>
      <w:r w:rsidRPr="0065313A">
        <w:rPr>
          <w:rFonts w:ascii="Arial" w:hAnsi="Arial" w:cs="Arial"/>
          <w:color w:val="000077"/>
          <w:sz w:val="24"/>
          <w:szCs w:val="24"/>
          <w:lang w:val="en-US"/>
        </w:rPr>
        <w:t>[</w:t>
      </w:r>
      <w:r w:rsidRPr="0065313A">
        <w:rPr>
          <w:rFonts w:ascii="Arial" w:hAnsi="Arial" w:cs="Arial"/>
          <w:sz w:val="24"/>
          <w:szCs w:val="24"/>
          <w:lang w:val="en-US"/>
        </w:rPr>
        <w:t>56]</w:t>
      </w:r>
      <w:r w:rsidRPr="0065313A">
        <w:rPr>
          <w:rFonts w:ascii="Arial" w:hAnsi="Arial" w:cs="Arial"/>
          <w:color w:val="000000"/>
          <w:sz w:val="24"/>
          <w:szCs w:val="24"/>
          <w:lang w:val="en-US"/>
        </w:rPr>
        <w:t xml:space="preserve">. Particles obtained by interfacial polymerization have high encapsulation efficiency [57]. Moreover the polymer is formed </w:t>
      </w:r>
      <w:r w:rsidRPr="0065313A">
        <w:rPr>
          <w:rFonts w:ascii="Arial" w:hAnsi="Arial" w:cs="Arial"/>
          <w:i/>
          <w:color w:val="000000"/>
          <w:sz w:val="24"/>
          <w:szCs w:val="24"/>
          <w:lang w:val="en-US"/>
        </w:rPr>
        <w:t>in situ</w:t>
      </w:r>
      <w:r w:rsidRPr="0065313A">
        <w:rPr>
          <w:rFonts w:ascii="Arial" w:hAnsi="Arial" w:cs="Arial"/>
          <w:color w:val="000000"/>
          <w:sz w:val="24"/>
          <w:szCs w:val="24"/>
          <w:lang w:val="en-US"/>
        </w:rPr>
        <w:t xml:space="preserve"> allowing the polymer membrane to follow the contours of the inner phase of the emulsion. On the other hand the use of organic solvents as external phase and the extensive washing steps required represent the major drawbacks of this method. </w:t>
      </w:r>
    </w:p>
    <w:tbl>
      <w:tblPr>
        <w:tblW w:w="0" w:type="auto"/>
        <w:tblLook w:val="00A0"/>
      </w:tblPr>
      <w:tblGrid>
        <w:gridCol w:w="3794"/>
        <w:gridCol w:w="2693"/>
        <w:gridCol w:w="1701"/>
        <w:gridCol w:w="1666"/>
      </w:tblGrid>
      <w:tr w:rsidR="00387A07" w:rsidRPr="0065313A" w:rsidTr="00387A07">
        <w:tc>
          <w:tcPr>
            <w:tcW w:w="3794" w:type="dxa"/>
            <w:tcBorders>
              <w:left w:val="nil"/>
              <w:bottom w:val="single" w:sz="4" w:space="0" w:color="auto"/>
              <w:right w:val="nil"/>
            </w:tcBorders>
            <w:shd w:val="clear" w:color="auto" w:fill="EEECE1"/>
          </w:tcPr>
          <w:p w:rsidR="00387A07" w:rsidRPr="0065313A" w:rsidRDefault="00387A07" w:rsidP="00387A07">
            <w:pPr>
              <w:rPr>
                <w:rFonts w:cs="Calibri"/>
                <w:b/>
              </w:rPr>
            </w:pPr>
            <w:r w:rsidRPr="0065313A">
              <w:rPr>
                <w:rFonts w:cs="Calibri"/>
                <w:b/>
              </w:rPr>
              <w:t>Polymer</w:t>
            </w:r>
          </w:p>
        </w:tc>
        <w:tc>
          <w:tcPr>
            <w:tcW w:w="2693" w:type="dxa"/>
            <w:tcBorders>
              <w:left w:val="nil"/>
              <w:bottom w:val="single" w:sz="4" w:space="0" w:color="000000"/>
              <w:right w:val="nil"/>
            </w:tcBorders>
            <w:shd w:val="clear" w:color="auto" w:fill="EEECE1"/>
          </w:tcPr>
          <w:p w:rsidR="00387A07" w:rsidRPr="0065313A" w:rsidRDefault="00387A07" w:rsidP="00387A07">
            <w:pPr>
              <w:rPr>
                <w:rFonts w:cs="Calibri"/>
                <w:b/>
              </w:rPr>
            </w:pPr>
            <w:r w:rsidRPr="0065313A">
              <w:rPr>
                <w:rFonts w:cs="Calibri"/>
                <w:b/>
              </w:rPr>
              <w:t>Encapsulant</w:t>
            </w:r>
          </w:p>
        </w:tc>
        <w:tc>
          <w:tcPr>
            <w:tcW w:w="1701" w:type="dxa"/>
            <w:tcBorders>
              <w:left w:val="nil"/>
              <w:bottom w:val="single" w:sz="4" w:space="0" w:color="000000"/>
              <w:right w:val="nil"/>
            </w:tcBorders>
            <w:shd w:val="clear" w:color="auto" w:fill="EEECE1"/>
          </w:tcPr>
          <w:p w:rsidR="00387A07" w:rsidRPr="0065313A" w:rsidRDefault="00387A07" w:rsidP="00387A07">
            <w:pPr>
              <w:rPr>
                <w:rFonts w:cs="Calibri"/>
                <w:b/>
              </w:rPr>
            </w:pPr>
            <w:r w:rsidRPr="0065313A">
              <w:rPr>
                <w:rFonts w:cs="Calibri"/>
                <w:b/>
              </w:rPr>
              <w:t>Size</w:t>
            </w:r>
          </w:p>
        </w:tc>
        <w:tc>
          <w:tcPr>
            <w:tcW w:w="1666" w:type="dxa"/>
            <w:tcBorders>
              <w:left w:val="nil"/>
              <w:bottom w:val="single" w:sz="4" w:space="0" w:color="000000"/>
              <w:right w:val="nil"/>
            </w:tcBorders>
            <w:shd w:val="clear" w:color="auto" w:fill="EEECE1"/>
          </w:tcPr>
          <w:p w:rsidR="00387A07" w:rsidRPr="0065313A" w:rsidRDefault="00387A07" w:rsidP="00387A07">
            <w:pPr>
              <w:rPr>
                <w:rFonts w:cs="Calibri"/>
                <w:b/>
              </w:rPr>
            </w:pPr>
            <w:r w:rsidRPr="0065313A">
              <w:rPr>
                <w:rFonts w:cs="Calibri"/>
                <w:b/>
              </w:rPr>
              <w:t>Reference</w:t>
            </w:r>
          </w:p>
        </w:tc>
      </w:tr>
      <w:tr w:rsidR="00387A07" w:rsidRPr="0065313A" w:rsidTr="00387A07">
        <w:tc>
          <w:tcPr>
            <w:tcW w:w="3794" w:type="dxa"/>
            <w:tcBorders>
              <w:top w:val="single" w:sz="4" w:space="0" w:color="auto"/>
              <w:left w:val="nil"/>
              <w:bottom w:val="single" w:sz="4" w:space="0" w:color="auto"/>
              <w:right w:val="nil"/>
            </w:tcBorders>
            <w:shd w:val="clear" w:color="auto" w:fill="EEECE1"/>
          </w:tcPr>
          <w:p w:rsidR="00387A07" w:rsidRPr="0065313A" w:rsidRDefault="00387A07" w:rsidP="00387A07">
            <w:pPr>
              <w:rPr>
                <w:rFonts w:cs="Calibri"/>
                <w:b/>
              </w:rPr>
            </w:pPr>
            <w:r w:rsidRPr="0065313A">
              <w:rPr>
                <w:rFonts w:cs="Calibri"/>
                <w:b/>
              </w:rPr>
              <w:t>Emulsion polymerization</w:t>
            </w:r>
          </w:p>
        </w:tc>
        <w:tc>
          <w:tcPr>
            <w:tcW w:w="2693" w:type="dxa"/>
            <w:tcBorders>
              <w:left w:val="nil"/>
              <w:bottom w:val="single" w:sz="4" w:space="0" w:color="000000"/>
              <w:right w:val="nil"/>
            </w:tcBorders>
            <w:shd w:val="clear" w:color="auto" w:fill="EEECE1"/>
          </w:tcPr>
          <w:p w:rsidR="00387A07" w:rsidRPr="0065313A" w:rsidRDefault="00387A07" w:rsidP="00387A07">
            <w:pPr>
              <w:rPr>
                <w:rFonts w:cs="Calibri"/>
              </w:rPr>
            </w:pPr>
          </w:p>
        </w:tc>
        <w:tc>
          <w:tcPr>
            <w:tcW w:w="1701" w:type="dxa"/>
            <w:tcBorders>
              <w:left w:val="nil"/>
              <w:bottom w:val="single" w:sz="4" w:space="0" w:color="000000"/>
              <w:right w:val="nil"/>
            </w:tcBorders>
            <w:shd w:val="clear" w:color="auto" w:fill="EEECE1"/>
          </w:tcPr>
          <w:p w:rsidR="00387A07" w:rsidRPr="0065313A" w:rsidRDefault="00387A07" w:rsidP="00387A07">
            <w:pPr>
              <w:rPr>
                <w:rFonts w:cs="Calibri"/>
              </w:rPr>
            </w:pPr>
          </w:p>
        </w:tc>
        <w:tc>
          <w:tcPr>
            <w:tcW w:w="1666" w:type="dxa"/>
            <w:tcBorders>
              <w:left w:val="nil"/>
              <w:bottom w:val="single" w:sz="4" w:space="0" w:color="000000"/>
              <w:right w:val="nil"/>
            </w:tcBorders>
            <w:shd w:val="clear" w:color="auto" w:fill="EEECE1"/>
          </w:tcPr>
          <w:p w:rsidR="00387A07" w:rsidRPr="0065313A" w:rsidRDefault="00387A07" w:rsidP="00387A07">
            <w:pPr>
              <w:rPr>
                <w:rFonts w:cs="Calibri"/>
              </w:rPr>
            </w:pPr>
          </w:p>
        </w:tc>
      </w:tr>
      <w:tr w:rsidR="00387A07" w:rsidRPr="0065313A" w:rsidTr="00387A07">
        <w:tc>
          <w:tcPr>
            <w:tcW w:w="3794" w:type="dxa"/>
            <w:tcBorders>
              <w:top w:val="single" w:sz="4" w:space="0" w:color="auto"/>
              <w:left w:val="nil"/>
              <w:bottom w:val="nil"/>
              <w:right w:val="nil"/>
            </w:tcBorders>
            <w:shd w:val="clear" w:color="auto" w:fill="EEECE1"/>
          </w:tcPr>
          <w:p w:rsidR="00387A07" w:rsidRPr="0065313A" w:rsidRDefault="00387A07" w:rsidP="00387A07">
            <w:pPr>
              <w:rPr>
                <w:rFonts w:cs="Calibri"/>
              </w:rPr>
            </w:pPr>
            <w:r w:rsidRPr="0065313A">
              <w:rPr>
                <w:rFonts w:cs="Calibri"/>
              </w:rPr>
              <w:t>Poly(methylmethacrylate)</w:t>
            </w:r>
          </w:p>
        </w:tc>
        <w:tc>
          <w:tcPr>
            <w:tcW w:w="2693" w:type="dxa"/>
            <w:tcBorders>
              <w:left w:val="nil"/>
              <w:bottom w:val="nil"/>
              <w:right w:val="nil"/>
            </w:tcBorders>
            <w:shd w:val="clear" w:color="auto" w:fill="EEECE1"/>
          </w:tcPr>
          <w:p w:rsidR="00387A07" w:rsidRPr="0065313A" w:rsidRDefault="00387A07" w:rsidP="00387A07">
            <w:pPr>
              <w:rPr>
                <w:rFonts w:cs="Calibri"/>
              </w:rPr>
            </w:pPr>
            <w:r w:rsidRPr="0065313A">
              <w:rPr>
                <w:rFonts w:cs="Calibri"/>
              </w:rPr>
              <w:t>Influenza antigen</w:t>
            </w:r>
          </w:p>
        </w:tc>
        <w:tc>
          <w:tcPr>
            <w:tcW w:w="1701" w:type="dxa"/>
            <w:tcBorders>
              <w:left w:val="nil"/>
              <w:bottom w:val="nil"/>
              <w:right w:val="nil"/>
            </w:tcBorders>
            <w:shd w:val="clear" w:color="auto" w:fill="EEECE1"/>
          </w:tcPr>
          <w:p w:rsidR="00387A07" w:rsidRPr="0065313A" w:rsidRDefault="00387A07" w:rsidP="00387A07">
            <w:pPr>
              <w:rPr>
                <w:rFonts w:cs="Calibri"/>
              </w:rPr>
            </w:pPr>
            <w:r w:rsidRPr="0065313A">
              <w:rPr>
                <w:rFonts w:cs="Calibri"/>
              </w:rPr>
              <w:t>130</w:t>
            </w:r>
          </w:p>
        </w:tc>
        <w:tc>
          <w:tcPr>
            <w:tcW w:w="1666" w:type="dxa"/>
            <w:tcBorders>
              <w:left w:val="nil"/>
              <w:bottom w:val="nil"/>
              <w:right w:val="nil"/>
            </w:tcBorders>
            <w:shd w:val="clear" w:color="auto" w:fill="EEECE1"/>
          </w:tcPr>
          <w:p w:rsidR="00387A07" w:rsidRPr="0065313A" w:rsidRDefault="00387A07" w:rsidP="00387A07">
            <w:pPr>
              <w:jc w:val="center"/>
              <w:rPr>
                <w:rFonts w:cs="Calibri"/>
              </w:rPr>
            </w:pPr>
            <w:r w:rsidRPr="0065313A">
              <w:rPr>
                <w:rFonts w:cs="Calibri"/>
              </w:rPr>
              <w:t>[58]</w:t>
            </w:r>
          </w:p>
        </w:tc>
      </w:tr>
      <w:tr w:rsidR="00387A07" w:rsidRPr="0065313A" w:rsidTr="00387A07">
        <w:tc>
          <w:tcPr>
            <w:tcW w:w="3794" w:type="dxa"/>
            <w:tcBorders>
              <w:top w:val="nil"/>
              <w:left w:val="nil"/>
              <w:bottom w:val="nil"/>
              <w:right w:val="nil"/>
            </w:tcBorders>
            <w:shd w:val="clear" w:color="auto" w:fill="EEECE1"/>
          </w:tcPr>
          <w:p w:rsidR="00387A07" w:rsidRPr="0065313A" w:rsidRDefault="00387A07" w:rsidP="00387A07">
            <w:pPr>
              <w:rPr>
                <w:rFonts w:cs="Calibri"/>
              </w:rPr>
            </w:pPr>
            <w:r w:rsidRPr="0065313A">
              <w:rPr>
                <w:rFonts w:cs="Calibri"/>
              </w:rPr>
              <w:t>Poly(methylmethacrylate) copolymer</w:t>
            </w:r>
          </w:p>
        </w:tc>
        <w:tc>
          <w:tcPr>
            <w:tcW w:w="2693" w:type="dxa"/>
            <w:tcBorders>
              <w:top w:val="nil"/>
              <w:left w:val="nil"/>
              <w:bottom w:val="nil"/>
              <w:right w:val="nil"/>
            </w:tcBorders>
            <w:shd w:val="clear" w:color="auto" w:fill="EEECE1"/>
          </w:tcPr>
          <w:p w:rsidR="00387A07" w:rsidRPr="0065313A" w:rsidRDefault="00387A07" w:rsidP="00387A07">
            <w:pPr>
              <w:rPr>
                <w:rFonts w:cs="Calibri"/>
              </w:rPr>
            </w:pPr>
            <w:r w:rsidRPr="0065313A">
              <w:rPr>
                <w:rFonts w:cs="Calibri"/>
              </w:rPr>
              <w:t>Doxorubicin</w:t>
            </w:r>
          </w:p>
        </w:tc>
        <w:tc>
          <w:tcPr>
            <w:tcW w:w="1701" w:type="dxa"/>
            <w:tcBorders>
              <w:top w:val="nil"/>
              <w:left w:val="nil"/>
              <w:bottom w:val="nil"/>
              <w:right w:val="nil"/>
            </w:tcBorders>
            <w:shd w:val="clear" w:color="auto" w:fill="EEECE1"/>
          </w:tcPr>
          <w:p w:rsidR="00387A07" w:rsidRPr="0065313A" w:rsidRDefault="00387A07" w:rsidP="00387A07">
            <w:pPr>
              <w:rPr>
                <w:rFonts w:cs="Calibri"/>
              </w:rPr>
            </w:pPr>
            <w:r w:rsidRPr="0065313A">
              <w:rPr>
                <w:rFonts w:cs="Calibri"/>
              </w:rPr>
              <w:t>300</w:t>
            </w:r>
          </w:p>
        </w:tc>
        <w:tc>
          <w:tcPr>
            <w:tcW w:w="1666" w:type="dxa"/>
            <w:tcBorders>
              <w:top w:val="nil"/>
              <w:left w:val="nil"/>
              <w:bottom w:val="nil"/>
              <w:right w:val="nil"/>
            </w:tcBorders>
            <w:shd w:val="clear" w:color="auto" w:fill="EEECE1"/>
          </w:tcPr>
          <w:p w:rsidR="00387A07" w:rsidRPr="0065313A" w:rsidRDefault="00387A07" w:rsidP="00387A07">
            <w:pPr>
              <w:jc w:val="center"/>
              <w:rPr>
                <w:rFonts w:cs="Calibri"/>
              </w:rPr>
            </w:pPr>
            <w:r w:rsidRPr="0065313A">
              <w:rPr>
                <w:rFonts w:cs="Calibri"/>
              </w:rPr>
              <w:t>[59]</w:t>
            </w:r>
          </w:p>
        </w:tc>
      </w:tr>
      <w:tr w:rsidR="00387A07" w:rsidRPr="0065313A" w:rsidTr="00387A07">
        <w:tc>
          <w:tcPr>
            <w:tcW w:w="3794" w:type="dxa"/>
            <w:tcBorders>
              <w:top w:val="nil"/>
              <w:left w:val="nil"/>
              <w:bottom w:val="nil"/>
              <w:right w:val="nil"/>
            </w:tcBorders>
            <w:shd w:val="clear" w:color="auto" w:fill="EEECE1"/>
          </w:tcPr>
          <w:p w:rsidR="00387A07" w:rsidRPr="0065313A" w:rsidRDefault="00387A07" w:rsidP="00387A07">
            <w:pPr>
              <w:rPr>
                <w:rFonts w:cs="Calibri"/>
              </w:rPr>
            </w:pPr>
            <w:r w:rsidRPr="0065313A">
              <w:rPr>
                <w:rFonts w:cs="Calibri"/>
              </w:rPr>
              <w:t>Poly(methylcyanoacrylate)</w:t>
            </w:r>
          </w:p>
        </w:tc>
        <w:tc>
          <w:tcPr>
            <w:tcW w:w="2693" w:type="dxa"/>
            <w:tcBorders>
              <w:top w:val="nil"/>
              <w:left w:val="nil"/>
              <w:bottom w:val="nil"/>
              <w:right w:val="nil"/>
            </w:tcBorders>
            <w:shd w:val="clear" w:color="auto" w:fill="EEECE1"/>
          </w:tcPr>
          <w:p w:rsidR="00387A07" w:rsidRPr="0065313A" w:rsidRDefault="00387A07" w:rsidP="00387A07">
            <w:pPr>
              <w:rPr>
                <w:rFonts w:cs="Calibri"/>
              </w:rPr>
            </w:pPr>
            <w:r w:rsidRPr="0065313A">
              <w:rPr>
                <w:rFonts w:cs="Calibri"/>
              </w:rPr>
              <w:t>Vinblastine</w:t>
            </w:r>
          </w:p>
        </w:tc>
        <w:tc>
          <w:tcPr>
            <w:tcW w:w="1701" w:type="dxa"/>
            <w:tcBorders>
              <w:top w:val="nil"/>
              <w:left w:val="nil"/>
              <w:bottom w:val="nil"/>
              <w:right w:val="nil"/>
            </w:tcBorders>
            <w:shd w:val="clear" w:color="auto" w:fill="EEECE1"/>
          </w:tcPr>
          <w:p w:rsidR="00387A07" w:rsidRPr="0065313A" w:rsidRDefault="00387A07" w:rsidP="00387A07">
            <w:pPr>
              <w:rPr>
                <w:rFonts w:cs="Calibri"/>
              </w:rPr>
            </w:pPr>
            <w:r w:rsidRPr="0065313A">
              <w:rPr>
                <w:rFonts w:cs="Calibri"/>
              </w:rPr>
              <w:t>200-300</w:t>
            </w:r>
          </w:p>
        </w:tc>
        <w:tc>
          <w:tcPr>
            <w:tcW w:w="1666" w:type="dxa"/>
            <w:tcBorders>
              <w:top w:val="nil"/>
              <w:left w:val="nil"/>
              <w:bottom w:val="nil"/>
              <w:right w:val="nil"/>
            </w:tcBorders>
            <w:shd w:val="clear" w:color="auto" w:fill="EEECE1"/>
          </w:tcPr>
          <w:p w:rsidR="00387A07" w:rsidRPr="0065313A" w:rsidRDefault="00387A07" w:rsidP="00387A07">
            <w:pPr>
              <w:jc w:val="center"/>
              <w:rPr>
                <w:rFonts w:cs="Calibri"/>
              </w:rPr>
            </w:pPr>
            <w:r w:rsidRPr="0065313A">
              <w:rPr>
                <w:rFonts w:cs="Calibri"/>
              </w:rPr>
              <w:t>[60]</w:t>
            </w:r>
          </w:p>
        </w:tc>
      </w:tr>
      <w:tr w:rsidR="00387A07" w:rsidRPr="0065313A" w:rsidTr="00387A07">
        <w:tc>
          <w:tcPr>
            <w:tcW w:w="3794" w:type="dxa"/>
            <w:tcBorders>
              <w:top w:val="nil"/>
              <w:left w:val="nil"/>
              <w:bottom w:val="nil"/>
              <w:right w:val="nil"/>
            </w:tcBorders>
            <w:shd w:val="clear" w:color="auto" w:fill="EEECE1"/>
          </w:tcPr>
          <w:p w:rsidR="00387A07" w:rsidRPr="0065313A" w:rsidRDefault="00387A07" w:rsidP="00387A07">
            <w:pPr>
              <w:rPr>
                <w:rFonts w:cs="Calibri"/>
              </w:rPr>
            </w:pPr>
            <w:r w:rsidRPr="0065313A">
              <w:rPr>
                <w:rFonts w:cs="Calibri"/>
              </w:rPr>
              <w:t>Poly(ethylcyanoacrylate)</w:t>
            </w:r>
          </w:p>
        </w:tc>
        <w:tc>
          <w:tcPr>
            <w:tcW w:w="2693" w:type="dxa"/>
            <w:tcBorders>
              <w:top w:val="nil"/>
              <w:left w:val="nil"/>
              <w:bottom w:val="nil"/>
              <w:right w:val="nil"/>
            </w:tcBorders>
            <w:shd w:val="clear" w:color="auto" w:fill="EEECE1"/>
          </w:tcPr>
          <w:p w:rsidR="00387A07" w:rsidRPr="0065313A" w:rsidRDefault="00387A07" w:rsidP="00387A07">
            <w:pPr>
              <w:rPr>
                <w:rFonts w:cs="Calibri"/>
              </w:rPr>
            </w:pPr>
            <w:r w:rsidRPr="0065313A">
              <w:rPr>
                <w:rFonts w:cs="Calibri"/>
              </w:rPr>
              <w:t>Insulin</w:t>
            </w:r>
          </w:p>
        </w:tc>
        <w:tc>
          <w:tcPr>
            <w:tcW w:w="1701" w:type="dxa"/>
            <w:tcBorders>
              <w:top w:val="nil"/>
              <w:left w:val="nil"/>
              <w:bottom w:val="nil"/>
              <w:right w:val="nil"/>
            </w:tcBorders>
            <w:shd w:val="clear" w:color="auto" w:fill="EEECE1"/>
          </w:tcPr>
          <w:p w:rsidR="00387A07" w:rsidRPr="0065313A" w:rsidRDefault="00387A07" w:rsidP="00387A07">
            <w:pPr>
              <w:rPr>
                <w:rFonts w:cs="Calibri"/>
              </w:rPr>
            </w:pPr>
            <w:r w:rsidRPr="0065313A">
              <w:rPr>
                <w:rFonts w:cs="Calibri"/>
              </w:rPr>
              <w:t>&lt;500</w:t>
            </w:r>
          </w:p>
        </w:tc>
        <w:tc>
          <w:tcPr>
            <w:tcW w:w="1666" w:type="dxa"/>
            <w:tcBorders>
              <w:top w:val="nil"/>
              <w:left w:val="nil"/>
              <w:bottom w:val="nil"/>
              <w:right w:val="nil"/>
            </w:tcBorders>
            <w:shd w:val="clear" w:color="auto" w:fill="EEECE1"/>
          </w:tcPr>
          <w:p w:rsidR="00387A07" w:rsidRPr="0065313A" w:rsidRDefault="00387A07" w:rsidP="00387A07">
            <w:pPr>
              <w:jc w:val="center"/>
              <w:rPr>
                <w:rFonts w:cs="Calibri"/>
              </w:rPr>
            </w:pPr>
            <w:r w:rsidRPr="0065313A">
              <w:rPr>
                <w:rFonts w:cs="Calibri"/>
              </w:rPr>
              <w:t>[61]</w:t>
            </w:r>
          </w:p>
        </w:tc>
      </w:tr>
      <w:tr w:rsidR="00387A07" w:rsidRPr="0065313A" w:rsidTr="00387A07">
        <w:tc>
          <w:tcPr>
            <w:tcW w:w="3794" w:type="dxa"/>
            <w:tcBorders>
              <w:top w:val="nil"/>
              <w:left w:val="nil"/>
              <w:bottom w:val="nil"/>
              <w:right w:val="nil"/>
            </w:tcBorders>
            <w:shd w:val="clear" w:color="auto" w:fill="EEECE1"/>
          </w:tcPr>
          <w:p w:rsidR="00387A07" w:rsidRPr="0065313A" w:rsidRDefault="00387A07" w:rsidP="00387A07">
            <w:pPr>
              <w:rPr>
                <w:rFonts w:cs="Calibri"/>
              </w:rPr>
            </w:pPr>
            <w:r w:rsidRPr="0065313A">
              <w:rPr>
                <w:rFonts w:cs="Calibri"/>
              </w:rPr>
              <w:t>Poly(butylcyanoacrylate)</w:t>
            </w:r>
          </w:p>
        </w:tc>
        <w:tc>
          <w:tcPr>
            <w:tcW w:w="2693" w:type="dxa"/>
            <w:tcBorders>
              <w:top w:val="nil"/>
              <w:left w:val="nil"/>
              <w:bottom w:val="nil"/>
              <w:right w:val="nil"/>
            </w:tcBorders>
            <w:shd w:val="clear" w:color="auto" w:fill="EEECE1"/>
          </w:tcPr>
          <w:p w:rsidR="00387A07" w:rsidRPr="0065313A" w:rsidRDefault="00387A07" w:rsidP="00387A07">
            <w:pPr>
              <w:rPr>
                <w:rFonts w:cs="Calibri"/>
              </w:rPr>
            </w:pPr>
            <w:r w:rsidRPr="0065313A">
              <w:rPr>
                <w:rFonts w:cs="Calibri"/>
              </w:rPr>
              <w:t>Progesterone</w:t>
            </w:r>
          </w:p>
        </w:tc>
        <w:tc>
          <w:tcPr>
            <w:tcW w:w="1701" w:type="dxa"/>
            <w:tcBorders>
              <w:top w:val="nil"/>
              <w:left w:val="nil"/>
              <w:bottom w:val="nil"/>
              <w:right w:val="nil"/>
            </w:tcBorders>
            <w:shd w:val="clear" w:color="auto" w:fill="EEECE1"/>
          </w:tcPr>
          <w:p w:rsidR="00387A07" w:rsidRPr="0065313A" w:rsidRDefault="00387A07" w:rsidP="00387A07">
            <w:pPr>
              <w:rPr>
                <w:rFonts w:cs="Calibri"/>
              </w:rPr>
            </w:pPr>
            <w:r w:rsidRPr="0065313A">
              <w:rPr>
                <w:rFonts w:cs="Calibri"/>
              </w:rPr>
              <w:t>250</w:t>
            </w:r>
          </w:p>
        </w:tc>
        <w:tc>
          <w:tcPr>
            <w:tcW w:w="1666" w:type="dxa"/>
            <w:tcBorders>
              <w:top w:val="nil"/>
              <w:left w:val="nil"/>
              <w:bottom w:val="nil"/>
              <w:right w:val="nil"/>
            </w:tcBorders>
            <w:shd w:val="clear" w:color="auto" w:fill="EEECE1"/>
          </w:tcPr>
          <w:p w:rsidR="00387A07" w:rsidRPr="0065313A" w:rsidRDefault="00387A07" w:rsidP="00387A07">
            <w:pPr>
              <w:jc w:val="center"/>
              <w:rPr>
                <w:rFonts w:cs="Calibri"/>
              </w:rPr>
            </w:pPr>
            <w:r w:rsidRPr="0065313A">
              <w:rPr>
                <w:rFonts w:cs="Calibri"/>
              </w:rPr>
              <w:t>[62]</w:t>
            </w:r>
          </w:p>
        </w:tc>
      </w:tr>
      <w:tr w:rsidR="00387A07" w:rsidRPr="0065313A" w:rsidTr="00387A07">
        <w:tc>
          <w:tcPr>
            <w:tcW w:w="3794" w:type="dxa"/>
            <w:tcBorders>
              <w:top w:val="nil"/>
              <w:left w:val="nil"/>
              <w:bottom w:val="single" w:sz="4" w:space="0" w:color="auto"/>
              <w:right w:val="nil"/>
            </w:tcBorders>
            <w:shd w:val="clear" w:color="auto" w:fill="EEECE1"/>
          </w:tcPr>
          <w:p w:rsidR="00387A07" w:rsidRPr="0065313A" w:rsidRDefault="00387A07" w:rsidP="00387A07">
            <w:pPr>
              <w:rPr>
                <w:rFonts w:cs="Calibri"/>
              </w:rPr>
            </w:pPr>
            <w:r w:rsidRPr="0065313A">
              <w:rPr>
                <w:rFonts w:cs="Calibri"/>
              </w:rPr>
              <w:t>Poly(isobutylcyanoacrylate)</w:t>
            </w:r>
          </w:p>
        </w:tc>
        <w:tc>
          <w:tcPr>
            <w:tcW w:w="2693" w:type="dxa"/>
            <w:tcBorders>
              <w:top w:val="nil"/>
              <w:left w:val="nil"/>
              <w:bottom w:val="single" w:sz="4" w:space="0" w:color="000000"/>
              <w:right w:val="nil"/>
            </w:tcBorders>
            <w:shd w:val="clear" w:color="auto" w:fill="EEECE1"/>
          </w:tcPr>
          <w:p w:rsidR="00387A07" w:rsidRPr="0065313A" w:rsidRDefault="00387A07" w:rsidP="00387A07">
            <w:pPr>
              <w:rPr>
                <w:rFonts w:cs="Calibri"/>
              </w:rPr>
            </w:pPr>
            <w:r w:rsidRPr="0065313A">
              <w:rPr>
                <w:rFonts w:cs="Calibri"/>
              </w:rPr>
              <w:t>Ampicillin</w:t>
            </w:r>
          </w:p>
          <w:p w:rsidR="00387A07" w:rsidRPr="0065313A" w:rsidRDefault="00387A07" w:rsidP="00387A07">
            <w:pPr>
              <w:rPr>
                <w:rFonts w:cs="Calibri"/>
              </w:rPr>
            </w:pPr>
            <w:r w:rsidRPr="0065313A">
              <w:rPr>
                <w:rFonts w:cs="Calibri"/>
              </w:rPr>
              <w:t>Antibodies</w:t>
            </w:r>
          </w:p>
          <w:p w:rsidR="00387A07" w:rsidRPr="0065313A" w:rsidRDefault="00387A07" w:rsidP="00387A07">
            <w:pPr>
              <w:rPr>
                <w:rFonts w:cs="Calibri"/>
              </w:rPr>
            </w:pPr>
            <w:r w:rsidRPr="0065313A">
              <w:rPr>
                <w:rFonts w:cs="Calibri"/>
              </w:rPr>
              <w:t>hGFR</w:t>
            </w:r>
          </w:p>
        </w:tc>
        <w:tc>
          <w:tcPr>
            <w:tcW w:w="1701" w:type="dxa"/>
            <w:tcBorders>
              <w:top w:val="nil"/>
              <w:left w:val="nil"/>
              <w:bottom w:val="single" w:sz="4" w:space="0" w:color="000000"/>
              <w:right w:val="nil"/>
            </w:tcBorders>
            <w:shd w:val="clear" w:color="auto" w:fill="EEECE1"/>
          </w:tcPr>
          <w:p w:rsidR="00387A07" w:rsidRPr="0065313A" w:rsidRDefault="00387A07" w:rsidP="00387A07">
            <w:pPr>
              <w:rPr>
                <w:rFonts w:cs="Calibri"/>
              </w:rPr>
            </w:pPr>
            <w:r w:rsidRPr="0065313A">
              <w:rPr>
                <w:rFonts w:cs="Calibri"/>
              </w:rPr>
              <w:t>40-80</w:t>
            </w:r>
          </w:p>
          <w:p w:rsidR="00387A07" w:rsidRPr="0065313A" w:rsidRDefault="00387A07" w:rsidP="00387A07">
            <w:pPr>
              <w:rPr>
                <w:rFonts w:cs="Calibri"/>
              </w:rPr>
            </w:pPr>
            <w:r w:rsidRPr="0065313A">
              <w:rPr>
                <w:rFonts w:cs="Calibri"/>
              </w:rPr>
              <w:t>120</w:t>
            </w:r>
          </w:p>
          <w:p w:rsidR="00387A07" w:rsidRPr="0065313A" w:rsidRDefault="00387A07" w:rsidP="00387A07">
            <w:pPr>
              <w:rPr>
                <w:rFonts w:cs="Calibri"/>
              </w:rPr>
            </w:pPr>
            <w:r w:rsidRPr="0065313A">
              <w:rPr>
                <w:rFonts w:cs="Calibri"/>
              </w:rPr>
              <w:t>140-170</w:t>
            </w:r>
          </w:p>
        </w:tc>
        <w:tc>
          <w:tcPr>
            <w:tcW w:w="1666" w:type="dxa"/>
            <w:tcBorders>
              <w:top w:val="nil"/>
              <w:left w:val="nil"/>
              <w:bottom w:val="single" w:sz="4" w:space="0" w:color="000000"/>
              <w:right w:val="nil"/>
            </w:tcBorders>
            <w:shd w:val="clear" w:color="auto" w:fill="EEECE1"/>
          </w:tcPr>
          <w:p w:rsidR="00387A07" w:rsidRPr="0065313A" w:rsidRDefault="00387A07" w:rsidP="00387A07">
            <w:pPr>
              <w:jc w:val="center"/>
              <w:rPr>
                <w:rFonts w:cs="Calibri"/>
              </w:rPr>
            </w:pPr>
            <w:r w:rsidRPr="0065313A">
              <w:rPr>
                <w:rFonts w:cs="Calibri"/>
              </w:rPr>
              <w:t>[63]</w:t>
            </w:r>
          </w:p>
          <w:p w:rsidR="00387A07" w:rsidRPr="0065313A" w:rsidRDefault="00387A07" w:rsidP="00387A07">
            <w:pPr>
              <w:jc w:val="center"/>
              <w:rPr>
                <w:rFonts w:cs="Calibri"/>
              </w:rPr>
            </w:pPr>
            <w:r w:rsidRPr="0065313A">
              <w:rPr>
                <w:rFonts w:cs="Calibri"/>
              </w:rPr>
              <w:t>[64]</w:t>
            </w:r>
          </w:p>
          <w:p w:rsidR="00387A07" w:rsidRPr="0065313A" w:rsidRDefault="00387A07" w:rsidP="00387A07">
            <w:pPr>
              <w:jc w:val="center"/>
              <w:rPr>
                <w:rFonts w:cs="Calibri"/>
              </w:rPr>
            </w:pPr>
            <w:r w:rsidRPr="0065313A">
              <w:rPr>
                <w:rFonts w:cs="Calibri"/>
              </w:rPr>
              <w:t>[65]</w:t>
            </w:r>
          </w:p>
        </w:tc>
      </w:tr>
      <w:tr w:rsidR="00387A07" w:rsidRPr="0065313A" w:rsidTr="00387A07">
        <w:tc>
          <w:tcPr>
            <w:tcW w:w="3794" w:type="dxa"/>
            <w:tcBorders>
              <w:top w:val="single" w:sz="4" w:space="0" w:color="auto"/>
              <w:left w:val="nil"/>
              <w:bottom w:val="single" w:sz="4" w:space="0" w:color="auto"/>
              <w:right w:val="nil"/>
            </w:tcBorders>
            <w:shd w:val="clear" w:color="auto" w:fill="BFBFBF"/>
          </w:tcPr>
          <w:p w:rsidR="00387A07" w:rsidRPr="0065313A" w:rsidRDefault="00387A07" w:rsidP="00387A07">
            <w:pPr>
              <w:rPr>
                <w:rFonts w:cs="Calibri"/>
                <w:b/>
              </w:rPr>
            </w:pPr>
            <w:r w:rsidRPr="0065313A">
              <w:rPr>
                <w:rFonts w:cs="Calibri"/>
                <w:b/>
              </w:rPr>
              <w:t>Interfacial polymerization</w:t>
            </w:r>
          </w:p>
        </w:tc>
        <w:tc>
          <w:tcPr>
            <w:tcW w:w="2693" w:type="dxa"/>
            <w:tcBorders>
              <w:left w:val="nil"/>
              <w:bottom w:val="single" w:sz="4" w:space="0" w:color="000000"/>
              <w:right w:val="nil"/>
            </w:tcBorders>
            <w:shd w:val="clear" w:color="auto" w:fill="BFBFBF"/>
          </w:tcPr>
          <w:p w:rsidR="00387A07" w:rsidRPr="0065313A" w:rsidRDefault="00387A07" w:rsidP="00387A07">
            <w:pPr>
              <w:rPr>
                <w:rFonts w:cs="Calibri"/>
              </w:rPr>
            </w:pPr>
          </w:p>
        </w:tc>
        <w:tc>
          <w:tcPr>
            <w:tcW w:w="1701" w:type="dxa"/>
            <w:tcBorders>
              <w:left w:val="nil"/>
              <w:bottom w:val="single" w:sz="4" w:space="0" w:color="000000"/>
              <w:right w:val="nil"/>
            </w:tcBorders>
            <w:shd w:val="clear" w:color="auto" w:fill="BFBFBF"/>
          </w:tcPr>
          <w:p w:rsidR="00387A07" w:rsidRPr="0065313A" w:rsidRDefault="00387A07" w:rsidP="00387A07">
            <w:pPr>
              <w:rPr>
                <w:rFonts w:cs="Calibri"/>
              </w:rPr>
            </w:pPr>
          </w:p>
        </w:tc>
        <w:tc>
          <w:tcPr>
            <w:tcW w:w="1666" w:type="dxa"/>
            <w:tcBorders>
              <w:left w:val="nil"/>
              <w:bottom w:val="single" w:sz="4" w:space="0" w:color="000000"/>
              <w:right w:val="nil"/>
            </w:tcBorders>
            <w:shd w:val="clear" w:color="auto" w:fill="BFBFBF"/>
          </w:tcPr>
          <w:p w:rsidR="00387A07" w:rsidRPr="0065313A" w:rsidRDefault="00387A07" w:rsidP="00387A07">
            <w:pPr>
              <w:jc w:val="center"/>
              <w:rPr>
                <w:rFonts w:cs="Calibri"/>
              </w:rPr>
            </w:pPr>
          </w:p>
        </w:tc>
      </w:tr>
      <w:tr w:rsidR="00387A07" w:rsidRPr="0065313A" w:rsidTr="00387A07">
        <w:tc>
          <w:tcPr>
            <w:tcW w:w="3794" w:type="dxa"/>
            <w:tcBorders>
              <w:top w:val="single" w:sz="4" w:space="0" w:color="auto"/>
              <w:left w:val="nil"/>
              <w:bottom w:val="nil"/>
              <w:right w:val="nil"/>
            </w:tcBorders>
            <w:shd w:val="clear" w:color="auto" w:fill="BFBFBF"/>
          </w:tcPr>
          <w:p w:rsidR="00387A07" w:rsidRPr="0065313A" w:rsidRDefault="00387A07" w:rsidP="00387A07">
            <w:pPr>
              <w:rPr>
                <w:rFonts w:cs="Calibri"/>
              </w:rPr>
            </w:pPr>
            <w:r w:rsidRPr="0065313A">
              <w:rPr>
                <w:rFonts w:cs="Calibri"/>
              </w:rPr>
              <w:t>Poly(ethylcyanoacrylate)</w:t>
            </w:r>
          </w:p>
        </w:tc>
        <w:tc>
          <w:tcPr>
            <w:tcW w:w="2693" w:type="dxa"/>
            <w:tcBorders>
              <w:left w:val="nil"/>
              <w:bottom w:val="nil"/>
              <w:right w:val="nil"/>
            </w:tcBorders>
            <w:shd w:val="clear" w:color="auto" w:fill="BFBFBF"/>
          </w:tcPr>
          <w:p w:rsidR="00387A07" w:rsidRPr="0065313A" w:rsidRDefault="00387A07" w:rsidP="00387A07">
            <w:pPr>
              <w:rPr>
                <w:rFonts w:cs="Calibri"/>
              </w:rPr>
            </w:pPr>
            <w:r w:rsidRPr="0065313A">
              <w:rPr>
                <w:rFonts w:cs="Calibri"/>
              </w:rPr>
              <w:t>Insulin</w:t>
            </w:r>
          </w:p>
        </w:tc>
        <w:tc>
          <w:tcPr>
            <w:tcW w:w="1701" w:type="dxa"/>
            <w:tcBorders>
              <w:left w:val="nil"/>
              <w:bottom w:val="nil"/>
              <w:right w:val="nil"/>
            </w:tcBorders>
            <w:shd w:val="clear" w:color="auto" w:fill="BFBFBF"/>
          </w:tcPr>
          <w:p w:rsidR="00387A07" w:rsidRPr="0065313A" w:rsidRDefault="00387A07" w:rsidP="00387A07">
            <w:pPr>
              <w:rPr>
                <w:rFonts w:cs="Calibri"/>
              </w:rPr>
            </w:pPr>
            <w:r w:rsidRPr="0065313A">
              <w:rPr>
                <w:rFonts w:cs="Calibri"/>
              </w:rPr>
              <w:t>150</w:t>
            </w:r>
          </w:p>
        </w:tc>
        <w:tc>
          <w:tcPr>
            <w:tcW w:w="1666" w:type="dxa"/>
            <w:tcBorders>
              <w:left w:val="nil"/>
              <w:bottom w:val="nil"/>
              <w:right w:val="nil"/>
            </w:tcBorders>
            <w:shd w:val="clear" w:color="auto" w:fill="BFBFBF"/>
          </w:tcPr>
          <w:p w:rsidR="00387A07" w:rsidRPr="0065313A" w:rsidRDefault="00387A07" w:rsidP="00387A07">
            <w:pPr>
              <w:jc w:val="center"/>
              <w:rPr>
                <w:rFonts w:cs="Calibri"/>
              </w:rPr>
            </w:pPr>
            <w:r w:rsidRPr="0065313A">
              <w:rPr>
                <w:rFonts w:cs="Calibri"/>
              </w:rPr>
              <w:t>[66]</w:t>
            </w:r>
          </w:p>
        </w:tc>
      </w:tr>
      <w:tr w:rsidR="00387A07" w:rsidRPr="0065313A" w:rsidTr="00387A07">
        <w:tc>
          <w:tcPr>
            <w:tcW w:w="3794" w:type="dxa"/>
            <w:tcBorders>
              <w:top w:val="nil"/>
              <w:left w:val="nil"/>
              <w:bottom w:val="single" w:sz="4" w:space="0" w:color="auto"/>
              <w:right w:val="nil"/>
            </w:tcBorders>
            <w:shd w:val="clear" w:color="auto" w:fill="BFBFBF"/>
          </w:tcPr>
          <w:p w:rsidR="00387A07" w:rsidRPr="0065313A" w:rsidRDefault="00387A07" w:rsidP="00387A07">
            <w:pPr>
              <w:rPr>
                <w:rFonts w:cs="Calibri"/>
              </w:rPr>
            </w:pPr>
            <w:r w:rsidRPr="0065313A">
              <w:rPr>
                <w:rFonts w:cs="Calibri"/>
              </w:rPr>
              <w:t>Poly(isobutylcyanoacrylate)</w:t>
            </w:r>
          </w:p>
        </w:tc>
        <w:tc>
          <w:tcPr>
            <w:tcW w:w="2693" w:type="dxa"/>
            <w:tcBorders>
              <w:top w:val="nil"/>
              <w:left w:val="nil"/>
              <w:bottom w:val="single" w:sz="4" w:space="0" w:color="auto"/>
              <w:right w:val="nil"/>
            </w:tcBorders>
            <w:shd w:val="clear" w:color="auto" w:fill="BFBFBF"/>
          </w:tcPr>
          <w:p w:rsidR="00387A07" w:rsidRPr="0065313A" w:rsidRDefault="00387A07" w:rsidP="00387A07">
            <w:pPr>
              <w:rPr>
                <w:rFonts w:cs="Calibri"/>
              </w:rPr>
            </w:pPr>
            <w:r w:rsidRPr="0065313A">
              <w:rPr>
                <w:rFonts w:cs="Calibri"/>
              </w:rPr>
              <w:t>Indomethacin</w:t>
            </w:r>
          </w:p>
          <w:p w:rsidR="00387A07" w:rsidRPr="0065313A" w:rsidRDefault="00387A07" w:rsidP="00387A07">
            <w:pPr>
              <w:rPr>
                <w:rFonts w:cs="Calibri"/>
              </w:rPr>
            </w:pPr>
            <w:r w:rsidRPr="0065313A">
              <w:rPr>
                <w:rFonts w:cs="Calibri"/>
              </w:rPr>
              <w:t>Insulin</w:t>
            </w:r>
          </w:p>
          <w:p w:rsidR="00387A07" w:rsidRPr="0065313A" w:rsidRDefault="00387A07" w:rsidP="00387A07">
            <w:pPr>
              <w:rPr>
                <w:rFonts w:cs="Calibri"/>
              </w:rPr>
            </w:pPr>
            <w:r w:rsidRPr="0065313A">
              <w:rPr>
                <w:rFonts w:cs="Calibri"/>
              </w:rPr>
              <w:t>Calcitonin</w:t>
            </w:r>
          </w:p>
        </w:tc>
        <w:tc>
          <w:tcPr>
            <w:tcW w:w="1701" w:type="dxa"/>
            <w:tcBorders>
              <w:top w:val="nil"/>
              <w:left w:val="nil"/>
              <w:bottom w:val="single" w:sz="4" w:space="0" w:color="auto"/>
              <w:right w:val="nil"/>
            </w:tcBorders>
            <w:shd w:val="clear" w:color="auto" w:fill="BFBFBF"/>
          </w:tcPr>
          <w:p w:rsidR="00387A07" w:rsidRPr="0065313A" w:rsidRDefault="00387A07" w:rsidP="00387A07">
            <w:pPr>
              <w:rPr>
                <w:rFonts w:cs="Calibri"/>
              </w:rPr>
            </w:pPr>
            <w:r w:rsidRPr="0065313A">
              <w:rPr>
                <w:rFonts w:cs="Calibri"/>
              </w:rPr>
              <w:t>220-240</w:t>
            </w:r>
          </w:p>
          <w:p w:rsidR="00387A07" w:rsidRPr="0065313A" w:rsidRDefault="00387A07" w:rsidP="00387A07">
            <w:pPr>
              <w:rPr>
                <w:rFonts w:cs="Calibri"/>
              </w:rPr>
            </w:pPr>
            <w:r w:rsidRPr="0065313A">
              <w:rPr>
                <w:rFonts w:cs="Calibri"/>
              </w:rPr>
              <w:t>150-300</w:t>
            </w:r>
          </w:p>
          <w:p w:rsidR="00387A07" w:rsidRPr="0065313A" w:rsidRDefault="00387A07" w:rsidP="00387A07">
            <w:pPr>
              <w:rPr>
                <w:rFonts w:cs="Calibri"/>
              </w:rPr>
            </w:pPr>
            <w:r w:rsidRPr="0065313A">
              <w:rPr>
                <w:rFonts w:cs="Calibri"/>
              </w:rPr>
              <w:t>&lt;1000</w:t>
            </w:r>
          </w:p>
        </w:tc>
        <w:tc>
          <w:tcPr>
            <w:tcW w:w="1666" w:type="dxa"/>
            <w:tcBorders>
              <w:top w:val="nil"/>
              <w:left w:val="nil"/>
              <w:bottom w:val="single" w:sz="4" w:space="0" w:color="auto"/>
              <w:right w:val="nil"/>
            </w:tcBorders>
            <w:shd w:val="clear" w:color="auto" w:fill="BFBFBF"/>
          </w:tcPr>
          <w:p w:rsidR="00387A07" w:rsidRPr="0065313A" w:rsidRDefault="00387A07" w:rsidP="00387A07">
            <w:pPr>
              <w:jc w:val="center"/>
              <w:rPr>
                <w:rFonts w:cs="Calibri"/>
              </w:rPr>
            </w:pPr>
            <w:r w:rsidRPr="0065313A">
              <w:rPr>
                <w:rFonts w:cs="Calibri"/>
              </w:rPr>
              <w:t>[67]</w:t>
            </w:r>
          </w:p>
          <w:p w:rsidR="00387A07" w:rsidRPr="0065313A" w:rsidRDefault="00387A07" w:rsidP="00387A07">
            <w:pPr>
              <w:jc w:val="center"/>
              <w:rPr>
                <w:rFonts w:cs="Calibri"/>
              </w:rPr>
            </w:pPr>
            <w:r w:rsidRPr="0065313A">
              <w:rPr>
                <w:rFonts w:cs="Calibri"/>
              </w:rPr>
              <w:t>[68]</w:t>
            </w:r>
          </w:p>
          <w:p w:rsidR="00387A07" w:rsidRPr="0065313A" w:rsidRDefault="00387A07" w:rsidP="00387A07">
            <w:pPr>
              <w:jc w:val="center"/>
              <w:rPr>
                <w:rFonts w:cs="Calibri"/>
              </w:rPr>
            </w:pPr>
            <w:r w:rsidRPr="0065313A">
              <w:rPr>
                <w:rFonts w:cs="Calibri"/>
              </w:rPr>
              <w:t>[69]</w:t>
            </w:r>
          </w:p>
        </w:tc>
      </w:tr>
    </w:tbl>
    <w:p w:rsidR="00387A07" w:rsidRPr="0065313A" w:rsidRDefault="00387A07" w:rsidP="00387A07">
      <w:pPr>
        <w:pStyle w:val="Didascalia"/>
        <w:spacing w:before="120"/>
        <w:rPr>
          <w:rFonts w:ascii="Arial" w:hAnsi="Arial" w:cs="Arial"/>
          <w:sz w:val="24"/>
          <w:szCs w:val="24"/>
          <w:lang w:val="en-US"/>
        </w:rPr>
      </w:pPr>
      <w:r w:rsidRPr="0065313A">
        <w:t xml:space="preserve">Table 1. </w:t>
      </w:r>
      <w:fldSimple w:instr=" SEQ Table_1. \* ARABIC ">
        <w:r w:rsidRPr="0065313A">
          <w:rPr>
            <w:noProof/>
          </w:rPr>
          <w:t>2</w:t>
        </w:r>
      </w:fldSimple>
      <w:r w:rsidRPr="0065313A">
        <w:t xml:space="preserve"> Drug-nanoformulations prepared by polymerization of monomers.</w:t>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1.3.2 Particles prepared from preformed polymers</w:t>
      </w:r>
    </w:p>
    <w:p w:rsidR="00387A07"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Most of the monomers suitable for nanoparticles preparation involving in situ polymerization, lead to slowly biodegradable or non biodegradable polymers. In addition, residual molecules in the polymerization medium can be toxic, thus extensive washing and purification steps are needed. To avoid these limitations methods starting from preformed polymers instead of monomers have been proposed.</w:t>
      </w:r>
    </w:p>
    <w:p w:rsidR="00387A07" w:rsidRPr="0065313A" w:rsidRDefault="00387A07" w:rsidP="00387A07">
      <w:pPr>
        <w:spacing w:after="0" w:line="360" w:lineRule="auto"/>
        <w:jc w:val="both"/>
        <w:rPr>
          <w:rFonts w:ascii="Arial" w:hAnsi="Arial" w:cs="Arial"/>
          <w:sz w:val="24"/>
          <w:szCs w:val="24"/>
          <w:lang w:val="en-US"/>
        </w:rPr>
      </w:pP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1.3.2.1 Emulsification Solvent evaporation form single Oil-in-Water emulsion</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Solvent evaporation was the first developed method to prepare nanoparticles from preformed polymers [70] and is the most widely employed technique in the literature.</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These method utilizes high-speed homogenization or ultrasonication followed by solvent evaporation either by continuous stirring or under reduced pressure.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Nanospheres preparation involves four major steps, as represented in figure 1.5 [71]. During the first step, the polymer is dissolved in an organic solvent, like dichlorometane (DCM), chloroform or ethyl acetate. The drug (generally lypophilic) is dissolved or dispersed into the preformed polymer solution. </w:t>
      </w:r>
    </w:p>
    <w:p w:rsidR="00387A07" w:rsidRPr="0065313A" w:rsidRDefault="00387A07" w:rsidP="00387A07">
      <w:pPr>
        <w:spacing w:after="0" w:line="360" w:lineRule="auto"/>
        <w:jc w:val="center"/>
        <w:rPr>
          <w:rFonts w:ascii="Arial" w:hAnsi="Arial" w:cs="Arial"/>
          <w:sz w:val="24"/>
          <w:szCs w:val="24"/>
          <w:lang w:val="en-US"/>
        </w:rPr>
      </w:pPr>
      <w:r w:rsidRPr="0065313A">
        <w:rPr>
          <w:rFonts w:ascii="Arial" w:hAnsi="Arial" w:cs="Arial"/>
          <w:noProof/>
          <w:sz w:val="24"/>
          <w:szCs w:val="24"/>
          <w:lang w:val="it-IT" w:eastAsia="it-IT"/>
        </w:rPr>
        <w:drawing>
          <wp:inline distT="0" distB="0" distL="0" distR="0">
            <wp:extent cx="3600450" cy="2971800"/>
            <wp:effectExtent l="19050" t="19050" r="19050" b="19050"/>
            <wp:docPr id="40"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srcRect/>
                    <a:stretch>
                      <a:fillRect/>
                    </a:stretch>
                  </pic:blipFill>
                  <pic:spPr bwMode="auto">
                    <a:xfrm>
                      <a:off x="0" y="0"/>
                      <a:ext cx="3600450" cy="2971800"/>
                    </a:xfrm>
                    <a:prstGeom prst="rect">
                      <a:avLst/>
                    </a:prstGeom>
                    <a:noFill/>
                    <a:ln w="19050" cmpd="sng">
                      <a:solidFill>
                        <a:srgbClr val="000000"/>
                      </a:solidFill>
                      <a:miter lim="800000"/>
                      <a:headEnd/>
                      <a:tailEnd/>
                    </a:ln>
                    <a:effectLst/>
                  </pic:spPr>
                </pic:pic>
              </a:graphicData>
            </a:graphic>
          </wp:inline>
        </w:drawing>
      </w:r>
    </w:p>
    <w:p w:rsidR="00387A07" w:rsidRPr="0065313A" w:rsidRDefault="00387A07" w:rsidP="00387A07">
      <w:pPr>
        <w:pStyle w:val="Didascalia"/>
        <w:rPr>
          <w:rFonts w:ascii="Arial" w:hAnsi="Arial" w:cs="Arial"/>
          <w:sz w:val="24"/>
          <w:szCs w:val="24"/>
          <w:lang w:val="en-US"/>
        </w:rPr>
      </w:pPr>
      <w:r w:rsidRPr="0065313A">
        <w:t xml:space="preserve">Figure 1. </w:t>
      </w:r>
      <w:fldSimple w:instr=" SEQ Figure_1. \* ARABIC ">
        <w:r w:rsidRPr="0065313A">
          <w:rPr>
            <w:noProof/>
          </w:rPr>
          <w:t>5</w:t>
        </w:r>
      </w:fldSimple>
      <w:r w:rsidRPr="0065313A">
        <w:t xml:space="preserve"> Schematic representation of the Single Emulsion Solvent Evaporation method [71]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This mixture is then emulsified using a dispersing agent and high energy homogenization, into an external solution immiscible with the first one (generally water) to make an oil in water (O/W) emulsion.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During the third step the polymer precipitates in the form of nanospheres in which the drug is finely dispersed inside the polymer matrix. The solvent is subsequently evaporated by increasing the temperature, reducing the pressure or by continuous stirring.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The last phase consists in the harvesting and washing of nanospheres, generally by selective centrifugation or dialysis.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The size can be controlled by adjusting the stirring rate, type and amount of dispersing agent, viscosity of organic and aqueous solutions and temperature [72,73].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lastRenderedPageBreak/>
        <w:t xml:space="preserve">Generally an increase in the emulsifier concentration results in a decrease in particles size while the homogenization speed and the evaporation rate only slightly influence the nanoparticles size [74].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In the past dichloromethane and chloroform were widely used but are now replaced by ethyl acetate which has a better toxicological profile [10].</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Different emulsions can be prepared, though oil in water emulsions are the most common, since the use of water highly simplifies the washing and purification process, reducing the risk of aggregation. This method is suitable only for lypophilic drugs and limitations are imposed by scale up and high energy requirements in homogenization [75].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This method is frequently applied for biodegradable polyesters, like </w:t>
      </w:r>
      <w:r w:rsidRPr="0065313A">
        <w:rPr>
          <w:rFonts w:ascii="Arial" w:hAnsi="Arial" w:cs="Arial"/>
          <w:color w:val="000000"/>
          <w:sz w:val="24"/>
          <w:szCs w:val="24"/>
          <w:lang w:val="en-US"/>
        </w:rPr>
        <w:t>poly(D,L-lactide)</w:t>
      </w:r>
      <w:r w:rsidRPr="0065313A">
        <w:rPr>
          <w:rFonts w:ascii="Arial" w:hAnsi="Arial" w:cs="Arial"/>
          <w:sz w:val="24"/>
          <w:szCs w:val="24"/>
          <w:lang w:val="en-US"/>
        </w:rPr>
        <w:t xml:space="preserve"> PLA [76], </w:t>
      </w:r>
      <w:r w:rsidRPr="0065313A">
        <w:rPr>
          <w:rFonts w:ascii="Arial" w:hAnsi="Arial" w:cs="Arial"/>
          <w:color w:val="000000"/>
          <w:sz w:val="24"/>
          <w:szCs w:val="24"/>
          <w:lang w:val="en-US"/>
        </w:rPr>
        <w:t>poly(ε-caprolactone) (</w:t>
      </w:r>
      <w:r w:rsidRPr="0065313A">
        <w:rPr>
          <w:rFonts w:ascii="Arial" w:hAnsi="Arial" w:cs="Arial"/>
          <w:sz w:val="24"/>
          <w:szCs w:val="24"/>
          <w:lang w:val="en-US"/>
        </w:rPr>
        <w:t xml:space="preserve">PCL) [77] and </w:t>
      </w:r>
      <w:r w:rsidRPr="0065313A">
        <w:rPr>
          <w:rFonts w:ascii="Arial" w:hAnsi="Arial" w:cs="Arial"/>
          <w:color w:val="000000"/>
          <w:sz w:val="24"/>
          <w:szCs w:val="24"/>
          <w:lang w:val="en-US"/>
        </w:rPr>
        <w:t xml:space="preserve">poly(lactide-co-glycolide) </w:t>
      </w:r>
      <w:r w:rsidRPr="0065313A">
        <w:rPr>
          <w:rFonts w:ascii="Arial" w:hAnsi="Arial" w:cs="Arial"/>
          <w:sz w:val="24"/>
          <w:szCs w:val="24"/>
          <w:lang w:val="en-US"/>
        </w:rPr>
        <w:t>PLGA [78] and has been successfully proposed for the encapsulation of different active principles like Indomethacin, albumin, loperamide and testosterone [79-80] [75]</w:t>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1.3.2.2 Water in Oil in Water (W/O/W) Double emulsion solvent evaporation method.</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color w:val="000000"/>
          <w:sz w:val="24"/>
          <w:szCs w:val="24"/>
          <w:lang w:val="en-US"/>
        </w:rPr>
        <w:t xml:space="preserve">The W/O/W double emulsion methods have been most widely used because of their relatively simple process, convenience in controlling process parameters, and ability to produce small and mono-disperse particles with inexpensive equipment </w:t>
      </w:r>
      <w:r w:rsidRPr="0065313A">
        <w:rPr>
          <w:rFonts w:ascii="Arial" w:hAnsi="Arial" w:cs="Arial"/>
          <w:color w:val="0000FF"/>
          <w:sz w:val="24"/>
          <w:szCs w:val="24"/>
          <w:lang w:val="en-US"/>
        </w:rPr>
        <w:t>[</w:t>
      </w:r>
      <w:r w:rsidRPr="0065313A">
        <w:rPr>
          <w:rFonts w:ascii="Arial" w:hAnsi="Arial" w:cs="Arial"/>
          <w:sz w:val="24"/>
          <w:szCs w:val="24"/>
          <w:lang w:val="en-US"/>
        </w:rPr>
        <w:t>81,82</w:t>
      </w:r>
      <w:r w:rsidRPr="0065313A">
        <w:rPr>
          <w:rFonts w:ascii="Arial" w:hAnsi="Arial" w:cs="Arial"/>
          <w:color w:val="0000FF"/>
          <w:sz w:val="24"/>
          <w:szCs w:val="24"/>
          <w:lang w:val="en-US"/>
        </w:rPr>
        <w:t>]</w:t>
      </w:r>
      <w:r w:rsidRPr="0065313A">
        <w:rPr>
          <w:rFonts w:ascii="Arial" w:hAnsi="Arial" w:cs="Arial"/>
          <w:color w:val="000000"/>
          <w:sz w:val="24"/>
          <w:szCs w:val="24"/>
          <w:lang w:val="en-US"/>
        </w:rPr>
        <w:t>.</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The double emulsion method was first developed by</w:t>
      </w:r>
      <w:r w:rsidRPr="0065313A">
        <w:rPr>
          <w:rFonts w:ascii="Arial" w:hAnsi="Arial" w:cs="Arial"/>
          <w:b/>
          <w:sz w:val="24"/>
          <w:szCs w:val="24"/>
          <w:lang w:val="en-US"/>
        </w:rPr>
        <w:t xml:space="preserve"> </w:t>
      </w:r>
      <w:r w:rsidRPr="0065313A">
        <w:rPr>
          <w:rFonts w:ascii="Arial" w:hAnsi="Arial" w:cs="Arial"/>
          <w:sz w:val="24"/>
          <w:szCs w:val="24"/>
          <w:lang w:val="en-US"/>
        </w:rPr>
        <w:t>the industrial group</w:t>
      </w:r>
      <w:r w:rsidRPr="0065313A">
        <w:rPr>
          <w:rFonts w:ascii="Arial" w:hAnsi="Arial" w:cs="Arial"/>
          <w:b/>
          <w:sz w:val="24"/>
          <w:szCs w:val="24"/>
          <w:lang w:val="en-US"/>
        </w:rPr>
        <w:t xml:space="preserve"> </w:t>
      </w:r>
      <w:r w:rsidRPr="0065313A">
        <w:rPr>
          <w:rFonts w:ascii="Arial" w:hAnsi="Arial" w:cs="Arial"/>
          <w:sz w:val="24"/>
          <w:szCs w:val="24"/>
          <w:lang w:val="en-US"/>
        </w:rPr>
        <w:t>of Takeda Chemical Industries [83-85] for the encapsulation of hydrophilic substances, such as peptides or other biomolecules, for which the single emulsion method is not suitable.</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During manufacturing, in order to avoid denaturation or aggregation, these molecules must not be subjected to excessive exposure to heat, shear forces or extreme pH variations [86].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The multiple Emulsion Solvent Evaporation method consists in dissolving the drug in distilled water or in a buffer solution containing a surfactant, called the inner phase, while the polymer is dissolved in a proper organic solvent.</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The inner water phase is then poured into the second organic phase and emulsified, to form a primary water-in-oil emulsion. This first emulsion is then poured under vigorous mixing into an aqueous solution of the emulsifier (external aqueous phase), to form a secondary water-in-oil-in-water emulsion.</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This double emulsion is then kept under constant stirring until solvent evaporation is achieved and solid drug loaded particles are formed [87]. </w:t>
      </w:r>
    </w:p>
    <w:p w:rsidR="00387A07" w:rsidRPr="0065313A" w:rsidRDefault="00387A07" w:rsidP="00387A07">
      <w:pPr>
        <w:spacing w:after="0" w:line="360" w:lineRule="auto"/>
        <w:jc w:val="center"/>
        <w:rPr>
          <w:rFonts w:ascii="Arial" w:hAnsi="Arial" w:cs="Arial"/>
          <w:sz w:val="24"/>
          <w:szCs w:val="24"/>
          <w:lang w:val="en-US"/>
        </w:rPr>
      </w:pPr>
      <w:r w:rsidRPr="0065313A">
        <w:rPr>
          <w:rFonts w:ascii="Arial" w:hAnsi="Arial" w:cs="Arial"/>
          <w:noProof/>
          <w:sz w:val="24"/>
          <w:szCs w:val="24"/>
          <w:lang w:val="it-IT" w:eastAsia="it-IT"/>
        </w:rPr>
        <w:lastRenderedPageBreak/>
        <w:drawing>
          <wp:inline distT="0" distB="0" distL="0" distR="0">
            <wp:extent cx="4533900" cy="1933575"/>
            <wp:effectExtent l="0" t="0" r="0" b="0"/>
            <wp:docPr id="39" name="Immagine 2" descr="DOUBLE EMULS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DOUBLE EMULSION.png"/>
                    <pic:cNvPicPr>
                      <a:picLocks noChangeAspect="1" noChangeArrowheads="1"/>
                    </pic:cNvPicPr>
                  </pic:nvPicPr>
                  <pic:blipFill>
                    <a:blip r:embed="rId15"/>
                    <a:srcRect/>
                    <a:stretch>
                      <a:fillRect/>
                    </a:stretch>
                  </pic:blipFill>
                  <pic:spPr bwMode="auto">
                    <a:xfrm>
                      <a:off x="0" y="0"/>
                      <a:ext cx="4533900" cy="1933575"/>
                    </a:xfrm>
                    <a:prstGeom prst="rect">
                      <a:avLst/>
                    </a:prstGeom>
                    <a:noFill/>
                    <a:ln w="9525">
                      <a:noFill/>
                      <a:miter lim="800000"/>
                      <a:headEnd/>
                      <a:tailEnd/>
                    </a:ln>
                  </pic:spPr>
                </pic:pic>
              </a:graphicData>
            </a:graphic>
          </wp:inline>
        </w:drawing>
      </w:r>
    </w:p>
    <w:p w:rsidR="00387A07" w:rsidRPr="0065313A" w:rsidRDefault="00387A07" w:rsidP="00387A07">
      <w:pPr>
        <w:pStyle w:val="Didascalia"/>
        <w:rPr>
          <w:rFonts w:ascii="Arial" w:hAnsi="Arial" w:cs="Arial"/>
          <w:sz w:val="24"/>
          <w:szCs w:val="24"/>
          <w:lang w:val="en-US"/>
        </w:rPr>
      </w:pPr>
      <w:r w:rsidRPr="0065313A">
        <w:t xml:space="preserve">Figure 1. </w:t>
      </w:r>
      <w:fldSimple w:instr=" SEQ Figure_1. \* ARABIC ">
        <w:r w:rsidRPr="0065313A">
          <w:rPr>
            <w:noProof/>
          </w:rPr>
          <w:t>6</w:t>
        </w:r>
      </w:fldSimple>
      <w:r w:rsidRPr="0065313A">
        <w:t xml:space="preserve"> schematic representation of the W/O/W double emulsion method.</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Important parameters are the duration and preparation of the emulsification steps, the polymer concentration, the solvent used and the amount and type of emulsifier used [</w:t>
      </w:r>
      <w:r w:rsidRPr="0065313A">
        <w:rPr>
          <w:rFonts w:ascii="Arial" w:hAnsi="Arial" w:cs="Arial"/>
          <w:iCs/>
          <w:sz w:val="24"/>
          <w:szCs w:val="24"/>
          <w:lang w:val="en-US"/>
        </w:rPr>
        <w:t>88</w:t>
      </w:r>
      <w:r w:rsidRPr="0065313A">
        <w:rPr>
          <w:rFonts w:ascii="Arial" w:hAnsi="Arial" w:cs="Arial"/>
          <w:sz w:val="24"/>
          <w:szCs w:val="24"/>
          <w:lang w:val="en-US"/>
        </w:rPr>
        <w:t>].</w:t>
      </w:r>
    </w:p>
    <w:p w:rsidR="00387A07" w:rsidRPr="0065313A" w:rsidRDefault="00387A07" w:rsidP="00387A07">
      <w:pPr>
        <w:spacing w:after="120" w:line="360" w:lineRule="auto"/>
        <w:jc w:val="both"/>
        <w:rPr>
          <w:rFonts w:ascii="Arial" w:hAnsi="Arial" w:cs="Arial"/>
          <w:b/>
          <w:sz w:val="24"/>
          <w:szCs w:val="24"/>
          <w:lang w:val="en-US"/>
        </w:rPr>
      </w:pPr>
      <w:r w:rsidRPr="0065313A">
        <w:rPr>
          <w:rFonts w:ascii="Arial" w:hAnsi="Arial" w:cs="Arial"/>
          <w:sz w:val="24"/>
          <w:szCs w:val="24"/>
          <w:lang w:val="en-US"/>
        </w:rPr>
        <w:t>Generally the most used emulsifier is Polyvinylalcohol (PVA) and its concentration in the internal phase is the most important parameter affecting particles size, while PVA concentration in the external aqueous phase and the homogenizer speed only slightly influence the particles size [89].</w:t>
      </w:r>
    </w:p>
    <w:tbl>
      <w:tblPr>
        <w:tblW w:w="0" w:type="auto"/>
        <w:jc w:val="center"/>
        <w:tblInd w:w="-157" w:type="dxa"/>
        <w:tblBorders>
          <w:top w:val="single" w:sz="4" w:space="0" w:color="auto"/>
          <w:left w:val="single" w:sz="4" w:space="0" w:color="auto"/>
          <w:bottom w:val="single" w:sz="4" w:space="0" w:color="auto"/>
          <w:right w:val="single" w:sz="4" w:space="0" w:color="auto"/>
        </w:tblBorders>
        <w:tblLayout w:type="fixed"/>
        <w:tblLook w:val="00A0"/>
      </w:tblPr>
      <w:tblGrid>
        <w:gridCol w:w="1134"/>
        <w:gridCol w:w="1825"/>
        <w:gridCol w:w="1701"/>
        <w:gridCol w:w="1559"/>
        <w:gridCol w:w="1417"/>
        <w:gridCol w:w="993"/>
      </w:tblGrid>
      <w:tr w:rsidR="00387A07" w:rsidRPr="0065313A" w:rsidTr="00387A07">
        <w:trPr>
          <w:jc w:val="center"/>
        </w:trPr>
        <w:tc>
          <w:tcPr>
            <w:tcW w:w="1134" w:type="dxa"/>
            <w:tcBorders>
              <w:top w:val="single" w:sz="4" w:space="0" w:color="auto"/>
              <w:left w:val="nil"/>
              <w:bottom w:val="single" w:sz="4" w:space="0" w:color="auto"/>
              <w:right w:val="nil"/>
            </w:tcBorders>
            <w:shd w:val="clear" w:color="auto" w:fill="F2F2F2"/>
          </w:tcPr>
          <w:p w:rsidR="00387A07" w:rsidRPr="0065313A" w:rsidRDefault="00387A07" w:rsidP="00387A07">
            <w:pPr>
              <w:rPr>
                <w:rFonts w:cs="Calibri"/>
                <w:b/>
              </w:rPr>
            </w:pPr>
            <w:r w:rsidRPr="0065313A">
              <w:rPr>
                <w:rFonts w:cs="Calibri"/>
                <w:b/>
              </w:rPr>
              <w:t>Polymer</w:t>
            </w:r>
          </w:p>
        </w:tc>
        <w:tc>
          <w:tcPr>
            <w:tcW w:w="1825" w:type="dxa"/>
            <w:tcBorders>
              <w:top w:val="single" w:sz="4" w:space="0" w:color="auto"/>
              <w:left w:val="nil"/>
              <w:bottom w:val="single" w:sz="4" w:space="0" w:color="auto"/>
              <w:right w:val="nil"/>
            </w:tcBorders>
            <w:shd w:val="clear" w:color="auto" w:fill="F2F2F2"/>
          </w:tcPr>
          <w:p w:rsidR="00387A07" w:rsidRPr="0065313A" w:rsidRDefault="00387A07" w:rsidP="00387A07">
            <w:pPr>
              <w:rPr>
                <w:rFonts w:cs="Calibri"/>
                <w:b/>
              </w:rPr>
            </w:pPr>
            <w:r w:rsidRPr="0065313A">
              <w:rPr>
                <w:rFonts w:cs="Calibri"/>
                <w:b/>
              </w:rPr>
              <w:t>Organic solvent</w:t>
            </w:r>
          </w:p>
        </w:tc>
        <w:tc>
          <w:tcPr>
            <w:tcW w:w="1701" w:type="dxa"/>
            <w:tcBorders>
              <w:top w:val="single" w:sz="4" w:space="0" w:color="auto"/>
              <w:left w:val="nil"/>
              <w:bottom w:val="single" w:sz="4" w:space="0" w:color="auto"/>
              <w:right w:val="nil"/>
            </w:tcBorders>
            <w:shd w:val="clear" w:color="auto" w:fill="F2F2F2"/>
          </w:tcPr>
          <w:p w:rsidR="00387A07" w:rsidRPr="0065313A" w:rsidRDefault="00387A07" w:rsidP="00387A07">
            <w:pPr>
              <w:rPr>
                <w:rFonts w:cs="Calibri"/>
                <w:b/>
              </w:rPr>
            </w:pPr>
            <w:r w:rsidRPr="0065313A">
              <w:rPr>
                <w:rFonts w:cs="Calibri"/>
                <w:b/>
              </w:rPr>
              <w:t>Stabilizer</w:t>
            </w:r>
          </w:p>
        </w:tc>
        <w:tc>
          <w:tcPr>
            <w:tcW w:w="1559" w:type="dxa"/>
            <w:tcBorders>
              <w:top w:val="single" w:sz="4" w:space="0" w:color="auto"/>
              <w:left w:val="nil"/>
              <w:bottom w:val="single" w:sz="4" w:space="0" w:color="auto"/>
              <w:right w:val="nil"/>
            </w:tcBorders>
            <w:shd w:val="clear" w:color="auto" w:fill="F2F2F2"/>
          </w:tcPr>
          <w:p w:rsidR="00387A07" w:rsidRPr="0065313A" w:rsidRDefault="00387A07" w:rsidP="00387A07">
            <w:pPr>
              <w:rPr>
                <w:rFonts w:cs="Calibri"/>
                <w:b/>
              </w:rPr>
            </w:pPr>
            <w:r w:rsidRPr="0065313A">
              <w:rPr>
                <w:rFonts w:cs="Calibri"/>
                <w:b/>
              </w:rPr>
              <w:t>Emulsion type</w:t>
            </w:r>
          </w:p>
        </w:tc>
        <w:tc>
          <w:tcPr>
            <w:tcW w:w="1417" w:type="dxa"/>
            <w:tcBorders>
              <w:top w:val="single" w:sz="4" w:space="0" w:color="auto"/>
              <w:left w:val="nil"/>
              <w:bottom w:val="single" w:sz="4" w:space="0" w:color="auto"/>
              <w:right w:val="nil"/>
            </w:tcBorders>
            <w:shd w:val="clear" w:color="auto" w:fill="F2F2F2"/>
          </w:tcPr>
          <w:p w:rsidR="00387A07" w:rsidRPr="0065313A" w:rsidRDefault="00387A07" w:rsidP="00387A07">
            <w:pPr>
              <w:rPr>
                <w:rFonts w:cs="Calibri"/>
                <w:b/>
              </w:rPr>
            </w:pPr>
            <w:r w:rsidRPr="0065313A">
              <w:rPr>
                <w:rFonts w:cs="Calibri"/>
                <w:b/>
              </w:rPr>
              <w:t>Particles size (nm)</w:t>
            </w:r>
          </w:p>
        </w:tc>
        <w:tc>
          <w:tcPr>
            <w:tcW w:w="993" w:type="dxa"/>
            <w:tcBorders>
              <w:top w:val="single" w:sz="4" w:space="0" w:color="auto"/>
              <w:left w:val="nil"/>
              <w:bottom w:val="single" w:sz="4" w:space="0" w:color="auto"/>
              <w:right w:val="nil"/>
            </w:tcBorders>
            <w:shd w:val="clear" w:color="auto" w:fill="F2F2F2"/>
          </w:tcPr>
          <w:p w:rsidR="00387A07" w:rsidRPr="0065313A" w:rsidRDefault="00387A07" w:rsidP="00387A07">
            <w:pPr>
              <w:rPr>
                <w:rFonts w:cs="Calibri"/>
                <w:b/>
              </w:rPr>
            </w:pPr>
            <w:r w:rsidRPr="0065313A">
              <w:rPr>
                <w:rFonts w:cs="Calibri"/>
                <w:b/>
              </w:rPr>
              <w:t>Ref</w:t>
            </w:r>
          </w:p>
        </w:tc>
      </w:tr>
      <w:tr w:rsidR="00387A07" w:rsidRPr="0065313A" w:rsidTr="00387A07">
        <w:trPr>
          <w:jc w:val="center"/>
        </w:trPr>
        <w:tc>
          <w:tcPr>
            <w:tcW w:w="1134" w:type="dxa"/>
            <w:tcBorders>
              <w:top w:val="single" w:sz="4" w:space="0" w:color="auto"/>
              <w:left w:val="nil"/>
            </w:tcBorders>
            <w:shd w:val="clear" w:color="auto" w:fill="F2F2F2"/>
          </w:tcPr>
          <w:p w:rsidR="00387A07" w:rsidRPr="0065313A" w:rsidRDefault="00387A07" w:rsidP="00387A07">
            <w:pPr>
              <w:rPr>
                <w:rFonts w:cs="Calibri"/>
              </w:rPr>
            </w:pPr>
            <w:r w:rsidRPr="0065313A">
              <w:rPr>
                <w:rFonts w:cs="Calibri"/>
              </w:rPr>
              <w:t>PLGA</w:t>
            </w:r>
          </w:p>
        </w:tc>
        <w:tc>
          <w:tcPr>
            <w:tcW w:w="1825" w:type="dxa"/>
            <w:tcBorders>
              <w:top w:val="single" w:sz="4" w:space="0" w:color="auto"/>
            </w:tcBorders>
            <w:shd w:val="clear" w:color="auto" w:fill="F2F2F2"/>
          </w:tcPr>
          <w:p w:rsidR="00387A07" w:rsidRPr="0065313A" w:rsidRDefault="00387A07" w:rsidP="00387A07">
            <w:pPr>
              <w:rPr>
                <w:rFonts w:cs="Calibri"/>
              </w:rPr>
            </w:pPr>
            <w:r w:rsidRPr="0065313A">
              <w:rPr>
                <w:rFonts w:cs="Calibri"/>
              </w:rPr>
              <w:t>Dichloromethane/acetone</w:t>
            </w:r>
          </w:p>
        </w:tc>
        <w:tc>
          <w:tcPr>
            <w:tcW w:w="1701" w:type="dxa"/>
            <w:tcBorders>
              <w:top w:val="single" w:sz="4" w:space="0" w:color="auto"/>
            </w:tcBorders>
            <w:shd w:val="clear" w:color="auto" w:fill="F2F2F2"/>
          </w:tcPr>
          <w:p w:rsidR="00387A07" w:rsidRPr="0065313A" w:rsidRDefault="00387A07" w:rsidP="00387A07">
            <w:pPr>
              <w:rPr>
                <w:rFonts w:cs="Calibri"/>
              </w:rPr>
            </w:pPr>
            <w:r w:rsidRPr="0065313A">
              <w:rPr>
                <w:rFonts w:cs="Calibri"/>
              </w:rPr>
              <w:t>PVA</w:t>
            </w:r>
          </w:p>
        </w:tc>
        <w:tc>
          <w:tcPr>
            <w:tcW w:w="1559" w:type="dxa"/>
            <w:tcBorders>
              <w:top w:val="single" w:sz="4" w:space="0" w:color="auto"/>
            </w:tcBorders>
            <w:shd w:val="clear" w:color="auto" w:fill="F2F2F2"/>
          </w:tcPr>
          <w:p w:rsidR="00387A07" w:rsidRPr="0065313A" w:rsidRDefault="00387A07" w:rsidP="00387A07">
            <w:pPr>
              <w:rPr>
                <w:rFonts w:cs="Calibri"/>
              </w:rPr>
            </w:pPr>
            <w:r w:rsidRPr="0065313A">
              <w:rPr>
                <w:rFonts w:cs="Calibri"/>
              </w:rPr>
              <w:t>O/W</w:t>
            </w:r>
          </w:p>
        </w:tc>
        <w:tc>
          <w:tcPr>
            <w:tcW w:w="1417" w:type="dxa"/>
            <w:tcBorders>
              <w:top w:val="single" w:sz="4" w:space="0" w:color="auto"/>
            </w:tcBorders>
            <w:shd w:val="clear" w:color="auto" w:fill="F2F2F2"/>
          </w:tcPr>
          <w:p w:rsidR="00387A07" w:rsidRPr="0065313A" w:rsidRDefault="00387A07" w:rsidP="00387A07">
            <w:pPr>
              <w:rPr>
                <w:rFonts w:cs="Calibri"/>
              </w:rPr>
            </w:pPr>
            <w:r w:rsidRPr="0065313A">
              <w:rPr>
                <w:rFonts w:cs="Calibri"/>
              </w:rPr>
              <w:t>60-200</w:t>
            </w:r>
          </w:p>
        </w:tc>
        <w:tc>
          <w:tcPr>
            <w:tcW w:w="993" w:type="dxa"/>
            <w:tcBorders>
              <w:top w:val="single" w:sz="4" w:space="0" w:color="auto"/>
              <w:bottom w:val="nil"/>
              <w:right w:val="nil"/>
            </w:tcBorders>
            <w:shd w:val="clear" w:color="auto" w:fill="F2F2F2"/>
          </w:tcPr>
          <w:p w:rsidR="00387A07" w:rsidRPr="0065313A" w:rsidRDefault="00387A07" w:rsidP="00387A07">
            <w:pPr>
              <w:rPr>
                <w:rFonts w:cs="Calibri"/>
              </w:rPr>
            </w:pPr>
            <w:r w:rsidRPr="0065313A">
              <w:rPr>
                <w:rFonts w:cs="Calibri"/>
              </w:rPr>
              <w:t>[90]</w:t>
            </w:r>
          </w:p>
        </w:tc>
      </w:tr>
      <w:tr w:rsidR="00387A07" w:rsidRPr="0065313A" w:rsidTr="00387A07">
        <w:trPr>
          <w:jc w:val="center"/>
        </w:trPr>
        <w:tc>
          <w:tcPr>
            <w:tcW w:w="1134" w:type="dxa"/>
            <w:tcBorders>
              <w:left w:val="nil"/>
            </w:tcBorders>
            <w:shd w:val="clear" w:color="auto" w:fill="F2F2F2"/>
          </w:tcPr>
          <w:p w:rsidR="00387A07" w:rsidRPr="0065313A" w:rsidRDefault="00387A07" w:rsidP="00387A07">
            <w:pPr>
              <w:rPr>
                <w:rFonts w:cs="Calibri"/>
              </w:rPr>
            </w:pPr>
            <w:r w:rsidRPr="0065313A">
              <w:rPr>
                <w:rFonts w:cs="Calibri"/>
              </w:rPr>
              <w:t>PLGA</w:t>
            </w:r>
          </w:p>
        </w:tc>
        <w:tc>
          <w:tcPr>
            <w:tcW w:w="1825" w:type="dxa"/>
            <w:shd w:val="clear" w:color="auto" w:fill="F2F2F2"/>
          </w:tcPr>
          <w:p w:rsidR="00387A07" w:rsidRPr="0065313A" w:rsidRDefault="00387A07" w:rsidP="00387A07">
            <w:pPr>
              <w:rPr>
                <w:rFonts w:cs="Calibri"/>
              </w:rPr>
            </w:pPr>
            <w:r w:rsidRPr="0065313A">
              <w:rPr>
                <w:rFonts w:cs="Calibri"/>
              </w:rPr>
              <w:t>Dichloromethane</w:t>
            </w:r>
          </w:p>
        </w:tc>
        <w:tc>
          <w:tcPr>
            <w:tcW w:w="1701" w:type="dxa"/>
            <w:shd w:val="clear" w:color="auto" w:fill="F2F2F2"/>
          </w:tcPr>
          <w:p w:rsidR="00387A07" w:rsidRPr="0065313A" w:rsidRDefault="00387A07" w:rsidP="00387A07">
            <w:pPr>
              <w:rPr>
                <w:rFonts w:cs="Calibri"/>
              </w:rPr>
            </w:pPr>
            <w:r w:rsidRPr="0065313A">
              <w:rPr>
                <w:rFonts w:cs="Calibri"/>
              </w:rPr>
              <w:t>Span 40</w:t>
            </w:r>
          </w:p>
        </w:tc>
        <w:tc>
          <w:tcPr>
            <w:tcW w:w="1559" w:type="dxa"/>
            <w:shd w:val="clear" w:color="auto" w:fill="F2F2F2"/>
          </w:tcPr>
          <w:p w:rsidR="00387A07" w:rsidRPr="0065313A" w:rsidRDefault="00387A07" w:rsidP="00387A07">
            <w:pPr>
              <w:rPr>
                <w:rFonts w:cs="Calibri"/>
              </w:rPr>
            </w:pPr>
            <w:r w:rsidRPr="0065313A">
              <w:rPr>
                <w:rFonts w:cs="Calibri"/>
              </w:rPr>
              <w:t>W/O/W</w:t>
            </w:r>
          </w:p>
        </w:tc>
        <w:tc>
          <w:tcPr>
            <w:tcW w:w="1417" w:type="dxa"/>
            <w:shd w:val="clear" w:color="auto" w:fill="F2F2F2"/>
          </w:tcPr>
          <w:p w:rsidR="00387A07" w:rsidRPr="0065313A" w:rsidRDefault="00387A07" w:rsidP="00387A07">
            <w:pPr>
              <w:rPr>
                <w:rFonts w:cs="Calibri"/>
              </w:rPr>
            </w:pPr>
            <w:r w:rsidRPr="0065313A">
              <w:rPr>
                <w:rFonts w:cs="Calibri"/>
              </w:rPr>
              <w:t>200</w:t>
            </w:r>
          </w:p>
        </w:tc>
        <w:tc>
          <w:tcPr>
            <w:tcW w:w="993" w:type="dxa"/>
            <w:tcBorders>
              <w:top w:val="nil"/>
              <w:bottom w:val="nil"/>
              <w:right w:val="nil"/>
            </w:tcBorders>
            <w:shd w:val="clear" w:color="auto" w:fill="F2F2F2"/>
          </w:tcPr>
          <w:p w:rsidR="00387A07" w:rsidRPr="0065313A" w:rsidRDefault="00387A07" w:rsidP="00387A07">
            <w:pPr>
              <w:rPr>
                <w:rFonts w:cs="Calibri"/>
              </w:rPr>
            </w:pPr>
            <w:r w:rsidRPr="0065313A">
              <w:rPr>
                <w:rFonts w:cs="Calibri"/>
              </w:rPr>
              <w:t>[91]</w:t>
            </w:r>
          </w:p>
        </w:tc>
      </w:tr>
      <w:tr w:rsidR="00387A07" w:rsidRPr="0065313A" w:rsidTr="00387A07">
        <w:trPr>
          <w:jc w:val="center"/>
        </w:trPr>
        <w:tc>
          <w:tcPr>
            <w:tcW w:w="1134" w:type="dxa"/>
            <w:tcBorders>
              <w:left w:val="nil"/>
            </w:tcBorders>
            <w:shd w:val="clear" w:color="auto" w:fill="F2F2F2"/>
          </w:tcPr>
          <w:p w:rsidR="00387A07" w:rsidRPr="0065313A" w:rsidRDefault="00387A07" w:rsidP="00387A07">
            <w:pPr>
              <w:rPr>
                <w:rFonts w:cs="Calibri"/>
              </w:rPr>
            </w:pPr>
            <w:r w:rsidRPr="0065313A">
              <w:rPr>
                <w:rFonts w:cs="Calibri"/>
              </w:rPr>
              <w:t>PLA</w:t>
            </w:r>
          </w:p>
        </w:tc>
        <w:tc>
          <w:tcPr>
            <w:tcW w:w="1825" w:type="dxa"/>
            <w:shd w:val="clear" w:color="auto" w:fill="F2F2F2"/>
          </w:tcPr>
          <w:p w:rsidR="00387A07" w:rsidRPr="0065313A" w:rsidRDefault="00387A07" w:rsidP="00387A07">
            <w:pPr>
              <w:rPr>
                <w:rFonts w:cs="Calibri"/>
              </w:rPr>
            </w:pPr>
            <w:r w:rsidRPr="0065313A">
              <w:rPr>
                <w:rFonts w:cs="Calibri"/>
              </w:rPr>
              <w:t>Dichloromethane</w:t>
            </w:r>
          </w:p>
        </w:tc>
        <w:tc>
          <w:tcPr>
            <w:tcW w:w="1701" w:type="dxa"/>
            <w:shd w:val="clear" w:color="auto" w:fill="F2F2F2"/>
          </w:tcPr>
          <w:p w:rsidR="00387A07" w:rsidRPr="0065313A" w:rsidRDefault="00387A07" w:rsidP="00387A07">
            <w:pPr>
              <w:rPr>
                <w:rFonts w:cs="Calibri"/>
              </w:rPr>
            </w:pPr>
            <w:r w:rsidRPr="0065313A">
              <w:rPr>
                <w:rFonts w:cs="Calibri"/>
              </w:rPr>
              <w:t>PVA</w:t>
            </w:r>
          </w:p>
        </w:tc>
        <w:tc>
          <w:tcPr>
            <w:tcW w:w="1559" w:type="dxa"/>
            <w:shd w:val="clear" w:color="auto" w:fill="F2F2F2"/>
          </w:tcPr>
          <w:p w:rsidR="00387A07" w:rsidRPr="0065313A" w:rsidRDefault="00387A07" w:rsidP="00387A07">
            <w:pPr>
              <w:rPr>
                <w:rFonts w:cs="Calibri"/>
              </w:rPr>
            </w:pPr>
            <w:r w:rsidRPr="0065313A">
              <w:rPr>
                <w:rFonts w:cs="Calibri"/>
              </w:rPr>
              <w:t>W/O/W</w:t>
            </w:r>
          </w:p>
        </w:tc>
        <w:tc>
          <w:tcPr>
            <w:tcW w:w="1417" w:type="dxa"/>
            <w:shd w:val="clear" w:color="auto" w:fill="F2F2F2"/>
          </w:tcPr>
          <w:p w:rsidR="00387A07" w:rsidRPr="0065313A" w:rsidRDefault="00387A07" w:rsidP="00387A07">
            <w:pPr>
              <w:rPr>
                <w:rFonts w:cs="Calibri"/>
              </w:rPr>
            </w:pPr>
            <w:r w:rsidRPr="0065313A">
              <w:rPr>
                <w:rFonts w:cs="Calibri"/>
              </w:rPr>
              <w:t>200</w:t>
            </w:r>
          </w:p>
        </w:tc>
        <w:tc>
          <w:tcPr>
            <w:tcW w:w="993" w:type="dxa"/>
            <w:tcBorders>
              <w:top w:val="nil"/>
              <w:bottom w:val="nil"/>
              <w:right w:val="nil"/>
            </w:tcBorders>
            <w:shd w:val="clear" w:color="auto" w:fill="F2F2F2"/>
          </w:tcPr>
          <w:p w:rsidR="00387A07" w:rsidRPr="0065313A" w:rsidRDefault="00387A07" w:rsidP="00387A07">
            <w:pPr>
              <w:rPr>
                <w:rFonts w:cs="Calibri"/>
              </w:rPr>
            </w:pPr>
            <w:r w:rsidRPr="0065313A">
              <w:rPr>
                <w:rFonts w:cs="Calibri"/>
              </w:rPr>
              <w:t>[92]</w:t>
            </w:r>
          </w:p>
        </w:tc>
      </w:tr>
      <w:tr w:rsidR="00387A07" w:rsidRPr="0065313A" w:rsidTr="00387A07">
        <w:trPr>
          <w:jc w:val="center"/>
        </w:trPr>
        <w:tc>
          <w:tcPr>
            <w:tcW w:w="1134" w:type="dxa"/>
            <w:tcBorders>
              <w:left w:val="nil"/>
            </w:tcBorders>
            <w:shd w:val="clear" w:color="auto" w:fill="F2F2F2"/>
          </w:tcPr>
          <w:p w:rsidR="00387A07" w:rsidRPr="0065313A" w:rsidRDefault="00387A07" w:rsidP="00387A07">
            <w:pPr>
              <w:rPr>
                <w:rFonts w:cs="Calibri"/>
              </w:rPr>
            </w:pPr>
            <w:r w:rsidRPr="0065313A">
              <w:rPr>
                <w:rFonts w:cs="Calibri"/>
              </w:rPr>
              <w:t>PEG-PLA</w:t>
            </w:r>
          </w:p>
        </w:tc>
        <w:tc>
          <w:tcPr>
            <w:tcW w:w="1825" w:type="dxa"/>
            <w:shd w:val="clear" w:color="auto" w:fill="F2F2F2"/>
          </w:tcPr>
          <w:p w:rsidR="00387A07" w:rsidRPr="0065313A" w:rsidRDefault="00387A07" w:rsidP="00387A07">
            <w:pPr>
              <w:rPr>
                <w:rFonts w:cs="Calibri"/>
              </w:rPr>
            </w:pPr>
            <w:r w:rsidRPr="0065313A">
              <w:rPr>
                <w:rFonts w:cs="Calibri"/>
              </w:rPr>
              <w:t>Dichloromethane</w:t>
            </w:r>
          </w:p>
        </w:tc>
        <w:tc>
          <w:tcPr>
            <w:tcW w:w="1701" w:type="dxa"/>
            <w:shd w:val="clear" w:color="auto" w:fill="F2F2F2"/>
          </w:tcPr>
          <w:p w:rsidR="00387A07" w:rsidRPr="0065313A" w:rsidRDefault="00387A07" w:rsidP="00387A07">
            <w:pPr>
              <w:rPr>
                <w:rFonts w:cs="Calibri"/>
              </w:rPr>
            </w:pPr>
            <w:r w:rsidRPr="0065313A">
              <w:rPr>
                <w:rFonts w:cs="Calibri"/>
              </w:rPr>
              <w:t>Sodium Cholate</w:t>
            </w:r>
          </w:p>
        </w:tc>
        <w:tc>
          <w:tcPr>
            <w:tcW w:w="1559" w:type="dxa"/>
            <w:shd w:val="clear" w:color="auto" w:fill="F2F2F2"/>
          </w:tcPr>
          <w:p w:rsidR="00387A07" w:rsidRPr="0065313A" w:rsidRDefault="00387A07" w:rsidP="00387A07">
            <w:pPr>
              <w:rPr>
                <w:rFonts w:cs="Calibri"/>
              </w:rPr>
            </w:pPr>
            <w:r w:rsidRPr="0065313A">
              <w:rPr>
                <w:rFonts w:cs="Calibri"/>
              </w:rPr>
              <w:t>W/O/W</w:t>
            </w:r>
          </w:p>
        </w:tc>
        <w:tc>
          <w:tcPr>
            <w:tcW w:w="1417" w:type="dxa"/>
            <w:shd w:val="clear" w:color="auto" w:fill="F2F2F2"/>
          </w:tcPr>
          <w:p w:rsidR="00387A07" w:rsidRPr="0065313A" w:rsidRDefault="00387A07" w:rsidP="00387A07">
            <w:pPr>
              <w:rPr>
                <w:rFonts w:cs="Calibri"/>
              </w:rPr>
            </w:pPr>
            <w:r w:rsidRPr="0065313A">
              <w:rPr>
                <w:rFonts w:cs="Calibri"/>
              </w:rPr>
              <w:t>200</w:t>
            </w:r>
          </w:p>
        </w:tc>
        <w:tc>
          <w:tcPr>
            <w:tcW w:w="993" w:type="dxa"/>
            <w:tcBorders>
              <w:top w:val="nil"/>
              <w:bottom w:val="nil"/>
              <w:right w:val="nil"/>
            </w:tcBorders>
            <w:shd w:val="clear" w:color="auto" w:fill="F2F2F2"/>
          </w:tcPr>
          <w:p w:rsidR="00387A07" w:rsidRPr="0065313A" w:rsidRDefault="00387A07" w:rsidP="00387A07">
            <w:pPr>
              <w:rPr>
                <w:rFonts w:cs="Calibri"/>
              </w:rPr>
            </w:pPr>
            <w:r w:rsidRPr="0065313A">
              <w:rPr>
                <w:rFonts w:cs="Calibri"/>
              </w:rPr>
              <w:t>[93]</w:t>
            </w:r>
          </w:p>
        </w:tc>
      </w:tr>
      <w:tr w:rsidR="00387A07" w:rsidRPr="0065313A" w:rsidTr="00387A07">
        <w:trPr>
          <w:jc w:val="center"/>
        </w:trPr>
        <w:tc>
          <w:tcPr>
            <w:tcW w:w="1134" w:type="dxa"/>
            <w:tcBorders>
              <w:left w:val="nil"/>
              <w:bottom w:val="single" w:sz="4" w:space="0" w:color="auto"/>
            </w:tcBorders>
            <w:shd w:val="clear" w:color="auto" w:fill="F2F2F2"/>
          </w:tcPr>
          <w:p w:rsidR="00387A07" w:rsidRPr="0065313A" w:rsidRDefault="00387A07" w:rsidP="00387A07">
            <w:pPr>
              <w:rPr>
                <w:rFonts w:cs="Calibri"/>
              </w:rPr>
            </w:pPr>
            <w:r w:rsidRPr="0065313A">
              <w:rPr>
                <w:rFonts w:cs="Calibri"/>
              </w:rPr>
              <w:t>PLGA</w:t>
            </w:r>
          </w:p>
        </w:tc>
        <w:tc>
          <w:tcPr>
            <w:tcW w:w="1825" w:type="dxa"/>
            <w:tcBorders>
              <w:bottom w:val="single" w:sz="4" w:space="0" w:color="auto"/>
            </w:tcBorders>
            <w:shd w:val="clear" w:color="auto" w:fill="F2F2F2"/>
          </w:tcPr>
          <w:p w:rsidR="00387A07" w:rsidRPr="0065313A" w:rsidRDefault="00387A07" w:rsidP="00387A07">
            <w:pPr>
              <w:rPr>
                <w:rFonts w:cs="Calibri"/>
              </w:rPr>
            </w:pPr>
            <w:r w:rsidRPr="0065313A">
              <w:rPr>
                <w:rFonts w:cs="Calibri"/>
              </w:rPr>
              <w:t>Chloroform</w:t>
            </w:r>
          </w:p>
        </w:tc>
        <w:tc>
          <w:tcPr>
            <w:tcW w:w="1701" w:type="dxa"/>
            <w:tcBorders>
              <w:bottom w:val="single" w:sz="4" w:space="0" w:color="auto"/>
            </w:tcBorders>
            <w:shd w:val="clear" w:color="auto" w:fill="F2F2F2"/>
          </w:tcPr>
          <w:p w:rsidR="00387A07" w:rsidRPr="0065313A" w:rsidRDefault="00387A07" w:rsidP="00387A07">
            <w:pPr>
              <w:rPr>
                <w:rFonts w:cs="Calibri"/>
              </w:rPr>
            </w:pPr>
            <w:r w:rsidRPr="0065313A">
              <w:rPr>
                <w:rFonts w:cs="Calibri"/>
              </w:rPr>
              <w:t>SDS</w:t>
            </w:r>
          </w:p>
        </w:tc>
        <w:tc>
          <w:tcPr>
            <w:tcW w:w="1559" w:type="dxa"/>
            <w:tcBorders>
              <w:bottom w:val="single" w:sz="4" w:space="0" w:color="auto"/>
            </w:tcBorders>
            <w:shd w:val="clear" w:color="auto" w:fill="F2F2F2"/>
          </w:tcPr>
          <w:p w:rsidR="00387A07" w:rsidRPr="0065313A" w:rsidRDefault="00387A07" w:rsidP="00387A07">
            <w:pPr>
              <w:rPr>
                <w:rFonts w:cs="Calibri"/>
              </w:rPr>
            </w:pPr>
            <w:r w:rsidRPr="0065313A">
              <w:rPr>
                <w:rFonts w:cs="Calibri"/>
              </w:rPr>
              <w:t>W/O/W</w:t>
            </w:r>
          </w:p>
        </w:tc>
        <w:tc>
          <w:tcPr>
            <w:tcW w:w="1417" w:type="dxa"/>
            <w:tcBorders>
              <w:bottom w:val="single" w:sz="4" w:space="0" w:color="auto"/>
            </w:tcBorders>
            <w:shd w:val="clear" w:color="auto" w:fill="F2F2F2"/>
          </w:tcPr>
          <w:p w:rsidR="00387A07" w:rsidRPr="0065313A" w:rsidRDefault="00387A07" w:rsidP="00387A07">
            <w:pPr>
              <w:rPr>
                <w:rFonts w:cs="Calibri"/>
              </w:rPr>
            </w:pPr>
            <w:r w:rsidRPr="0065313A">
              <w:rPr>
                <w:rFonts w:cs="Calibri"/>
              </w:rPr>
              <w:t>76</w:t>
            </w:r>
          </w:p>
        </w:tc>
        <w:tc>
          <w:tcPr>
            <w:tcW w:w="993" w:type="dxa"/>
            <w:tcBorders>
              <w:top w:val="nil"/>
              <w:bottom w:val="single" w:sz="4" w:space="0" w:color="auto"/>
              <w:right w:val="nil"/>
            </w:tcBorders>
            <w:shd w:val="clear" w:color="auto" w:fill="F2F2F2"/>
          </w:tcPr>
          <w:p w:rsidR="00387A07" w:rsidRPr="0065313A" w:rsidRDefault="00387A07" w:rsidP="00387A07">
            <w:pPr>
              <w:rPr>
                <w:rFonts w:cs="Calibri"/>
              </w:rPr>
            </w:pPr>
            <w:r w:rsidRPr="0065313A">
              <w:rPr>
                <w:rFonts w:cs="Calibri"/>
              </w:rPr>
              <w:t>[94]</w:t>
            </w:r>
          </w:p>
        </w:tc>
      </w:tr>
    </w:tbl>
    <w:p w:rsidR="00387A07" w:rsidRPr="0065313A" w:rsidRDefault="00387A07" w:rsidP="00387A07">
      <w:pPr>
        <w:pStyle w:val="Didascalia"/>
        <w:spacing w:before="120" w:after="240"/>
        <w:rPr>
          <w:rFonts w:ascii="Arial" w:hAnsi="Arial" w:cs="Arial"/>
          <w:b w:val="0"/>
          <w:sz w:val="24"/>
          <w:szCs w:val="24"/>
          <w:lang w:val="en-US"/>
        </w:rPr>
      </w:pPr>
      <w:r w:rsidRPr="0065313A">
        <w:t xml:space="preserve">Table 1. </w:t>
      </w:r>
      <w:fldSimple w:instr=" SEQ Table_1. \* ARABIC ">
        <w:r w:rsidRPr="0065313A">
          <w:rPr>
            <w:noProof/>
          </w:rPr>
          <w:t>3</w:t>
        </w:r>
      </w:fldSimple>
      <w:r w:rsidRPr="0065313A">
        <w:t xml:space="preserve"> Different nanoparticles formulations prepared by single or double emulsions using different polymers and processing parameters.   </w:t>
      </w:r>
    </w:p>
    <w:p w:rsidR="00387A07" w:rsidRPr="0065313A" w:rsidRDefault="00387A07" w:rsidP="00387A07">
      <w:pPr>
        <w:spacing w:after="240" w:line="360" w:lineRule="auto"/>
        <w:jc w:val="both"/>
        <w:rPr>
          <w:rFonts w:ascii="Arial" w:hAnsi="Arial" w:cs="Arial"/>
          <w:b/>
          <w:sz w:val="24"/>
          <w:szCs w:val="24"/>
          <w:lang w:val="en-US"/>
        </w:rPr>
      </w:pPr>
      <w:r w:rsidRPr="0065313A">
        <w:rPr>
          <w:rFonts w:ascii="Arial" w:hAnsi="Arial" w:cs="Arial"/>
          <w:b/>
          <w:sz w:val="24"/>
          <w:szCs w:val="24"/>
          <w:lang w:val="en-US"/>
        </w:rPr>
        <w:t xml:space="preserve">1.3.2.3 Solvent Displacement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The Solvent Displacement method or Nanoprecipitation method was developed by Fessi et al. [95] for the preparation of polymeric nanoparticles.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The method is based on the spontaneous emulsification of the organic internal phase containing the dissolved polymer and the drug into the aqueous external phase.</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lastRenderedPageBreak/>
        <w:t xml:space="preserve">The method involves the precipitation of a preformed polymer from an organic solution, composed of a completely water miscible solvent such as acetone, in the aqueous medium containing the surfactant. </w:t>
      </w:r>
    </w:p>
    <w:p w:rsidR="00387A07" w:rsidRPr="0065313A" w:rsidRDefault="00387A07" w:rsidP="00387A07">
      <w:pPr>
        <w:autoSpaceDE w:val="0"/>
        <w:autoSpaceDN w:val="0"/>
        <w:adjustRightInd w:val="0"/>
        <w:spacing w:after="0" w:line="360" w:lineRule="auto"/>
        <w:jc w:val="both"/>
        <w:rPr>
          <w:rFonts w:ascii="Arial" w:hAnsi="Arial" w:cs="Arial"/>
          <w:color w:val="000000"/>
          <w:sz w:val="24"/>
          <w:szCs w:val="24"/>
          <w:lang w:val="en-US"/>
        </w:rPr>
      </w:pPr>
      <w:r w:rsidRPr="0065313A">
        <w:rPr>
          <w:rFonts w:ascii="Arial" w:hAnsi="Arial" w:cs="Arial"/>
          <w:sz w:val="24"/>
          <w:szCs w:val="24"/>
          <w:lang w:val="en-US"/>
        </w:rPr>
        <w:t xml:space="preserve">Rapid diffusion of the solvent into non solvent phase results in the decrease of interfacial tension between the two phases, which </w:t>
      </w:r>
      <w:r w:rsidRPr="0065313A">
        <w:rPr>
          <w:rFonts w:ascii="Arial" w:hAnsi="Arial" w:cs="Arial"/>
          <w:color w:val="000000"/>
          <w:sz w:val="24"/>
          <w:szCs w:val="24"/>
          <w:lang w:val="en-US"/>
        </w:rPr>
        <w:t xml:space="preserve">increases the surface area and leads to the formation of small droplets of organic solvent </w:t>
      </w:r>
      <w:r w:rsidRPr="0065313A">
        <w:rPr>
          <w:rFonts w:ascii="Arial" w:hAnsi="Arial" w:cs="Arial"/>
          <w:color w:val="000077"/>
          <w:sz w:val="24"/>
          <w:szCs w:val="24"/>
          <w:lang w:val="en-US"/>
        </w:rPr>
        <w:t>[96]</w:t>
      </w:r>
      <w:r w:rsidRPr="0065313A">
        <w:rPr>
          <w:rFonts w:ascii="Arial" w:hAnsi="Arial" w:cs="Arial"/>
          <w:color w:val="000000"/>
          <w:sz w:val="24"/>
          <w:szCs w:val="24"/>
          <w:lang w:val="en-US"/>
        </w:rPr>
        <w:t xml:space="preserve">. Nanoprecipitation system consists of three basic components: the polymer, the polymer solvent and the nonsolvent of the polymer. Organic solvents (i.e., ethanol, acetone, hexane or dioxane) which are miscible in water and easy to remove by evaporation are chosen as polymer solvents. </w:t>
      </w:r>
    </w:p>
    <w:p w:rsidR="00387A07" w:rsidRPr="0065313A" w:rsidRDefault="00387A07" w:rsidP="00387A07">
      <w:pPr>
        <w:autoSpaceDE w:val="0"/>
        <w:autoSpaceDN w:val="0"/>
        <w:adjustRightInd w:val="0"/>
        <w:spacing w:after="0" w:line="360" w:lineRule="auto"/>
        <w:jc w:val="both"/>
        <w:rPr>
          <w:rFonts w:ascii="Arial" w:hAnsi="Arial" w:cs="Arial"/>
          <w:color w:val="000000"/>
          <w:sz w:val="24"/>
          <w:szCs w:val="24"/>
          <w:lang w:val="en-US"/>
        </w:rPr>
      </w:pPr>
      <w:r w:rsidRPr="0065313A">
        <w:rPr>
          <w:rFonts w:ascii="Arial" w:hAnsi="Arial" w:cs="Arial"/>
          <w:color w:val="000000"/>
          <w:sz w:val="24"/>
          <w:szCs w:val="24"/>
          <w:lang w:val="en-US"/>
        </w:rPr>
        <w:t xml:space="preserve">The polymers commonly used are biodegradable polyesters, especially poly(ε-caprolactone) [97], poly (D,L-lactide) [92] and poly(lactide-co-glycolide) [64,90] (see table1.4). </w:t>
      </w:r>
    </w:p>
    <w:p w:rsidR="00387A07" w:rsidRPr="0065313A" w:rsidRDefault="00387A07" w:rsidP="00387A07">
      <w:pPr>
        <w:autoSpaceDE w:val="0"/>
        <w:autoSpaceDN w:val="0"/>
        <w:adjustRightInd w:val="0"/>
        <w:spacing w:after="0" w:line="360" w:lineRule="auto"/>
        <w:jc w:val="both"/>
        <w:rPr>
          <w:rFonts w:ascii="Arial" w:hAnsi="Arial" w:cs="Arial"/>
          <w:color w:val="000000"/>
          <w:sz w:val="24"/>
          <w:szCs w:val="24"/>
          <w:lang w:val="en-US"/>
        </w:rPr>
      </w:pPr>
      <w:r w:rsidRPr="0065313A">
        <w:rPr>
          <w:rFonts w:ascii="Arial" w:hAnsi="Arial" w:cs="Arial"/>
          <w:sz w:val="24"/>
          <w:szCs w:val="24"/>
          <w:lang w:val="en-US"/>
        </w:rPr>
        <w:t>Nanoparticles are produced by slow addition of the organic phase to the aqueous phase under moderate stirring. Reversing this order by adding the aqueous phase to the organic phase also leads to the formation of PNP. Nanoparticles with a well defined size are characterized by a narrow distribution formed instantaneously during the rapid diffusion of the polymer solution in the non solvent phase.</w:t>
      </w:r>
    </w:p>
    <w:p w:rsidR="00387A07" w:rsidRPr="0065313A" w:rsidRDefault="00387A07" w:rsidP="00387A07">
      <w:pPr>
        <w:autoSpaceDE w:val="0"/>
        <w:autoSpaceDN w:val="0"/>
        <w:adjustRightInd w:val="0"/>
        <w:spacing w:after="120" w:line="360" w:lineRule="auto"/>
        <w:jc w:val="both"/>
        <w:rPr>
          <w:rFonts w:ascii="Arial" w:hAnsi="Arial" w:cs="Arial"/>
          <w:sz w:val="24"/>
          <w:szCs w:val="24"/>
          <w:lang w:val="en-US"/>
        </w:rPr>
      </w:pPr>
      <w:r w:rsidRPr="0065313A">
        <w:rPr>
          <w:rFonts w:ascii="Arial" w:hAnsi="Arial" w:cs="Arial"/>
          <w:sz w:val="24"/>
          <w:szCs w:val="24"/>
          <w:lang w:val="en-US"/>
        </w:rPr>
        <w:t xml:space="preserve">Nanoprecipitation is a simple, fast and reproducible method which is widely used for the preparation of both nanospheres and nanocapsules. Even though low polymer surfactant concentrations are employed, challenges pertaining to low polymer concentration in the organic phase have to be addressed. </w:t>
      </w:r>
    </w:p>
    <w:tbl>
      <w:tblPr>
        <w:tblW w:w="9639" w:type="dxa"/>
        <w:tblInd w:w="108" w:type="dxa"/>
        <w:tblLook w:val="00A0"/>
      </w:tblPr>
      <w:tblGrid>
        <w:gridCol w:w="1384"/>
        <w:gridCol w:w="1843"/>
        <w:gridCol w:w="1701"/>
        <w:gridCol w:w="2431"/>
        <w:gridCol w:w="1110"/>
        <w:gridCol w:w="1170"/>
      </w:tblGrid>
      <w:tr w:rsidR="00387A07" w:rsidRPr="0065313A" w:rsidTr="00387A07">
        <w:tc>
          <w:tcPr>
            <w:tcW w:w="1384" w:type="dxa"/>
            <w:tcBorders>
              <w:left w:val="nil"/>
              <w:bottom w:val="single" w:sz="4" w:space="0" w:color="000000"/>
              <w:right w:val="nil"/>
            </w:tcBorders>
            <w:shd w:val="clear" w:color="auto" w:fill="F2F2F2"/>
          </w:tcPr>
          <w:p w:rsidR="00387A07" w:rsidRPr="0065313A" w:rsidRDefault="00387A07" w:rsidP="00387A07">
            <w:pPr>
              <w:rPr>
                <w:rFonts w:cs="Calibri"/>
                <w:b/>
              </w:rPr>
            </w:pPr>
            <w:r w:rsidRPr="0065313A">
              <w:rPr>
                <w:rFonts w:cs="Calibri"/>
                <w:b/>
              </w:rPr>
              <w:t>Polymer</w:t>
            </w:r>
          </w:p>
        </w:tc>
        <w:tc>
          <w:tcPr>
            <w:tcW w:w="1843" w:type="dxa"/>
            <w:tcBorders>
              <w:left w:val="nil"/>
              <w:bottom w:val="single" w:sz="4" w:space="0" w:color="000000"/>
              <w:right w:val="nil"/>
            </w:tcBorders>
            <w:shd w:val="clear" w:color="auto" w:fill="F2F2F2"/>
          </w:tcPr>
          <w:p w:rsidR="00387A07" w:rsidRPr="0065313A" w:rsidRDefault="00387A07" w:rsidP="00387A07">
            <w:pPr>
              <w:rPr>
                <w:rFonts w:cs="Calibri"/>
                <w:b/>
              </w:rPr>
            </w:pPr>
            <w:r w:rsidRPr="0065313A">
              <w:rPr>
                <w:rFonts w:cs="Calibri"/>
                <w:b/>
              </w:rPr>
              <w:t>Solvent</w:t>
            </w:r>
          </w:p>
        </w:tc>
        <w:tc>
          <w:tcPr>
            <w:tcW w:w="1701" w:type="dxa"/>
            <w:tcBorders>
              <w:left w:val="nil"/>
              <w:bottom w:val="single" w:sz="4" w:space="0" w:color="000000"/>
              <w:right w:val="nil"/>
            </w:tcBorders>
            <w:shd w:val="clear" w:color="auto" w:fill="F2F2F2"/>
          </w:tcPr>
          <w:p w:rsidR="00387A07" w:rsidRPr="0065313A" w:rsidRDefault="00387A07" w:rsidP="00387A07">
            <w:pPr>
              <w:rPr>
                <w:rFonts w:cs="Calibri"/>
                <w:b/>
              </w:rPr>
            </w:pPr>
            <w:r w:rsidRPr="0065313A">
              <w:rPr>
                <w:rFonts w:cs="Calibri"/>
                <w:b/>
              </w:rPr>
              <w:t>Non-Solvent</w:t>
            </w:r>
          </w:p>
        </w:tc>
        <w:tc>
          <w:tcPr>
            <w:tcW w:w="2431" w:type="dxa"/>
            <w:tcBorders>
              <w:left w:val="nil"/>
              <w:bottom w:val="single" w:sz="4" w:space="0" w:color="000000"/>
              <w:right w:val="nil"/>
            </w:tcBorders>
            <w:shd w:val="clear" w:color="auto" w:fill="F2F2F2"/>
          </w:tcPr>
          <w:p w:rsidR="00387A07" w:rsidRPr="0065313A" w:rsidRDefault="00387A07" w:rsidP="00387A07">
            <w:pPr>
              <w:rPr>
                <w:rFonts w:cs="Calibri"/>
                <w:b/>
              </w:rPr>
            </w:pPr>
            <w:r w:rsidRPr="0065313A">
              <w:rPr>
                <w:rFonts w:cs="Calibri"/>
                <w:b/>
              </w:rPr>
              <w:t>Stabilizing agent</w:t>
            </w:r>
          </w:p>
        </w:tc>
        <w:tc>
          <w:tcPr>
            <w:tcW w:w="1110" w:type="dxa"/>
            <w:tcBorders>
              <w:left w:val="nil"/>
              <w:bottom w:val="single" w:sz="4" w:space="0" w:color="000000"/>
              <w:right w:val="nil"/>
            </w:tcBorders>
            <w:shd w:val="clear" w:color="auto" w:fill="F2F2F2"/>
          </w:tcPr>
          <w:p w:rsidR="00387A07" w:rsidRPr="0065313A" w:rsidRDefault="00387A07" w:rsidP="00387A07">
            <w:pPr>
              <w:rPr>
                <w:rFonts w:cs="Calibri"/>
                <w:b/>
              </w:rPr>
            </w:pPr>
            <w:r w:rsidRPr="0065313A">
              <w:rPr>
                <w:rFonts w:cs="Calibri"/>
                <w:b/>
              </w:rPr>
              <w:t>Size</w:t>
            </w:r>
          </w:p>
        </w:tc>
        <w:tc>
          <w:tcPr>
            <w:tcW w:w="1170" w:type="dxa"/>
            <w:tcBorders>
              <w:left w:val="nil"/>
              <w:bottom w:val="single" w:sz="4" w:space="0" w:color="000000"/>
              <w:right w:val="nil"/>
            </w:tcBorders>
            <w:shd w:val="clear" w:color="auto" w:fill="F2F2F2"/>
          </w:tcPr>
          <w:p w:rsidR="00387A07" w:rsidRPr="0065313A" w:rsidRDefault="00387A07" w:rsidP="00387A07">
            <w:pPr>
              <w:rPr>
                <w:rFonts w:cs="Calibri"/>
                <w:b/>
              </w:rPr>
            </w:pPr>
            <w:r w:rsidRPr="0065313A">
              <w:rPr>
                <w:rFonts w:cs="Calibri"/>
                <w:b/>
              </w:rPr>
              <w:t>Reference</w:t>
            </w:r>
          </w:p>
        </w:tc>
      </w:tr>
      <w:tr w:rsidR="00387A07" w:rsidRPr="0065313A" w:rsidTr="00387A07">
        <w:tc>
          <w:tcPr>
            <w:tcW w:w="1384" w:type="dxa"/>
            <w:tcBorders>
              <w:left w:val="nil"/>
              <w:bottom w:val="nil"/>
              <w:right w:val="nil"/>
            </w:tcBorders>
            <w:shd w:val="clear" w:color="auto" w:fill="F2F2F2"/>
          </w:tcPr>
          <w:p w:rsidR="00387A07" w:rsidRPr="0065313A" w:rsidRDefault="00387A07" w:rsidP="00387A07">
            <w:pPr>
              <w:rPr>
                <w:rFonts w:cs="Calibri"/>
              </w:rPr>
            </w:pPr>
            <w:r w:rsidRPr="0065313A">
              <w:rPr>
                <w:rFonts w:cs="Calibri"/>
              </w:rPr>
              <w:t>PLGA</w:t>
            </w:r>
          </w:p>
        </w:tc>
        <w:tc>
          <w:tcPr>
            <w:tcW w:w="1843" w:type="dxa"/>
            <w:tcBorders>
              <w:left w:val="nil"/>
              <w:bottom w:val="nil"/>
              <w:right w:val="nil"/>
            </w:tcBorders>
            <w:shd w:val="clear" w:color="auto" w:fill="F2F2F2"/>
          </w:tcPr>
          <w:p w:rsidR="00387A07" w:rsidRPr="0065313A" w:rsidRDefault="00387A07" w:rsidP="00387A07">
            <w:pPr>
              <w:rPr>
                <w:rFonts w:cs="Calibri"/>
              </w:rPr>
            </w:pPr>
            <w:r w:rsidRPr="0065313A">
              <w:rPr>
                <w:rFonts w:cs="Calibri"/>
              </w:rPr>
              <w:t>Acetone</w:t>
            </w:r>
          </w:p>
        </w:tc>
        <w:tc>
          <w:tcPr>
            <w:tcW w:w="1701" w:type="dxa"/>
            <w:tcBorders>
              <w:left w:val="nil"/>
              <w:bottom w:val="nil"/>
              <w:right w:val="nil"/>
            </w:tcBorders>
            <w:shd w:val="clear" w:color="auto" w:fill="F2F2F2"/>
          </w:tcPr>
          <w:p w:rsidR="00387A07" w:rsidRPr="0065313A" w:rsidRDefault="00387A07" w:rsidP="00387A07">
            <w:pPr>
              <w:rPr>
                <w:rFonts w:cs="Calibri"/>
              </w:rPr>
            </w:pPr>
            <w:r w:rsidRPr="0065313A">
              <w:rPr>
                <w:rFonts w:cs="Calibri"/>
              </w:rPr>
              <w:t>Water</w:t>
            </w:r>
          </w:p>
        </w:tc>
        <w:tc>
          <w:tcPr>
            <w:tcW w:w="2431" w:type="dxa"/>
            <w:tcBorders>
              <w:left w:val="nil"/>
              <w:bottom w:val="nil"/>
              <w:right w:val="nil"/>
            </w:tcBorders>
            <w:shd w:val="clear" w:color="auto" w:fill="F2F2F2"/>
          </w:tcPr>
          <w:p w:rsidR="00387A07" w:rsidRPr="0065313A" w:rsidRDefault="00387A07" w:rsidP="00387A07">
            <w:pPr>
              <w:rPr>
                <w:rFonts w:cs="Calibri"/>
              </w:rPr>
            </w:pPr>
            <w:r w:rsidRPr="0065313A">
              <w:rPr>
                <w:rFonts w:cs="Calibri"/>
              </w:rPr>
              <w:t>PVA</w:t>
            </w:r>
          </w:p>
        </w:tc>
        <w:tc>
          <w:tcPr>
            <w:tcW w:w="1110" w:type="dxa"/>
            <w:tcBorders>
              <w:left w:val="nil"/>
              <w:bottom w:val="nil"/>
              <w:right w:val="nil"/>
            </w:tcBorders>
            <w:shd w:val="clear" w:color="auto" w:fill="F2F2F2"/>
          </w:tcPr>
          <w:p w:rsidR="00387A07" w:rsidRPr="0065313A" w:rsidRDefault="00387A07" w:rsidP="00387A07">
            <w:pPr>
              <w:rPr>
                <w:rFonts w:cs="Calibri"/>
              </w:rPr>
            </w:pPr>
            <w:r w:rsidRPr="0065313A">
              <w:rPr>
                <w:rFonts w:cs="Calibri"/>
              </w:rPr>
              <w:t>90-500</w:t>
            </w:r>
          </w:p>
        </w:tc>
        <w:tc>
          <w:tcPr>
            <w:tcW w:w="1170" w:type="dxa"/>
            <w:tcBorders>
              <w:left w:val="nil"/>
              <w:bottom w:val="nil"/>
              <w:right w:val="nil"/>
            </w:tcBorders>
            <w:shd w:val="clear" w:color="auto" w:fill="F2F2F2"/>
          </w:tcPr>
          <w:p w:rsidR="00387A07" w:rsidRPr="0065313A" w:rsidRDefault="00387A07" w:rsidP="00387A07">
            <w:pPr>
              <w:jc w:val="center"/>
              <w:rPr>
                <w:rFonts w:cs="Calibri"/>
              </w:rPr>
            </w:pPr>
            <w:r w:rsidRPr="0065313A">
              <w:rPr>
                <w:rFonts w:cs="Calibri"/>
              </w:rPr>
              <w:t>[98]</w:t>
            </w:r>
          </w:p>
        </w:tc>
      </w:tr>
      <w:tr w:rsidR="00387A07" w:rsidRPr="0065313A" w:rsidTr="00387A07">
        <w:tc>
          <w:tcPr>
            <w:tcW w:w="1384"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PCL</w:t>
            </w:r>
          </w:p>
        </w:tc>
        <w:tc>
          <w:tcPr>
            <w:tcW w:w="1843"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Acetone</w:t>
            </w:r>
          </w:p>
        </w:tc>
        <w:tc>
          <w:tcPr>
            <w:tcW w:w="1701"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Water</w:t>
            </w:r>
          </w:p>
        </w:tc>
        <w:tc>
          <w:tcPr>
            <w:tcW w:w="2431"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PVA</w:t>
            </w:r>
          </w:p>
        </w:tc>
        <w:tc>
          <w:tcPr>
            <w:tcW w:w="1110"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360</w:t>
            </w:r>
          </w:p>
        </w:tc>
        <w:tc>
          <w:tcPr>
            <w:tcW w:w="1170" w:type="dxa"/>
            <w:tcBorders>
              <w:top w:val="nil"/>
              <w:left w:val="nil"/>
              <w:bottom w:val="nil"/>
              <w:right w:val="nil"/>
            </w:tcBorders>
            <w:shd w:val="clear" w:color="auto" w:fill="F2F2F2"/>
          </w:tcPr>
          <w:p w:rsidR="00387A07" w:rsidRPr="0065313A" w:rsidRDefault="00387A07" w:rsidP="00387A07">
            <w:pPr>
              <w:jc w:val="center"/>
              <w:rPr>
                <w:rFonts w:cs="Calibri"/>
              </w:rPr>
            </w:pPr>
            <w:r w:rsidRPr="0065313A">
              <w:rPr>
                <w:rFonts w:cs="Calibri"/>
              </w:rPr>
              <w:t>[99]</w:t>
            </w:r>
          </w:p>
        </w:tc>
      </w:tr>
      <w:tr w:rsidR="00387A07" w:rsidRPr="0065313A" w:rsidTr="00387A07">
        <w:tc>
          <w:tcPr>
            <w:tcW w:w="1384"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PCA</w:t>
            </w:r>
          </w:p>
        </w:tc>
        <w:tc>
          <w:tcPr>
            <w:tcW w:w="1843"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Ethanol/water</w:t>
            </w:r>
          </w:p>
        </w:tc>
        <w:tc>
          <w:tcPr>
            <w:tcW w:w="1701"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Water</w:t>
            </w:r>
          </w:p>
        </w:tc>
        <w:tc>
          <w:tcPr>
            <w:tcW w:w="2431"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w:t>
            </w:r>
          </w:p>
        </w:tc>
        <w:tc>
          <w:tcPr>
            <w:tcW w:w="1110"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150</w:t>
            </w:r>
          </w:p>
        </w:tc>
        <w:tc>
          <w:tcPr>
            <w:tcW w:w="1170" w:type="dxa"/>
            <w:tcBorders>
              <w:top w:val="nil"/>
              <w:left w:val="nil"/>
              <w:bottom w:val="nil"/>
              <w:right w:val="nil"/>
            </w:tcBorders>
            <w:shd w:val="clear" w:color="auto" w:fill="F2F2F2"/>
          </w:tcPr>
          <w:p w:rsidR="00387A07" w:rsidRPr="0065313A" w:rsidRDefault="00387A07" w:rsidP="00387A07">
            <w:pPr>
              <w:jc w:val="center"/>
              <w:rPr>
                <w:rFonts w:cs="Calibri"/>
              </w:rPr>
            </w:pPr>
            <w:r w:rsidRPr="0065313A">
              <w:rPr>
                <w:rFonts w:cs="Calibri"/>
              </w:rPr>
              <w:t>[100]</w:t>
            </w:r>
          </w:p>
        </w:tc>
      </w:tr>
      <w:tr w:rsidR="00387A07" w:rsidRPr="0065313A" w:rsidTr="00387A07">
        <w:tc>
          <w:tcPr>
            <w:tcW w:w="1384"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PLA</w:t>
            </w:r>
          </w:p>
        </w:tc>
        <w:tc>
          <w:tcPr>
            <w:tcW w:w="1843"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THF</w:t>
            </w:r>
          </w:p>
        </w:tc>
        <w:tc>
          <w:tcPr>
            <w:tcW w:w="1701"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Water</w:t>
            </w:r>
          </w:p>
        </w:tc>
        <w:tc>
          <w:tcPr>
            <w:tcW w:w="2431"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w:t>
            </w:r>
          </w:p>
        </w:tc>
        <w:tc>
          <w:tcPr>
            <w:tcW w:w="1110"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100-300</w:t>
            </w:r>
          </w:p>
        </w:tc>
        <w:tc>
          <w:tcPr>
            <w:tcW w:w="1170" w:type="dxa"/>
            <w:tcBorders>
              <w:top w:val="nil"/>
              <w:left w:val="nil"/>
              <w:bottom w:val="nil"/>
              <w:right w:val="nil"/>
            </w:tcBorders>
            <w:shd w:val="clear" w:color="auto" w:fill="F2F2F2"/>
          </w:tcPr>
          <w:p w:rsidR="00387A07" w:rsidRPr="0065313A" w:rsidRDefault="00387A07" w:rsidP="00387A07">
            <w:pPr>
              <w:jc w:val="center"/>
              <w:rPr>
                <w:rFonts w:cs="Calibri"/>
              </w:rPr>
            </w:pPr>
            <w:r w:rsidRPr="0065313A">
              <w:rPr>
                <w:rFonts w:cs="Calibri"/>
              </w:rPr>
              <w:t>[101]</w:t>
            </w:r>
          </w:p>
        </w:tc>
      </w:tr>
      <w:tr w:rsidR="00387A07" w:rsidRPr="0065313A" w:rsidTr="00387A07">
        <w:tc>
          <w:tcPr>
            <w:tcW w:w="1384"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PCL</w:t>
            </w:r>
          </w:p>
        </w:tc>
        <w:tc>
          <w:tcPr>
            <w:tcW w:w="1843"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Acetone</w:t>
            </w:r>
          </w:p>
        </w:tc>
        <w:tc>
          <w:tcPr>
            <w:tcW w:w="1701"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Water</w:t>
            </w:r>
          </w:p>
        </w:tc>
        <w:tc>
          <w:tcPr>
            <w:tcW w:w="2431"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Span 20</w:t>
            </w:r>
          </w:p>
        </w:tc>
        <w:tc>
          <w:tcPr>
            <w:tcW w:w="1110"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741-924</w:t>
            </w:r>
          </w:p>
        </w:tc>
        <w:tc>
          <w:tcPr>
            <w:tcW w:w="1170" w:type="dxa"/>
            <w:tcBorders>
              <w:top w:val="nil"/>
              <w:left w:val="nil"/>
              <w:bottom w:val="nil"/>
              <w:right w:val="nil"/>
            </w:tcBorders>
            <w:shd w:val="clear" w:color="auto" w:fill="F2F2F2"/>
          </w:tcPr>
          <w:p w:rsidR="00387A07" w:rsidRPr="0065313A" w:rsidRDefault="00387A07" w:rsidP="00387A07">
            <w:pPr>
              <w:jc w:val="center"/>
              <w:rPr>
                <w:rFonts w:cs="Calibri"/>
              </w:rPr>
            </w:pPr>
            <w:r w:rsidRPr="0065313A">
              <w:rPr>
                <w:rFonts w:cs="Calibri"/>
              </w:rPr>
              <w:t>[97]</w:t>
            </w:r>
          </w:p>
        </w:tc>
      </w:tr>
      <w:tr w:rsidR="00387A07" w:rsidRPr="0065313A" w:rsidTr="00387A07">
        <w:tc>
          <w:tcPr>
            <w:tcW w:w="1384"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PCL</w:t>
            </w:r>
          </w:p>
        </w:tc>
        <w:tc>
          <w:tcPr>
            <w:tcW w:w="1843"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Acetone</w:t>
            </w:r>
          </w:p>
        </w:tc>
        <w:tc>
          <w:tcPr>
            <w:tcW w:w="1701"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Water</w:t>
            </w:r>
          </w:p>
        </w:tc>
        <w:tc>
          <w:tcPr>
            <w:tcW w:w="2431"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Polysorbate 80</w:t>
            </w:r>
          </w:p>
        </w:tc>
        <w:tc>
          <w:tcPr>
            <w:tcW w:w="1110"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260</w:t>
            </w:r>
          </w:p>
        </w:tc>
        <w:tc>
          <w:tcPr>
            <w:tcW w:w="1170" w:type="dxa"/>
            <w:tcBorders>
              <w:top w:val="nil"/>
              <w:left w:val="nil"/>
              <w:bottom w:val="nil"/>
              <w:right w:val="nil"/>
            </w:tcBorders>
            <w:shd w:val="clear" w:color="auto" w:fill="F2F2F2"/>
          </w:tcPr>
          <w:p w:rsidR="00387A07" w:rsidRPr="0065313A" w:rsidRDefault="00387A07" w:rsidP="00387A07">
            <w:pPr>
              <w:jc w:val="center"/>
              <w:rPr>
                <w:rFonts w:cs="Calibri"/>
              </w:rPr>
            </w:pPr>
            <w:r w:rsidRPr="0065313A">
              <w:rPr>
                <w:rFonts w:cs="Calibri"/>
              </w:rPr>
              <w:t>[102]</w:t>
            </w:r>
          </w:p>
        </w:tc>
      </w:tr>
      <w:tr w:rsidR="00387A07" w:rsidRPr="0065313A" w:rsidTr="00387A07">
        <w:tc>
          <w:tcPr>
            <w:tcW w:w="1384"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PLA</w:t>
            </w:r>
          </w:p>
        </w:tc>
        <w:tc>
          <w:tcPr>
            <w:tcW w:w="1843"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Acetone</w:t>
            </w:r>
          </w:p>
        </w:tc>
        <w:tc>
          <w:tcPr>
            <w:tcW w:w="1701"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Water</w:t>
            </w:r>
          </w:p>
        </w:tc>
        <w:tc>
          <w:tcPr>
            <w:tcW w:w="2431"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Poloxamer 188</w:t>
            </w:r>
          </w:p>
        </w:tc>
        <w:tc>
          <w:tcPr>
            <w:tcW w:w="1110"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rPr>
              <w:t>250</w:t>
            </w:r>
          </w:p>
        </w:tc>
        <w:tc>
          <w:tcPr>
            <w:tcW w:w="1170" w:type="dxa"/>
            <w:tcBorders>
              <w:top w:val="nil"/>
              <w:left w:val="nil"/>
              <w:bottom w:val="nil"/>
              <w:right w:val="nil"/>
            </w:tcBorders>
            <w:shd w:val="clear" w:color="auto" w:fill="F2F2F2"/>
          </w:tcPr>
          <w:p w:rsidR="00387A07" w:rsidRPr="0065313A" w:rsidRDefault="00387A07" w:rsidP="00387A07">
            <w:pPr>
              <w:jc w:val="center"/>
              <w:rPr>
                <w:rFonts w:cs="Calibri"/>
              </w:rPr>
            </w:pPr>
            <w:r w:rsidRPr="0065313A">
              <w:rPr>
                <w:rFonts w:cs="Calibri"/>
              </w:rPr>
              <w:t>[103]</w:t>
            </w:r>
          </w:p>
        </w:tc>
      </w:tr>
      <w:tr w:rsidR="00387A07" w:rsidRPr="0065313A" w:rsidTr="00387A07">
        <w:tc>
          <w:tcPr>
            <w:tcW w:w="1384" w:type="dxa"/>
            <w:tcBorders>
              <w:top w:val="nil"/>
              <w:left w:val="nil"/>
              <w:bottom w:val="single" w:sz="4" w:space="0" w:color="auto"/>
              <w:right w:val="nil"/>
            </w:tcBorders>
            <w:shd w:val="clear" w:color="auto" w:fill="F2F2F2"/>
          </w:tcPr>
          <w:p w:rsidR="00387A07" w:rsidRPr="0065313A" w:rsidRDefault="00387A07" w:rsidP="00387A07">
            <w:pPr>
              <w:rPr>
                <w:rFonts w:cs="Calibri"/>
              </w:rPr>
            </w:pPr>
            <w:r w:rsidRPr="0065313A">
              <w:rPr>
                <w:rFonts w:cs="Calibri"/>
              </w:rPr>
              <w:t>PCL</w:t>
            </w:r>
          </w:p>
        </w:tc>
        <w:tc>
          <w:tcPr>
            <w:tcW w:w="1843" w:type="dxa"/>
            <w:tcBorders>
              <w:top w:val="nil"/>
              <w:left w:val="nil"/>
              <w:bottom w:val="single" w:sz="4" w:space="0" w:color="000000"/>
              <w:right w:val="nil"/>
            </w:tcBorders>
            <w:shd w:val="clear" w:color="auto" w:fill="F2F2F2"/>
          </w:tcPr>
          <w:p w:rsidR="00387A07" w:rsidRPr="0065313A" w:rsidRDefault="00387A07" w:rsidP="00387A07">
            <w:pPr>
              <w:rPr>
                <w:rFonts w:cs="Calibri"/>
              </w:rPr>
            </w:pPr>
            <w:r w:rsidRPr="0065313A">
              <w:rPr>
                <w:rFonts w:cs="Calibri"/>
              </w:rPr>
              <w:t>Acetone</w:t>
            </w:r>
          </w:p>
        </w:tc>
        <w:tc>
          <w:tcPr>
            <w:tcW w:w="1701" w:type="dxa"/>
            <w:tcBorders>
              <w:top w:val="nil"/>
              <w:left w:val="nil"/>
              <w:bottom w:val="single" w:sz="4" w:space="0" w:color="000000"/>
              <w:right w:val="nil"/>
            </w:tcBorders>
            <w:shd w:val="clear" w:color="auto" w:fill="F2F2F2"/>
          </w:tcPr>
          <w:p w:rsidR="00387A07" w:rsidRPr="0065313A" w:rsidRDefault="00387A07" w:rsidP="00387A07">
            <w:pPr>
              <w:rPr>
                <w:rFonts w:cs="Calibri"/>
              </w:rPr>
            </w:pPr>
            <w:r w:rsidRPr="0065313A">
              <w:rPr>
                <w:rFonts w:cs="Calibri"/>
              </w:rPr>
              <w:t>Water</w:t>
            </w:r>
          </w:p>
        </w:tc>
        <w:tc>
          <w:tcPr>
            <w:tcW w:w="2431" w:type="dxa"/>
            <w:tcBorders>
              <w:top w:val="nil"/>
              <w:left w:val="nil"/>
              <w:bottom w:val="single" w:sz="4" w:space="0" w:color="000000"/>
              <w:right w:val="nil"/>
            </w:tcBorders>
            <w:shd w:val="clear" w:color="auto" w:fill="F2F2F2"/>
          </w:tcPr>
          <w:p w:rsidR="00387A07" w:rsidRPr="0065313A" w:rsidRDefault="00387A07" w:rsidP="00387A07">
            <w:pPr>
              <w:rPr>
                <w:rFonts w:cs="Calibri"/>
              </w:rPr>
            </w:pPr>
            <w:r w:rsidRPr="0065313A">
              <w:rPr>
                <w:rFonts w:cs="Calibri"/>
              </w:rPr>
              <w:t>Pluronic F68</w:t>
            </w:r>
          </w:p>
        </w:tc>
        <w:tc>
          <w:tcPr>
            <w:tcW w:w="1110" w:type="dxa"/>
            <w:tcBorders>
              <w:top w:val="nil"/>
              <w:left w:val="nil"/>
              <w:bottom w:val="single" w:sz="4" w:space="0" w:color="000000"/>
              <w:right w:val="nil"/>
            </w:tcBorders>
            <w:shd w:val="clear" w:color="auto" w:fill="F2F2F2"/>
          </w:tcPr>
          <w:p w:rsidR="00387A07" w:rsidRPr="0065313A" w:rsidRDefault="00387A07" w:rsidP="00387A07">
            <w:pPr>
              <w:rPr>
                <w:rFonts w:cs="Calibri"/>
              </w:rPr>
            </w:pPr>
            <w:r w:rsidRPr="0065313A">
              <w:rPr>
                <w:rFonts w:cs="Calibri"/>
              </w:rPr>
              <w:t>300</w:t>
            </w:r>
          </w:p>
        </w:tc>
        <w:tc>
          <w:tcPr>
            <w:tcW w:w="1170" w:type="dxa"/>
            <w:tcBorders>
              <w:top w:val="nil"/>
              <w:left w:val="nil"/>
              <w:bottom w:val="single" w:sz="4" w:space="0" w:color="000000"/>
              <w:right w:val="nil"/>
            </w:tcBorders>
            <w:shd w:val="clear" w:color="auto" w:fill="F2F2F2"/>
          </w:tcPr>
          <w:p w:rsidR="00387A07" w:rsidRPr="0065313A" w:rsidRDefault="00387A07" w:rsidP="00387A07">
            <w:pPr>
              <w:jc w:val="center"/>
              <w:rPr>
                <w:rFonts w:cs="Calibri"/>
              </w:rPr>
            </w:pPr>
            <w:r w:rsidRPr="0065313A">
              <w:rPr>
                <w:rFonts w:cs="Calibri"/>
              </w:rPr>
              <w:t>[104]</w:t>
            </w:r>
          </w:p>
        </w:tc>
      </w:tr>
    </w:tbl>
    <w:p w:rsidR="00387A07" w:rsidRPr="009925A1" w:rsidRDefault="00387A07" w:rsidP="009925A1">
      <w:pPr>
        <w:pStyle w:val="Didascalia"/>
        <w:rPr>
          <w:rFonts w:ascii="Arial" w:hAnsi="Arial" w:cs="Arial"/>
          <w:sz w:val="24"/>
          <w:szCs w:val="24"/>
          <w:lang w:val="en-US"/>
        </w:rPr>
      </w:pPr>
      <w:r w:rsidRPr="0065313A">
        <w:t xml:space="preserve">Table 1. </w:t>
      </w:r>
      <w:fldSimple w:instr=" SEQ Table_1. \* ARABIC ">
        <w:r w:rsidRPr="0065313A">
          <w:rPr>
            <w:noProof/>
          </w:rPr>
          <w:t>4</w:t>
        </w:r>
      </w:fldSimple>
      <w:r w:rsidRPr="0065313A">
        <w:t xml:space="preserve"> Principal characteristics of different nanoparticles prepared by the Solvent Displacement method.</w:t>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lastRenderedPageBreak/>
        <w:t xml:space="preserve">1.3.2.4 Salting out </w:t>
      </w:r>
    </w:p>
    <w:p w:rsidR="00387A07" w:rsidRPr="0065313A" w:rsidRDefault="00387A07" w:rsidP="00387A07">
      <w:pPr>
        <w:spacing w:after="0" w:line="360" w:lineRule="auto"/>
        <w:jc w:val="center"/>
        <w:rPr>
          <w:rFonts w:ascii="Arial" w:hAnsi="Arial" w:cs="Arial"/>
          <w:b/>
          <w:sz w:val="24"/>
          <w:szCs w:val="24"/>
          <w:lang w:val="en-US"/>
        </w:rPr>
      </w:pPr>
      <w:r w:rsidRPr="0065313A">
        <w:rPr>
          <w:rFonts w:ascii="Arial" w:hAnsi="Arial" w:cs="Arial"/>
          <w:b/>
          <w:noProof/>
          <w:sz w:val="24"/>
          <w:szCs w:val="24"/>
          <w:lang w:val="it-IT" w:eastAsia="it-IT"/>
        </w:rPr>
        <w:drawing>
          <wp:inline distT="0" distB="0" distL="0" distR="0">
            <wp:extent cx="4114800" cy="1895475"/>
            <wp:effectExtent l="19050" t="0" r="0" b="0"/>
            <wp:docPr id="38"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pic:cNvPicPr>
                      <a:picLocks noChangeAspect="1" noChangeArrowheads="1"/>
                    </pic:cNvPicPr>
                  </pic:nvPicPr>
                  <pic:blipFill>
                    <a:blip r:embed="rId16"/>
                    <a:srcRect/>
                    <a:stretch>
                      <a:fillRect/>
                    </a:stretch>
                  </pic:blipFill>
                  <pic:spPr bwMode="auto">
                    <a:xfrm>
                      <a:off x="0" y="0"/>
                      <a:ext cx="4114800" cy="1895475"/>
                    </a:xfrm>
                    <a:prstGeom prst="rect">
                      <a:avLst/>
                    </a:prstGeom>
                    <a:noFill/>
                    <a:ln w="9525">
                      <a:noFill/>
                      <a:miter lim="800000"/>
                      <a:headEnd/>
                      <a:tailEnd/>
                    </a:ln>
                  </pic:spPr>
                </pic:pic>
              </a:graphicData>
            </a:graphic>
          </wp:inline>
        </w:drawing>
      </w:r>
    </w:p>
    <w:p w:rsidR="00387A07" w:rsidRPr="0065313A" w:rsidRDefault="00387A07" w:rsidP="00387A07">
      <w:pPr>
        <w:pStyle w:val="Didascalia"/>
        <w:spacing w:after="120"/>
        <w:rPr>
          <w:rFonts w:ascii="Arial" w:hAnsi="Arial" w:cs="Arial"/>
          <w:sz w:val="24"/>
          <w:szCs w:val="24"/>
          <w:lang w:val="en-US"/>
        </w:rPr>
      </w:pPr>
      <w:r w:rsidRPr="0065313A">
        <w:t xml:space="preserve">Figure 1. </w:t>
      </w:r>
      <w:fldSimple w:instr=" SEQ Figure_1. \* ARABIC ">
        <w:r w:rsidRPr="0065313A">
          <w:rPr>
            <w:noProof/>
          </w:rPr>
          <w:t>7</w:t>
        </w:r>
      </w:fldSimple>
      <w:r w:rsidRPr="0065313A">
        <w:t xml:space="preserve"> Schematic representation of the salting out method [46].</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The salting out method is based on the separation of a water miscible solvent from aqueous solution via a salting out effect [46] and avoids the use of surfactant and chlorinated solvents. Generally the polymer and drug are dissolved in a totally water-miscible solvent (i.e. acetone) and added to a solution of water, containing a salting out agent (magnesium chloride, calcium chloride or sucrose). An Oil in Water emulsion is then formed by homogenization and diluted with a sufficient volume of water to decrease salt concentration and enhance the diffusion of the solvent into the aqueous phase, thus inducing the formation of nanospheres. </w:t>
      </w:r>
    </w:p>
    <w:p w:rsidR="00387A07" w:rsidRPr="0065313A" w:rsidRDefault="00387A07" w:rsidP="00387A07">
      <w:pPr>
        <w:spacing w:after="120" w:line="360" w:lineRule="auto"/>
        <w:jc w:val="both"/>
        <w:rPr>
          <w:rFonts w:ascii="Arial" w:hAnsi="Arial" w:cs="Arial"/>
          <w:sz w:val="24"/>
          <w:szCs w:val="24"/>
          <w:lang w:val="en-US"/>
        </w:rPr>
      </w:pPr>
      <w:r w:rsidRPr="0065313A">
        <w:rPr>
          <w:rFonts w:ascii="Arial" w:hAnsi="Arial" w:cs="Arial"/>
          <w:sz w:val="24"/>
          <w:szCs w:val="24"/>
          <w:lang w:val="en-US"/>
        </w:rPr>
        <w:t xml:space="preserve">The most important parameter affecting nanoparticles size is the choice of the salting out agent (table 1.5).    </w:t>
      </w:r>
    </w:p>
    <w:tbl>
      <w:tblPr>
        <w:tblW w:w="0" w:type="auto"/>
        <w:jc w:val="center"/>
        <w:tblLayout w:type="fixed"/>
        <w:tblLook w:val="00A0"/>
      </w:tblPr>
      <w:tblGrid>
        <w:gridCol w:w="1375"/>
        <w:gridCol w:w="1912"/>
        <w:gridCol w:w="2350"/>
        <w:gridCol w:w="1275"/>
        <w:gridCol w:w="1560"/>
      </w:tblGrid>
      <w:tr w:rsidR="00387A07" w:rsidRPr="0065313A" w:rsidTr="00387A07">
        <w:trPr>
          <w:jc w:val="center"/>
        </w:trPr>
        <w:tc>
          <w:tcPr>
            <w:tcW w:w="1375"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Polymer</w:t>
            </w:r>
          </w:p>
        </w:tc>
        <w:tc>
          <w:tcPr>
            <w:tcW w:w="1912"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Salting-out agent</w:t>
            </w:r>
          </w:p>
        </w:tc>
        <w:tc>
          <w:tcPr>
            <w:tcW w:w="2350"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Organic Solvent</w:t>
            </w:r>
          </w:p>
        </w:tc>
        <w:tc>
          <w:tcPr>
            <w:tcW w:w="1275"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Size</w:t>
            </w:r>
          </w:p>
        </w:tc>
        <w:tc>
          <w:tcPr>
            <w:tcW w:w="1560" w:type="dxa"/>
            <w:tcBorders>
              <w:left w:val="nil"/>
              <w:bottom w:val="single" w:sz="4" w:space="0" w:color="000000"/>
              <w:right w:val="nil"/>
            </w:tcBorders>
            <w:shd w:val="clear" w:color="auto" w:fill="F2F2F2"/>
          </w:tcPr>
          <w:p w:rsidR="00387A07" w:rsidRPr="0065313A" w:rsidRDefault="00387A07" w:rsidP="00387A07">
            <w:pPr>
              <w:jc w:val="center"/>
              <w:rPr>
                <w:b/>
              </w:rPr>
            </w:pPr>
            <w:r w:rsidRPr="0065313A">
              <w:rPr>
                <w:b/>
              </w:rPr>
              <w:t>Reference</w:t>
            </w:r>
          </w:p>
        </w:tc>
      </w:tr>
      <w:tr w:rsidR="00387A07" w:rsidRPr="0065313A" w:rsidTr="00387A07">
        <w:trPr>
          <w:jc w:val="center"/>
        </w:trPr>
        <w:tc>
          <w:tcPr>
            <w:tcW w:w="1375" w:type="dxa"/>
            <w:tcBorders>
              <w:left w:val="nil"/>
              <w:bottom w:val="nil"/>
              <w:right w:val="nil"/>
            </w:tcBorders>
            <w:shd w:val="clear" w:color="auto" w:fill="F2F2F2"/>
          </w:tcPr>
          <w:p w:rsidR="00387A07" w:rsidRPr="0065313A" w:rsidRDefault="00387A07" w:rsidP="00387A07">
            <w:r w:rsidRPr="0065313A">
              <w:t>PDLLA</w:t>
            </w:r>
          </w:p>
        </w:tc>
        <w:tc>
          <w:tcPr>
            <w:tcW w:w="1912" w:type="dxa"/>
            <w:tcBorders>
              <w:left w:val="nil"/>
              <w:bottom w:val="nil"/>
              <w:right w:val="nil"/>
            </w:tcBorders>
            <w:shd w:val="clear" w:color="auto" w:fill="F2F2F2"/>
          </w:tcPr>
          <w:p w:rsidR="00387A07" w:rsidRPr="0065313A" w:rsidRDefault="00387A07" w:rsidP="00387A07">
            <w:r w:rsidRPr="0065313A">
              <w:t>Mg(CH</w:t>
            </w:r>
            <w:r w:rsidRPr="0065313A">
              <w:rPr>
                <w:vertAlign w:val="subscript"/>
              </w:rPr>
              <w:t>3</w:t>
            </w:r>
            <w:r w:rsidRPr="0065313A">
              <w:t>COO)</w:t>
            </w:r>
            <w:r w:rsidRPr="0065313A">
              <w:rPr>
                <w:vertAlign w:val="subscript"/>
              </w:rPr>
              <w:t>2</w:t>
            </w:r>
            <w:r w:rsidRPr="0065313A">
              <w:t>4H</w:t>
            </w:r>
            <w:r w:rsidRPr="0065313A">
              <w:rPr>
                <w:vertAlign w:val="subscript"/>
              </w:rPr>
              <w:t>2</w:t>
            </w:r>
            <w:r w:rsidRPr="0065313A">
              <w:t>O</w:t>
            </w:r>
          </w:p>
        </w:tc>
        <w:tc>
          <w:tcPr>
            <w:tcW w:w="2350" w:type="dxa"/>
            <w:tcBorders>
              <w:left w:val="nil"/>
              <w:bottom w:val="nil"/>
              <w:right w:val="nil"/>
            </w:tcBorders>
            <w:shd w:val="clear" w:color="auto" w:fill="F2F2F2"/>
          </w:tcPr>
          <w:p w:rsidR="00387A07" w:rsidRPr="0065313A" w:rsidRDefault="00387A07" w:rsidP="00387A07">
            <w:r w:rsidRPr="0065313A">
              <w:t>Acetone</w:t>
            </w:r>
          </w:p>
        </w:tc>
        <w:tc>
          <w:tcPr>
            <w:tcW w:w="1275" w:type="dxa"/>
            <w:tcBorders>
              <w:left w:val="nil"/>
              <w:bottom w:val="nil"/>
              <w:right w:val="nil"/>
            </w:tcBorders>
            <w:shd w:val="clear" w:color="auto" w:fill="F2F2F2"/>
          </w:tcPr>
          <w:p w:rsidR="00387A07" w:rsidRPr="0065313A" w:rsidRDefault="00387A07" w:rsidP="00387A07">
            <w:r w:rsidRPr="0065313A">
              <w:t>295</w:t>
            </w:r>
          </w:p>
        </w:tc>
        <w:tc>
          <w:tcPr>
            <w:tcW w:w="1560" w:type="dxa"/>
            <w:tcBorders>
              <w:left w:val="nil"/>
              <w:bottom w:val="nil"/>
              <w:right w:val="nil"/>
            </w:tcBorders>
            <w:shd w:val="clear" w:color="auto" w:fill="F2F2F2"/>
          </w:tcPr>
          <w:p w:rsidR="00387A07" w:rsidRPr="0065313A" w:rsidRDefault="00387A07" w:rsidP="00387A07">
            <w:pPr>
              <w:jc w:val="center"/>
            </w:pPr>
            <w:r w:rsidRPr="0065313A">
              <w:t>[105]</w:t>
            </w:r>
          </w:p>
        </w:tc>
      </w:tr>
      <w:tr w:rsidR="00387A07" w:rsidRPr="0065313A" w:rsidTr="00387A07">
        <w:trPr>
          <w:jc w:val="center"/>
        </w:trPr>
        <w:tc>
          <w:tcPr>
            <w:tcW w:w="1375" w:type="dxa"/>
            <w:tcBorders>
              <w:top w:val="nil"/>
              <w:left w:val="nil"/>
              <w:bottom w:val="nil"/>
              <w:right w:val="nil"/>
            </w:tcBorders>
            <w:shd w:val="clear" w:color="auto" w:fill="F2F2F2"/>
          </w:tcPr>
          <w:p w:rsidR="00387A07" w:rsidRPr="0065313A" w:rsidRDefault="00387A07" w:rsidP="00387A07">
            <w:r w:rsidRPr="0065313A">
              <w:t>PLGA</w:t>
            </w:r>
          </w:p>
        </w:tc>
        <w:tc>
          <w:tcPr>
            <w:tcW w:w="1912" w:type="dxa"/>
            <w:tcBorders>
              <w:top w:val="nil"/>
              <w:left w:val="nil"/>
              <w:bottom w:val="nil"/>
              <w:right w:val="nil"/>
            </w:tcBorders>
            <w:shd w:val="clear" w:color="auto" w:fill="F2F2F2"/>
          </w:tcPr>
          <w:p w:rsidR="00387A07" w:rsidRPr="0065313A" w:rsidRDefault="00387A07" w:rsidP="00387A07">
            <w:r w:rsidRPr="0065313A">
              <w:t>MgCl</w:t>
            </w:r>
            <w:r w:rsidRPr="0065313A">
              <w:rPr>
                <w:vertAlign w:val="subscript"/>
              </w:rPr>
              <w:t>2</w:t>
            </w:r>
            <w:r w:rsidRPr="0065313A">
              <w:t>6H</w:t>
            </w:r>
            <w:r w:rsidRPr="0065313A">
              <w:rPr>
                <w:vertAlign w:val="subscript"/>
              </w:rPr>
              <w:t>2</w:t>
            </w:r>
            <w:r w:rsidRPr="0065313A">
              <w:t>O</w:t>
            </w:r>
          </w:p>
        </w:tc>
        <w:tc>
          <w:tcPr>
            <w:tcW w:w="2350" w:type="dxa"/>
            <w:tcBorders>
              <w:top w:val="nil"/>
              <w:left w:val="nil"/>
              <w:bottom w:val="nil"/>
              <w:right w:val="nil"/>
            </w:tcBorders>
            <w:shd w:val="clear" w:color="auto" w:fill="F2F2F2"/>
          </w:tcPr>
          <w:p w:rsidR="00387A07" w:rsidRPr="0065313A" w:rsidRDefault="00387A07" w:rsidP="00387A07">
            <w:r w:rsidRPr="0065313A">
              <w:t>THF</w:t>
            </w:r>
          </w:p>
        </w:tc>
        <w:tc>
          <w:tcPr>
            <w:tcW w:w="1275" w:type="dxa"/>
            <w:tcBorders>
              <w:top w:val="nil"/>
              <w:left w:val="nil"/>
              <w:bottom w:val="nil"/>
              <w:right w:val="nil"/>
            </w:tcBorders>
            <w:shd w:val="clear" w:color="auto" w:fill="F2F2F2"/>
          </w:tcPr>
          <w:p w:rsidR="00387A07" w:rsidRPr="0065313A" w:rsidRDefault="00387A07" w:rsidP="00387A07">
            <w:r w:rsidRPr="0065313A">
              <w:t>&gt;200</w:t>
            </w:r>
          </w:p>
        </w:tc>
        <w:tc>
          <w:tcPr>
            <w:tcW w:w="1560" w:type="dxa"/>
            <w:tcBorders>
              <w:top w:val="nil"/>
              <w:left w:val="nil"/>
              <w:bottom w:val="nil"/>
              <w:right w:val="nil"/>
            </w:tcBorders>
            <w:shd w:val="clear" w:color="auto" w:fill="F2F2F2"/>
          </w:tcPr>
          <w:p w:rsidR="00387A07" w:rsidRPr="0065313A" w:rsidRDefault="00387A07" w:rsidP="00387A07">
            <w:pPr>
              <w:jc w:val="center"/>
            </w:pPr>
            <w:r w:rsidRPr="0065313A">
              <w:t>[106]</w:t>
            </w:r>
          </w:p>
        </w:tc>
      </w:tr>
      <w:tr w:rsidR="00387A07" w:rsidRPr="0065313A" w:rsidTr="00387A07">
        <w:trPr>
          <w:jc w:val="center"/>
        </w:trPr>
        <w:tc>
          <w:tcPr>
            <w:tcW w:w="1375" w:type="dxa"/>
            <w:tcBorders>
              <w:top w:val="nil"/>
              <w:left w:val="nil"/>
              <w:bottom w:val="nil"/>
              <w:right w:val="nil"/>
            </w:tcBorders>
            <w:shd w:val="clear" w:color="auto" w:fill="F2F2F2"/>
          </w:tcPr>
          <w:p w:rsidR="00387A07" w:rsidRPr="0065313A" w:rsidRDefault="00387A07" w:rsidP="00387A07">
            <w:r w:rsidRPr="0065313A">
              <w:t>PLGA</w:t>
            </w:r>
          </w:p>
        </w:tc>
        <w:tc>
          <w:tcPr>
            <w:tcW w:w="1912" w:type="dxa"/>
            <w:tcBorders>
              <w:top w:val="nil"/>
              <w:left w:val="nil"/>
              <w:bottom w:val="nil"/>
              <w:right w:val="nil"/>
            </w:tcBorders>
            <w:shd w:val="clear" w:color="auto" w:fill="F2F2F2"/>
          </w:tcPr>
          <w:p w:rsidR="00387A07" w:rsidRPr="0065313A" w:rsidRDefault="00387A07" w:rsidP="00387A07">
            <w:pPr>
              <w:rPr>
                <w:vertAlign w:val="subscript"/>
              </w:rPr>
            </w:pPr>
            <w:r w:rsidRPr="0065313A">
              <w:t>CaCl</w:t>
            </w:r>
            <w:r w:rsidRPr="0065313A">
              <w:rPr>
                <w:vertAlign w:val="subscript"/>
              </w:rPr>
              <w:t>2</w:t>
            </w:r>
          </w:p>
        </w:tc>
        <w:tc>
          <w:tcPr>
            <w:tcW w:w="2350" w:type="dxa"/>
            <w:tcBorders>
              <w:top w:val="nil"/>
              <w:left w:val="nil"/>
              <w:bottom w:val="nil"/>
              <w:right w:val="nil"/>
            </w:tcBorders>
            <w:shd w:val="clear" w:color="auto" w:fill="F2F2F2"/>
          </w:tcPr>
          <w:p w:rsidR="00387A07" w:rsidRPr="0065313A" w:rsidRDefault="00387A07" w:rsidP="00387A07">
            <w:r w:rsidRPr="0065313A">
              <w:t>Acetonitrile</w:t>
            </w:r>
          </w:p>
        </w:tc>
        <w:tc>
          <w:tcPr>
            <w:tcW w:w="1275" w:type="dxa"/>
            <w:tcBorders>
              <w:top w:val="nil"/>
              <w:left w:val="nil"/>
              <w:bottom w:val="nil"/>
              <w:right w:val="nil"/>
            </w:tcBorders>
            <w:shd w:val="clear" w:color="auto" w:fill="F2F2F2"/>
          </w:tcPr>
          <w:p w:rsidR="00387A07" w:rsidRPr="0065313A" w:rsidRDefault="00387A07" w:rsidP="00387A07">
            <w:r w:rsidRPr="0065313A">
              <w:t>480</w:t>
            </w:r>
          </w:p>
        </w:tc>
        <w:tc>
          <w:tcPr>
            <w:tcW w:w="1560" w:type="dxa"/>
            <w:tcBorders>
              <w:top w:val="nil"/>
              <w:left w:val="nil"/>
              <w:bottom w:val="nil"/>
              <w:right w:val="nil"/>
            </w:tcBorders>
            <w:shd w:val="clear" w:color="auto" w:fill="F2F2F2"/>
          </w:tcPr>
          <w:p w:rsidR="00387A07" w:rsidRPr="0065313A" w:rsidRDefault="00387A07" w:rsidP="00387A07">
            <w:pPr>
              <w:jc w:val="center"/>
            </w:pPr>
            <w:r w:rsidRPr="0065313A">
              <w:t>[107]</w:t>
            </w:r>
          </w:p>
        </w:tc>
      </w:tr>
      <w:tr w:rsidR="00387A07" w:rsidRPr="0065313A" w:rsidTr="00387A07">
        <w:trPr>
          <w:jc w:val="center"/>
        </w:trPr>
        <w:tc>
          <w:tcPr>
            <w:tcW w:w="1375" w:type="dxa"/>
            <w:tcBorders>
              <w:top w:val="nil"/>
              <w:left w:val="nil"/>
              <w:bottom w:val="nil"/>
              <w:right w:val="nil"/>
            </w:tcBorders>
            <w:shd w:val="clear" w:color="auto" w:fill="F2F2F2"/>
          </w:tcPr>
          <w:p w:rsidR="00387A07" w:rsidRPr="0065313A" w:rsidRDefault="00387A07" w:rsidP="00387A07">
            <w:r w:rsidRPr="0065313A">
              <w:t>PDLLA</w:t>
            </w:r>
          </w:p>
        </w:tc>
        <w:tc>
          <w:tcPr>
            <w:tcW w:w="1912" w:type="dxa"/>
            <w:tcBorders>
              <w:top w:val="nil"/>
              <w:left w:val="nil"/>
              <w:bottom w:val="nil"/>
              <w:right w:val="nil"/>
            </w:tcBorders>
            <w:shd w:val="clear" w:color="auto" w:fill="F2F2F2"/>
          </w:tcPr>
          <w:p w:rsidR="00387A07" w:rsidRPr="0065313A" w:rsidRDefault="00387A07" w:rsidP="00387A07">
            <w:r w:rsidRPr="0065313A">
              <w:t>MgCl</w:t>
            </w:r>
            <w:r w:rsidRPr="0065313A">
              <w:rPr>
                <w:vertAlign w:val="subscript"/>
              </w:rPr>
              <w:t>2</w:t>
            </w:r>
            <w:r w:rsidRPr="0065313A">
              <w:t>6H</w:t>
            </w:r>
            <w:r w:rsidRPr="0065313A">
              <w:rPr>
                <w:vertAlign w:val="subscript"/>
              </w:rPr>
              <w:t>2</w:t>
            </w:r>
            <w:r w:rsidRPr="0065313A">
              <w:t>O</w:t>
            </w:r>
          </w:p>
        </w:tc>
        <w:tc>
          <w:tcPr>
            <w:tcW w:w="2350" w:type="dxa"/>
            <w:tcBorders>
              <w:top w:val="nil"/>
              <w:left w:val="nil"/>
              <w:bottom w:val="nil"/>
              <w:right w:val="nil"/>
            </w:tcBorders>
            <w:shd w:val="clear" w:color="auto" w:fill="F2F2F2"/>
          </w:tcPr>
          <w:p w:rsidR="00387A07" w:rsidRPr="0065313A" w:rsidRDefault="00387A07" w:rsidP="00387A07">
            <w:r w:rsidRPr="0065313A">
              <w:t>Acetone/Ethyl acetate</w:t>
            </w:r>
          </w:p>
        </w:tc>
        <w:tc>
          <w:tcPr>
            <w:tcW w:w="1275" w:type="dxa"/>
            <w:tcBorders>
              <w:top w:val="nil"/>
              <w:left w:val="nil"/>
              <w:bottom w:val="nil"/>
              <w:right w:val="nil"/>
            </w:tcBorders>
            <w:shd w:val="clear" w:color="auto" w:fill="F2F2F2"/>
          </w:tcPr>
          <w:p w:rsidR="00387A07" w:rsidRPr="0065313A" w:rsidRDefault="00387A07" w:rsidP="00387A07">
            <w:r w:rsidRPr="0065313A">
              <w:t>100-400</w:t>
            </w:r>
          </w:p>
        </w:tc>
        <w:tc>
          <w:tcPr>
            <w:tcW w:w="1560" w:type="dxa"/>
            <w:tcBorders>
              <w:top w:val="nil"/>
              <w:left w:val="nil"/>
              <w:bottom w:val="nil"/>
              <w:right w:val="nil"/>
            </w:tcBorders>
            <w:shd w:val="clear" w:color="auto" w:fill="F2F2F2"/>
          </w:tcPr>
          <w:p w:rsidR="00387A07" w:rsidRPr="0065313A" w:rsidRDefault="00387A07" w:rsidP="00387A07">
            <w:pPr>
              <w:jc w:val="center"/>
            </w:pPr>
            <w:r w:rsidRPr="0065313A">
              <w:t>[108]</w:t>
            </w:r>
          </w:p>
        </w:tc>
      </w:tr>
      <w:tr w:rsidR="00387A07" w:rsidRPr="0065313A" w:rsidTr="00387A07">
        <w:trPr>
          <w:jc w:val="center"/>
        </w:trPr>
        <w:tc>
          <w:tcPr>
            <w:tcW w:w="1375" w:type="dxa"/>
            <w:tcBorders>
              <w:top w:val="nil"/>
              <w:left w:val="nil"/>
              <w:bottom w:val="nil"/>
              <w:right w:val="nil"/>
            </w:tcBorders>
            <w:shd w:val="clear" w:color="auto" w:fill="F2F2F2"/>
          </w:tcPr>
          <w:p w:rsidR="00387A07" w:rsidRPr="0065313A" w:rsidRDefault="00387A07" w:rsidP="00387A07">
            <w:r w:rsidRPr="0065313A">
              <w:t>PDLLA</w:t>
            </w:r>
          </w:p>
        </w:tc>
        <w:tc>
          <w:tcPr>
            <w:tcW w:w="1912" w:type="dxa"/>
            <w:tcBorders>
              <w:top w:val="nil"/>
              <w:left w:val="nil"/>
              <w:bottom w:val="nil"/>
              <w:right w:val="nil"/>
            </w:tcBorders>
            <w:shd w:val="clear" w:color="auto" w:fill="F2F2F2"/>
          </w:tcPr>
          <w:p w:rsidR="00387A07" w:rsidRPr="0065313A" w:rsidRDefault="00387A07" w:rsidP="00387A07">
            <w:r w:rsidRPr="0065313A">
              <w:t>MgCl</w:t>
            </w:r>
            <w:r w:rsidRPr="0065313A">
              <w:rPr>
                <w:vertAlign w:val="subscript"/>
              </w:rPr>
              <w:t>2</w:t>
            </w:r>
            <w:r w:rsidRPr="0065313A">
              <w:t>6H</w:t>
            </w:r>
            <w:r w:rsidRPr="0065313A">
              <w:rPr>
                <w:vertAlign w:val="subscript"/>
              </w:rPr>
              <w:t>2</w:t>
            </w:r>
            <w:r w:rsidRPr="0065313A">
              <w:t>O</w:t>
            </w:r>
          </w:p>
        </w:tc>
        <w:tc>
          <w:tcPr>
            <w:tcW w:w="2350" w:type="dxa"/>
            <w:tcBorders>
              <w:top w:val="nil"/>
              <w:left w:val="nil"/>
              <w:bottom w:val="nil"/>
              <w:right w:val="nil"/>
            </w:tcBorders>
            <w:shd w:val="clear" w:color="auto" w:fill="F2F2F2"/>
          </w:tcPr>
          <w:p w:rsidR="00387A07" w:rsidRPr="0065313A" w:rsidRDefault="00387A07" w:rsidP="00387A07">
            <w:r w:rsidRPr="0065313A">
              <w:t>Acetone</w:t>
            </w:r>
          </w:p>
        </w:tc>
        <w:tc>
          <w:tcPr>
            <w:tcW w:w="1275" w:type="dxa"/>
            <w:tcBorders>
              <w:top w:val="nil"/>
              <w:left w:val="nil"/>
              <w:bottom w:val="nil"/>
              <w:right w:val="nil"/>
            </w:tcBorders>
            <w:shd w:val="clear" w:color="auto" w:fill="F2F2F2"/>
          </w:tcPr>
          <w:p w:rsidR="00387A07" w:rsidRPr="0065313A" w:rsidRDefault="00387A07" w:rsidP="00387A07">
            <w:r w:rsidRPr="0065313A">
              <w:t>279</w:t>
            </w:r>
          </w:p>
        </w:tc>
        <w:tc>
          <w:tcPr>
            <w:tcW w:w="1560" w:type="dxa"/>
            <w:tcBorders>
              <w:top w:val="nil"/>
              <w:left w:val="nil"/>
              <w:bottom w:val="nil"/>
              <w:right w:val="nil"/>
            </w:tcBorders>
            <w:shd w:val="clear" w:color="auto" w:fill="F2F2F2"/>
          </w:tcPr>
          <w:p w:rsidR="00387A07" w:rsidRPr="0065313A" w:rsidRDefault="00387A07" w:rsidP="00387A07">
            <w:pPr>
              <w:jc w:val="center"/>
            </w:pPr>
            <w:r w:rsidRPr="0065313A">
              <w:t>[109]</w:t>
            </w:r>
          </w:p>
        </w:tc>
      </w:tr>
      <w:tr w:rsidR="00387A07" w:rsidRPr="0065313A" w:rsidTr="00387A07">
        <w:trPr>
          <w:jc w:val="center"/>
        </w:trPr>
        <w:tc>
          <w:tcPr>
            <w:tcW w:w="1375" w:type="dxa"/>
            <w:tcBorders>
              <w:top w:val="nil"/>
              <w:left w:val="nil"/>
              <w:bottom w:val="nil"/>
              <w:right w:val="nil"/>
            </w:tcBorders>
            <w:shd w:val="clear" w:color="auto" w:fill="F2F2F2"/>
          </w:tcPr>
          <w:p w:rsidR="00387A07" w:rsidRPr="0065313A" w:rsidRDefault="00387A07" w:rsidP="00387A07">
            <w:r w:rsidRPr="0065313A">
              <w:t>PDLLA</w:t>
            </w:r>
          </w:p>
        </w:tc>
        <w:tc>
          <w:tcPr>
            <w:tcW w:w="1912" w:type="dxa"/>
            <w:tcBorders>
              <w:top w:val="nil"/>
              <w:left w:val="nil"/>
              <w:bottom w:val="nil"/>
              <w:right w:val="nil"/>
            </w:tcBorders>
            <w:shd w:val="clear" w:color="auto" w:fill="F2F2F2"/>
          </w:tcPr>
          <w:p w:rsidR="00387A07" w:rsidRPr="0065313A" w:rsidRDefault="00387A07" w:rsidP="00387A07">
            <w:r w:rsidRPr="0065313A">
              <w:t>MgCl</w:t>
            </w:r>
            <w:r w:rsidRPr="0065313A">
              <w:rPr>
                <w:vertAlign w:val="subscript"/>
              </w:rPr>
              <w:t>2</w:t>
            </w:r>
            <w:r w:rsidRPr="0065313A">
              <w:t>6H</w:t>
            </w:r>
            <w:r w:rsidRPr="0065313A">
              <w:rPr>
                <w:vertAlign w:val="subscript"/>
              </w:rPr>
              <w:t>2</w:t>
            </w:r>
            <w:r w:rsidRPr="0065313A">
              <w:t>O</w:t>
            </w:r>
          </w:p>
        </w:tc>
        <w:tc>
          <w:tcPr>
            <w:tcW w:w="2350" w:type="dxa"/>
            <w:tcBorders>
              <w:top w:val="nil"/>
              <w:left w:val="nil"/>
              <w:bottom w:val="nil"/>
              <w:right w:val="nil"/>
            </w:tcBorders>
            <w:shd w:val="clear" w:color="auto" w:fill="F2F2F2"/>
          </w:tcPr>
          <w:p w:rsidR="00387A07" w:rsidRPr="0065313A" w:rsidRDefault="00387A07" w:rsidP="00387A07">
            <w:r w:rsidRPr="0065313A">
              <w:t>Acetone</w:t>
            </w:r>
          </w:p>
        </w:tc>
        <w:tc>
          <w:tcPr>
            <w:tcW w:w="1275" w:type="dxa"/>
            <w:tcBorders>
              <w:top w:val="nil"/>
              <w:left w:val="nil"/>
              <w:bottom w:val="nil"/>
              <w:right w:val="nil"/>
            </w:tcBorders>
            <w:shd w:val="clear" w:color="auto" w:fill="F2F2F2"/>
          </w:tcPr>
          <w:p w:rsidR="00387A07" w:rsidRPr="0065313A" w:rsidRDefault="00387A07" w:rsidP="00387A07">
            <w:r w:rsidRPr="0065313A">
              <w:t>248</w:t>
            </w:r>
          </w:p>
        </w:tc>
        <w:tc>
          <w:tcPr>
            <w:tcW w:w="1560" w:type="dxa"/>
            <w:tcBorders>
              <w:top w:val="nil"/>
              <w:left w:val="nil"/>
              <w:bottom w:val="nil"/>
              <w:right w:val="nil"/>
            </w:tcBorders>
            <w:shd w:val="clear" w:color="auto" w:fill="F2F2F2"/>
          </w:tcPr>
          <w:p w:rsidR="00387A07" w:rsidRPr="0065313A" w:rsidRDefault="00387A07" w:rsidP="00387A07">
            <w:pPr>
              <w:jc w:val="center"/>
            </w:pPr>
            <w:r w:rsidRPr="0065313A">
              <w:t>[110]</w:t>
            </w:r>
          </w:p>
        </w:tc>
      </w:tr>
      <w:tr w:rsidR="00387A07" w:rsidRPr="0065313A" w:rsidTr="00387A07">
        <w:trPr>
          <w:jc w:val="center"/>
        </w:trPr>
        <w:tc>
          <w:tcPr>
            <w:tcW w:w="1375" w:type="dxa"/>
            <w:tcBorders>
              <w:top w:val="nil"/>
              <w:left w:val="nil"/>
              <w:bottom w:val="nil"/>
              <w:right w:val="nil"/>
            </w:tcBorders>
            <w:shd w:val="clear" w:color="auto" w:fill="F2F2F2"/>
          </w:tcPr>
          <w:p w:rsidR="00387A07" w:rsidRPr="0065313A" w:rsidRDefault="00387A07" w:rsidP="00387A07">
            <w:r w:rsidRPr="0065313A">
              <w:t>PLGA</w:t>
            </w:r>
          </w:p>
        </w:tc>
        <w:tc>
          <w:tcPr>
            <w:tcW w:w="1912" w:type="dxa"/>
            <w:tcBorders>
              <w:top w:val="nil"/>
              <w:left w:val="nil"/>
              <w:bottom w:val="nil"/>
              <w:right w:val="nil"/>
            </w:tcBorders>
            <w:shd w:val="clear" w:color="auto" w:fill="F2F2F2"/>
          </w:tcPr>
          <w:p w:rsidR="00387A07" w:rsidRPr="0065313A" w:rsidRDefault="00387A07" w:rsidP="00387A07">
            <w:r w:rsidRPr="0065313A">
              <w:t>PVA</w:t>
            </w:r>
          </w:p>
        </w:tc>
        <w:tc>
          <w:tcPr>
            <w:tcW w:w="2350" w:type="dxa"/>
            <w:tcBorders>
              <w:top w:val="nil"/>
              <w:left w:val="nil"/>
              <w:bottom w:val="nil"/>
              <w:right w:val="nil"/>
            </w:tcBorders>
            <w:shd w:val="clear" w:color="auto" w:fill="F2F2F2"/>
          </w:tcPr>
          <w:p w:rsidR="00387A07" w:rsidRPr="0065313A" w:rsidRDefault="00387A07" w:rsidP="00387A07">
            <w:r w:rsidRPr="0065313A">
              <w:t>Acetone/DCM</w:t>
            </w:r>
          </w:p>
        </w:tc>
        <w:tc>
          <w:tcPr>
            <w:tcW w:w="1275" w:type="dxa"/>
            <w:tcBorders>
              <w:top w:val="nil"/>
              <w:left w:val="nil"/>
              <w:bottom w:val="nil"/>
              <w:right w:val="nil"/>
            </w:tcBorders>
            <w:shd w:val="clear" w:color="auto" w:fill="F2F2F2"/>
          </w:tcPr>
          <w:p w:rsidR="00387A07" w:rsidRPr="0065313A" w:rsidRDefault="00387A07" w:rsidP="00387A07">
            <w:r w:rsidRPr="0065313A">
              <w:t>110</w:t>
            </w:r>
          </w:p>
        </w:tc>
        <w:tc>
          <w:tcPr>
            <w:tcW w:w="1560" w:type="dxa"/>
            <w:tcBorders>
              <w:top w:val="nil"/>
              <w:left w:val="nil"/>
              <w:bottom w:val="nil"/>
              <w:right w:val="nil"/>
            </w:tcBorders>
            <w:shd w:val="clear" w:color="auto" w:fill="F2F2F2"/>
          </w:tcPr>
          <w:p w:rsidR="00387A07" w:rsidRPr="0065313A" w:rsidRDefault="00387A07" w:rsidP="00387A07">
            <w:pPr>
              <w:jc w:val="center"/>
            </w:pPr>
            <w:r w:rsidRPr="0065313A">
              <w:t>[111]</w:t>
            </w:r>
          </w:p>
        </w:tc>
      </w:tr>
    </w:tbl>
    <w:p w:rsidR="00387A07" w:rsidRPr="0065313A" w:rsidRDefault="00387A07" w:rsidP="00387A07">
      <w:pPr>
        <w:pStyle w:val="Didascalia"/>
        <w:spacing w:before="120"/>
      </w:pPr>
      <w:r w:rsidRPr="0065313A">
        <w:t xml:space="preserve">Table 1. </w:t>
      </w:r>
      <w:fldSimple w:instr=" SEQ Table_1. \* ARABIC ">
        <w:r w:rsidRPr="0065313A">
          <w:rPr>
            <w:noProof/>
          </w:rPr>
          <w:t>5</w:t>
        </w:r>
      </w:fldSimple>
      <w:r w:rsidRPr="0065313A">
        <w:t xml:space="preserve"> Characteristic of nanoparticles prepared by the Salting out method. Adapted from [10]</w:t>
      </w:r>
    </w:p>
    <w:p w:rsidR="00387A07" w:rsidRPr="0065313A" w:rsidRDefault="00387A07" w:rsidP="00387A07"/>
    <w:p w:rsidR="00387A07" w:rsidRPr="0065313A" w:rsidRDefault="00387A07" w:rsidP="00387A07"/>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lastRenderedPageBreak/>
        <w:t>1.4 Polymers used in nanoparticle formulations</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The most widely used polymers for the preparation of biodegradable nanoparticles belong to the polyester family. Biodegradable polyesters such as poly (D,L-lactic acid), poly (lactide-co-glycolide) and poly (ε-caprolactone) have been used extensively for biomedical applications. In some instances, to improve the circulation time in the blood of nanoparticles, copolymers with poly(ethylene glycol) (PEG) are used since it is known that the presence of PEG chains on the surface of nanoparticles hinders the uptake from the mononuclear phogocytic system (MPS). </w:t>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1.4.1 Polylactide</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PLA belongs to the family of aliphatic polyesters derived from α-hydroxy acids. The building block of PLA, lactic acid (2-hydroxy propionic acid), can exist in optically active D- or L-enantiomers. Depending on the proportion of the enantiomers, PLA of variable material properties can be derived (see figure 1.8). This allows the production of a wide spectrum of PLA polymers to match performance requirements [112].</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Commercial PLAs are copolymers of poly(L-lactic acid) (</w:t>
      </w:r>
      <w:r w:rsidRPr="0065313A">
        <w:rPr>
          <w:rFonts w:ascii="Arial" w:hAnsi="Arial" w:cs="Arial"/>
          <w:color w:val="000000"/>
          <w:sz w:val="24"/>
          <w:szCs w:val="24"/>
          <w:lang w:val="en-US"/>
        </w:rPr>
        <w:t xml:space="preserve">PLLA) and poly(D,L-lactic acid) (PDLLA), which are produced from L-lactides and D,L-lactides, respectively </w:t>
      </w:r>
      <w:r w:rsidRPr="0065313A">
        <w:rPr>
          <w:rFonts w:ascii="Arial" w:hAnsi="Arial" w:cs="Arial"/>
          <w:color w:val="000066"/>
          <w:sz w:val="24"/>
          <w:szCs w:val="24"/>
          <w:lang w:val="en-US"/>
        </w:rPr>
        <w:t>[</w:t>
      </w:r>
      <w:r w:rsidRPr="0065313A">
        <w:rPr>
          <w:rFonts w:ascii="Arial" w:hAnsi="Arial" w:cs="Arial"/>
          <w:sz w:val="24"/>
          <w:szCs w:val="24"/>
          <w:lang w:val="en-US"/>
        </w:rPr>
        <w:t>113</w:t>
      </w:r>
      <w:r w:rsidRPr="0065313A">
        <w:rPr>
          <w:rFonts w:ascii="Arial" w:hAnsi="Arial" w:cs="Arial"/>
          <w:color w:val="000066"/>
          <w:sz w:val="24"/>
          <w:szCs w:val="24"/>
          <w:lang w:val="en-US"/>
        </w:rPr>
        <w:t>]</w:t>
      </w:r>
      <w:r w:rsidRPr="0065313A">
        <w:rPr>
          <w:rFonts w:ascii="Arial" w:hAnsi="Arial" w:cs="Arial"/>
          <w:color w:val="000000"/>
          <w:sz w:val="24"/>
          <w:szCs w:val="24"/>
          <w:lang w:val="en-US"/>
        </w:rPr>
        <w:t>. The</w:t>
      </w:r>
      <w:r w:rsidRPr="0065313A">
        <w:rPr>
          <w:rFonts w:ascii="Arial" w:hAnsi="Arial" w:cs="Arial"/>
          <w:sz w:val="24"/>
          <w:szCs w:val="24"/>
          <w:lang w:val="en-US"/>
        </w:rPr>
        <w:t xml:space="preserve"> </w:t>
      </w:r>
      <w:r w:rsidRPr="0065313A">
        <w:rPr>
          <w:rFonts w:ascii="Arial" w:hAnsi="Arial" w:cs="Arial"/>
          <w:color w:val="000000"/>
          <w:sz w:val="24"/>
          <w:szCs w:val="24"/>
          <w:lang w:val="en-US"/>
        </w:rPr>
        <w:t>l-isomer constitutes the main fraction of PLA derived from</w:t>
      </w:r>
      <w:r w:rsidRPr="0065313A">
        <w:rPr>
          <w:rFonts w:ascii="Arial" w:hAnsi="Arial" w:cs="Arial"/>
          <w:sz w:val="24"/>
          <w:szCs w:val="24"/>
          <w:lang w:val="en-US"/>
        </w:rPr>
        <w:t xml:space="preserve"> </w:t>
      </w:r>
      <w:r w:rsidRPr="0065313A">
        <w:rPr>
          <w:rFonts w:ascii="Arial" w:hAnsi="Arial" w:cs="Arial"/>
          <w:color w:val="000000"/>
          <w:sz w:val="24"/>
          <w:szCs w:val="24"/>
          <w:lang w:val="en-US"/>
        </w:rPr>
        <w:t>renewable sources since the majority of lactic acid in living systems exists in this form. Depending on the</w:t>
      </w:r>
      <w:r w:rsidRPr="0065313A">
        <w:rPr>
          <w:rFonts w:ascii="Arial" w:hAnsi="Arial" w:cs="Arial"/>
          <w:sz w:val="24"/>
          <w:szCs w:val="24"/>
          <w:lang w:val="en-US"/>
        </w:rPr>
        <w:t xml:space="preserve"> </w:t>
      </w:r>
      <w:r w:rsidRPr="0065313A">
        <w:rPr>
          <w:rFonts w:ascii="Arial" w:hAnsi="Arial" w:cs="Arial"/>
          <w:color w:val="000000"/>
          <w:sz w:val="24"/>
          <w:szCs w:val="24"/>
          <w:lang w:val="en-US"/>
        </w:rPr>
        <w:t>composition of the optically active L- and D- enantiomers,</w:t>
      </w:r>
      <w:r w:rsidRPr="0065313A">
        <w:rPr>
          <w:rFonts w:ascii="Arial" w:hAnsi="Arial" w:cs="Arial"/>
          <w:sz w:val="24"/>
          <w:szCs w:val="24"/>
          <w:lang w:val="en-US"/>
        </w:rPr>
        <w:t xml:space="preserve"> </w:t>
      </w:r>
      <w:r w:rsidRPr="0065313A">
        <w:rPr>
          <w:rFonts w:ascii="Arial" w:hAnsi="Arial" w:cs="Arial"/>
          <w:color w:val="000000"/>
          <w:sz w:val="24"/>
          <w:szCs w:val="24"/>
          <w:lang w:val="en-US"/>
        </w:rPr>
        <w:t xml:space="preserve">PLA can crystallize in three forms (α, β and γ) The α structure is more stable and has a melting temperature </w:t>
      </w:r>
      <w:r w:rsidRPr="0065313A">
        <w:rPr>
          <w:rFonts w:ascii="Arial" w:hAnsi="Arial" w:cs="Arial"/>
          <w:iCs/>
          <w:color w:val="000000"/>
          <w:sz w:val="24"/>
          <w:szCs w:val="24"/>
          <w:lang w:val="en-US"/>
        </w:rPr>
        <w:t>T</w:t>
      </w:r>
      <w:r w:rsidRPr="0065313A">
        <w:rPr>
          <w:rFonts w:ascii="Arial" w:hAnsi="Arial" w:cs="Arial"/>
          <w:iCs/>
          <w:color w:val="000000"/>
          <w:sz w:val="24"/>
          <w:szCs w:val="24"/>
          <w:vertAlign w:val="subscript"/>
          <w:lang w:val="en-US"/>
        </w:rPr>
        <w:t>m</w:t>
      </w:r>
      <w:r w:rsidRPr="0065313A">
        <w:rPr>
          <w:rFonts w:ascii="Arial" w:hAnsi="Arial" w:cs="Arial"/>
          <w:iCs/>
          <w:color w:val="000000"/>
          <w:sz w:val="24"/>
          <w:szCs w:val="24"/>
          <w:lang w:val="en-US"/>
        </w:rPr>
        <w:t xml:space="preserve"> </w:t>
      </w:r>
      <w:r w:rsidRPr="0065313A">
        <w:rPr>
          <w:rFonts w:ascii="Arial" w:hAnsi="Arial" w:cs="Arial"/>
          <w:color w:val="000000"/>
          <w:sz w:val="24"/>
          <w:szCs w:val="24"/>
          <w:lang w:val="en-US"/>
        </w:rPr>
        <w:t xml:space="preserve">of 185°C compared to the β structure, with a </w:t>
      </w:r>
      <w:r w:rsidRPr="0065313A">
        <w:rPr>
          <w:rFonts w:ascii="Arial" w:hAnsi="Arial" w:cs="Arial"/>
          <w:iCs/>
          <w:color w:val="000000"/>
          <w:sz w:val="24"/>
          <w:szCs w:val="24"/>
          <w:lang w:val="en-US"/>
        </w:rPr>
        <w:t>T</w:t>
      </w:r>
      <w:r w:rsidRPr="0065313A">
        <w:rPr>
          <w:rFonts w:ascii="Arial" w:hAnsi="Arial" w:cs="Arial"/>
          <w:color w:val="000000"/>
          <w:sz w:val="24"/>
          <w:szCs w:val="24"/>
          <w:vertAlign w:val="subscript"/>
          <w:lang w:val="en-US"/>
        </w:rPr>
        <w:t>m</w:t>
      </w:r>
      <w:r w:rsidRPr="0065313A">
        <w:rPr>
          <w:rFonts w:ascii="Arial" w:hAnsi="Arial" w:cs="Arial"/>
          <w:color w:val="000000"/>
          <w:sz w:val="24"/>
          <w:szCs w:val="24"/>
          <w:lang w:val="en-US"/>
        </w:rPr>
        <w:t xml:space="preserve"> of 175°C</w:t>
      </w:r>
      <w:r w:rsidRPr="0065313A">
        <w:rPr>
          <w:rFonts w:ascii="Arial" w:hAnsi="Arial" w:cs="Arial"/>
          <w:sz w:val="24"/>
          <w:szCs w:val="24"/>
          <w:lang w:val="en-US"/>
        </w:rPr>
        <w:t xml:space="preserve"> </w:t>
      </w:r>
      <w:r w:rsidRPr="0065313A">
        <w:rPr>
          <w:rFonts w:ascii="Arial" w:hAnsi="Arial" w:cs="Arial"/>
          <w:color w:val="000066"/>
          <w:sz w:val="24"/>
          <w:szCs w:val="24"/>
          <w:lang w:val="en-US"/>
        </w:rPr>
        <w:t>[114]</w:t>
      </w:r>
      <w:r w:rsidRPr="0065313A">
        <w:rPr>
          <w:rFonts w:ascii="Arial" w:hAnsi="Arial" w:cs="Arial"/>
          <w:color w:val="000000"/>
          <w:sz w:val="24"/>
          <w:szCs w:val="24"/>
          <w:lang w:val="en-US"/>
        </w:rPr>
        <w:t>. The optical purity of PLA has several profound effects</w:t>
      </w:r>
      <w:r w:rsidRPr="0065313A">
        <w:rPr>
          <w:rFonts w:ascii="Arial" w:hAnsi="Arial" w:cs="Arial"/>
          <w:sz w:val="24"/>
          <w:szCs w:val="24"/>
          <w:lang w:val="en-US"/>
        </w:rPr>
        <w:t xml:space="preserve"> </w:t>
      </w:r>
      <w:r w:rsidRPr="0065313A">
        <w:rPr>
          <w:rFonts w:ascii="Arial" w:hAnsi="Arial" w:cs="Arial"/>
          <w:color w:val="000000"/>
          <w:sz w:val="24"/>
          <w:szCs w:val="24"/>
          <w:lang w:val="en-US"/>
        </w:rPr>
        <w:t>on the structural, thermal, barrier and mechanical properties</w:t>
      </w:r>
      <w:r w:rsidRPr="0065313A">
        <w:rPr>
          <w:rFonts w:ascii="Arial" w:hAnsi="Arial" w:cs="Arial"/>
          <w:sz w:val="24"/>
          <w:szCs w:val="24"/>
          <w:lang w:val="en-US"/>
        </w:rPr>
        <w:t xml:space="preserve"> </w:t>
      </w:r>
      <w:r w:rsidRPr="0065313A">
        <w:rPr>
          <w:rFonts w:ascii="Arial" w:hAnsi="Arial" w:cs="Arial"/>
          <w:color w:val="000000"/>
          <w:sz w:val="24"/>
          <w:szCs w:val="24"/>
          <w:lang w:val="en-US"/>
        </w:rPr>
        <w:t>of the polymer. PLA polymers with L-content</w:t>
      </w:r>
      <w:r w:rsidRPr="0065313A">
        <w:rPr>
          <w:rFonts w:ascii="Arial" w:hAnsi="Arial" w:cs="Arial"/>
          <w:sz w:val="24"/>
          <w:szCs w:val="24"/>
          <w:lang w:val="en-US"/>
        </w:rPr>
        <w:t xml:space="preserve"> </w:t>
      </w:r>
      <w:r w:rsidRPr="0065313A">
        <w:rPr>
          <w:rFonts w:ascii="Arial" w:hAnsi="Arial" w:cs="Arial"/>
          <w:color w:val="000000"/>
          <w:sz w:val="24"/>
          <w:szCs w:val="24"/>
          <w:lang w:val="en-US"/>
        </w:rPr>
        <w:t>greater than 90% tend to be crystalline while those with</w:t>
      </w:r>
      <w:r w:rsidRPr="0065313A">
        <w:rPr>
          <w:rFonts w:ascii="Arial" w:hAnsi="Arial" w:cs="Arial"/>
          <w:sz w:val="24"/>
          <w:szCs w:val="24"/>
          <w:lang w:val="en-US"/>
        </w:rPr>
        <w:t xml:space="preserve"> </w:t>
      </w:r>
      <w:r w:rsidRPr="0065313A">
        <w:rPr>
          <w:rFonts w:ascii="Arial" w:hAnsi="Arial" w:cs="Arial"/>
          <w:color w:val="000000"/>
          <w:sz w:val="24"/>
          <w:szCs w:val="24"/>
          <w:lang w:val="en-US"/>
        </w:rPr>
        <w:t xml:space="preserve">lower optical purity are amorphous. Moreover, </w:t>
      </w:r>
      <w:r w:rsidRPr="0065313A">
        <w:rPr>
          <w:rFonts w:ascii="Arial" w:hAnsi="Arial" w:cs="Arial"/>
          <w:iCs/>
          <w:color w:val="000000"/>
          <w:sz w:val="24"/>
          <w:szCs w:val="24"/>
          <w:lang w:val="en-US"/>
        </w:rPr>
        <w:t>T</w:t>
      </w:r>
      <w:r w:rsidRPr="0065313A">
        <w:rPr>
          <w:rFonts w:ascii="Arial" w:hAnsi="Arial" w:cs="Arial"/>
          <w:color w:val="000000"/>
          <w:sz w:val="24"/>
          <w:szCs w:val="24"/>
          <w:vertAlign w:val="subscript"/>
          <w:lang w:val="en-US"/>
        </w:rPr>
        <w:t>m</w:t>
      </w:r>
      <w:r w:rsidRPr="0065313A">
        <w:rPr>
          <w:rFonts w:ascii="Arial" w:hAnsi="Arial" w:cs="Arial"/>
          <w:color w:val="000000"/>
          <w:sz w:val="24"/>
          <w:szCs w:val="24"/>
          <w:lang w:val="en-US"/>
        </w:rPr>
        <w:t xml:space="preserve">, glass transition temperature and crystallinity decrease with decreasing L-isomer content </w:t>
      </w:r>
      <w:r w:rsidRPr="0065313A">
        <w:rPr>
          <w:rFonts w:ascii="Arial" w:hAnsi="Arial" w:cs="Arial"/>
          <w:color w:val="000066"/>
          <w:sz w:val="24"/>
          <w:szCs w:val="24"/>
          <w:lang w:val="en-US"/>
        </w:rPr>
        <w:t>[114][</w:t>
      </w:r>
      <w:r w:rsidRPr="0065313A">
        <w:rPr>
          <w:rFonts w:ascii="Arial" w:hAnsi="Arial" w:cs="Arial"/>
          <w:sz w:val="24"/>
          <w:szCs w:val="24"/>
          <w:lang w:val="en-US"/>
        </w:rPr>
        <w:t>115</w:t>
      </w:r>
      <w:r w:rsidRPr="0065313A">
        <w:rPr>
          <w:rFonts w:ascii="Arial" w:hAnsi="Arial" w:cs="Arial"/>
          <w:color w:val="000066"/>
          <w:sz w:val="24"/>
          <w:szCs w:val="24"/>
          <w:lang w:val="en-US"/>
        </w:rPr>
        <w:t>]</w:t>
      </w:r>
      <w:r w:rsidRPr="0065313A">
        <w:rPr>
          <w:rFonts w:ascii="Arial" w:hAnsi="Arial" w:cs="Arial"/>
          <w:color w:val="000000"/>
          <w:sz w:val="24"/>
          <w:szCs w:val="24"/>
          <w:lang w:val="en-US"/>
        </w:rPr>
        <w:t>.</w:t>
      </w:r>
    </w:p>
    <w:p w:rsidR="00387A07" w:rsidRPr="0065313A" w:rsidRDefault="00387A07" w:rsidP="00387A07">
      <w:pPr>
        <w:spacing w:after="0" w:line="360" w:lineRule="auto"/>
        <w:jc w:val="both"/>
        <w:rPr>
          <w:rFonts w:ascii="Arial" w:hAnsi="Arial" w:cs="Arial"/>
          <w:b/>
          <w:sz w:val="24"/>
          <w:szCs w:val="24"/>
          <w:lang w:val="en-US"/>
        </w:rPr>
      </w:pPr>
    </w:p>
    <w:p w:rsidR="00387A07" w:rsidRPr="0065313A" w:rsidRDefault="00387A07" w:rsidP="00387A07">
      <w:pPr>
        <w:spacing w:after="0" w:line="360" w:lineRule="auto"/>
        <w:jc w:val="center"/>
        <w:rPr>
          <w:rFonts w:ascii="Arial" w:hAnsi="Arial" w:cs="Arial"/>
          <w:b/>
          <w:sz w:val="24"/>
          <w:szCs w:val="24"/>
          <w:lang w:val="en-US"/>
        </w:rPr>
      </w:pPr>
      <w:r w:rsidRPr="0065313A">
        <w:rPr>
          <w:rFonts w:ascii="Arial" w:hAnsi="Arial" w:cs="Arial"/>
          <w:b/>
          <w:noProof/>
          <w:sz w:val="24"/>
          <w:szCs w:val="24"/>
          <w:lang w:val="it-IT" w:eastAsia="it-IT"/>
        </w:rPr>
        <w:lastRenderedPageBreak/>
        <w:drawing>
          <wp:inline distT="0" distB="0" distL="0" distR="0">
            <wp:extent cx="3971925" cy="2581275"/>
            <wp:effectExtent l="19050" t="0" r="9525" b="0"/>
            <wp:docPr id="37"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pic:cNvPicPr>
                      <a:picLocks noChangeAspect="1" noChangeArrowheads="1"/>
                    </pic:cNvPicPr>
                  </pic:nvPicPr>
                  <pic:blipFill>
                    <a:blip r:embed="rId17"/>
                    <a:srcRect/>
                    <a:stretch>
                      <a:fillRect/>
                    </a:stretch>
                  </pic:blipFill>
                  <pic:spPr bwMode="auto">
                    <a:xfrm>
                      <a:off x="0" y="0"/>
                      <a:ext cx="3971925" cy="2581275"/>
                    </a:xfrm>
                    <a:prstGeom prst="rect">
                      <a:avLst/>
                    </a:prstGeom>
                    <a:noFill/>
                    <a:ln w="9525">
                      <a:noFill/>
                      <a:miter lim="800000"/>
                      <a:headEnd/>
                      <a:tailEnd/>
                    </a:ln>
                  </pic:spPr>
                </pic:pic>
              </a:graphicData>
            </a:graphic>
          </wp:inline>
        </w:drawing>
      </w:r>
    </w:p>
    <w:p w:rsidR="00387A07" w:rsidRPr="0065313A" w:rsidRDefault="00387A07" w:rsidP="00387A07">
      <w:pPr>
        <w:spacing w:before="120" w:line="360" w:lineRule="auto"/>
        <w:jc w:val="both"/>
        <w:rPr>
          <w:rFonts w:cs="Calibri"/>
          <w:b/>
          <w:color w:val="4F81BD"/>
          <w:sz w:val="18"/>
          <w:szCs w:val="18"/>
          <w:lang w:val="en-US"/>
        </w:rPr>
      </w:pPr>
      <w:r w:rsidRPr="0065313A">
        <w:rPr>
          <w:rFonts w:cs="Calibri"/>
          <w:b/>
          <w:color w:val="4F81BD"/>
          <w:sz w:val="18"/>
          <w:szCs w:val="18"/>
        </w:rPr>
        <w:t xml:space="preserve">Figure 1. </w:t>
      </w:r>
      <w:r w:rsidR="00860AC7" w:rsidRPr="0065313A">
        <w:rPr>
          <w:rFonts w:cs="Calibri"/>
          <w:b/>
          <w:color w:val="4F81BD"/>
          <w:sz w:val="18"/>
          <w:szCs w:val="18"/>
        </w:rPr>
        <w:fldChar w:fldCharType="begin"/>
      </w:r>
      <w:r w:rsidRPr="0065313A">
        <w:rPr>
          <w:rFonts w:cs="Calibri"/>
          <w:b/>
          <w:color w:val="4F81BD"/>
          <w:sz w:val="18"/>
          <w:szCs w:val="18"/>
        </w:rPr>
        <w:instrText xml:space="preserve"> SEQ Figure_1. \* ARABIC </w:instrText>
      </w:r>
      <w:r w:rsidR="00860AC7" w:rsidRPr="0065313A">
        <w:rPr>
          <w:rFonts w:cs="Calibri"/>
          <w:b/>
          <w:color w:val="4F81BD"/>
          <w:sz w:val="18"/>
          <w:szCs w:val="18"/>
        </w:rPr>
        <w:fldChar w:fldCharType="separate"/>
      </w:r>
      <w:r w:rsidRPr="0065313A">
        <w:rPr>
          <w:rFonts w:cs="Calibri"/>
          <w:b/>
          <w:noProof/>
          <w:color w:val="4F81BD"/>
          <w:sz w:val="18"/>
          <w:szCs w:val="18"/>
        </w:rPr>
        <w:t>8</w:t>
      </w:r>
      <w:r w:rsidR="00860AC7" w:rsidRPr="0065313A">
        <w:rPr>
          <w:rFonts w:cs="Calibri"/>
          <w:b/>
          <w:color w:val="4F81BD"/>
          <w:sz w:val="18"/>
          <w:szCs w:val="18"/>
        </w:rPr>
        <w:fldChar w:fldCharType="end"/>
      </w:r>
      <w:r w:rsidRPr="0065313A">
        <w:rPr>
          <w:rFonts w:cs="Calibri"/>
          <w:b/>
          <w:color w:val="4F81BD"/>
          <w:sz w:val="18"/>
          <w:szCs w:val="18"/>
        </w:rPr>
        <w:t xml:space="preserve"> </w:t>
      </w:r>
      <w:r w:rsidRPr="0065313A">
        <w:rPr>
          <w:rFonts w:cs="Calibri"/>
          <w:b/>
          <w:color w:val="4F81BD"/>
          <w:sz w:val="18"/>
          <w:szCs w:val="18"/>
          <w:lang w:val="en-US"/>
        </w:rPr>
        <w:t xml:space="preserve">Synthesis of PLA from l and d lactic acids [113]. </w:t>
      </w:r>
    </w:p>
    <w:p w:rsidR="00387A07" w:rsidRPr="0065313A" w:rsidRDefault="00387A07" w:rsidP="00387A07">
      <w:pPr>
        <w:spacing w:after="120" w:line="360" w:lineRule="auto"/>
        <w:jc w:val="both"/>
        <w:rPr>
          <w:rFonts w:ascii="Arial" w:hAnsi="Arial" w:cs="Arial"/>
          <w:sz w:val="24"/>
          <w:szCs w:val="24"/>
          <w:lang w:val="en-US"/>
        </w:rPr>
      </w:pPr>
      <w:r w:rsidRPr="0065313A">
        <w:rPr>
          <w:rFonts w:ascii="Arial" w:hAnsi="Arial" w:cs="Arial"/>
          <w:sz w:val="24"/>
          <w:szCs w:val="24"/>
          <w:lang w:val="en-US"/>
        </w:rPr>
        <w:t xml:space="preserve">PLA nanoparticles have been mostly prepared by solvent evaporation, solvent displacement and salting out method, for the encapsulation of various drug formulations (see table 1.6). </w:t>
      </w:r>
    </w:p>
    <w:tbl>
      <w:tblPr>
        <w:tblW w:w="7905" w:type="dxa"/>
        <w:jc w:val="center"/>
        <w:tblLayout w:type="fixed"/>
        <w:tblLook w:val="00A0"/>
      </w:tblPr>
      <w:tblGrid>
        <w:gridCol w:w="1242"/>
        <w:gridCol w:w="1701"/>
        <w:gridCol w:w="851"/>
        <w:gridCol w:w="2410"/>
        <w:gridCol w:w="992"/>
        <w:gridCol w:w="709"/>
      </w:tblGrid>
      <w:tr w:rsidR="00387A07" w:rsidRPr="0065313A" w:rsidTr="00387A07">
        <w:trPr>
          <w:jc w:val="center"/>
        </w:trPr>
        <w:tc>
          <w:tcPr>
            <w:tcW w:w="1242"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Polymer</w:t>
            </w:r>
          </w:p>
        </w:tc>
        <w:tc>
          <w:tcPr>
            <w:tcW w:w="1701"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Encapsulant</w:t>
            </w:r>
          </w:p>
        </w:tc>
        <w:tc>
          <w:tcPr>
            <w:tcW w:w="851"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EE</w:t>
            </w:r>
          </w:p>
        </w:tc>
        <w:tc>
          <w:tcPr>
            <w:tcW w:w="2410"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Method</w:t>
            </w:r>
          </w:p>
        </w:tc>
        <w:tc>
          <w:tcPr>
            <w:tcW w:w="992"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Size</w:t>
            </w:r>
          </w:p>
        </w:tc>
        <w:tc>
          <w:tcPr>
            <w:tcW w:w="709"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Ref</w:t>
            </w:r>
          </w:p>
        </w:tc>
      </w:tr>
      <w:tr w:rsidR="00387A07" w:rsidRPr="0065313A" w:rsidTr="00387A07">
        <w:trPr>
          <w:jc w:val="center"/>
        </w:trPr>
        <w:tc>
          <w:tcPr>
            <w:tcW w:w="1242" w:type="dxa"/>
            <w:vMerge w:val="restart"/>
            <w:tcBorders>
              <w:left w:val="nil"/>
              <w:bottom w:val="nil"/>
              <w:right w:val="nil"/>
            </w:tcBorders>
            <w:shd w:val="clear" w:color="auto" w:fill="F2F2F2"/>
          </w:tcPr>
          <w:p w:rsidR="00387A07" w:rsidRPr="0065313A" w:rsidRDefault="00387A07" w:rsidP="00387A07">
            <w:r w:rsidRPr="0065313A">
              <w:t>PLA</w:t>
            </w:r>
          </w:p>
          <w:p w:rsidR="00387A07" w:rsidRPr="0065313A" w:rsidRDefault="00387A07" w:rsidP="00387A07"/>
          <w:p w:rsidR="00387A07" w:rsidRPr="0065313A" w:rsidRDefault="00387A07" w:rsidP="00387A07">
            <w:r w:rsidRPr="0065313A">
              <w:rPr>
                <w:noProof/>
                <w:lang w:val="it-IT" w:eastAsia="it-IT"/>
              </w:rPr>
              <w:drawing>
                <wp:inline distT="0" distB="0" distL="0" distR="0">
                  <wp:extent cx="714375" cy="561975"/>
                  <wp:effectExtent l="19050" t="0" r="9525" b="0"/>
                  <wp:docPr id="36"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1"/>
                          <pic:cNvPicPr>
                            <a:picLocks noChangeAspect="1" noChangeArrowheads="1"/>
                          </pic:cNvPicPr>
                        </pic:nvPicPr>
                        <pic:blipFill>
                          <a:blip r:embed="rId18"/>
                          <a:srcRect/>
                          <a:stretch>
                            <a:fillRect/>
                          </a:stretch>
                        </pic:blipFill>
                        <pic:spPr bwMode="auto">
                          <a:xfrm>
                            <a:off x="0" y="0"/>
                            <a:ext cx="714375" cy="561975"/>
                          </a:xfrm>
                          <a:prstGeom prst="rect">
                            <a:avLst/>
                          </a:prstGeom>
                          <a:noFill/>
                          <a:ln w="9525">
                            <a:noFill/>
                            <a:miter lim="800000"/>
                            <a:headEnd/>
                            <a:tailEnd/>
                          </a:ln>
                        </pic:spPr>
                      </pic:pic>
                    </a:graphicData>
                  </a:graphic>
                </wp:inline>
              </w:drawing>
            </w:r>
          </w:p>
        </w:tc>
        <w:tc>
          <w:tcPr>
            <w:tcW w:w="1701" w:type="dxa"/>
            <w:tcBorders>
              <w:left w:val="nil"/>
              <w:bottom w:val="nil"/>
              <w:right w:val="nil"/>
            </w:tcBorders>
            <w:shd w:val="clear" w:color="auto" w:fill="F2F2F2"/>
          </w:tcPr>
          <w:p w:rsidR="00387A07" w:rsidRPr="0065313A" w:rsidRDefault="00387A07" w:rsidP="00387A07">
            <w:r w:rsidRPr="0065313A">
              <w:t>Oridonin</w:t>
            </w:r>
          </w:p>
        </w:tc>
        <w:tc>
          <w:tcPr>
            <w:tcW w:w="851" w:type="dxa"/>
            <w:tcBorders>
              <w:left w:val="nil"/>
              <w:bottom w:val="nil"/>
              <w:right w:val="nil"/>
            </w:tcBorders>
            <w:shd w:val="clear" w:color="auto" w:fill="F2F2F2"/>
          </w:tcPr>
          <w:p w:rsidR="00387A07" w:rsidRPr="0065313A" w:rsidRDefault="00387A07" w:rsidP="00387A07">
            <w:r w:rsidRPr="0065313A">
              <w:t>91,8%</w:t>
            </w:r>
          </w:p>
        </w:tc>
        <w:tc>
          <w:tcPr>
            <w:tcW w:w="2410" w:type="dxa"/>
            <w:tcBorders>
              <w:left w:val="nil"/>
              <w:bottom w:val="nil"/>
              <w:right w:val="nil"/>
            </w:tcBorders>
            <w:shd w:val="clear" w:color="auto" w:fill="F2F2F2"/>
          </w:tcPr>
          <w:p w:rsidR="00387A07" w:rsidRPr="0065313A" w:rsidRDefault="00387A07" w:rsidP="00387A07">
            <w:r w:rsidRPr="0065313A">
              <w:t>Single emulsion</w:t>
            </w:r>
          </w:p>
        </w:tc>
        <w:tc>
          <w:tcPr>
            <w:tcW w:w="992" w:type="dxa"/>
            <w:tcBorders>
              <w:left w:val="nil"/>
              <w:bottom w:val="nil"/>
              <w:right w:val="nil"/>
            </w:tcBorders>
            <w:shd w:val="clear" w:color="auto" w:fill="F2F2F2"/>
          </w:tcPr>
          <w:p w:rsidR="00387A07" w:rsidRPr="0065313A" w:rsidRDefault="00387A07" w:rsidP="00387A07">
            <w:r w:rsidRPr="0065313A">
              <w:t>137,3</w:t>
            </w:r>
          </w:p>
        </w:tc>
        <w:tc>
          <w:tcPr>
            <w:tcW w:w="709" w:type="dxa"/>
            <w:tcBorders>
              <w:left w:val="nil"/>
              <w:bottom w:val="nil"/>
              <w:right w:val="nil"/>
            </w:tcBorders>
            <w:shd w:val="clear" w:color="auto" w:fill="F2F2F2"/>
          </w:tcPr>
          <w:p w:rsidR="00387A07" w:rsidRPr="0065313A" w:rsidRDefault="00387A07" w:rsidP="00387A07">
            <w:r w:rsidRPr="0065313A">
              <w:t>[116]</w:t>
            </w:r>
          </w:p>
        </w:tc>
      </w:tr>
      <w:tr w:rsidR="00387A07" w:rsidRPr="0065313A" w:rsidTr="00387A07">
        <w:trPr>
          <w:jc w:val="center"/>
        </w:trPr>
        <w:tc>
          <w:tcPr>
            <w:tcW w:w="1242" w:type="dxa"/>
            <w:vMerge/>
            <w:tcBorders>
              <w:top w:val="nil"/>
              <w:left w:val="nil"/>
              <w:bottom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 xml:space="preserve">Chloricomene </w:t>
            </w:r>
          </w:p>
        </w:tc>
        <w:tc>
          <w:tcPr>
            <w:tcW w:w="851" w:type="dxa"/>
            <w:tcBorders>
              <w:top w:val="nil"/>
              <w:left w:val="nil"/>
              <w:bottom w:val="nil"/>
              <w:right w:val="nil"/>
            </w:tcBorders>
            <w:shd w:val="clear" w:color="auto" w:fill="F2F2F2"/>
          </w:tcPr>
          <w:p w:rsidR="00387A07" w:rsidRPr="0065313A" w:rsidRDefault="00387A07" w:rsidP="00387A07">
            <w:r w:rsidRPr="0065313A">
              <w:t>4%</w:t>
            </w:r>
          </w:p>
        </w:tc>
        <w:tc>
          <w:tcPr>
            <w:tcW w:w="2410" w:type="dxa"/>
            <w:tcBorders>
              <w:top w:val="nil"/>
              <w:left w:val="nil"/>
              <w:bottom w:val="nil"/>
              <w:right w:val="nil"/>
            </w:tcBorders>
            <w:shd w:val="clear" w:color="auto" w:fill="F2F2F2"/>
          </w:tcPr>
          <w:p w:rsidR="00387A07" w:rsidRPr="0065313A" w:rsidRDefault="00387A07" w:rsidP="00387A07">
            <w:r w:rsidRPr="0065313A">
              <w:t>Solvent displacement</w:t>
            </w:r>
          </w:p>
        </w:tc>
        <w:tc>
          <w:tcPr>
            <w:tcW w:w="992" w:type="dxa"/>
            <w:tcBorders>
              <w:top w:val="nil"/>
              <w:left w:val="nil"/>
              <w:bottom w:val="nil"/>
              <w:right w:val="nil"/>
            </w:tcBorders>
            <w:shd w:val="clear" w:color="auto" w:fill="F2F2F2"/>
          </w:tcPr>
          <w:p w:rsidR="00387A07" w:rsidRPr="0065313A" w:rsidRDefault="00387A07" w:rsidP="00387A07">
            <w:r w:rsidRPr="0065313A">
              <w:t>320</w:t>
            </w:r>
          </w:p>
        </w:tc>
        <w:tc>
          <w:tcPr>
            <w:tcW w:w="709" w:type="dxa"/>
            <w:tcBorders>
              <w:top w:val="nil"/>
              <w:left w:val="nil"/>
              <w:bottom w:val="nil"/>
              <w:right w:val="nil"/>
            </w:tcBorders>
            <w:shd w:val="clear" w:color="auto" w:fill="F2F2F2"/>
          </w:tcPr>
          <w:p w:rsidR="00387A07" w:rsidRPr="0065313A" w:rsidRDefault="00387A07" w:rsidP="00387A07">
            <w:r w:rsidRPr="0065313A">
              <w:t>[117]</w:t>
            </w:r>
          </w:p>
        </w:tc>
      </w:tr>
      <w:tr w:rsidR="00387A07" w:rsidRPr="0065313A" w:rsidTr="00387A07">
        <w:trPr>
          <w:jc w:val="center"/>
        </w:trPr>
        <w:tc>
          <w:tcPr>
            <w:tcW w:w="1242" w:type="dxa"/>
            <w:vMerge/>
            <w:tcBorders>
              <w:top w:val="nil"/>
              <w:left w:val="nil"/>
              <w:bottom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BSA</w:t>
            </w:r>
          </w:p>
        </w:tc>
        <w:tc>
          <w:tcPr>
            <w:tcW w:w="851" w:type="dxa"/>
            <w:tcBorders>
              <w:top w:val="nil"/>
              <w:left w:val="nil"/>
              <w:bottom w:val="nil"/>
              <w:right w:val="nil"/>
            </w:tcBorders>
            <w:shd w:val="clear" w:color="auto" w:fill="F2F2F2"/>
          </w:tcPr>
          <w:p w:rsidR="00387A07" w:rsidRPr="0065313A" w:rsidRDefault="00387A07" w:rsidP="00387A07">
            <w:r w:rsidRPr="0065313A">
              <w:t>75,6%</w:t>
            </w:r>
          </w:p>
        </w:tc>
        <w:tc>
          <w:tcPr>
            <w:tcW w:w="2410" w:type="dxa"/>
            <w:tcBorders>
              <w:top w:val="nil"/>
              <w:left w:val="nil"/>
              <w:bottom w:val="nil"/>
              <w:right w:val="nil"/>
            </w:tcBorders>
            <w:shd w:val="clear" w:color="auto" w:fill="F2F2F2"/>
          </w:tcPr>
          <w:p w:rsidR="00387A07" w:rsidRPr="0065313A" w:rsidRDefault="00387A07" w:rsidP="00387A07">
            <w:r w:rsidRPr="0065313A">
              <w:t>Double emulsion</w:t>
            </w:r>
          </w:p>
        </w:tc>
        <w:tc>
          <w:tcPr>
            <w:tcW w:w="992" w:type="dxa"/>
            <w:tcBorders>
              <w:top w:val="nil"/>
              <w:left w:val="nil"/>
              <w:bottom w:val="nil"/>
              <w:right w:val="nil"/>
            </w:tcBorders>
            <w:shd w:val="clear" w:color="auto" w:fill="F2F2F2"/>
          </w:tcPr>
          <w:p w:rsidR="00387A07" w:rsidRPr="0065313A" w:rsidRDefault="00387A07" w:rsidP="00387A07">
            <w:r w:rsidRPr="0065313A">
              <w:t>330</w:t>
            </w:r>
          </w:p>
        </w:tc>
        <w:tc>
          <w:tcPr>
            <w:tcW w:w="709" w:type="dxa"/>
            <w:tcBorders>
              <w:top w:val="nil"/>
              <w:left w:val="nil"/>
              <w:bottom w:val="nil"/>
              <w:right w:val="nil"/>
            </w:tcBorders>
            <w:shd w:val="clear" w:color="auto" w:fill="F2F2F2"/>
          </w:tcPr>
          <w:p w:rsidR="00387A07" w:rsidRPr="0065313A" w:rsidRDefault="00387A07" w:rsidP="00387A07">
            <w:r w:rsidRPr="0065313A">
              <w:t>[118]</w:t>
            </w:r>
          </w:p>
        </w:tc>
      </w:tr>
      <w:tr w:rsidR="00387A07" w:rsidRPr="0065313A" w:rsidTr="00387A07">
        <w:trPr>
          <w:jc w:val="center"/>
        </w:trPr>
        <w:tc>
          <w:tcPr>
            <w:tcW w:w="1242" w:type="dxa"/>
            <w:vMerge/>
            <w:tcBorders>
              <w:top w:val="nil"/>
              <w:left w:val="nil"/>
              <w:bottom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Savoxepine</w:t>
            </w:r>
          </w:p>
        </w:tc>
        <w:tc>
          <w:tcPr>
            <w:tcW w:w="851" w:type="dxa"/>
            <w:tcBorders>
              <w:top w:val="nil"/>
              <w:left w:val="nil"/>
              <w:bottom w:val="nil"/>
              <w:right w:val="nil"/>
            </w:tcBorders>
            <w:shd w:val="clear" w:color="auto" w:fill="F2F2F2"/>
          </w:tcPr>
          <w:p w:rsidR="00387A07" w:rsidRPr="0065313A" w:rsidRDefault="00387A07" w:rsidP="00387A07">
            <w:r w:rsidRPr="0065313A">
              <w:t>95%</w:t>
            </w:r>
          </w:p>
        </w:tc>
        <w:tc>
          <w:tcPr>
            <w:tcW w:w="2410" w:type="dxa"/>
            <w:tcBorders>
              <w:top w:val="nil"/>
              <w:left w:val="nil"/>
              <w:bottom w:val="nil"/>
              <w:right w:val="nil"/>
            </w:tcBorders>
            <w:shd w:val="clear" w:color="auto" w:fill="F2F2F2"/>
          </w:tcPr>
          <w:p w:rsidR="00387A07" w:rsidRPr="0065313A" w:rsidRDefault="00387A07" w:rsidP="00387A07">
            <w:r w:rsidRPr="0065313A">
              <w:t>Salting-out</w:t>
            </w:r>
          </w:p>
        </w:tc>
        <w:tc>
          <w:tcPr>
            <w:tcW w:w="992" w:type="dxa"/>
            <w:tcBorders>
              <w:top w:val="nil"/>
              <w:left w:val="nil"/>
              <w:bottom w:val="nil"/>
              <w:right w:val="nil"/>
            </w:tcBorders>
            <w:shd w:val="clear" w:color="auto" w:fill="F2F2F2"/>
          </w:tcPr>
          <w:p w:rsidR="00387A07" w:rsidRPr="0065313A" w:rsidRDefault="00387A07" w:rsidP="00387A07">
            <w:r w:rsidRPr="0065313A">
              <w:t>&lt;1000</w:t>
            </w:r>
          </w:p>
        </w:tc>
        <w:tc>
          <w:tcPr>
            <w:tcW w:w="709" w:type="dxa"/>
            <w:tcBorders>
              <w:top w:val="nil"/>
              <w:left w:val="nil"/>
              <w:bottom w:val="nil"/>
              <w:right w:val="nil"/>
            </w:tcBorders>
            <w:shd w:val="clear" w:color="auto" w:fill="F2F2F2"/>
          </w:tcPr>
          <w:p w:rsidR="00387A07" w:rsidRPr="0065313A" w:rsidRDefault="00387A07" w:rsidP="00387A07">
            <w:r w:rsidRPr="0065313A">
              <w:t>[119]</w:t>
            </w:r>
          </w:p>
        </w:tc>
      </w:tr>
      <w:tr w:rsidR="00387A07" w:rsidRPr="0065313A" w:rsidTr="00387A07">
        <w:trPr>
          <w:jc w:val="center"/>
        </w:trPr>
        <w:tc>
          <w:tcPr>
            <w:tcW w:w="1242" w:type="dxa"/>
            <w:vMerge/>
            <w:tcBorders>
              <w:top w:val="nil"/>
              <w:left w:val="nil"/>
              <w:bottom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Progesterone</w:t>
            </w:r>
          </w:p>
        </w:tc>
        <w:tc>
          <w:tcPr>
            <w:tcW w:w="851" w:type="dxa"/>
            <w:tcBorders>
              <w:top w:val="nil"/>
              <w:left w:val="nil"/>
              <w:bottom w:val="nil"/>
              <w:right w:val="nil"/>
            </w:tcBorders>
            <w:shd w:val="clear" w:color="auto" w:fill="F2F2F2"/>
          </w:tcPr>
          <w:p w:rsidR="00387A07" w:rsidRPr="0065313A" w:rsidRDefault="00387A07" w:rsidP="00387A07">
            <w:r w:rsidRPr="0065313A">
              <w:t>70%</w:t>
            </w:r>
          </w:p>
        </w:tc>
        <w:tc>
          <w:tcPr>
            <w:tcW w:w="2410" w:type="dxa"/>
            <w:tcBorders>
              <w:top w:val="nil"/>
              <w:left w:val="nil"/>
              <w:bottom w:val="nil"/>
              <w:right w:val="nil"/>
            </w:tcBorders>
            <w:shd w:val="clear" w:color="auto" w:fill="F2F2F2"/>
          </w:tcPr>
          <w:p w:rsidR="00387A07" w:rsidRPr="0065313A" w:rsidRDefault="00387A07" w:rsidP="00387A07">
            <w:r w:rsidRPr="0065313A">
              <w:t>Single emulsion</w:t>
            </w:r>
          </w:p>
        </w:tc>
        <w:tc>
          <w:tcPr>
            <w:tcW w:w="992" w:type="dxa"/>
            <w:tcBorders>
              <w:top w:val="nil"/>
              <w:left w:val="nil"/>
              <w:bottom w:val="nil"/>
              <w:right w:val="nil"/>
            </w:tcBorders>
            <w:shd w:val="clear" w:color="auto" w:fill="F2F2F2"/>
          </w:tcPr>
          <w:p w:rsidR="00387A07" w:rsidRPr="0065313A" w:rsidRDefault="00387A07" w:rsidP="00387A07">
            <w:r w:rsidRPr="0065313A">
              <w:t>260-300</w:t>
            </w:r>
          </w:p>
        </w:tc>
        <w:tc>
          <w:tcPr>
            <w:tcW w:w="709" w:type="dxa"/>
            <w:tcBorders>
              <w:top w:val="nil"/>
              <w:left w:val="nil"/>
              <w:bottom w:val="nil"/>
              <w:right w:val="nil"/>
            </w:tcBorders>
            <w:shd w:val="clear" w:color="auto" w:fill="F2F2F2"/>
          </w:tcPr>
          <w:p w:rsidR="00387A07" w:rsidRPr="0065313A" w:rsidRDefault="00387A07" w:rsidP="00387A07">
            <w:r w:rsidRPr="0065313A">
              <w:t>[120]</w:t>
            </w:r>
          </w:p>
        </w:tc>
      </w:tr>
      <w:tr w:rsidR="00387A07" w:rsidRPr="0065313A" w:rsidTr="00387A07">
        <w:trPr>
          <w:jc w:val="center"/>
        </w:trPr>
        <w:tc>
          <w:tcPr>
            <w:tcW w:w="1242" w:type="dxa"/>
            <w:vMerge/>
            <w:tcBorders>
              <w:top w:val="nil"/>
              <w:left w:val="nil"/>
              <w:bottom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Doxorubicin</w:t>
            </w:r>
          </w:p>
        </w:tc>
        <w:tc>
          <w:tcPr>
            <w:tcW w:w="851" w:type="dxa"/>
            <w:tcBorders>
              <w:top w:val="nil"/>
              <w:left w:val="nil"/>
              <w:bottom w:val="nil"/>
              <w:right w:val="nil"/>
            </w:tcBorders>
            <w:shd w:val="clear" w:color="auto" w:fill="F2F2F2"/>
          </w:tcPr>
          <w:p w:rsidR="00387A07" w:rsidRPr="0065313A" w:rsidRDefault="00387A07" w:rsidP="00387A07">
            <w:r w:rsidRPr="0065313A">
              <w:t>80%</w:t>
            </w:r>
          </w:p>
        </w:tc>
        <w:tc>
          <w:tcPr>
            <w:tcW w:w="2410" w:type="dxa"/>
            <w:tcBorders>
              <w:top w:val="nil"/>
              <w:left w:val="nil"/>
              <w:bottom w:val="nil"/>
              <w:right w:val="nil"/>
            </w:tcBorders>
            <w:shd w:val="clear" w:color="auto" w:fill="F2F2F2"/>
          </w:tcPr>
          <w:p w:rsidR="00387A07" w:rsidRPr="0065313A" w:rsidRDefault="00387A07" w:rsidP="00387A07">
            <w:r w:rsidRPr="0065313A">
              <w:t>Solvent displacement</w:t>
            </w:r>
          </w:p>
        </w:tc>
        <w:tc>
          <w:tcPr>
            <w:tcW w:w="992" w:type="dxa"/>
            <w:tcBorders>
              <w:top w:val="nil"/>
              <w:left w:val="nil"/>
              <w:bottom w:val="nil"/>
              <w:right w:val="nil"/>
            </w:tcBorders>
            <w:shd w:val="clear" w:color="auto" w:fill="F2F2F2"/>
          </w:tcPr>
          <w:p w:rsidR="00387A07" w:rsidRPr="0065313A" w:rsidRDefault="00387A07" w:rsidP="00387A07">
            <w:r w:rsidRPr="0065313A">
              <w:t>270</w:t>
            </w:r>
          </w:p>
        </w:tc>
        <w:tc>
          <w:tcPr>
            <w:tcW w:w="709" w:type="dxa"/>
            <w:tcBorders>
              <w:top w:val="nil"/>
              <w:left w:val="nil"/>
              <w:bottom w:val="nil"/>
              <w:right w:val="nil"/>
            </w:tcBorders>
            <w:shd w:val="clear" w:color="auto" w:fill="F2F2F2"/>
          </w:tcPr>
          <w:p w:rsidR="00387A07" w:rsidRPr="0065313A" w:rsidRDefault="00387A07" w:rsidP="00387A07">
            <w:r w:rsidRPr="0065313A">
              <w:t>[121]</w:t>
            </w:r>
          </w:p>
        </w:tc>
      </w:tr>
      <w:tr w:rsidR="00387A07" w:rsidRPr="0065313A" w:rsidTr="00387A07">
        <w:trPr>
          <w:jc w:val="center"/>
        </w:trPr>
        <w:tc>
          <w:tcPr>
            <w:tcW w:w="1242" w:type="dxa"/>
            <w:vMerge/>
            <w:tcBorders>
              <w:top w:val="nil"/>
              <w:left w:val="nil"/>
              <w:bottom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Taxol</w:t>
            </w:r>
          </w:p>
        </w:tc>
        <w:tc>
          <w:tcPr>
            <w:tcW w:w="851" w:type="dxa"/>
            <w:tcBorders>
              <w:top w:val="nil"/>
              <w:left w:val="nil"/>
              <w:bottom w:val="nil"/>
              <w:right w:val="nil"/>
            </w:tcBorders>
            <w:shd w:val="clear" w:color="auto" w:fill="F2F2F2"/>
          </w:tcPr>
          <w:p w:rsidR="00387A07" w:rsidRPr="0065313A" w:rsidRDefault="00387A07" w:rsidP="00387A07">
            <w:r w:rsidRPr="0065313A">
              <w:t>80%</w:t>
            </w:r>
          </w:p>
        </w:tc>
        <w:tc>
          <w:tcPr>
            <w:tcW w:w="2410" w:type="dxa"/>
            <w:tcBorders>
              <w:top w:val="nil"/>
              <w:left w:val="nil"/>
              <w:bottom w:val="nil"/>
              <w:right w:val="nil"/>
            </w:tcBorders>
            <w:shd w:val="clear" w:color="auto" w:fill="F2F2F2"/>
          </w:tcPr>
          <w:p w:rsidR="00387A07" w:rsidRPr="0065313A" w:rsidRDefault="00387A07" w:rsidP="00387A07">
            <w:r w:rsidRPr="0065313A">
              <w:t>Solvent displacement</w:t>
            </w:r>
          </w:p>
        </w:tc>
        <w:tc>
          <w:tcPr>
            <w:tcW w:w="992" w:type="dxa"/>
            <w:tcBorders>
              <w:top w:val="nil"/>
              <w:left w:val="nil"/>
              <w:bottom w:val="nil"/>
              <w:right w:val="nil"/>
            </w:tcBorders>
            <w:shd w:val="clear" w:color="auto" w:fill="F2F2F2"/>
          </w:tcPr>
          <w:p w:rsidR="00387A07" w:rsidRPr="0065313A" w:rsidRDefault="00387A07" w:rsidP="00387A07">
            <w:r w:rsidRPr="0065313A">
              <w:t>260</w:t>
            </w:r>
          </w:p>
        </w:tc>
        <w:tc>
          <w:tcPr>
            <w:tcW w:w="709" w:type="dxa"/>
            <w:tcBorders>
              <w:top w:val="nil"/>
              <w:left w:val="nil"/>
              <w:bottom w:val="nil"/>
              <w:right w:val="nil"/>
            </w:tcBorders>
            <w:shd w:val="clear" w:color="auto" w:fill="F2F2F2"/>
          </w:tcPr>
          <w:p w:rsidR="00387A07" w:rsidRPr="0065313A" w:rsidRDefault="00387A07" w:rsidP="00387A07">
            <w:r w:rsidRPr="0065313A">
              <w:t>[122]</w:t>
            </w:r>
          </w:p>
        </w:tc>
      </w:tr>
      <w:tr w:rsidR="00387A07" w:rsidRPr="0065313A" w:rsidTr="00387A07">
        <w:trPr>
          <w:jc w:val="center"/>
        </w:trPr>
        <w:tc>
          <w:tcPr>
            <w:tcW w:w="1242" w:type="dxa"/>
            <w:vMerge/>
            <w:tcBorders>
              <w:top w:val="nil"/>
              <w:left w:val="nil"/>
              <w:right w:val="nil"/>
            </w:tcBorders>
            <w:shd w:val="clear" w:color="auto" w:fill="F2F2F2"/>
          </w:tcPr>
          <w:p w:rsidR="00387A07" w:rsidRPr="0065313A" w:rsidRDefault="00387A07" w:rsidP="00387A07"/>
        </w:tc>
        <w:tc>
          <w:tcPr>
            <w:tcW w:w="1701" w:type="dxa"/>
            <w:tcBorders>
              <w:top w:val="nil"/>
              <w:left w:val="nil"/>
              <w:right w:val="nil"/>
            </w:tcBorders>
            <w:shd w:val="clear" w:color="auto" w:fill="F2F2F2"/>
          </w:tcPr>
          <w:p w:rsidR="00387A07" w:rsidRPr="0065313A" w:rsidRDefault="00387A07" w:rsidP="00387A07">
            <w:r w:rsidRPr="0065313A">
              <w:t>Diclofenac</w:t>
            </w:r>
          </w:p>
        </w:tc>
        <w:tc>
          <w:tcPr>
            <w:tcW w:w="851" w:type="dxa"/>
            <w:tcBorders>
              <w:top w:val="nil"/>
              <w:left w:val="nil"/>
              <w:right w:val="nil"/>
            </w:tcBorders>
            <w:shd w:val="clear" w:color="auto" w:fill="F2F2F2"/>
          </w:tcPr>
          <w:p w:rsidR="00387A07" w:rsidRPr="0065313A" w:rsidRDefault="00387A07" w:rsidP="00387A07">
            <w:r w:rsidRPr="0065313A">
              <w:t>100%</w:t>
            </w:r>
          </w:p>
        </w:tc>
        <w:tc>
          <w:tcPr>
            <w:tcW w:w="2410" w:type="dxa"/>
            <w:tcBorders>
              <w:top w:val="nil"/>
              <w:left w:val="nil"/>
              <w:right w:val="nil"/>
            </w:tcBorders>
            <w:shd w:val="clear" w:color="auto" w:fill="F2F2F2"/>
          </w:tcPr>
          <w:p w:rsidR="00387A07" w:rsidRPr="0065313A" w:rsidRDefault="00387A07" w:rsidP="00387A07">
            <w:r w:rsidRPr="0065313A">
              <w:t>Solvent Displacement</w:t>
            </w:r>
          </w:p>
        </w:tc>
        <w:tc>
          <w:tcPr>
            <w:tcW w:w="992" w:type="dxa"/>
            <w:tcBorders>
              <w:top w:val="nil"/>
              <w:left w:val="nil"/>
              <w:right w:val="nil"/>
            </w:tcBorders>
            <w:shd w:val="clear" w:color="auto" w:fill="F2F2F2"/>
          </w:tcPr>
          <w:p w:rsidR="00387A07" w:rsidRPr="0065313A" w:rsidRDefault="00387A07" w:rsidP="00387A07">
            <w:r w:rsidRPr="0065313A">
              <w:t>189-234</w:t>
            </w:r>
          </w:p>
        </w:tc>
        <w:tc>
          <w:tcPr>
            <w:tcW w:w="709" w:type="dxa"/>
            <w:tcBorders>
              <w:top w:val="nil"/>
              <w:left w:val="nil"/>
              <w:right w:val="nil"/>
            </w:tcBorders>
            <w:shd w:val="clear" w:color="auto" w:fill="F2F2F2"/>
          </w:tcPr>
          <w:p w:rsidR="00387A07" w:rsidRPr="0065313A" w:rsidRDefault="00387A07" w:rsidP="00387A07">
            <w:r w:rsidRPr="0065313A">
              <w:t>[123]</w:t>
            </w:r>
          </w:p>
        </w:tc>
      </w:tr>
    </w:tbl>
    <w:p w:rsidR="00387A07" w:rsidRPr="0065313A" w:rsidRDefault="00387A07" w:rsidP="00387A07">
      <w:pPr>
        <w:pStyle w:val="Didascalia"/>
        <w:spacing w:before="120"/>
      </w:pPr>
      <w:r w:rsidRPr="0065313A">
        <w:t xml:space="preserve">Table 1. </w:t>
      </w:r>
      <w:fldSimple w:instr=" SEQ Table_1. \* ARABIC ">
        <w:r w:rsidRPr="0065313A">
          <w:rPr>
            <w:noProof/>
          </w:rPr>
          <w:t>6</w:t>
        </w:r>
      </w:fldSimple>
      <w:r w:rsidRPr="0065313A">
        <w:t xml:space="preserve"> Different drug nanoparticles formulations prepared with PLA as matrix-forming material</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The salting out method has been proposed for the preparation of PLA nanoparticles containing Savoxepine [119], a dopamine receptor antagonist, resulting in extended drug delivery over a period of one week and in high encapsulation efficiency (95%).</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The solvent evaporation method has been widely applied for the preparation of PLA nanoparticles, reporting fast release profiles. Hormones and other drugs have been encapsulated by this method: Matsumoto et al prepared progesterone loaded </w:t>
      </w:r>
      <w:r w:rsidRPr="0065313A">
        <w:rPr>
          <w:rFonts w:ascii="Arial" w:hAnsi="Arial" w:cs="Arial"/>
          <w:sz w:val="24"/>
          <w:szCs w:val="24"/>
          <w:lang w:val="en-US"/>
        </w:rPr>
        <w:lastRenderedPageBreak/>
        <w:t xml:space="preserve">nanoparticles with a PEG-PLA-PEG copolymer, reporting high encapsulation efficiency (70%) and small particles size, depending on the amount and molecular weight of the PEG chains [120].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Zhang and coworkers prepared nanoparticles with a PLA-TPGS copolymer for the encapsulation of the anti-cancer drug Paclitaxel, by the solvent extraction evaporation method. They reported small particles size (300nm) and high encapsulation efficiency (80%) [</w:t>
      </w:r>
      <w:r w:rsidRPr="0065313A">
        <w:rPr>
          <w:rFonts w:ascii="Arial" w:hAnsi="Arial" w:cs="Arial"/>
          <w:iCs/>
          <w:sz w:val="24"/>
          <w:szCs w:val="24"/>
          <w:lang w:val="en-US"/>
        </w:rPr>
        <w:t>122</w:t>
      </w:r>
      <w:r w:rsidRPr="0065313A">
        <w:rPr>
          <w:rFonts w:ascii="Arial" w:hAnsi="Arial" w:cs="Arial"/>
          <w:sz w:val="24"/>
          <w:szCs w:val="24"/>
          <w:lang w:val="en-US"/>
        </w:rPr>
        <w:t xml:space="preserve">]. </w:t>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1.4.2 Poly (D,L-lactide-co-glycolide) (PLGA)</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PLGA is one of the successfully used biodegradable polymer for the development of nanomedicine, since it undergoes hydrolysis in the body, producing biocompatible degradation monomers (lactic acid and glycolic acid). PLGA is an FDA approved amorphous copolymer of PLA and PGA (Poly glycolic acid), which easily dissolves in common organic solvents such as dichloromethane and ethyl acetate. The degradation rate in water is a function of the molecular weight and of the lactide:glycolide ratio [124] Higher glycolide content and lower molecular weight increase the degradation rate. </w:t>
      </w:r>
    </w:p>
    <w:p w:rsidR="00387A07" w:rsidRPr="0065313A" w:rsidRDefault="00387A07" w:rsidP="00387A07">
      <w:pPr>
        <w:spacing w:after="0" w:line="360" w:lineRule="auto"/>
        <w:jc w:val="center"/>
        <w:rPr>
          <w:rFonts w:ascii="Arial" w:hAnsi="Arial" w:cs="Arial"/>
          <w:sz w:val="24"/>
          <w:szCs w:val="24"/>
          <w:lang w:val="en-US"/>
        </w:rPr>
      </w:pPr>
      <w:r w:rsidRPr="0065313A">
        <w:rPr>
          <w:rFonts w:ascii="Arial" w:hAnsi="Arial" w:cs="Arial"/>
          <w:noProof/>
          <w:sz w:val="24"/>
          <w:szCs w:val="24"/>
          <w:lang w:val="it-IT" w:eastAsia="it-IT"/>
        </w:rPr>
        <w:drawing>
          <wp:inline distT="0" distB="0" distL="0" distR="0">
            <wp:extent cx="4314825" cy="1933575"/>
            <wp:effectExtent l="19050" t="0" r="9525" b="0"/>
            <wp:docPr id="35"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
                    <pic:cNvPicPr>
                      <a:picLocks noChangeAspect="1" noChangeArrowheads="1"/>
                    </pic:cNvPicPr>
                  </pic:nvPicPr>
                  <pic:blipFill>
                    <a:blip r:embed="rId19"/>
                    <a:srcRect/>
                    <a:stretch>
                      <a:fillRect/>
                    </a:stretch>
                  </pic:blipFill>
                  <pic:spPr bwMode="auto">
                    <a:xfrm>
                      <a:off x="0" y="0"/>
                      <a:ext cx="4314825" cy="1933575"/>
                    </a:xfrm>
                    <a:prstGeom prst="rect">
                      <a:avLst/>
                    </a:prstGeom>
                    <a:noFill/>
                    <a:ln w="9525">
                      <a:noFill/>
                      <a:miter lim="800000"/>
                      <a:headEnd/>
                      <a:tailEnd/>
                    </a:ln>
                  </pic:spPr>
                </pic:pic>
              </a:graphicData>
            </a:graphic>
          </wp:inline>
        </w:drawing>
      </w:r>
    </w:p>
    <w:p w:rsidR="00387A07" w:rsidRPr="0065313A" w:rsidRDefault="00387A07" w:rsidP="00387A07">
      <w:pPr>
        <w:spacing w:line="360" w:lineRule="auto"/>
        <w:rPr>
          <w:rFonts w:ascii="Arial" w:hAnsi="Arial" w:cs="Arial"/>
          <w:b/>
          <w:color w:val="4F81BD"/>
          <w:sz w:val="18"/>
          <w:szCs w:val="18"/>
          <w:lang w:val="en-US"/>
        </w:rPr>
      </w:pPr>
      <w:r w:rsidRPr="0065313A">
        <w:rPr>
          <w:rFonts w:ascii="Arial" w:hAnsi="Arial" w:cs="Arial"/>
          <w:b/>
          <w:color w:val="4F81BD"/>
          <w:sz w:val="18"/>
          <w:szCs w:val="18"/>
          <w:lang w:val="en-US"/>
        </w:rPr>
        <w:t>Kumari A. et al 2010 Colloids and Surfaces B: Biointerfaces 75:1</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PLGA nanoparticles have been prepared for the encapsulation of both hydrophilic and hydrophobic formulations mostly by Single or Double Emulsion Solvent Evaporation technique and by the Solvent Displacement method.</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PLGA has been used to encapsulate various anticancer formulations like Paclitaxel, Xanathones, Cisplatin and Doxorubicin (see table 1.7).</w:t>
      </w:r>
    </w:p>
    <w:p w:rsidR="00387A07"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Fonseca and co-workers used the solvent displacement method to prepare small (size &lt;200nm) and spherical Paclitaxel-loaded PLGA nanoparticles. Particles showed a high </w:t>
      </w:r>
      <w:r w:rsidRPr="0065313A">
        <w:rPr>
          <w:rFonts w:ascii="Arial" w:hAnsi="Arial" w:cs="Arial"/>
          <w:sz w:val="24"/>
          <w:szCs w:val="24"/>
          <w:lang w:val="en-US"/>
        </w:rPr>
        <w:lastRenderedPageBreak/>
        <w:t>encapsulation efficiency (higher than 90%) and a bi-phasic release profile with an initial burst effect (50%) followed by a slow continuous release [125].</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Moreno et al prepared Cisplatin-loaded PLGA nanoparticles (200nm) by the w/o/w double emulsion technique. Encapsulation efficiency was 11% and the release profile followed a linear kinetic, after a 20% burst release [126].</w:t>
      </w:r>
    </w:p>
    <w:p w:rsidR="00387A07" w:rsidRPr="0065313A" w:rsidRDefault="00387A07" w:rsidP="00387A07">
      <w:pPr>
        <w:spacing w:after="120" w:line="360" w:lineRule="auto"/>
        <w:jc w:val="both"/>
        <w:rPr>
          <w:rFonts w:ascii="Arial" w:hAnsi="Arial" w:cs="Arial"/>
          <w:sz w:val="24"/>
          <w:szCs w:val="24"/>
          <w:lang w:val="en-US"/>
        </w:rPr>
      </w:pPr>
      <w:r w:rsidRPr="0065313A">
        <w:rPr>
          <w:rFonts w:ascii="Arial" w:hAnsi="Arial" w:cs="Arial"/>
          <w:sz w:val="24"/>
          <w:szCs w:val="24"/>
          <w:lang w:val="en-US"/>
        </w:rPr>
        <w:t xml:space="preserve">Other drugs, like Insulin, antibiotics, hormones and proteins have also been encapsulated into PLGA nanoparticles. </w:t>
      </w:r>
    </w:p>
    <w:tbl>
      <w:tblPr>
        <w:tblW w:w="8570" w:type="dxa"/>
        <w:jc w:val="center"/>
        <w:tblLayout w:type="fixed"/>
        <w:tblLook w:val="00A0"/>
      </w:tblPr>
      <w:tblGrid>
        <w:gridCol w:w="1242"/>
        <w:gridCol w:w="1701"/>
        <w:gridCol w:w="1233"/>
        <w:gridCol w:w="2520"/>
        <w:gridCol w:w="1134"/>
        <w:gridCol w:w="740"/>
      </w:tblGrid>
      <w:tr w:rsidR="00387A07" w:rsidRPr="0065313A" w:rsidTr="00387A07">
        <w:trPr>
          <w:jc w:val="center"/>
        </w:trPr>
        <w:tc>
          <w:tcPr>
            <w:tcW w:w="1242"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Polymer</w:t>
            </w:r>
          </w:p>
        </w:tc>
        <w:tc>
          <w:tcPr>
            <w:tcW w:w="1701"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Encapsulant</w:t>
            </w:r>
          </w:p>
        </w:tc>
        <w:tc>
          <w:tcPr>
            <w:tcW w:w="1233"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EE</w:t>
            </w:r>
          </w:p>
        </w:tc>
        <w:tc>
          <w:tcPr>
            <w:tcW w:w="2520"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Method</w:t>
            </w:r>
          </w:p>
        </w:tc>
        <w:tc>
          <w:tcPr>
            <w:tcW w:w="1134"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Size (nm)</w:t>
            </w:r>
          </w:p>
        </w:tc>
        <w:tc>
          <w:tcPr>
            <w:tcW w:w="740"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Ref</w:t>
            </w:r>
          </w:p>
        </w:tc>
      </w:tr>
      <w:tr w:rsidR="00387A07" w:rsidRPr="0065313A" w:rsidTr="00387A07">
        <w:trPr>
          <w:jc w:val="center"/>
        </w:trPr>
        <w:tc>
          <w:tcPr>
            <w:tcW w:w="1242" w:type="dxa"/>
            <w:vMerge w:val="restart"/>
            <w:tcBorders>
              <w:left w:val="nil"/>
              <w:right w:val="nil"/>
            </w:tcBorders>
            <w:shd w:val="clear" w:color="auto" w:fill="F2F2F2"/>
          </w:tcPr>
          <w:p w:rsidR="00387A07" w:rsidRPr="0065313A" w:rsidRDefault="00387A07" w:rsidP="00387A07">
            <w:r w:rsidRPr="0065313A">
              <w:t>PLGA</w:t>
            </w:r>
          </w:p>
          <w:p w:rsidR="00387A07" w:rsidRPr="0065313A" w:rsidRDefault="00387A07" w:rsidP="00387A07"/>
          <w:p w:rsidR="00387A07" w:rsidRPr="0065313A" w:rsidRDefault="00387A07" w:rsidP="00387A07"/>
          <w:p w:rsidR="00387A07" w:rsidRPr="0065313A" w:rsidRDefault="00387A07" w:rsidP="00387A07">
            <w:r w:rsidRPr="0065313A">
              <w:rPr>
                <w:rFonts w:ascii="Arial" w:hAnsi="Arial" w:cs="Arial"/>
                <w:b/>
                <w:noProof/>
                <w:sz w:val="24"/>
                <w:szCs w:val="24"/>
                <w:lang w:val="it-IT" w:eastAsia="it-IT"/>
              </w:rPr>
              <w:drawing>
                <wp:inline distT="0" distB="0" distL="0" distR="0">
                  <wp:extent cx="666750" cy="561975"/>
                  <wp:effectExtent l="19050" t="0" r="0" b="0"/>
                  <wp:docPr id="31"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3"/>
                          <pic:cNvPicPr>
                            <a:picLocks noChangeAspect="1" noChangeArrowheads="1"/>
                          </pic:cNvPicPr>
                        </pic:nvPicPr>
                        <pic:blipFill>
                          <a:blip r:embed="rId20"/>
                          <a:srcRect l="11362" r="18716"/>
                          <a:stretch>
                            <a:fillRect/>
                          </a:stretch>
                        </pic:blipFill>
                        <pic:spPr bwMode="auto">
                          <a:xfrm>
                            <a:off x="0" y="0"/>
                            <a:ext cx="666750" cy="561975"/>
                          </a:xfrm>
                          <a:prstGeom prst="rect">
                            <a:avLst/>
                          </a:prstGeom>
                          <a:noFill/>
                          <a:ln w="9525">
                            <a:noFill/>
                            <a:miter lim="800000"/>
                            <a:headEnd/>
                            <a:tailEnd/>
                          </a:ln>
                        </pic:spPr>
                      </pic:pic>
                    </a:graphicData>
                  </a:graphic>
                </wp:inline>
              </w:drawing>
            </w:r>
          </w:p>
        </w:tc>
        <w:tc>
          <w:tcPr>
            <w:tcW w:w="1701" w:type="dxa"/>
            <w:tcBorders>
              <w:left w:val="nil"/>
              <w:bottom w:val="nil"/>
              <w:right w:val="nil"/>
            </w:tcBorders>
            <w:shd w:val="clear" w:color="auto" w:fill="F2F2F2"/>
          </w:tcPr>
          <w:p w:rsidR="00387A07" w:rsidRPr="0065313A" w:rsidRDefault="00387A07" w:rsidP="00387A07">
            <w:r w:rsidRPr="0065313A">
              <w:t>Paclitaxel</w:t>
            </w:r>
          </w:p>
        </w:tc>
        <w:tc>
          <w:tcPr>
            <w:tcW w:w="1233" w:type="dxa"/>
            <w:tcBorders>
              <w:left w:val="nil"/>
              <w:bottom w:val="nil"/>
              <w:right w:val="nil"/>
            </w:tcBorders>
            <w:shd w:val="clear" w:color="auto" w:fill="F2F2F2"/>
          </w:tcPr>
          <w:p w:rsidR="00387A07" w:rsidRPr="0065313A" w:rsidRDefault="00387A07" w:rsidP="00387A07">
            <w:r w:rsidRPr="0065313A">
              <w:t>90%</w:t>
            </w:r>
          </w:p>
        </w:tc>
        <w:tc>
          <w:tcPr>
            <w:tcW w:w="2520" w:type="dxa"/>
            <w:tcBorders>
              <w:left w:val="nil"/>
              <w:bottom w:val="nil"/>
              <w:right w:val="nil"/>
            </w:tcBorders>
            <w:shd w:val="clear" w:color="auto" w:fill="F2F2F2"/>
          </w:tcPr>
          <w:p w:rsidR="00387A07" w:rsidRPr="0065313A" w:rsidRDefault="00387A07" w:rsidP="00387A07">
            <w:r w:rsidRPr="0065313A">
              <w:t>Solvent displacement</w:t>
            </w:r>
          </w:p>
        </w:tc>
        <w:tc>
          <w:tcPr>
            <w:tcW w:w="1134" w:type="dxa"/>
            <w:tcBorders>
              <w:left w:val="nil"/>
              <w:bottom w:val="nil"/>
              <w:right w:val="nil"/>
            </w:tcBorders>
            <w:shd w:val="clear" w:color="auto" w:fill="F2F2F2"/>
          </w:tcPr>
          <w:p w:rsidR="00387A07" w:rsidRPr="0065313A" w:rsidRDefault="00387A07" w:rsidP="00387A07">
            <w:r w:rsidRPr="0065313A">
              <w:t>200</w:t>
            </w:r>
          </w:p>
        </w:tc>
        <w:tc>
          <w:tcPr>
            <w:tcW w:w="740" w:type="dxa"/>
            <w:tcBorders>
              <w:left w:val="nil"/>
              <w:bottom w:val="nil"/>
              <w:right w:val="nil"/>
            </w:tcBorders>
            <w:shd w:val="clear" w:color="auto" w:fill="F2F2F2"/>
          </w:tcPr>
          <w:p w:rsidR="00387A07" w:rsidRPr="0065313A" w:rsidRDefault="00387A07" w:rsidP="00387A07">
            <w:r w:rsidRPr="0065313A">
              <w:t>[125]</w:t>
            </w:r>
          </w:p>
        </w:tc>
      </w:tr>
      <w:tr w:rsidR="00387A07" w:rsidRPr="0065313A" w:rsidTr="00387A07">
        <w:trPr>
          <w:jc w:val="center"/>
        </w:trPr>
        <w:tc>
          <w:tcPr>
            <w:tcW w:w="1242" w:type="dxa"/>
            <w:vMerge/>
            <w:tcBorders>
              <w:left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Estradiol</w:t>
            </w:r>
          </w:p>
        </w:tc>
        <w:tc>
          <w:tcPr>
            <w:tcW w:w="1233" w:type="dxa"/>
            <w:tcBorders>
              <w:top w:val="nil"/>
              <w:left w:val="nil"/>
              <w:bottom w:val="nil"/>
              <w:right w:val="nil"/>
            </w:tcBorders>
            <w:shd w:val="clear" w:color="auto" w:fill="F2F2F2"/>
          </w:tcPr>
          <w:p w:rsidR="00387A07" w:rsidRPr="0065313A" w:rsidRDefault="00387A07" w:rsidP="00387A07">
            <w:r w:rsidRPr="0065313A">
              <w:t>51,3-67,8%</w:t>
            </w:r>
          </w:p>
        </w:tc>
        <w:tc>
          <w:tcPr>
            <w:tcW w:w="2520" w:type="dxa"/>
            <w:tcBorders>
              <w:top w:val="nil"/>
              <w:left w:val="nil"/>
              <w:bottom w:val="nil"/>
              <w:right w:val="nil"/>
            </w:tcBorders>
            <w:shd w:val="clear" w:color="auto" w:fill="F2F2F2"/>
          </w:tcPr>
          <w:p w:rsidR="00387A07" w:rsidRPr="0065313A" w:rsidRDefault="00387A07" w:rsidP="00387A07">
            <w:r w:rsidRPr="0065313A">
              <w:t>Modified single emulsion</w:t>
            </w:r>
          </w:p>
        </w:tc>
        <w:tc>
          <w:tcPr>
            <w:tcW w:w="1134" w:type="dxa"/>
            <w:tcBorders>
              <w:top w:val="nil"/>
              <w:left w:val="nil"/>
              <w:bottom w:val="nil"/>
              <w:right w:val="nil"/>
            </w:tcBorders>
            <w:shd w:val="clear" w:color="auto" w:fill="F2F2F2"/>
          </w:tcPr>
          <w:p w:rsidR="00387A07" w:rsidRPr="0065313A" w:rsidRDefault="00387A07" w:rsidP="00387A07">
            <w:r w:rsidRPr="0065313A">
              <w:t>104-155</w:t>
            </w:r>
          </w:p>
        </w:tc>
        <w:tc>
          <w:tcPr>
            <w:tcW w:w="740" w:type="dxa"/>
            <w:tcBorders>
              <w:top w:val="nil"/>
              <w:left w:val="nil"/>
              <w:bottom w:val="nil"/>
              <w:right w:val="nil"/>
            </w:tcBorders>
            <w:shd w:val="clear" w:color="auto" w:fill="F2F2F2"/>
          </w:tcPr>
          <w:p w:rsidR="00387A07" w:rsidRPr="0065313A" w:rsidRDefault="00387A07" w:rsidP="00387A07">
            <w:r w:rsidRPr="0065313A">
              <w:t>[127]</w:t>
            </w:r>
          </w:p>
        </w:tc>
      </w:tr>
      <w:tr w:rsidR="00387A07" w:rsidRPr="0065313A" w:rsidTr="00387A07">
        <w:trPr>
          <w:jc w:val="center"/>
        </w:trPr>
        <w:tc>
          <w:tcPr>
            <w:tcW w:w="1242" w:type="dxa"/>
            <w:vMerge/>
            <w:tcBorders>
              <w:left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Insulin</w:t>
            </w:r>
          </w:p>
        </w:tc>
        <w:tc>
          <w:tcPr>
            <w:tcW w:w="1233" w:type="dxa"/>
            <w:tcBorders>
              <w:top w:val="nil"/>
              <w:left w:val="nil"/>
              <w:bottom w:val="nil"/>
              <w:right w:val="nil"/>
            </w:tcBorders>
            <w:shd w:val="clear" w:color="auto" w:fill="F2F2F2"/>
          </w:tcPr>
          <w:p w:rsidR="00387A07" w:rsidRPr="0065313A" w:rsidRDefault="00387A07" w:rsidP="00387A07">
            <w:r w:rsidRPr="0065313A">
              <w:t>80%</w:t>
            </w:r>
          </w:p>
        </w:tc>
        <w:tc>
          <w:tcPr>
            <w:tcW w:w="2520" w:type="dxa"/>
            <w:tcBorders>
              <w:top w:val="nil"/>
              <w:left w:val="nil"/>
              <w:bottom w:val="nil"/>
              <w:right w:val="nil"/>
            </w:tcBorders>
            <w:shd w:val="clear" w:color="auto" w:fill="F2F2F2"/>
          </w:tcPr>
          <w:p w:rsidR="00387A07" w:rsidRPr="0065313A" w:rsidRDefault="00387A07" w:rsidP="00387A07">
            <w:r w:rsidRPr="0065313A">
              <w:t>Double emulsion</w:t>
            </w:r>
          </w:p>
        </w:tc>
        <w:tc>
          <w:tcPr>
            <w:tcW w:w="1134" w:type="dxa"/>
            <w:tcBorders>
              <w:top w:val="nil"/>
              <w:left w:val="nil"/>
              <w:bottom w:val="nil"/>
              <w:right w:val="nil"/>
            </w:tcBorders>
            <w:shd w:val="clear" w:color="auto" w:fill="F2F2F2"/>
          </w:tcPr>
          <w:p w:rsidR="00387A07" w:rsidRPr="0065313A" w:rsidRDefault="00387A07" w:rsidP="00387A07">
            <w:r w:rsidRPr="0065313A">
              <w:t>&gt;1000</w:t>
            </w:r>
          </w:p>
        </w:tc>
        <w:tc>
          <w:tcPr>
            <w:tcW w:w="740" w:type="dxa"/>
            <w:tcBorders>
              <w:top w:val="nil"/>
              <w:left w:val="nil"/>
              <w:bottom w:val="nil"/>
              <w:right w:val="nil"/>
            </w:tcBorders>
            <w:shd w:val="clear" w:color="auto" w:fill="F2F2F2"/>
          </w:tcPr>
          <w:p w:rsidR="00387A07" w:rsidRPr="0065313A" w:rsidRDefault="00387A07" w:rsidP="00387A07">
            <w:r w:rsidRPr="0065313A">
              <w:t>[128]</w:t>
            </w:r>
          </w:p>
        </w:tc>
      </w:tr>
      <w:tr w:rsidR="00387A07" w:rsidRPr="0065313A" w:rsidTr="00387A07">
        <w:trPr>
          <w:jc w:val="center"/>
        </w:trPr>
        <w:tc>
          <w:tcPr>
            <w:tcW w:w="1242" w:type="dxa"/>
            <w:vMerge/>
            <w:tcBorders>
              <w:left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Xanthones</w:t>
            </w:r>
          </w:p>
        </w:tc>
        <w:tc>
          <w:tcPr>
            <w:tcW w:w="1233" w:type="dxa"/>
            <w:tcBorders>
              <w:top w:val="nil"/>
              <w:left w:val="nil"/>
              <w:bottom w:val="nil"/>
              <w:right w:val="nil"/>
            </w:tcBorders>
            <w:shd w:val="clear" w:color="auto" w:fill="F2F2F2"/>
          </w:tcPr>
          <w:p w:rsidR="00387A07" w:rsidRPr="0065313A" w:rsidRDefault="00387A07" w:rsidP="00387A07">
            <w:r w:rsidRPr="0065313A">
              <w:t>26-33%</w:t>
            </w:r>
          </w:p>
        </w:tc>
        <w:tc>
          <w:tcPr>
            <w:tcW w:w="2520" w:type="dxa"/>
            <w:tcBorders>
              <w:top w:val="nil"/>
              <w:left w:val="nil"/>
              <w:bottom w:val="nil"/>
              <w:right w:val="nil"/>
            </w:tcBorders>
            <w:shd w:val="clear" w:color="auto" w:fill="F2F2F2"/>
          </w:tcPr>
          <w:p w:rsidR="00387A07" w:rsidRPr="0065313A" w:rsidRDefault="00387A07" w:rsidP="00387A07">
            <w:r w:rsidRPr="0065313A">
              <w:t>Single emulsion</w:t>
            </w:r>
          </w:p>
        </w:tc>
        <w:tc>
          <w:tcPr>
            <w:tcW w:w="1134" w:type="dxa"/>
            <w:tcBorders>
              <w:top w:val="nil"/>
              <w:left w:val="nil"/>
              <w:bottom w:val="nil"/>
              <w:right w:val="nil"/>
            </w:tcBorders>
            <w:shd w:val="clear" w:color="auto" w:fill="F2F2F2"/>
          </w:tcPr>
          <w:p w:rsidR="00387A07" w:rsidRPr="0065313A" w:rsidRDefault="00387A07" w:rsidP="00387A07">
            <w:r w:rsidRPr="0065313A">
              <w:t>164</w:t>
            </w:r>
          </w:p>
        </w:tc>
        <w:tc>
          <w:tcPr>
            <w:tcW w:w="740" w:type="dxa"/>
            <w:tcBorders>
              <w:top w:val="nil"/>
              <w:left w:val="nil"/>
              <w:bottom w:val="nil"/>
              <w:right w:val="nil"/>
            </w:tcBorders>
            <w:shd w:val="clear" w:color="auto" w:fill="F2F2F2"/>
          </w:tcPr>
          <w:p w:rsidR="00387A07" w:rsidRPr="0065313A" w:rsidRDefault="00387A07" w:rsidP="00387A07">
            <w:r w:rsidRPr="0065313A">
              <w:t>[129]</w:t>
            </w:r>
          </w:p>
        </w:tc>
      </w:tr>
      <w:tr w:rsidR="00387A07" w:rsidRPr="0065313A" w:rsidTr="00387A07">
        <w:trPr>
          <w:jc w:val="center"/>
        </w:trPr>
        <w:tc>
          <w:tcPr>
            <w:tcW w:w="1242" w:type="dxa"/>
            <w:vMerge/>
            <w:tcBorders>
              <w:left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Doxorubicin</w:t>
            </w:r>
          </w:p>
        </w:tc>
        <w:tc>
          <w:tcPr>
            <w:tcW w:w="1233" w:type="dxa"/>
            <w:tcBorders>
              <w:top w:val="nil"/>
              <w:left w:val="nil"/>
              <w:bottom w:val="nil"/>
              <w:right w:val="nil"/>
            </w:tcBorders>
            <w:shd w:val="clear" w:color="auto" w:fill="F2F2F2"/>
          </w:tcPr>
          <w:p w:rsidR="00387A07" w:rsidRPr="0065313A" w:rsidRDefault="00387A07" w:rsidP="00387A07">
            <w:r w:rsidRPr="0065313A">
              <w:t>95%</w:t>
            </w:r>
          </w:p>
        </w:tc>
        <w:tc>
          <w:tcPr>
            <w:tcW w:w="2520" w:type="dxa"/>
            <w:tcBorders>
              <w:top w:val="nil"/>
              <w:left w:val="nil"/>
              <w:bottom w:val="nil"/>
              <w:right w:val="nil"/>
            </w:tcBorders>
            <w:shd w:val="clear" w:color="auto" w:fill="F2F2F2"/>
          </w:tcPr>
          <w:p w:rsidR="00387A07" w:rsidRPr="0065313A" w:rsidRDefault="00387A07" w:rsidP="00387A07">
            <w:r w:rsidRPr="0065313A">
              <w:t>Single emulsion</w:t>
            </w:r>
          </w:p>
        </w:tc>
        <w:tc>
          <w:tcPr>
            <w:tcW w:w="1134" w:type="dxa"/>
            <w:tcBorders>
              <w:top w:val="nil"/>
              <w:left w:val="nil"/>
              <w:bottom w:val="nil"/>
              <w:right w:val="nil"/>
            </w:tcBorders>
            <w:shd w:val="clear" w:color="auto" w:fill="F2F2F2"/>
          </w:tcPr>
          <w:p w:rsidR="00387A07" w:rsidRPr="0065313A" w:rsidRDefault="00387A07" w:rsidP="00387A07">
            <w:r w:rsidRPr="0065313A">
              <w:t>280</w:t>
            </w:r>
          </w:p>
        </w:tc>
        <w:tc>
          <w:tcPr>
            <w:tcW w:w="740" w:type="dxa"/>
            <w:tcBorders>
              <w:top w:val="nil"/>
              <w:left w:val="nil"/>
              <w:bottom w:val="nil"/>
              <w:right w:val="nil"/>
            </w:tcBorders>
            <w:shd w:val="clear" w:color="auto" w:fill="F2F2F2"/>
          </w:tcPr>
          <w:p w:rsidR="00387A07" w:rsidRPr="0065313A" w:rsidRDefault="00387A07" w:rsidP="00387A07">
            <w:r w:rsidRPr="0065313A">
              <w:t>[130]</w:t>
            </w:r>
          </w:p>
        </w:tc>
      </w:tr>
      <w:tr w:rsidR="00387A07" w:rsidRPr="0065313A" w:rsidTr="00387A07">
        <w:trPr>
          <w:jc w:val="center"/>
        </w:trPr>
        <w:tc>
          <w:tcPr>
            <w:tcW w:w="1242" w:type="dxa"/>
            <w:vMerge/>
            <w:tcBorders>
              <w:left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Doxorubicin</w:t>
            </w:r>
          </w:p>
        </w:tc>
        <w:tc>
          <w:tcPr>
            <w:tcW w:w="1233" w:type="dxa"/>
            <w:tcBorders>
              <w:top w:val="nil"/>
              <w:left w:val="nil"/>
              <w:bottom w:val="nil"/>
              <w:right w:val="nil"/>
            </w:tcBorders>
            <w:shd w:val="clear" w:color="auto" w:fill="F2F2F2"/>
          </w:tcPr>
          <w:p w:rsidR="00387A07" w:rsidRPr="0065313A" w:rsidRDefault="00387A07" w:rsidP="00387A07">
            <w:r w:rsidRPr="0065313A">
              <w:t>67%</w:t>
            </w:r>
          </w:p>
        </w:tc>
        <w:tc>
          <w:tcPr>
            <w:tcW w:w="2520" w:type="dxa"/>
            <w:tcBorders>
              <w:top w:val="nil"/>
              <w:left w:val="nil"/>
              <w:bottom w:val="nil"/>
              <w:right w:val="nil"/>
            </w:tcBorders>
            <w:shd w:val="clear" w:color="auto" w:fill="F2F2F2"/>
          </w:tcPr>
          <w:p w:rsidR="00387A07" w:rsidRPr="0065313A" w:rsidRDefault="00387A07" w:rsidP="00387A07">
            <w:r w:rsidRPr="0065313A">
              <w:t>Double emulsion</w:t>
            </w:r>
          </w:p>
        </w:tc>
        <w:tc>
          <w:tcPr>
            <w:tcW w:w="1134" w:type="dxa"/>
            <w:tcBorders>
              <w:top w:val="nil"/>
              <w:left w:val="nil"/>
              <w:bottom w:val="nil"/>
              <w:right w:val="nil"/>
            </w:tcBorders>
            <w:shd w:val="clear" w:color="auto" w:fill="F2F2F2"/>
          </w:tcPr>
          <w:p w:rsidR="00387A07" w:rsidRPr="0065313A" w:rsidRDefault="00387A07" w:rsidP="00387A07">
            <w:r w:rsidRPr="0065313A">
              <w:t>316</w:t>
            </w:r>
          </w:p>
        </w:tc>
        <w:tc>
          <w:tcPr>
            <w:tcW w:w="740" w:type="dxa"/>
            <w:tcBorders>
              <w:top w:val="nil"/>
              <w:left w:val="nil"/>
              <w:bottom w:val="nil"/>
              <w:right w:val="nil"/>
            </w:tcBorders>
            <w:shd w:val="clear" w:color="auto" w:fill="F2F2F2"/>
          </w:tcPr>
          <w:p w:rsidR="00387A07" w:rsidRPr="0065313A" w:rsidRDefault="00387A07" w:rsidP="00387A07">
            <w:r w:rsidRPr="0065313A">
              <w:t>[130]</w:t>
            </w:r>
          </w:p>
        </w:tc>
      </w:tr>
      <w:tr w:rsidR="00387A07" w:rsidRPr="0065313A" w:rsidTr="00387A07">
        <w:trPr>
          <w:jc w:val="center"/>
        </w:trPr>
        <w:tc>
          <w:tcPr>
            <w:tcW w:w="1242" w:type="dxa"/>
            <w:vMerge/>
            <w:tcBorders>
              <w:left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BSA</w:t>
            </w:r>
          </w:p>
        </w:tc>
        <w:tc>
          <w:tcPr>
            <w:tcW w:w="1233" w:type="dxa"/>
            <w:tcBorders>
              <w:top w:val="nil"/>
              <w:left w:val="nil"/>
              <w:bottom w:val="nil"/>
              <w:right w:val="nil"/>
            </w:tcBorders>
            <w:shd w:val="clear" w:color="auto" w:fill="F2F2F2"/>
          </w:tcPr>
          <w:p w:rsidR="00387A07" w:rsidRPr="0065313A" w:rsidRDefault="00387A07" w:rsidP="00387A07">
            <w:r w:rsidRPr="0065313A">
              <w:t>95-98%</w:t>
            </w:r>
          </w:p>
        </w:tc>
        <w:tc>
          <w:tcPr>
            <w:tcW w:w="2520" w:type="dxa"/>
            <w:tcBorders>
              <w:top w:val="nil"/>
              <w:left w:val="nil"/>
              <w:bottom w:val="nil"/>
              <w:right w:val="nil"/>
            </w:tcBorders>
            <w:shd w:val="clear" w:color="auto" w:fill="F2F2F2"/>
          </w:tcPr>
          <w:p w:rsidR="00387A07" w:rsidRPr="0065313A" w:rsidRDefault="00387A07" w:rsidP="00387A07">
            <w:r w:rsidRPr="0065313A">
              <w:t>Double emulsion</w:t>
            </w:r>
          </w:p>
        </w:tc>
        <w:tc>
          <w:tcPr>
            <w:tcW w:w="1134" w:type="dxa"/>
            <w:tcBorders>
              <w:top w:val="nil"/>
              <w:left w:val="nil"/>
              <w:bottom w:val="nil"/>
              <w:right w:val="nil"/>
            </w:tcBorders>
            <w:shd w:val="clear" w:color="auto" w:fill="F2F2F2"/>
          </w:tcPr>
          <w:p w:rsidR="00387A07" w:rsidRPr="0065313A" w:rsidRDefault="00387A07" w:rsidP="00387A07">
            <w:r w:rsidRPr="0065313A">
              <w:t>200</w:t>
            </w:r>
          </w:p>
        </w:tc>
        <w:tc>
          <w:tcPr>
            <w:tcW w:w="740" w:type="dxa"/>
            <w:tcBorders>
              <w:top w:val="nil"/>
              <w:left w:val="nil"/>
              <w:bottom w:val="nil"/>
              <w:right w:val="nil"/>
            </w:tcBorders>
            <w:shd w:val="clear" w:color="auto" w:fill="F2F2F2"/>
          </w:tcPr>
          <w:p w:rsidR="00387A07" w:rsidRPr="0065313A" w:rsidRDefault="00387A07" w:rsidP="00387A07">
            <w:r w:rsidRPr="0065313A">
              <w:t>[131]</w:t>
            </w:r>
          </w:p>
        </w:tc>
      </w:tr>
      <w:tr w:rsidR="00387A07" w:rsidRPr="0065313A" w:rsidTr="00387A07">
        <w:trPr>
          <w:jc w:val="center"/>
        </w:trPr>
        <w:tc>
          <w:tcPr>
            <w:tcW w:w="1242" w:type="dxa"/>
            <w:vMerge/>
            <w:tcBorders>
              <w:left w:val="nil"/>
              <w:right w:val="nil"/>
            </w:tcBorders>
            <w:shd w:val="clear" w:color="auto" w:fill="F2F2F2"/>
          </w:tcPr>
          <w:p w:rsidR="00387A07" w:rsidRPr="0065313A" w:rsidRDefault="00387A07" w:rsidP="00387A07"/>
        </w:tc>
        <w:tc>
          <w:tcPr>
            <w:tcW w:w="1701" w:type="dxa"/>
            <w:tcBorders>
              <w:top w:val="nil"/>
              <w:left w:val="nil"/>
              <w:right w:val="nil"/>
            </w:tcBorders>
            <w:shd w:val="clear" w:color="auto" w:fill="F2F2F2"/>
          </w:tcPr>
          <w:p w:rsidR="00387A07" w:rsidRPr="0065313A" w:rsidRDefault="00387A07" w:rsidP="00387A07">
            <w:r w:rsidRPr="0065313A">
              <w:t>Cisplatin</w:t>
            </w:r>
          </w:p>
        </w:tc>
        <w:tc>
          <w:tcPr>
            <w:tcW w:w="1233" w:type="dxa"/>
            <w:tcBorders>
              <w:top w:val="nil"/>
              <w:left w:val="nil"/>
              <w:right w:val="nil"/>
            </w:tcBorders>
            <w:shd w:val="clear" w:color="auto" w:fill="F2F2F2"/>
          </w:tcPr>
          <w:p w:rsidR="00387A07" w:rsidRPr="0065313A" w:rsidRDefault="00387A07" w:rsidP="00387A07">
            <w:r w:rsidRPr="0065313A">
              <w:t>11%</w:t>
            </w:r>
          </w:p>
        </w:tc>
        <w:tc>
          <w:tcPr>
            <w:tcW w:w="2520" w:type="dxa"/>
            <w:tcBorders>
              <w:top w:val="nil"/>
              <w:left w:val="nil"/>
              <w:right w:val="nil"/>
            </w:tcBorders>
            <w:shd w:val="clear" w:color="auto" w:fill="F2F2F2"/>
          </w:tcPr>
          <w:p w:rsidR="00387A07" w:rsidRPr="0065313A" w:rsidRDefault="00387A07" w:rsidP="00387A07">
            <w:r w:rsidRPr="0065313A">
              <w:t>Double emulsion</w:t>
            </w:r>
          </w:p>
        </w:tc>
        <w:tc>
          <w:tcPr>
            <w:tcW w:w="1134" w:type="dxa"/>
            <w:tcBorders>
              <w:top w:val="nil"/>
              <w:left w:val="nil"/>
              <w:right w:val="nil"/>
            </w:tcBorders>
            <w:shd w:val="clear" w:color="auto" w:fill="F2F2F2"/>
          </w:tcPr>
          <w:p w:rsidR="00387A07" w:rsidRPr="0065313A" w:rsidRDefault="00387A07" w:rsidP="00387A07">
            <w:r w:rsidRPr="0065313A">
              <w:t>200</w:t>
            </w:r>
          </w:p>
        </w:tc>
        <w:tc>
          <w:tcPr>
            <w:tcW w:w="740" w:type="dxa"/>
            <w:tcBorders>
              <w:top w:val="nil"/>
              <w:left w:val="nil"/>
              <w:right w:val="nil"/>
            </w:tcBorders>
            <w:shd w:val="clear" w:color="auto" w:fill="F2F2F2"/>
          </w:tcPr>
          <w:p w:rsidR="00387A07" w:rsidRPr="0065313A" w:rsidRDefault="00387A07" w:rsidP="00387A07">
            <w:r w:rsidRPr="0065313A">
              <w:t>[126]</w:t>
            </w:r>
          </w:p>
        </w:tc>
      </w:tr>
    </w:tbl>
    <w:p w:rsidR="00387A07" w:rsidRPr="0065313A" w:rsidRDefault="00387A07" w:rsidP="00387A07">
      <w:pPr>
        <w:pStyle w:val="Didascalia"/>
        <w:spacing w:before="120"/>
        <w:rPr>
          <w:rFonts w:ascii="Arial" w:hAnsi="Arial" w:cs="Arial"/>
          <w:sz w:val="24"/>
          <w:szCs w:val="24"/>
          <w:lang w:val="en-US"/>
        </w:rPr>
      </w:pPr>
      <w:r w:rsidRPr="0065313A">
        <w:t xml:space="preserve">Table 1. </w:t>
      </w:r>
      <w:fldSimple w:instr=" SEQ Table_1. \* ARABIC ">
        <w:r w:rsidRPr="0065313A">
          <w:rPr>
            <w:noProof/>
          </w:rPr>
          <w:t>7</w:t>
        </w:r>
      </w:fldSimple>
      <w:r w:rsidRPr="0065313A">
        <w:t xml:space="preserve"> PLGA nanoparticles for the encapsulation of different drug formulations.</w:t>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1.4.3 Poly(ε-caprolactone)</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 xml:space="preserve">Poly(ε-caprolactone) (PCL) obtained by ring opening polymerisation of ε-caprolactone was first reported by Pitt et al. [132] for the controlled release of steroids and narcotic antagonists as well as to deliver opthalmic agents. PCL is a </w:t>
      </w:r>
      <w:r w:rsidRPr="0065313A">
        <w:rPr>
          <w:rFonts w:ascii="Arial" w:hAnsi="Arial" w:cs="Arial"/>
          <w:color w:val="000000"/>
          <w:sz w:val="24"/>
          <w:szCs w:val="24"/>
          <w:lang w:val="en-US"/>
        </w:rPr>
        <w:t>hydrophobic</w:t>
      </w:r>
      <w:r w:rsidRPr="0065313A">
        <w:rPr>
          <w:rFonts w:ascii="Arial" w:hAnsi="Arial" w:cs="Arial"/>
          <w:sz w:val="24"/>
          <w:szCs w:val="24"/>
          <w:lang w:val="en-US"/>
        </w:rPr>
        <w:t xml:space="preserve"> semi-crystalline polymer having a glass transition temperature of -60°C and a melting point ranging from 59 and 64°C [133]. </w:t>
      </w:r>
      <w:r w:rsidRPr="0065313A">
        <w:rPr>
          <w:rFonts w:ascii="Arial" w:hAnsi="Arial" w:cs="Arial"/>
          <w:color w:val="000000"/>
          <w:sz w:val="24"/>
          <w:szCs w:val="24"/>
          <w:lang w:val="en-US"/>
        </w:rPr>
        <w:t xml:space="preserve">Its crystallinity tends to decrease with increasing molecular weight. The good solubility of PCL, its low melting point and exceptional blend compatibility has stimulated extensive research into its potential application in the biomedical field </w:t>
      </w:r>
      <w:r w:rsidRPr="0065313A">
        <w:rPr>
          <w:rFonts w:ascii="Arial" w:hAnsi="Arial" w:cs="Arial"/>
          <w:color w:val="000077"/>
          <w:sz w:val="24"/>
          <w:szCs w:val="24"/>
          <w:lang w:val="en-US"/>
        </w:rPr>
        <w:t>[</w:t>
      </w:r>
      <w:r w:rsidRPr="0065313A">
        <w:rPr>
          <w:rFonts w:ascii="Arial" w:hAnsi="Arial" w:cs="Arial"/>
          <w:sz w:val="24"/>
          <w:szCs w:val="24"/>
          <w:lang w:val="en-US"/>
        </w:rPr>
        <w:t>134,135]</w:t>
      </w:r>
    </w:p>
    <w:p w:rsidR="00387A07" w:rsidRPr="0065313A" w:rsidRDefault="00387A07" w:rsidP="00387A07">
      <w:pPr>
        <w:autoSpaceDE w:val="0"/>
        <w:autoSpaceDN w:val="0"/>
        <w:adjustRightInd w:val="0"/>
        <w:spacing w:after="0" w:line="360" w:lineRule="auto"/>
        <w:jc w:val="both"/>
        <w:rPr>
          <w:rFonts w:ascii="Arial" w:hAnsi="Arial" w:cs="Arial"/>
          <w:color w:val="000000"/>
          <w:sz w:val="24"/>
          <w:szCs w:val="24"/>
          <w:lang w:val="en-US"/>
        </w:rPr>
      </w:pPr>
      <w:r w:rsidRPr="0065313A">
        <w:rPr>
          <w:rFonts w:ascii="Arial" w:hAnsi="Arial" w:cs="Arial"/>
          <w:color w:val="000000"/>
          <w:sz w:val="24"/>
          <w:szCs w:val="24"/>
          <w:lang w:val="en-US"/>
        </w:rPr>
        <w:t xml:space="preserve">PCL can be prepared by either ring opening polymerization of ε-caprolactone using a variety of anionic, cationic and coordination catalysts or via free radical ring opening polymerization of 2 methylene 1,3 dioxepane </w:t>
      </w:r>
      <w:r w:rsidRPr="0065313A">
        <w:rPr>
          <w:rFonts w:ascii="Arial" w:hAnsi="Arial" w:cs="Arial"/>
          <w:color w:val="000077"/>
          <w:sz w:val="24"/>
          <w:szCs w:val="24"/>
          <w:lang w:val="en-US"/>
        </w:rPr>
        <w:t>[</w:t>
      </w:r>
      <w:r w:rsidRPr="0065313A">
        <w:rPr>
          <w:rFonts w:ascii="Arial" w:hAnsi="Arial" w:cs="Arial"/>
          <w:sz w:val="24"/>
          <w:szCs w:val="24"/>
          <w:lang w:val="en-US"/>
        </w:rPr>
        <w:t>132</w:t>
      </w:r>
      <w:r w:rsidRPr="0065313A">
        <w:rPr>
          <w:rFonts w:ascii="Arial" w:hAnsi="Arial" w:cs="Arial"/>
          <w:color w:val="000077"/>
          <w:sz w:val="24"/>
          <w:szCs w:val="24"/>
          <w:lang w:val="en-US"/>
        </w:rPr>
        <w:t>]</w:t>
      </w:r>
      <w:r w:rsidRPr="0065313A">
        <w:rPr>
          <w:rFonts w:ascii="Arial" w:hAnsi="Arial" w:cs="Arial"/>
          <w:color w:val="000000"/>
          <w:sz w:val="24"/>
          <w:szCs w:val="24"/>
          <w:lang w:val="en-US"/>
        </w:rPr>
        <w:t xml:space="preserve">.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lastRenderedPageBreak/>
        <w:t xml:space="preserve">PCL is known to degrade by hydrolysis according to a bulk degradation mechanism and the rate of degradation is slower than that of other biodegradable polyesters, like PLA and PLGA. </w:t>
      </w:r>
    </w:p>
    <w:p w:rsidR="00387A07" w:rsidRPr="0065313A" w:rsidRDefault="00387A07" w:rsidP="00387A07">
      <w:pPr>
        <w:spacing w:after="120" w:line="360" w:lineRule="auto"/>
        <w:jc w:val="both"/>
        <w:rPr>
          <w:rFonts w:ascii="Arial" w:hAnsi="Arial" w:cs="Arial"/>
          <w:sz w:val="24"/>
          <w:szCs w:val="24"/>
          <w:lang w:val="en-US"/>
        </w:rPr>
      </w:pPr>
      <w:r w:rsidRPr="0065313A">
        <w:rPr>
          <w:rFonts w:ascii="Arial" w:hAnsi="Arial" w:cs="Arial"/>
          <w:sz w:val="24"/>
          <w:szCs w:val="24"/>
          <w:lang w:val="en-US"/>
        </w:rPr>
        <w:t>The degradation process proceeds according to two phases (see figure 1.8) [133]: (i) Initial loss of molecular weight due to chain scission and (ii) onset of weight loss. The process is auto catalytic, since the presence of free carboxylic acid end-groups catalyzes further hydrolysis of additional ester groups. A constant decrease in intrinsic viscosity and average molecular weight are observed during the first stage of degradation, while no weight loss can be detected. The second phase of degradation is characterized by a decrease in the rate of chain scission and the onset of weight loss, attributed to an increased probability of diffusion of small polymer chains out of the bulk material. In this stage an increase in crystallinity in also observed, since cleavage takes place preferably in the amorphous regions of the polymer.</w:t>
      </w:r>
    </w:p>
    <w:p w:rsidR="00387A07" w:rsidRPr="0065313A" w:rsidRDefault="00387A07" w:rsidP="00387A07">
      <w:pPr>
        <w:spacing w:after="0" w:line="360" w:lineRule="auto"/>
        <w:jc w:val="center"/>
        <w:rPr>
          <w:rFonts w:ascii="Arial" w:hAnsi="Arial" w:cs="Arial"/>
          <w:sz w:val="24"/>
          <w:szCs w:val="24"/>
          <w:lang w:val="en-US"/>
        </w:rPr>
      </w:pPr>
      <w:r w:rsidRPr="0065313A">
        <w:rPr>
          <w:rFonts w:ascii="Arial" w:hAnsi="Arial" w:cs="Arial"/>
          <w:noProof/>
          <w:sz w:val="24"/>
          <w:szCs w:val="24"/>
          <w:lang w:val="it-IT" w:eastAsia="it-IT"/>
        </w:rPr>
        <w:drawing>
          <wp:inline distT="0" distB="0" distL="0" distR="0">
            <wp:extent cx="5143500" cy="3686175"/>
            <wp:effectExtent l="19050" t="0" r="0" b="0"/>
            <wp:docPr id="30"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4"/>
                    <pic:cNvPicPr>
                      <a:picLocks noChangeAspect="1" noChangeArrowheads="1"/>
                    </pic:cNvPicPr>
                  </pic:nvPicPr>
                  <pic:blipFill>
                    <a:blip r:embed="rId21"/>
                    <a:srcRect b="24957"/>
                    <a:stretch>
                      <a:fillRect/>
                    </a:stretch>
                  </pic:blipFill>
                  <pic:spPr bwMode="auto">
                    <a:xfrm>
                      <a:off x="0" y="0"/>
                      <a:ext cx="5143500" cy="3686175"/>
                    </a:xfrm>
                    <a:prstGeom prst="rect">
                      <a:avLst/>
                    </a:prstGeom>
                    <a:noFill/>
                    <a:ln w="9525">
                      <a:noFill/>
                      <a:miter lim="800000"/>
                      <a:headEnd/>
                      <a:tailEnd/>
                    </a:ln>
                  </pic:spPr>
                </pic:pic>
              </a:graphicData>
            </a:graphic>
          </wp:inline>
        </w:drawing>
      </w:r>
    </w:p>
    <w:p w:rsidR="00387A07" w:rsidRPr="0065313A" w:rsidRDefault="00387A07" w:rsidP="00387A07">
      <w:pPr>
        <w:autoSpaceDE w:val="0"/>
        <w:autoSpaceDN w:val="0"/>
        <w:adjustRightInd w:val="0"/>
        <w:spacing w:line="240" w:lineRule="auto"/>
        <w:rPr>
          <w:rFonts w:cs="Calibri"/>
          <w:sz w:val="18"/>
          <w:szCs w:val="18"/>
          <w:lang w:val="en-US"/>
        </w:rPr>
      </w:pPr>
      <w:r w:rsidRPr="0065313A">
        <w:rPr>
          <w:rFonts w:cs="Calibri"/>
          <w:b/>
          <w:color w:val="4F81BD"/>
          <w:sz w:val="18"/>
          <w:szCs w:val="18"/>
        </w:rPr>
        <w:t xml:space="preserve">Figure 1. </w:t>
      </w:r>
      <w:r w:rsidR="00860AC7" w:rsidRPr="0065313A">
        <w:rPr>
          <w:rFonts w:cs="Calibri"/>
          <w:b/>
          <w:color w:val="4F81BD"/>
          <w:sz w:val="18"/>
          <w:szCs w:val="18"/>
        </w:rPr>
        <w:fldChar w:fldCharType="begin"/>
      </w:r>
      <w:r w:rsidRPr="0065313A">
        <w:rPr>
          <w:rFonts w:cs="Calibri"/>
          <w:b/>
          <w:color w:val="4F81BD"/>
          <w:sz w:val="18"/>
          <w:szCs w:val="18"/>
        </w:rPr>
        <w:instrText xml:space="preserve"> SEQ Figure_1. \* ARABIC </w:instrText>
      </w:r>
      <w:r w:rsidR="00860AC7" w:rsidRPr="0065313A">
        <w:rPr>
          <w:rFonts w:cs="Calibri"/>
          <w:b/>
          <w:color w:val="4F81BD"/>
          <w:sz w:val="18"/>
          <w:szCs w:val="18"/>
        </w:rPr>
        <w:fldChar w:fldCharType="separate"/>
      </w:r>
      <w:r w:rsidRPr="0065313A">
        <w:rPr>
          <w:rFonts w:cs="Calibri"/>
          <w:b/>
          <w:noProof/>
          <w:color w:val="4F81BD"/>
          <w:sz w:val="18"/>
          <w:szCs w:val="18"/>
        </w:rPr>
        <w:t>9</w:t>
      </w:r>
      <w:r w:rsidR="00860AC7" w:rsidRPr="0065313A">
        <w:rPr>
          <w:rFonts w:cs="Calibri"/>
          <w:b/>
          <w:color w:val="4F81BD"/>
          <w:sz w:val="18"/>
          <w:szCs w:val="18"/>
        </w:rPr>
        <w:fldChar w:fldCharType="end"/>
      </w:r>
      <w:r w:rsidRPr="0065313A">
        <w:rPr>
          <w:rFonts w:cs="Calibri"/>
          <w:b/>
          <w:color w:val="4F81BD"/>
          <w:sz w:val="18"/>
          <w:szCs w:val="18"/>
        </w:rPr>
        <w:t xml:space="preserve"> </w:t>
      </w:r>
      <w:r w:rsidRPr="0065313A">
        <w:rPr>
          <w:rFonts w:cs="Calibri"/>
          <w:b/>
          <w:color w:val="4F81BD"/>
          <w:sz w:val="18"/>
          <w:szCs w:val="18"/>
          <w:lang w:val="en-US"/>
        </w:rPr>
        <w:t>The degradation of PCL via hydrolysis intermediates 6hydroxyl caproic acid and acetyl coenzyme A, which are then eliminated from the body via the citric acid cycle (a). Schematic visualization of how crystalline fragmentation could have taken place(b). [136,137]</w:t>
      </w:r>
    </w:p>
    <w:p w:rsidR="00387A07" w:rsidRPr="0065313A" w:rsidRDefault="00387A07" w:rsidP="00387A07">
      <w:pPr>
        <w:spacing w:after="120" w:line="360" w:lineRule="auto"/>
        <w:jc w:val="both"/>
        <w:rPr>
          <w:rFonts w:ascii="Arial" w:hAnsi="Arial" w:cs="Arial"/>
          <w:sz w:val="24"/>
          <w:szCs w:val="24"/>
          <w:lang w:val="en-US"/>
        </w:rPr>
      </w:pPr>
      <w:r w:rsidRPr="0065313A">
        <w:rPr>
          <w:rFonts w:ascii="Arial" w:hAnsi="Arial" w:cs="Arial"/>
          <w:sz w:val="24"/>
          <w:szCs w:val="24"/>
          <w:lang w:val="en-US"/>
        </w:rPr>
        <w:t>PCL and its copolymers or blends have been used to prepare nanoparticles by different methods and for the encapsulation of numerous drugs (see table 1.8).</w:t>
      </w:r>
    </w:p>
    <w:p w:rsidR="00387A07" w:rsidRPr="0065313A" w:rsidRDefault="00387A07" w:rsidP="00387A07">
      <w:pPr>
        <w:spacing w:after="120" w:line="360" w:lineRule="auto"/>
        <w:jc w:val="both"/>
        <w:rPr>
          <w:rFonts w:ascii="Arial" w:hAnsi="Arial" w:cs="Arial"/>
          <w:sz w:val="24"/>
          <w:szCs w:val="24"/>
          <w:lang w:val="en-US"/>
        </w:rPr>
      </w:pPr>
    </w:p>
    <w:tbl>
      <w:tblPr>
        <w:tblW w:w="8330" w:type="dxa"/>
        <w:jc w:val="center"/>
        <w:tblLayout w:type="fixed"/>
        <w:tblLook w:val="00A0"/>
      </w:tblPr>
      <w:tblGrid>
        <w:gridCol w:w="1242"/>
        <w:gridCol w:w="1701"/>
        <w:gridCol w:w="851"/>
        <w:gridCol w:w="2410"/>
        <w:gridCol w:w="992"/>
        <w:gridCol w:w="1134"/>
      </w:tblGrid>
      <w:tr w:rsidR="00387A07" w:rsidRPr="0065313A" w:rsidTr="00387A07">
        <w:trPr>
          <w:jc w:val="center"/>
        </w:trPr>
        <w:tc>
          <w:tcPr>
            <w:tcW w:w="1242" w:type="dxa"/>
            <w:tcBorders>
              <w:left w:val="nil"/>
              <w:bottom w:val="single" w:sz="4" w:space="0" w:color="000000"/>
              <w:right w:val="nil"/>
            </w:tcBorders>
            <w:shd w:val="clear" w:color="auto" w:fill="F2F2F2"/>
          </w:tcPr>
          <w:p w:rsidR="00387A07" w:rsidRPr="0065313A" w:rsidRDefault="00387A07" w:rsidP="00387A07">
            <w:pPr>
              <w:rPr>
                <w:b/>
              </w:rPr>
            </w:pPr>
            <w:r w:rsidRPr="0065313A">
              <w:rPr>
                <w:b/>
              </w:rPr>
              <w:lastRenderedPageBreak/>
              <w:t>Polymer</w:t>
            </w:r>
          </w:p>
        </w:tc>
        <w:tc>
          <w:tcPr>
            <w:tcW w:w="1701"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Encapsulant</w:t>
            </w:r>
          </w:p>
        </w:tc>
        <w:tc>
          <w:tcPr>
            <w:tcW w:w="851"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EE</w:t>
            </w:r>
          </w:p>
        </w:tc>
        <w:tc>
          <w:tcPr>
            <w:tcW w:w="2410"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Method</w:t>
            </w:r>
          </w:p>
        </w:tc>
        <w:tc>
          <w:tcPr>
            <w:tcW w:w="992"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Size</w:t>
            </w:r>
          </w:p>
        </w:tc>
        <w:tc>
          <w:tcPr>
            <w:tcW w:w="1134" w:type="dxa"/>
            <w:tcBorders>
              <w:left w:val="nil"/>
              <w:bottom w:val="single" w:sz="4" w:space="0" w:color="000000"/>
              <w:right w:val="nil"/>
            </w:tcBorders>
            <w:shd w:val="clear" w:color="auto" w:fill="F2F2F2"/>
          </w:tcPr>
          <w:p w:rsidR="00387A07" w:rsidRPr="0065313A" w:rsidRDefault="00387A07" w:rsidP="00387A07">
            <w:pPr>
              <w:rPr>
                <w:b/>
              </w:rPr>
            </w:pPr>
            <w:r w:rsidRPr="0065313A">
              <w:rPr>
                <w:b/>
              </w:rPr>
              <w:t>Ref</w:t>
            </w:r>
          </w:p>
        </w:tc>
      </w:tr>
      <w:tr w:rsidR="00387A07" w:rsidRPr="0065313A" w:rsidTr="00387A07">
        <w:trPr>
          <w:jc w:val="center"/>
        </w:trPr>
        <w:tc>
          <w:tcPr>
            <w:tcW w:w="1242" w:type="dxa"/>
            <w:vMerge w:val="restart"/>
            <w:tcBorders>
              <w:left w:val="nil"/>
              <w:right w:val="nil"/>
            </w:tcBorders>
            <w:shd w:val="clear" w:color="auto" w:fill="F2F2F2"/>
          </w:tcPr>
          <w:p w:rsidR="00387A07" w:rsidRPr="0065313A" w:rsidRDefault="00387A07" w:rsidP="00387A07">
            <w:pPr>
              <w:jc w:val="center"/>
            </w:pPr>
            <w:r w:rsidRPr="0065313A">
              <w:t>PCL</w:t>
            </w:r>
          </w:p>
          <w:p w:rsidR="00387A07" w:rsidRPr="0065313A" w:rsidRDefault="00387A07" w:rsidP="00387A07">
            <w:pPr>
              <w:jc w:val="center"/>
            </w:pPr>
          </w:p>
          <w:p w:rsidR="00387A07" w:rsidRPr="0065313A" w:rsidRDefault="00387A07" w:rsidP="00387A07">
            <w:pPr>
              <w:jc w:val="center"/>
            </w:pPr>
            <w:r w:rsidRPr="0065313A">
              <w:rPr>
                <w:rFonts w:ascii="Arial" w:hAnsi="Arial" w:cs="Arial"/>
                <w:noProof/>
                <w:sz w:val="24"/>
                <w:szCs w:val="24"/>
                <w:lang w:val="it-IT" w:eastAsia="it-IT"/>
              </w:rPr>
              <w:drawing>
                <wp:inline distT="0" distB="0" distL="0" distR="0">
                  <wp:extent cx="638175" cy="342900"/>
                  <wp:effectExtent l="19050" t="0" r="9525" b="0"/>
                  <wp:docPr id="24"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srcRect l="6148" r="10428" b="16267"/>
                          <a:stretch>
                            <a:fillRect/>
                          </a:stretch>
                        </pic:blipFill>
                        <pic:spPr bwMode="auto">
                          <a:xfrm>
                            <a:off x="0" y="0"/>
                            <a:ext cx="638175" cy="342900"/>
                          </a:xfrm>
                          <a:prstGeom prst="rect">
                            <a:avLst/>
                          </a:prstGeom>
                          <a:noFill/>
                          <a:ln w="9525">
                            <a:noFill/>
                            <a:miter lim="800000"/>
                            <a:headEnd/>
                            <a:tailEnd/>
                          </a:ln>
                        </pic:spPr>
                      </pic:pic>
                    </a:graphicData>
                  </a:graphic>
                </wp:inline>
              </w:drawing>
            </w:r>
          </w:p>
        </w:tc>
        <w:tc>
          <w:tcPr>
            <w:tcW w:w="1701" w:type="dxa"/>
            <w:tcBorders>
              <w:left w:val="nil"/>
              <w:bottom w:val="nil"/>
              <w:right w:val="nil"/>
            </w:tcBorders>
            <w:shd w:val="clear" w:color="auto" w:fill="F2F2F2"/>
          </w:tcPr>
          <w:p w:rsidR="00387A07" w:rsidRPr="0065313A" w:rsidRDefault="00387A07" w:rsidP="00387A07">
            <w:r w:rsidRPr="0065313A">
              <w:t xml:space="preserve">Indomethacin </w:t>
            </w:r>
          </w:p>
        </w:tc>
        <w:tc>
          <w:tcPr>
            <w:tcW w:w="851" w:type="dxa"/>
            <w:tcBorders>
              <w:left w:val="nil"/>
              <w:bottom w:val="nil"/>
              <w:right w:val="nil"/>
            </w:tcBorders>
            <w:shd w:val="clear" w:color="auto" w:fill="F2F2F2"/>
          </w:tcPr>
          <w:p w:rsidR="00387A07" w:rsidRPr="0065313A" w:rsidRDefault="00387A07" w:rsidP="00387A07">
            <w:r w:rsidRPr="0065313A">
              <w:t xml:space="preserve"> -</w:t>
            </w:r>
          </w:p>
        </w:tc>
        <w:tc>
          <w:tcPr>
            <w:tcW w:w="2410" w:type="dxa"/>
            <w:tcBorders>
              <w:left w:val="nil"/>
              <w:bottom w:val="nil"/>
              <w:right w:val="nil"/>
            </w:tcBorders>
            <w:shd w:val="clear" w:color="auto" w:fill="F2F2F2"/>
          </w:tcPr>
          <w:p w:rsidR="00387A07" w:rsidRPr="0065313A" w:rsidRDefault="00387A07" w:rsidP="00387A07">
            <w:r w:rsidRPr="0065313A">
              <w:t>Solvent displacement</w:t>
            </w:r>
          </w:p>
        </w:tc>
        <w:tc>
          <w:tcPr>
            <w:tcW w:w="992" w:type="dxa"/>
            <w:tcBorders>
              <w:left w:val="nil"/>
              <w:bottom w:val="nil"/>
              <w:right w:val="nil"/>
            </w:tcBorders>
            <w:shd w:val="clear" w:color="auto" w:fill="F2F2F2"/>
          </w:tcPr>
          <w:p w:rsidR="00387A07" w:rsidRPr="0065313A" w:rsidRDefault="00387A07" w:rsidP="00387A07">
            <w:r w:rsidRPr="0065313A">
              <w:t>200-250</w:t>
            </w:r>
          </w:p>
        </w:tc>
        <w:tc>
          <w:tcPr>
            <w:tcW w:w="1134" w:type="dxa"/>
            <w:tcBorders>
              <w:left w:val="nil"/>
              <w:bottom w:val="nil"/>
              <w:right w:val="nil"/>
            </w:tcBorders>
            <w:shd w:val="clear" w:color="auto" w:fill="F2F2F2"/>
          </w:tcPr>
          <w:p w:rsidR="00387A07" w:rsidRPr="0065313A" w:rsidRDefault="00387A07" w:rsidP="00387A07">
            <w:r w:rsidRPr="0065313A">
              <w:t>[138]</w:t>
            </w:r>
          </w:p>
        </w:tc>
      </w:tr>
      <w:tr w:rsidR="00387A07" w:rsidRPr="0065313A" w:rsidTr="00387A07">
        <w:trPr>
          <w:jc w:val="center"/>
        </w:trPr>
        <w:tc>
          <w:tcPr>
            <w:tcW w:w="1242" w:type="dxa"/>
            <w:vMerge/>
            <w:tcBorders>
              <w:left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Tamoxifen</w:t>
            </w:r>
          </w:p>
        </w:tc>
        <w:tc>
          <w:tcPr>
            <w:tcW w:w="851" w:type="dxa"/>
            <w:tcBorders>
              <w:top w:val="nil"/>
              <w:left w:val="nil"/>
              <w:bottom w:val="nil"/>
              <w:right w:val="nil"/>
            </w:tcBorders>
            <w:shd w:val="clear" w:color="auto" w:fill="F2F2F2"/>
          </w:tcPr>
          <w:p w:rsidR="00387A07" w:rsidRPr="0065313A" w:rsidRDefault="00387A07" w:rsidP="00387A07">
            <w:r w:rsidRPr="0065313A">
              <w:t>60%</w:t>
            </w:r>
          </w:p>
        </w:tc>
        <w:tc>
          <w:tcPr>
            <w:tcW w:w="2410" w:type="dxa"/>
            <w:tcBorders>
              <w:top w:val="nil"/>
              <w:left w:val="nil"/>
              <w:bottom w:val="nil"/>
              <w:right w:val="nil"/>
            </w:tcBorders>
            <w:shd w:val="clear" w:color="auto" w:fill="F2F2F2"/>
          </w:tcPr>
          <w:p w:rsidR="00387A07" w:rsidRPr="0065313A" w:rsidRDefault="00387A07" w:rsidP="00387A07">
            <w:r w:rsidRPr="0065313A">
              <w:t>Solvent displacement</w:t>
            </w:r>
          </w:p>
        </w:tc>
        <w:tc>
          <w:tcPr>
            <w:tcW w:w="992" w:type="dxa"/>
            <w:tcBorders>
              <w:top w:val="nil"/>
              <w:left w:val="nil"/>
              <w:bottom w:val="nil"/>
              <w:right w:val="nil"/>
            </w:tcBorders>
            <w:shd w:val="clear" w:color="auto" w:fill="F2F2F2"/>
          </w:tcPr>
          <w:p w:rsidR="00387A07" w:rsidRPr="0065313A" w:rsidRDefault="00387A07" w:rsidP="00387A07">
            <w:r w:rsidRPr="0065313A">
              <w:t>320</w:t>
            </w:r>
          </w:p>
        </w:tc>
        <w:tc>
          <w:tcPr>
            <w:tcW w:w="1134" w:type="dxa"/>
            <w:tcBorders>
              <w:top w:val="nil"/>
              <w:left w:val="nil"/>
              <w:bottom w:val="nil"/>
              <w:right w:val="nil"/>
            </w:tcBorders>
            <w:shd w:val="clear" w:color="auto" w:fill="F2F2F2"/>
          </w:tcPr>
          <w:p w:rsidR="00387A07" w:rsidRPr="0065313A" w:rsidRDefault="00387A07" w:rsidP="00387A07">
            <w:pPr>
              <w:rPr>
                <w:rFonts w:cs="Calibri"/>
              </w:rPr>
            </w:pPr>
            <w:r w:rsidRPr="0065313A">
              <w:rPr>
                <w:rFonts w:cs="Calibri"/>
                <w:lang w:val="en-US"/>
              </w:rPr>
              <w:t>[139]</w:t>
            </w:r>
          </w:p>
        </w:tc>
      </w:tr>
      <w:tr w:rsidR="00387A07" w:rsidRPr="0065313A" w:rsidTr="00387A07">
        <w:trPr>
          <w:jc w:val="center"/>
        </w:trPr>
        <w:tc>
          <w:tcPr>
            <w:tcW w:w="1242" w:type="dxa"/>
            <w:vMerge/>
            <w:tcBorders>
              <w:left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Taxol</w:t>
            </w:r>
          </w:p>
        </w:tc>
        <w:tc>
          <w:tcPr>
            <w:tcW w:w="851" w:type="dxa"/>
            <w:tcBorders>
              <w:top w:val="nil"/>
              <w:left w:val="nil"/>
              <w:bottom w:val="nil"/>
              <w:right w:val="nil"/>
            </w:tcBorders>
            <w:shd w:val="clear" w:color="auto" w:fill="F2F2F2"/>
          </w:tcPr>
          <w:p w:rsidR="00387A07" w:rsidRPr="0065313A" w:rsidRDefault="00387A07" w:rsidP="00387A07">
            <w:r w:rsidRPr="0065313A">
              <w:t>95%</w:t>
            </w:r>
          </w:p>
        </w:tc>
        <w:tc>
          <w:tcPr>
            <w:tcW w:w="2410" w:type="dxa"/>
            <w:tcBorders>
              <w:top w:val="nil"/>
              <w:left w:val="nil"/>
              <w:bottom w:val="nil"/>
              <w:right w:val="nil"/>
            </w:tcBorders>
            <w:shd w:val="clear" w:color="auto" w:fill="F2F2F2"/>
          </w:tcPr>
          <w:p w:rsidR="00387A07" w:rsidRPr="0065313A" w:rsidRDefault="00387A07" w:rsidP="00387A07">
            <w:r w:rsidRPr="0065313A">
              <w:t>Solvent displacement</w:t>
            </w:r>
          </w:p>
        </w:tc>
        <w:tc>
          <w:tcPr>
            <w:tcW w:w="992" w:type="dxa"/>
            <w:tcBorders>
              <w:top w:val="nil"/>
              <w:left w:val="nil"/>
              <w:bottom w:val="nil"/>
              <w:right w:val="nil"/>
            </w:tcBorders>
            <w:shd w:val="clear" w:color="auto" w:fill="F2F2F2"/>
          </w:tcPr>
          <w:p w:rsidR="00387A07" w:rsidRPr="0065313A" w:rsidRDefault="00387A07" w:rsidP="00387A07">
            <w:r w:rsidRPr="0065313A">
              <w:t>270</w:t>
            </w:r>
          </w:p>
        </w:tc>
        <w:tc>
          <w:tcPr>
            <w:tcW w:w="1134" w:type="dxa"/>
            <w:tcBorders>
              <w:top w:val="nil"/>
              <w:left w:val="nil"/>
              <w:bottom w:val="nil"/>
              <w:right w:val="nil"/>
            </w:tcBorders>
            <w:shd w:val="clear" w:color="auto" w:fill="F2F2F2"/>
          </w:tcPr>
          <w:p w:rsidR="00387A07" w:rsidRPr="0065313A" w:rsidRDefault="00387A07" w:rsidP="00387A07">
            <w:r w:rsidRPr="0065313A">
              <w:t>[140]</w:t>
            </w:r>
          </w:p>
        </w:tc>
      </w:tr>
      <w:tr w:rsidR="00387A07" w:rsidRPr="0065313A" w:rsidTr="00387A07">
        <w:trPr>
          <w:jc w:val="center"/>
        </w:trPr>
        <w:tc>
          <w:tcPr>
            <w:tcW w:w="1242" w:type="dxa"/>
            <w:vMerge/>
            <w:tcBorders>
              <w:left w:val="nil"/>
              <w:right w:val="nil"/>
            </w:tcBorders>
            <w:shd w:val="clear" w:color="auto" w:fill="F2F2F2"/>
          </w:tcPr>
          <w:p w:rsidR="00387A07" w:rsidRPr="0065313A" w:rsidRDefault="00387A07" w:rsidP="00387A07"/>
        </w:tc>
        <w:tc>
          <w:tcPr>
            <w:tcW w:w="1701" w:type="dxa"/>
            <w:tcBorders>
              <w:top w:val="nil"/>
              <w:left w:val="nil"/>
              <w:bottom w:val="nil"/>
              <w:right w:val="nil"/>
            </w:tcBorders>
            <w:shd w:val="clear" w:color="auto" w:fill="F2F2F2"/>
          </w:tcPr>
          <w:p w:rsidR="00387A07" w:rsidRPr="0065313A" w:rsidRDefault="00387A07" w:rsidP="00387A07">
            <w:r w:rsidRPr="0065313A">
              <w:t>Diclofenac</w:t>
            </w:r>
          </w:p>
        </w:tc>
        <w:tc>
          <w:tcPr>
            <w:tcW w:w="851" w:type="dxa"/>
            <w:tcBorders>
              <w:top w:val="nil"/>
              <w:left w:val="nil"/>
              <w:bottom w:val="nil"/>
              <w:right w:val="nil"/>
            </w:tcBorders>
            <w:shd w:val="clear" w:color="auto" w:fill="F2F2F2"/>
          </w:tcPr>
          <w:p w:rsidR="00387A07" w:rsidRPr="0065313A" w:rsidRDefault="00387A07" w:rsidP="00387A07">
            <w:r w:rsidRPr="0065313A">
              <w:t>99%</w:t>
            </w:r>
          </w:p>
        </w:tc>
        <w:tc>
          <w:tcPr>
            <w:tcW w:w="2410" w:type="dxa"/>
            <w:tcBorders>
              <w:top w:val="nil"/>
              <w:left w:val="nil"/>
              <w:bottom w:val="nil"/>
              <w:right w:val="nil"/>
            </w:tcBorders>
            <w:shd w:val="clear" w:color="auto" w:fill="F2F2F2"/>
          </w:tcPr>
          <w:p w:rsidR="00387A07" w:rsidRPr="0065313A" w:rsidRDefault="00387A07" w:rsidP="00387A07">
            <w:r w:rsidRPr="0065313A">
              <w:t>Spray drying</w:t>
            </w:r>
          </w:p>
        </w:tc>
        <w:tc>
          <w:tcPr>
            <w:tcW w:w="992" w:type="dxa"/>
            <w:tcBorders>
              <w:top w:val="nil"/>
              <w:left w:val="nil"/>
              <w:bottom w:val="nil"/>
              <w:right w:val="nil"/>
            </w:tcBorders>
            <w:shd w:val="clear" w:color="auto" w:fill="F2F2F2"/>
          </w:tcPr>
          <w:p w:rsidR="00387A07" w:rsidRPr="0065313A" w:rsidRDefault="00387A07" w:rsidP="00387A07">
            <w:r w:rsidRPr="0065313A">
              <w:t>240-300</w:t>
            </w:r>
          </w:p>
        </w:tc>
        <w:tc>
          <w:tcPr>
            <w:tcW w:w="1134" w:type="dxa"/>
            <w:tcBorders>
              <w:top w:val="nil"/>
              <w:left w:val="nil"/>
              <w:bottom w:val="nil"/>
              <w:right w:val="nil"/>
            </w:tcBorders>
            <w:shd w:val="clear" w:color="auto" w:fill="F2F2F2"/>
          </w:tcPr>
          <w:p w:rsidR="00387A07" w:rsidRPr="0065313A" w:rsidRDefault="00387A07" w:rsidP="00387A07">
            <w:r w:rsidRPr="0065313A">
              <w:t>[141]</w:t>
            </w:r>
          </w:p>
        </w:tc>
      </w:tr>
      <w:tr w:rsidR="00387A07" w:rsidRPr="0065313A" w:rsidTr="00387A07">
        <w:trPr>
          <w:jc w:val="center"/>
        </w:trPr>
        <w:tc>
          <w:tcPr>
            <w:tcW w:w="1242" w:type="dxa"/>
            <w:vMerge/>
            <w:tcBorders>
              <w:left w:val="nil"/>
              <w:right w:val="nil"/>
            </w:tcBorders>
            <w:shd w:val="clear" w:color="auto" w:fill="F2F2F2"/>
          </w:tcPr>
          <w:p w:rsidR="00387A07" w:rsidRPr="0065313A" w:rsidRDefault="00387A07" w:rsidP="00387A07"/>
        </w:tc>
        <w:tc>
          <w:tcPr>
            <w:tcW w:w="1701" w:type="dxa"/>
            <w:tcBorders>
              <w:top w:val="nil"/>
              <w:left w:val="nil"/>
              <w:right w:val="nil"/>
            </w:tcBorders>
            <w:shd w:val="clear" w:color="auto" w:fill="F2F2F2"/>
          </w:tcPr>
          <w:p w:rsidR="00387A07" w:rsidRPr="0065313A" w:rsidRDefault="00387A07" w:rsidP="00387A07">
            <w:r w:rsidRPr="0065313A">
              <w:t>Docetaxel</w:t>
            </w:r>
          </w:p>
        </w:tc>
        <w:tc>
          <w:tcPr>
            <w:tcW w:w="851" w:type="dxa"/>
            <w:tcBorders>
              <w:top w:val="nil"/>
              <w:left w:val="nil"/>
              <w:right w:val="nil"/>
            </w:tcBorders>
            <w:shd w:val="clear" w:color="auto" w:fill="F2F2F2"/>
          </w:tcPr>
          <w:p w:rsidR="00387A07" w:rsidRPr="0065313A" w:rsidRDefault="00387A07" w:rsidP="00387A07">
            <w:r w:rsidRPr="0065313A">
              <w:t>65%</w:t>
            </w:r>
          </w:p>
        </w:tc>
        <w:tc>
          <w:tcPr>
            <w:tcW w:w="2410" w:type="dxa"/>
            <w:tcBorders>
              <w:top w:val="nil"/>
              <w:left w:val="nil"/>
              <w:right w:val="nil"/>
            </w:tcBorders>
            <w:shd w:val="clear" w:color="auto" w:fill="F2F2F2"/>
          </w:tcPr>
          <w:p w:rsidR="00387A07" w:rsidRPr="0065313A" w:rsidRDefault="00387A07" w:rsidP="00387A07">
            <w:r w:rsidRPr="0065313A">
              <w:t>Solvent Displacement</w:t>
            </w:r>
          </w:p>
        </w:tc>
        <w:tc>
          <w:tcPr>
            <w:tcW w:w="992" w:type="dxa"/>
            <w:tcBorders>
              <w:top w:val="nil"/>
              <w:left w:val="nil"/>
              <w:right w:val="nil"/>
            </w:tcBorders>
            <w:shd w:val="clear" w:color="auto" w:fill="F2F2F2"/>
          </w:tcPr>
          <w:p w:rsidR="00387A07" w:rsidRPr="0065313A" w:rsidRDefault="00387A07" w:rsidP="00387A07">
            <w:pPr>
              <w:rPr>
                <w:lang w:val="it-IT"/>
              </w:rPr>
            </w:pPr>
            <w:r w:rsidRPr="0065313A">
              <w:t>227nm</w:t>
            </w:r>
          </w:p>
        </w:tc>
        <w:tc>
          <w:tcPr>
            <w:tcW w:w="1134" w:type="dxa"/>
            <w:tcBorders>
              <w:top w:val="nil"/>
              <w:left w:val="nil"/>
              <w:right w:val="nil"/>
            </w:tcBorders>
            <w:shd w:val="clear" w:color="auto" w:fill="F2F2F2"/>
          </w:tcPr>
          <w:p w:rsidR="00387A07" w:rsidRPr="0065313A" w:rsidRDefault="00387A07" w:rsidP="00387A07">
            <w:r w:rsidRPr="0065313A">
              <w:t>[142]</w:t>
            </w:r>
          </w:p>
        </w:tc>
      </w:tr>
    </w:tbl>
    <w:p w:rsidR="00387A07" w:rsidRPr="0065313A" w:rsidRDefault="00387A07" w:rsidP="00387A07">
      <w:pPr>
        <w:pStyle w:val="Didascalia"/>
        <w:spacing w:before="120"/>
        <w:rPr>
          <w:rFonts w:ascii="Arial" w:hAnsi="Arial" w:cs="Arial"/>
          <w:sz w:val="24"/>
          <w:szCs w:val="24"/>
          <w:lang w:val="en-US"/>
        </w:rPr>
      </w:pPr>
      <w:r w:rsidRPr="0065313A">
        <w:t xml:space="preserve">Table 1. </w:t>
      </w:r>
      <w:fldSimple w:instr=" SEQ Table_1. \* ARABIC ">
        <w:r w:rsidRPr="0065313A">
          <w:rPr>
            <w:noProof/>
          </w:rPr>
          <w:t>8</w:t>
        </w:r>
      </w:fldSimple>
      <w:r w:rsidRPr="0065313A">
        <w:t xml:space="preserve"> PCL nanoparticles for the encapsulation of different drug formulations.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Calvo et al. successfully investigated the possibility of using PCL nanoparticles for the relase  of Indomethacin in ophthalmic applications. They used the solvent displacement method to prepare nanoparticles with small size (200-250 nm) which showed an in vitro corneal penetration three fold higher than that of commercial eye drops [138].Flurbiprofen and Diclofenac were also successfully encapsulated in PCL nanospheres prepared by solvent displacement method and spray drying, respectively. The encapsulation efficiency of diclofenac-loaded nanoparticles was very high (90-93%) and the average diameter ranged from 240 to 300 nm [140,143] </w:t>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1.4.4 Poly (ethylene glycol) and the concept of “stealth nanoparticles”</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The nature of the surface of the nanoparticles largely influences their biodistribution following in vivo administration. Hydrophobic nanoparticles are rapidly coated by blood proteins (opsonins) and consequently cleared from the systemic circulation by the mononuclear phagocytic system (MPS), ending in the liver or in the spleen. </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color w:val="000000"/>
          <w:sz w:val="24"/>
          <w:szCs w:val="24"/>
          <w:lang w:val="en-US"/>
        </w:rPr>
        <w:t>The macrophages of the MPS have the ability to remove</w:t>
      </w:r>
      <w:r w:rsidRPr="0065313A">
        <w:rPr>
          <w:rFonts w:ascii="Arial" w:hAnsi="Arial" w:cs="Arial"/>
          <w:sz w:val="24"/>
          <w:szCs w:val="24"/>
          <w:lang w:val="en-US"/>
        </w:rPr>
        <w:t xml:space="preserve"> </w:t>
      </w:r>
      <w:r w:rsidRPr="0065313A">
        <w:rPr>
          <w:rFonts w:ascii="Arial" w:hAnsi="Arial" w:cs="Arial"/>
          <w:color w:val="000000"/>
          <w:sz w:val="24"/>
          <w:szCs w:val="24"/>
          <w:lang w:val="en-US"/>
        </w:rPr>
        <w:t>unprotected nanoparticles from the bloodstream within seconds of intravenous administration, rendering them ineffective as site-specific drug delivery devices [</w:t>
      </w:r>
      <w:r w:rsidRPr="0065313A">
        <w:rPr>
          <w:rFonts w:ascii="Arial" w:hAnsi="Arial" w:cs="Arial"/>
          <w:sz w:val="24"/>
          <w:szCs w:val="24"/>
          <w:lang w:val="en-US"/>
        </w:rPr>
        <w:t>144].</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color w:val="000000"/>
          <w:sz w:val="24"/>
          <w:szCs w:val="24"/>
          <w:lang w:val="en-US"/>
        </w:rPr>
        <w:t xml:space="preserve">These cells cannot directly identify the nanoparticles themselves, but rather recognize the opsonin proteins (like immunoglobulins or other complement proteins) bound to the surface of the particles [145]. The process of opsonization has been shown to be more rapid for hydrophobic polymers. </w:t>
      </w:r>
      <w:r w:rsidRPr="0065313A">
        <w:rPr>
          <w:rFonts w:ascii="Arial" w:hAnsi="Arial" w:cs="Arial"/>
          <w:sz w:val="24"/>
          <w:szCs w:val="24"/>
          <w:lang w:val="en-US"/>
        </w:rPr>
        <w:t xml:space="preserve">The hydrophobic nature of most biodegradable particles could therefore limit the applicability of these carriers in many drug delivery applications. </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Several strategies have been proposed to temporarily bypass the MPS by increasing the surface hydrophilicity of nanoparticles</w:t>
      </w:r>
      <w:r w:rsidRPr="0065313A">
        <w:rPr>
          <w:rFonts w:ascii="Arial" w:hAnsi="Arial" w:cs="Arial"/>
          <w:color w:val="000000"/>
          <w:sz w:val="24"/>
          <w:szCs w:val="24"/>
          <w:lang w:val="en-US"/>
        </w:rPr>
        <w:t xml:space="preserve"> [144,146,147</w:t>
      </w:r>
      <w:r w:rsidRPr="0065313A">
        <w:rPr>
          <w:rFonts w:ascii="Arial" w:hAnsi="Arial" w:cs="Arial"/>
          <w:sz w:val="24"/>
          <w:szCs w:val="24"/>
          <w:lang w:val="en-US"/>
        </w:rPr>
        <w:t>]</w:t>
      </w:r>
      <w:r w:rsidRPr="0065313A">
        <w:rPr>
          <w:rFonts w:ascii="Arial" w:hAnsi="Arial" w:cs="Arial"/>
          <w:color w:val="000000"/>
          <w:sz w:val="24"/>
          <w:szCs w:val="24"/>
          <w:lang w:val="en-US"/>
        </w:rPr>
        <w:t>.</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color w:val="000000"/>
          <w:sz w:val="24"/>
          <w:szCs w:val="24"/>
          <w:lang w:val="en-US"/>
        </w:rPr>
        <w:lastRenderedPageBreak/>
        <w:t xml:space="preserve">Some of these systems make use of surface treatments that interfere with the binding of opsonin proteins to the particle surface. </w:t>
      </w:r>
      <w:r w:rsidRPr="0065313A">
        <w:rPr>
          <w:rFonts w:ascii="Arial" w:hAnsi="Arial" w:cs="Arial"/>
          <w:sz w:val="24"/>
          <w:szCs w:val="24"/>
          <w:lang w:val="en-US"/>
        </w:rPr>
        <w:t>One widely used</w:t>
      </w:r>
      <w:r w:rsidRPr="0065313A">
        <w:rPr>
          <w:rFonts w:ascii="Arial" w:hAnsi="Arial" w:cs="Arial"/>
          <w:color w:val="000000"/>
          <w:sz w:val="24"/>
          <w:szCs w:val="24"/>
          <w:lang w:val="en-US"/>
        </w:rPr>
        <w:t xml:space="preserve"> </w:t>
      </w:r>
      <w:r w:rsidRPr="0065313A">
        <w:rPr>
          <w:rFonts w:ascii="Arial" w:hAnsi="Arial" w:cs="Arial"/>
          <w:sz w:val="24"/>
          <w:szCs w:val="24"/>
          <w:lang w:val="en-US"/>
        </w:rPr>
        <w:t>method to slow opsonization and impart stealth properties to nanoparticles is the use of surface adsorbed or</w:t>
      </w:r>
      <w:r w:rsidRPr="0065313A">
        <w:rPr>
          <w:rFonts w:ascii="Arial" w:hAnsi="Arial" w:cs="Arial"/>
          <w:color w:val="000000"/>
          <w:sz w:val="24"/>
          <w:szCs w:val="24"/>
          <w:lang w:val="en-US"/>
        </w:rPr>
        <w:t xml:space="preserve"> </w:t>
      </w:r>
      <w:r w:rsidRPr="0065313A">
        <w:rPr>
          <w:rFonts w:ascii="Arial" w:hAnsi="Arial" w:cs="Arial"/>
          <w:sz w:val="24"/>
          <w:szCs w:val="24"/>
          <w:lang w:val="en-US"/>
        </w:rPr>
        <w:t>grafted shielding groups which can block the electrostatic and</w:t>
      </w:r>
      <w:r w:rsidRPr="0065313A">
        <w:rPr>
          <w:rFonts w:ascii="Arial" w:hAnsi="Arial" w:cs="Arial"/>
          <w:color w:val="000000"/>
          <w:sz w:val="24"/>
          <w:szCs w:val="24"/>
          <w:lang w:val="en-US"/>
        </w:rPr>
        <w:t xml:space="preserve"> </w:t>
      </w:r>
      <w:r w:rsidRPr="0065313A">
        <w:rPr>
          <w:rFonts w:ascii="Arial" w:hAnsi="Arial" w:cs="Arial"/>
          <w:sz w:val="24"/>
          <w:szCs w:val="24"/>
          <w:lang w:val="en-US"/>
        </w:rPr>
        <w:t>hydrophobic interactions that help opsonins bind to particle surfaces</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Several types of surface modified nanoparticles have been described in recent literature.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The most common moiety used for surface modification is poly (ethylene glycol) (PEG). PEG is a hydrophilic, non-ionic polymer that has been shown to exhibit excellent biocompatibility. PEG molecules can be added to the particles via covalent bonding or by surface adsorption.</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The presence of a PEG brush on the surface of nanoparticles besides increasing residence time in the systemic circulation can also reduce protein and enzyme adsorption on the surface and thus can retard particle degradation. The degree of protein adsorption depends on the thickness of the PEG layer which, in turn, depends on the density and molecular weight of PEG on the surface [148]</w:t>
      </w:r>
      <w:r w:rsidRPr="0065313A">
        <w:rPr>
          <w:rFonts w:ascii="Arial" w:hAnsi="Arial" w:cs="Arial"/>
          <w:color w:val="000000"/>
          <w:sz w:val="24"/>
          <w:szCs w:val="24"/>
          <w:lang w:val="en-US"/>
        </w:rPr>
        <w:t>. It has been shown that as PEG molecular weight above 2000 leads to longer  blood circulation half-life of the PEGylated particles</w:t>
      </w:r>
      <w:r w:rsidRPr="0065313A">
        <w:rPr>
          <w:rFonts w:ascii="Arial" w:hAnsi="Arial" w:cs="Arial"/>
          <w:color w:val="000066"/>
          <w:sz w:val="24"/>
          <w:szCs w:val="24"/>
          <w:lang w:val="en-US"/>
        </w:rPr>
        <w:t xml:space="preserve"> [</w:t>
      </w:r>
      <w:r w:rsidRPr="0065313A">
        <w:rPr>
          <w:rFonts w:ascii="Arial" w:hAnsi="Arial" w:cs="Arial"/>
          <w:sz w:val="24"/>
          <w:szCs w:val="24"/>
          <w:lang w:val="en-US"/>
        </w:rPr>
        <w:t>144,149,150</w:t>
      </w:r>
      <w:r w:rsidRPr="0065313A">
        <w:rPr>
          <w:rFonts w:ascii="Arial" w:hAnsi="Arial" w:cs="Arial"/>
          <w:color w:val="000066"/>
          <w:sz w:val="24"/>
          <w:szCs w:val="24"/>
          <w:lang w:val="en-US"/>
        </w:rPr>
        <w:t>].</w:t>
      </w:r>
      <w:r w:rsidRPr="0065313A">
        <w:rPr>
          <w:rFonts w:ascii="Arial" w:hAnsi="Arial" w:cs="Arial"/>
          <w:sz w:val="24"/>
          <w:szCs w:val="24"/>
          <w:lang w:val="en-US"/>
        </w:rPr>
        <w:t xml:space="preserve"> </w:t>
      </w:r>
    </w:p>
    <w:p w:rsidR="00387A07" w:rsidRPr="0065313A" w:rsidRDefault="00387A07" w:rsidP="00387A07">
      <w:pPr>
        <w:autoSpaceDE w:val="0"/>
        <w:autoSpaceDN w:val="0"/>
        <w:adjustRightInd w:val="0"/>
        <w:spacing w:after="120" w:line="360" w:lineRule="auto"/>
        <w:jc w:val="both"/>
        <w:rPr>
          <w:rFonts w:ascii="Arial" w:hAnsi="Arial" w:cs="Arial"/>
          <w:sz w:val="24"/>
          <w:szCs w:val="24"/>
          <w:lang w:val="en-US"/>
        </w:rPr>
      </w:pPr>
      <w:r w:rsidRPr="0065313A">
        <w:rPr>
          <w:rFonts w:ascii="Arial" w:hAnsi="Arial" w:cs="Arial"/>
          <w:color w:val="000000"/>
          <w:sz w:val="24"/>
          <w:szCs w:val="24"/>
          <w:lang w:val="en-US"/>
        </w:rPr>
        <w:t xml:space="preserve">Other critical factors are the density and conformation of the PEG chains on the surface. </w:t>
      </w:r>
    </w:p>
    <w:p w:rsidR="00387A07" w:rsidRPr="0065313A" w:rsidRDefault="00387A07" w:rsidP="00387A07">
      <w:pPr>
        <w:spacing w:after="0" w:line="360" w:lineRule="auto"/>
        <w:jc w:val="center"/>
        <w:rPr>
          <w:rFonts w:ascii="Arial" w:hAnsi="Arial" w:cs="Arial"/>
          <w:color w:val="000000"/>
          <w:sz w:val="24"/>
          <w:szCs w:val="24"/>
          <w:lang w:val="en-US"/>
        </w:rPr>
      </w:pPr>
      <w:r w:rsidRPr="0065313A">
        <w:rPr>
          <w:rFonts w:ascii="Arial" w:hAnsi="Arial" w:cs="Arial"/>
          <w:noProof/>
          <w:color w:val="000000"/>
          <w:sz w:val="24"/>
          <w:szCs w:val="24"/>
          <w:lang w:val="it-IT" w:eastAsia="it-IT"/>
        </w:rPr>
        <w:drawing>
          <wp:inline distT="0" distB="0" distL="0" distR="0">
            <wp:extent cx="3505200" cy="3257550"/>
            <wp:effectExtent l="19050" t="0" r="0" b="0"/>
            <wp:docPr id="23"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6"/>
                    <pic:cNvPicPr>
                      <a:picLocks noChangeAspect="1" noChangeArrowheads="1"/>
                    </pic:cNvPicPr>
                  </pic:nvPicPr>
                  <pic:blipFill>
                    <a:blip r:embed="rId23"/>
                    <a:srcRect/>
                    <a:stretch>
                      <a:fillRect/>
                    </a:stretch>
                  </pic:blipFill>
                  <pic:spPr bwMode="auto">
                    <a:xfrm>
                      <a:off x="0" y="0"/>
                      <a:ext cx="3505200" cy="3257550"/>
                    </a:xfrm>
                    <a:prstGeom prst="rect">
                      <a:avLst/>
                    </a:prstGeom>
                    <a:noFill/>
                    <a:ln w="9525">
                      <a:noFill/>
                      <a:miter lim="800000"/>
                      <a:headEnd/>
                      <a:tailEnd/>
                    </a:ln>
                  </pic:spPr>
                </pic:pic>
              </a:graphicData>
            </a:graphic>
          </wp:inline>
        </w:drawing>
      </w:r>
    </w:p>
    <w:p w:rsidR="00387A07" w:rsidRPr="0065313A" w:rsidRDefault="00387A07" w:rsidP="00387A07">
      <w:pPr>
        <w:pStyle w:val="Didascalia"/>
        <w:spacing w:after="0"/>
        <w:rPr>
          <w:rFonts w:ascii="Arial" w:hAnsi="Arial" w:cs="Arial"/>
          <w:color w:val="000000"/>
          <w:sz w:val="24"/>
          <w:szCs w:val="24"/>
          <w:lang w:val="en-US"/>
        </w:rPr>
      </w:pPr>
      <w:r w:rsidRPr="0065313A">
        <w:t xml:space="preserve">Figure 1. </w:t>
      </w:r>
      <w:fldSimple w:instr=" SEQ Figure_1. \* ARABIC ">
        <w:r w:rsidRPr="0065313A">
          <w:rPr>
            <w:noProof/>
          </w:rPr>
          <w:t>10</w:t>
        </w:r>
      </w:fldSimple>
      <w:r w:rsidRPr="0065313A">
        <w:t xml:space="preserve"> Schematic representation of PEG distribution on the surface of nanoparticles: A) Mushroom configuration and B) Brush configuration.</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color w:val="000000"/>
          <w:sz w:val="24"/>
          <w:szCs w:val="24"/>
          <w:lang w:val="en-US"/>
        </w:rPr>
        <w:lastRenderedPageBreak/>
        <w:t xml:space="preserve">At </w:t>
      </w:r>
      <w:r w:rsidRPr="0065313A">
        <w:rPr>
          <w:rFonts w:ascii="Arial" w:hAnsi="Arial" w:cs="Arial"/>
          <w:sz w:val="24"/>
          <w:szCs w:val="24"/>
          <w:lang w:val="en-US"/>
        </w:rPr>
        <w:t>low surface coverage, the PEG chains</w:t>
      </w:r>
      <w:r w:rsidRPr="0065313A">
        <w:rPr>
          <w:rFonts w:ascii="Arial" w:hAnsi="Arial" w:cs="Arial"/>
          <w:color w:val="000000"/>
          <w:sz w:val="24"/>
          <w:szCs w:val="24"/>
          <w:lang w:val="en-US"/>
        </w:rPr>
        <w:t xml:space="preserve"> </w:t>
      </w:r>
      <w:r w:rsidRPr="0065313A">
        <w:rPr>
          <w:rFonts w:ascii="Arial" w:hAnsi="Arial" w:cs="Arial"/>
          <w:sz w:val="24"/>
          <w:szCs w:val="24"/>
          <w:lang w:val="en-US"/>
        </w:rPr>
        <w:t>have a larger range of motion and will typically take on what is</w:t>
      </w:r>
      <w:r w:rsidRPr="0065313A">
        <w:rPr>
          <w:rFonts w:ascii="Arial" w:hAnsi="Arial" w:cs="Arial"/>
          <w:color w:val="000000"/>
          <w:sz w:val="24"/>
          <w:szCs w:val="24"/>
          <w:lang w:val="en-US"/>
        </w:rPr>
        <w:t xml:space="preserve"> </w:t>
      </w:r>
      <w:r w:rsidRPr="0065313A">
        <w:rPr>
          <w:rFonts w:ascii="Arial" w:hAnsi="Arial" w:cs="Arial"/>
          <w:sz w:val="24"/>
          <w:szCs w:val="24"/>
          <w:lang w:val="en-US"/>
        </w:rPr>
        <w:t>termed a “mushroom” configuration (Fig. 1.10 A), and will localize mostly close to the surface of the particle. Very low surface</w:t>
      </w:r>
      <w:r w:rsidRPr="0065313A">
        <w:rPr>
          <w:rFonts w:ascii="Arial" w:hAnsi="Arial" w:cs="Arial"/>
          <w:color w:val="000000"/>
          <w:sz w:val="24"/>
          <w:szCs w:val="24"/>
          <w:lang w:val="en-US"/>
        </w:rPr>
        <w:t xml:space="preserve"> </w:t>
      </w:r>
      <w:r w:rsidRPr="0065313A">
        <w:rPr>
          <w:rFonts w:ascii="Arial" w:hAnsi="Arial" w:cs="Arial"/>
          <w:sz w:val="24"/>
          <w:szCs w:val="24"/>
          <w:lang w:val="en-US"/>
        </w:rPr>
        <w:t>coverage can also lead to gaps in the PEG protective layer where</w:t>
      </w:r>
      <w:r w:rsidRPr="0065313A">
        <w:rPr>
          <w:rFonts w:ascii="Arial" w:hAnsi="Arial" w:cs="Arial"/>
          <w:color w:val="000000"/>
          <w:sz w:val="24"/>
          <w:szCs w:val="24"/>
          <w:lang w:val="en-US"/>
        </w:rPr>
        <w:t xml:space="preserve"> </w:t>
      </w:r>
      <w:r w:rsidRPr="0065313A">
        <w:rPr>
          <w:rFonts w:ascii="Arial" w:hAnsi="Arial" w:cs="Arial"/>
          <w:sz w:val="24"/>
          <w:szCs w:val="24"/>
          <w:lang w:val="en-US"/>
        </w:rPr>
        <w:t xml:space="preserve">opsonin proteins can freely bind to the nanoparticle surface. </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 xml:space="preserve">At high PEG density (brush configuration), even though a complete surface coverage is assured, the range of motion of the chains is greatly reduced </w:t>
      </w:r>
      <w:r w:rsidRPr="0065313A">
        <w:rPr>
          <w:rFonts w:ascii="Arial" w:hAnsi="Arial" w:cs="Arial"/>
          <w:color w:val="000000"/>
          <w:sz w:val="24"/>
          <w:szCs w:val="24"/>
          <w:lang w:val="en-US"/>
        </w:rPr>
        <w:t>resulting in decreased steric repulsion of opsonins (Fig 1.10B) [151</w:t>
      </w:r>
      <w:r w:rsidRPr="0065313A">
        <w:rPr>
          <w:rFonts w:ascii="Arial" w:hAnsi="Arial" w:cs="Arial"/>
          <w:sz w:val="24"/>
          <w:szCs w:val="24"/>
          <w:lang w:val="en-US"/>
        </w:rPr>
        <w:t>].</w:t>
      </w:r>
      <w:r w:rsidRPr="0065313A">
        <w:rPr>
          <w:rFonts w:ascii="Arial" w:hAnsi="Arial" w:cs="Arial"/>
          <w:color w:val="000066"/>
          <w:sz w:val="24"/>
          <w:szCs w:val="24"/>
          <w:lang w:val="en-US"/>
        </w:rPr>
        <w:tab/>
      </w:r>
    </w:p>
    <w:p w:rsidR="00387A07" w:rsidRPr="0065313A" w:rsidRDefault="00387A07" w:rsidP="00387A07">
      <w:pPr>
        <w:spacing w:before="240" w:after="240" w:line="360" w:lineRule="auto"/>
        <w:jc w:val="both"/>
        <w:rPr>
          <w:rFonts w:ascii="Arial" w:hAnsi="Arial" w:cs="Arial"/>
          <w:b/>
          <w:sz w:val="24"/>
          <w:szCs w:val="24"/>
          <w:lang w:val="en-US"/>
        </w:rPr>
      </w:pPr>
      <w:r w:rsidRPr="0065313A">
        <w:rPr>
          <w:rFonts w:ascii="Arial" w:hAnsi="Arial" w:cs="Arial"/>
          <w:b/>
          <w:sz w:val="24"/>
          <w:szCs w:val="24"/>
          <w:lang w:val="en-US"/>
        </w:rPr>
        <w:t>1.5 Thesis Goal</w:t>
      </w:r>
    </w:p>
    <w:p w:rsidR="00387A07" w:rsidRPr="0065313A" w:rsidRDefault="00387A07" w:rsidP="00387A07">
      <w:pPr>
        <w:spacing w:after="0" w:line="360" w:lineRule="auto"/>
        <w:jc w:val="both"/>
        <w:rPr>
          <w:rFonts w:ascii="Arial" w:hAnsi="Arial" w:cs="Arial"/>
          <w:b/>
          <w:i/>
          <w:sz w:val="24"/>
          <w:szCs w:val="24"/>
          <w:lang w:val="en-US"/>
        </w:rPr>
      </w:pPr>
      <w:r w:rsidRPr="0065313A">
        <w:rPr>
          <w:rFonts w:ascii="Arial" w:hAnsi="Arial" w:cs="Arial"/>
          <w:b/>
          <w:i/>
          <w:sz w:val="24"/>
          <w:szCs w:val="24"/>
          <w:lang w:val="en-US"/>
        </w:rPr>
        <w:t xml:space="preserve">The objective of this thesis is to define new strategies for the preparation of nano-materials for the controlled and targeted drug release for cancer treatment and in tissue engineering, eventually through the application of novel carrier materials and surface decoration with targeting moieties.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At present, lots of work has been carred out on the studying and optimization of nanoparticulate carriers for drug release starting from biodegradable commercial polyesters, such as poly(D,L lactide-co-glycolide), poly(D,L lactide), poly(ε-caprolactone) and their co-polymers [120,125,132]. Even if encouraging results have been so far obtained, the </w:t>
      </w:r>
      <w:r w:rsidRPr="0065313A">
        <w:rPr>
          <w:rFonts w:ascii="Arial" w:hAnsi="Arial" w:cs="Arial"/>
          <w:i/>
          <w:sz w:val="24"/>
          <w:szCs w:val="24"/>
          <w:lang w:val="en-US"/>
        </w:rPr>
        <w:t>in vivo</w:t>
      </w:r>
      <w:r w:rsidRPr="0065313A">
        <w:rPr>
          <w:rFonts w:ascii="Arial" w:hAnsi="Arial" w:cs="Arial"/>
          <w:sz w:val="24"/>
          <w:szCs w:val="24"/>
          <w:lang w:val="en-US"/>
        </w:rPr>
        <w:t xml:space="preserve"> fate of these carriers still remains to be cleared [38]. It has been demonstrated that nanoparticles are rapidly cleared by the mononuclear phagocytic system (MPS), through a process called opsonization, and are subsequently eliminated from the body or accumulated in organs, such as the liver or the spleen [145]. This phenomenon is particularly evident for highly hydrophobic materials, such as commercial polyesters normally used for particles preparation [145].</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To avoid such inconvenience, the most commonly adopted strategy to escape opsonization and increase the residence time of nanoparticles in the blood stream consists in increasing the hydrophilicity of the surface through the introduction of poly(ethylene glycol) (PEG) [147]. Surface PEG chains may also be exploited for further functionalization through chemical coupling of targeting moieties. This may though require additional chemical steps, which in turn result in increased costs and risk of toxicity as well as in poor reproducibility of results.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For this reason, the use of innovative materials such as biodegradable polyesterurethanes (PU) is proposed in this work. PU are an interesting group of block co-polymers that can be synthesized through simple chemical reactions [152].</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lastRenderedPageBreak/>
        <w:t xml:space="preserve">The synthesis of PU, simply involves three basic components (see appendix A): (i) a macrodiol; (ii) a chain extender and (iii) an isocyanate. Their properties (such as biodegradability, hydrophilicity, mechanical strength) can be tailored by selecting the proper reagents during the synthesis. Biodegradable polyurethanes can be prepared by selecting polyester or polyether diols. Polyethers, such as PEG, can be used as macrodiols, alone or in combination with polyesters during the synthesis, resulting in tuneable hydrophilicity and therefore in longer circulation time and reduced opsonization.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Moreover, specific targeting ligands (like peptides or aminoacids) can be inserted in the polymer backbone or attached as pendant groups or both. This allows for the obtainment of multifunctional carriers with tailored properties, according to the specific therapeutic need, with one simple synthesis process.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Though possessing undeniable interesting properties, biodegradable polyurethanes have been poorly investigated as nanoparticles-forming materials to be applied in the field of drug delivery.  </w:t>
      </w:r>
    </w:p>
    <w:p w:rsidR="00387A07" w:rsidRPr="0065313A" w:rsidRDefault="00387A07" w:rsidP="00387A07">
      <w:pPr>
        <w:spacing w:after="0" w:line="360" w:lineRule="auto"/>
        <w:jc w:val="both"/>
        <w:rPr>
          <w:rFonts w:ascii="Arial" w:hAnsi="Arial" w:cs="Arial"/>
          <w:sz w:val="24"/>
          <w:szCs w:val="24"/>
        </w:rPr>
      </w:pPr>
      <w:r w:rsidRPr="0065313A">
        <w:rPr>
          <w:rFonts w:ascii="Arial" w:hAnsi="Arial" w:cs="Arial"/>
          <w:sz w:val="24"/>
          <w:szCs w:val="24"/>
        </w:rPr>
        <w:t xml:space="preserve">Some authors [153] reported successful preparation of nanoparticles with biodegradable PU by the emulsion polymerization method, which involves </w:t>
      </w:r>
      <w:r w:rsidRPr="0065313A">
        <w:rPr>
          <w:rFonts w:ascii="Arial" w:hAnsi="Arial" w:cs="Arial"/>
          <w:i/>
          <w:sz w:val="24"/>
          <w:szCs w:val="24"/>
        </w:rPr>
        <w:t>in situ</w:t>
      </w:r>
      <w:r w:rsidRPr="0065313A">
        <w:rPr>
          <w:rFonts w:ascii="Arial" w:hAnsi="Arial" w:cs="Arial"/>
          <w:sz w:val="24"/>
          <w:szCs w:val="24"/>
        </w:rPr>
        <w:t xml:space="preserve"> polymerization of monomers. As already mentioned, techniques requiring chemical reactions for nanoparticles formation often use toxic solvents and may cause the production of harmful side products.  </w:t>
      </w:r>
    </w:p>
    <w:p w:rsidR="00387A07" w:rsidRPr="0065313A" w:rsidRDefault="00387A07" w:rsidP="00387A07">
      <w:pPr>
        <w:spacing w:after="0" w:line="360" w:lineRule="auto"/>
        <w:jc w:val="both"/>
        <w:rPr>
          <w:rFonts w:ascii="Arial" w:hAnsi="Arial" w:cs="Arial"/>
          <w:sz w:val="24"/>
          <w:szCs w:val="24"/>
        </w:rPr>
      </w:pPr>
      <w:r w:rsidRPr="0065313A">
        <w:rPr>
          <w:rFonts w:ascii="Arial" w:hAnsi="Arial" w:cs="Arial"/>
          <w:sz w:val="24"/>
          <w:szCs w:val="24"/>
        </w:rPr>
        <w:t xml:space="preserve">On the other hand, techniques involving particles preparation from pre-formed polymers have been extensively applied in literature in the past decades and are therefore optimized and standardized. </w:t>
      </w:r>
    </w:p>
    <w:p w:rsidR="00387A07" w:rsidRPr="0065313A" w:rsidRDefault="00387A07" w:rsidP="00387A07">
      <w:pPr>
        <w:spacing w:after="0" w:line="360" w:lineRule="auto"/>
        <w:jc w:val="both"/>
        <w:rPr>
          <w:rFonts w:ascii="Arial" w:hAnsi="Arial" w:cs="Arial"/>
          <w:sz w:val="24"/>
          <w:szCs w:val="24"/>
        </w:rPr>
      </w:pPr>
      <w:r w:rsidRPr="0065313A">
        <w:rPr>
          <w:rFonts w:ascii="Arial" w:hAnsi="Arial" w:cs="Arial"/>
          <w:sz w:val="24"/>
          <w:szCs w:val="24"/>
        </w:rPr>
        <w:t xml:space="preserve">One of the aims of this work, is therefore the application of </w:t>
      </w:r>
      <w:r w:rsidRPr="0065313A">
        <w:rPr>
          <w:rFonts w:ascii="Arial" w:hAnsi="Arial" w:cs="Arial"/>
          <w:b/>
          <w:sz w:val="24"/>
          <w:szCs w:val="24"/>
        </w:rPr>
        <w:t xml:space="preserve">preformed biodegradable polyesterurethanes </w:t>
      </w:r>
      <w:r w:rsidRPr="0065313A">
        <w:rPr>
          <w:rFonts w:ascii="Arial" w:hAnsi="Arial" w:cs="Arial"/>
          <w:sz w:val="24"/>
          <w:szCs w:val="24"/>
        </w:rPr>
        <w:t>based on poly(ε-caprolactone) diol for the preparation of nanoparticles for the controlled and targeted delivery of Paclitaxel (a potent anti-neoplastic drug), by using two common, fast, non toxic and reproducible methods, described in chapter 1:</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1. The Solvent Displacement method, proposed by Fessi and co-workers [105], which requires the use of a solvent (generally acetone) and of water as the non solvent. The polymer and the drug must dissolve in the first system but not in water and particles form for the precipitation of the polymer when added drop-wise into the non solvent.</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2. A modified Single Emulsion Solvent Evaporation method, in which ethyl acetate was used as solvent for both the polymer and the drug and water as external system. The </w:t>
      </w:r>
      <w:r w:rsidRPr="0065313A">
        <w:rPr>
          <w:rFonts w:ascii="Arial" w:hAnsi="Arial" w:cs="Arial"/>
          <w:sz w:val="24"/>
          <w:szCs w:val="24"/>
          <w:lang w:val="en-US"/>
        </w:rPr>
        <w:lastRenderedPageBreak/>
        <w:t xml:space="preserve">formation of nanoparticles requires emulsification of the two solutions, through the application of shear stresses. Commonly-used polyesters are selected as controls.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All nanoparticles need to be analyzed in terms of:</w:t>
      </w:r>
    </w:p>
    <w:p w:rsidR="00387A07" w:rsidRPr="0065313A" w:rsidRDefault="00387A07" w:rsidP="00387A07">
      <w:pPr>
        <w:pStyle w:val="Paragrafoelenco"/>
        <w:numPr>
          <w:ilvl w:val="0"/>
          <w:numId w:val="32"/>
        </w:numPr>
        <w:spacing w:after="0" w:line="360" w:lineRule="auto"/>
        <w:jc w:val="both"/>
        <w:rPr>
          <w:rFonts w:ascii="Arial" w:hAnsi="Arial" w:cs="Arial"/>
          <w:sz w:val="24"/>
          <w:szCs w:val="24"/>
          <w:lang w:val="en-US"/>
        </w:rPr>
      </w:pPr>
      <w:r w:rsidRPr="0065313A">
        <w:rPr>
          <w:rFonts w:ascii="Arial" w:hAnsi="Arial" w:cs="Arial"/>
          <w:sz w:val="24"/>
          <w:szCs w:val="24"/>
          <w:lang w:val="en-US"/>
        </w:rPr>
        <w:t>Morphology (by means of scanning electron microscopy or atomic force microscopy)</w:t>
      </w:r>
    </w:p>
    <w:p w:rsidR="00387A07" w:rsidRPr="0065313A" w:rsidRDefault="00387A07" w:rsidP="00387A07">
      <w:pPr>
        <w:pStyle w:val="Paragrafoelenco"/>
        <w:numPr>
          <w:ilvl w:val="0"/>
          <w:numId w:val="32"/>
        </w:numPr>
        <w:spacing w:after="0" w:line="360" w:lineRule="auto"/>
        <w:jc w:val="both"/>
        <w:rPr>
          <w:rFonts w:ascii="Arial" w:hAnsi="Arial" w:cs="Arial"/>
          <w:sz w:val="24"/>
          <w:szCs w:val="24"/>
          <w:lang w:val="en-US"/>
        </w:rPr>
      </w:pPr>
      <w:r w:rsidRPr="0065313A">
        <w:rPr>
          <w:rFonts w:ascii="Arial" w:hAnsi="Arial" w:cs="Arial"/>
          <w:sz w:val="24"/>
          <w:szCs w:val="24"/>
          <w:lang w:val="en-US"/>
        </w:rPr>
        <w:t>Mean size, size distribution and zeta potential</w:t>
      </w:r>
    </w:p>
    <w:p w:rsidR="00387A07" w:rsidRPr="0065313A" w:rsidRDefault="00387A07" w:rsidP="00387A07">
      <w:pPr>
        <w:pStyle w:val="Paragrafoelenco"/>
        <w:numPr>
          <w:ilvl w:val="0"/>
          <w:numId w:val="32"/>
        </w:numPr>
        <w:spacing w:after="0" w:line="360" w:lineRule="auto"/>
        <w:jc w:val="both"/>
        <w:rPr>
          <w:rFonts w:ascii="Arial" w:hAnsi="Arial" w:cs="Arial"/>
          <w:sz w:val="24"/>
          <w:szCs w:val="24"/>
          <w:lang w:val="en-US"/>
        </w:rPr>
      </w:pPr>
      <w:r w:rsidRPr="0065313A">
        <w:rPr>
          <w:rFonts w:ascii="Arial" w:hAnsi="Arial" w:cs="Arial"/>
          <w:sz w:val="24"/>
          <w:szCs w:val="24"/>
          <w:lang w:val="en-US"/>
        </w:rPr>
        <w:t>Drug encapsulation efficiency and release profiles.</w:t>
      </w:r>
    </w:p>
    <w:p w:rsidR="00387A07" w:rsidRPr="0065313A" w:rsidRDefault="00387A07" w:rsidP="00387A07">
      <w:pPr>
        <w:pStyle w:val="Paragrafoelenco"/>
        <w:numPr>
          <w:ilvl w:val="0"/>
          <w:numId w:val="32"/>
        </w:numPr>
        <w:spacing w:after="0" w:line="360" w:lineRule="auto"/>
        <w:jc w:val="both"/>
        <w:rPr>
          <w:rFonts w:ascii="Arial" w:hAnsi="Arial" w:cs="Arial"/>
          <w:sz w:val="24"/>
          <w:szCs w:val="24"/>
          <w:lang w:val="en-US"/>
        </w:rPr>
      </w:pPr>
      <w:r w:rsidRPr="0065313A">
        <w:rPr>
          <w:rFonts w:ascii="Arial" w:hAnsi="Arial" w:cs="Arial"/>
          <w:sz w:val="24"/>
          <w:szCs w:val="24"/>
          <w:lang w:val="en-US"/>
        </w:rPr>
        <w:t>Extent of cellular internalization by different cell lines (A431 human epidermal carcinoma cell line, for particles prepared by the Solvent Displacement method and MCF7 as well as SKBR3 breast cancer cells for particles prepared by the second method).</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Particles prepared by the solvent displacement method are proposed for the passive targeting of cancer cells through the Enhanced Permeation and Retention (EPR) Effect. A431 cells are selected to test the ability of these particles to penetrate tumor cells.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The modified single emulsion solvent evaporation method is used to prepare nanoparticles for the active targeting of breast cancer cells. To achieve targeting ability, Herceptin, a monoclonal antibody able to selectively target tumor cells over-expressing the HER2 receptor, is absorbed on the surface of the carriers. </w:t>
      </w:r>
    </w:p>
    <w:p w:rsidR="00387A07" w:rsidRPr="0065313A" w:rsidRDefault="00387A07" w:rsidP="00387A07">
      <w:pPr>
        <w:pStyle w:val="Default"/>
        <w:spacing w:line="360" w:lineRule="auto"/>
        <w:jc w:val="both"/>
        <w:rPr>
          <w:rFonts w:ascii="Arial" w:hAnsi="Arial" w:cs="Arial"/>
          <w:lang w:val="en-US"/>
        </w:rPr>
      </w:pPr>
      <w:r w:rsidRPr="0065313A">
        <w:rPr>
          <w:rFonts w:ascii="Arial" w:hAnsi="Arial" w:cs="Arial"/>
          <w:lang w:val="en-US"/>
        </w:rPr>
        <w:t>Within this thesis, the application of nanoparticles encapsulating an anti-inflammatory drug (Indomethacin) for the preparation of biomimetic, multifunctional and injectable bone cement formulations is also investigated.</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 xml:space="preserve">This material is composed of an organic phase made of chitosan (CH), which is expected to improve injectability, as well as of β tricalcium phosphate as inorganic phase able to increase the bioactivity (i.e. the ability to stimulate new bone deposition) of the material [154]. Genipin (GP) was selected as cross-linker for chitosan, due to its natural origin and biocompatibility [155]. Collagen, which is known to confer biomimetic ability and to increase the mechanical strength [156] of the material, was also added to the cement composition. </w:t>
      </w:r>
    </w:p>
    <w:p w:rsidR="00387A07" w:rsidRPr="0065313A" w:rsidRDefault="00387A07" w:rsidP="00387A07">
      <w:pPr>
        <w:autoSpaceDE w:val="0"/>
        <w:autoSpaceDN w:val="0"/>
        <w:adjustRightInd w:val="0"/>
        <w:spacing w:after="0" w:line="360" w:lineRule="auto"/>
        <w:jc w:val="both"/>
        <w:rPr>
          <w:rFonts w:ascii="Arial" w:hAnsi="Arial" w:cs="Arial"/>
          <w:sz w:val="24"/>
          <w:szCs w:val="24"/>
          <w:lang w:val="en-US"/>
        </w:rPr>
      </w:pPr>
      <w:r w:rsidRPr="0065313A">
        <w:rPr>
          <w:rFonts w:ascii="Arial" w:hAnsi="Arial" w:cs="Arial"/>
          <w:sz w:val="24"/>
          <w:szCs w:val="24"/>
          <w:lang w:val="en-US"/>
        </w:rPr>
        <w:t>The cement composition was optimized to obtain the desired hardening time and dissolution rate and then reinforced with collagen, which is known to confer biomimetic ability and to increase the mechanical strength [156] of the material.</w:t>
      </w:r>
    </w:p>
    <w:p w:rsidR="00387A07" w:rsidRPr="0065313A" w:rsidRDefault="00387A07" w:rsidP="00387A07">
      <w:pPr>
        <w:pStyle w:val="Default"/>
        <w:spacing w:line="360" w:lineRule="auto"/>
        <w:jc w:val="both"/>
        <w:rPr>
          <w:rFonts w:ascii="Arial" w:hAnsi="Arial" w:cs="Arial"/>
          <w:color w:val="231F20"/>
          <w:lang w:val="en-US"/>
        </w:rPr>
      </w:pPr>
      <w:r w:rsidRPr="0065313A">
        <w:rPr>
          <w:rFonts w:ascii="Arial" w:hAnsi="Arial" w:cs="Arial"/>
          <w:color w:val="231F20"/>
          <w:lang w:val="en-US"/>
        </w:rPr>
        <w:t xml:space="preserve">Different compositions were tested, by varying the organic/inorganic phase ratio and the amount of cross linker, in order </w:t>
      </w:r>
      <w:r w:rsidRPr="0065313A">
        <w:rPr>
          <w:rFonts w:ascii="Arial" w:hAnsi="Arial" w:cs="Arial"/>
          <w:lang w:val="en-US"/>
        </w:rPr>
        <w:t xml:space="preserve">to obtain the desired hardening time and dissolution rate. </w:t>
      </w:r>
    </w:p>
    <w:p w:rsidR="00387A07" w:rsidRPr="0065313A" w:rsidRDefault="00387A07" w:rsidP="00387A07">
      <w:pPr>
        <w:pStyle w:val="Default"/>
        <w:spacing w:line="360" w:lineRule="auto"/>
        <w:jc w:val="both"/>
        <w:rPr>
          <w:rFonts w:ascii="Arial" w:hAnsi="Arial" w:cs="Arial"/>
          <w:color w:val="231F20"/>
          <w:lang w:val="en-US"/>
        </w:rPr>
      </w:pPr>
      <w:r w:rsidRPr="0065313A">
        <w:rPr>
          <w:rFonts w:ascii="Arial" w:hAnsi="Arial" w:cs="Arial"/>
          <w:color w:val="231F20"/>
          <w:lang w:val="en-US"/>
        </w:rPr>
        <w:lastRenderedPageBreak/>
        <w:t xml:space="preserve">The addition of Indomethacin (IND) loaded nanoparticles to the cement composition, is attempted to face post-operative infections, since the release rate of the drug is compatible with post-operative infections raising kinetics. </w:t>
      </w:r>
      <w:r w:rsidRPr="0065313A">
        <w:rPr>
          <w:rFonts w:ascii="Arial" w:hAnsi="Arial" w:cs="Arial"/>
          <w:lang w:val="en-US"/>
        </w:rPr>
        <w:t>The proposed formulation is tested as injectable bioactive bone substitute for guided bone regeneration.</w:t>
      </w:r>
    </w:p>
    <w:p w:rsidR="00387A07" w:rsidRPr="0065313A" w:rsidRDefault="00387A07" w:rsidP="00387A07">
      <w:pPr>
        <w:pStyle w:val="Default"/>
        <w:spacing w:before="240" w:after="240" w:line="360" w:lineRule="auto"/>
        <w:jc w:val="both"/>
        <w:rPr>
          <w:rFonts w:ascii="Arial" w:hAnsi="Arial" w:cs="Arial"/>
          <w:b/>
          <w:lang w:val="en-US"/>
        </w:rPr>
      </w:pPr>
      <w:r w:rsidRPr="0065313A">
        <w:rPr>
          <w:rFonts w:ascii="Arial" w:hAnsi="Arial" w:cs="Arial"/>
          <w:b/>
          <w:lang w:val="en-US"/>
        </w:rPr>
        <w:t>References</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 Sahoo A.K. and V. Labhasetwar </w:t>
      </w:r>
      <w:r w:rsidRPr="0065313A">
        <w:rPr>
          <w:rFonts w:ascii="Arial" w:hAnsi="Arial" w:cs="Arial"/>
          <w:b/>
          <w:sz w:val="24"/>
          <w:szCs w:val="24"/>
          <w:lang w:val="en-US"/>
        </w:rPr>
        <w:t>2003</w:t>
      </w:r>
      <w:r w:rsidRPr="0065313A">
        <w:rPr>
          <w:rFonts w:ascii="Arial" w:hAnsi="Arial" w:cs="Arial"/>
          <w:sz w:val="24"/>
          <w:szCs w:val="24"/>
          <w:lang w:val="en-US"/>
        </w:rPr>
        <w:t xml:space="preserve"> Drug Discov Today 24:112 </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[2] Xiaojun Y. at al. in Biomedical nanostructures edited by K.E. Gonsalves.</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[3] Langer </w:t>
      </w:r>
      <w:r w:rsidRPr="0065313A">
        <w:rPr>
          <w:rFonts w:ascii="Arial" w:hAnsi="Arial" w:cs="Arial"/>
          <w:b/>
          <w:sz w:val="24"/>
          <w:szCs w:val="24"/>
          <w:lang w:val="en-US"/>
        </w:rPr>
        <w:t xml:space="preserve">1998 </w:t>
      </w:r>
      <w:r w:rsidRPr="0065313A">
        <w:rPr>
          <w:rFonts w:ascii="Arial" w:hAnsi="Arial" w:cs="Arial"/>
          <w:sz w:val="24"/>
          <w:szCs w:val="24"/>
          <w:lang w:val="en-US"/>
        </w:rPr>
        <w:t>R. Nature 392:5</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[4] Loo C et al. </w:t>
      </w:r>
      <w:r w:rsidRPr="0065313A">
        <w:rPr>
          <w:rFonts w:ascii="Arial" w:hAnsi="Arial" w:cs="Arial"/>
          <w:b/>
          <w:sz w:val="24"/>
          <w:szCs w:val="24"/>
          <w:lang w:val="en-US"/>
        </w:rPr>
        <w:t xml:space="preserve">2005 </w:t>
      </w:r>
      <w:r w:rsidRPr="0065313A">
        <w:rPr>
          <w:rFonts w:ascii="Arial" w:hAnsi="Arial" w:cs="Arial"/>
          <w:sz w:val="24"/>
          <w:szCs w:val="24"/>
          <w:lang w:val="en-US"/>
        </w:rPr>
        <w:t xml:space="preserve">Nanolett 5:709 </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[5] Zharov V. et al. </w:t>
      </w:r>
      <w:r w:rsidRPr="0065313A">
        <w:rPr>
          <w:rFonts w:ascii="Arial" w:hAnsi="Arial" w:cs="Arial"/>
          <w:b/>
          <w:sz w:val="24"/>
          <w:szCs w:val="24"/>
          <w:lang w:val="en-US"/>
        </w:rPr>
        <w:t>2006</w:t>
      </w:r>
      <w:r w:rsidRPr="0065313A">
        <w:rPr>
          <w:rFonts w:ascii="Arial" w:hAnsi="Arial" w:cs="Arial"/>
          <w:sz w:val="24"/>
          <w:szCs w:val="24"/>
          <w:lang w:val="en-US"/>
        </w:rPr>
        <w:t xml:space="preserve"> Biophys J 90:619</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[6] Liu Y. et al. </w:t>
      </w:r>
      <w:r w:rsidRPr="0065313A">
        <w:rPr>
          <w:rFonts w:ascii="Arial" w:hAnsi="Arial" w:cs="Arial"/>
          <w:b/>
          <w:sz w:val="24"/>
          <w:szCs w:val="24"/>
          <w:lang w:val="en-US"/>
        </w:rPr>
        <w:t>2010</w:t>
      </w:r>
      <w:r w:rsidRPr="0065313A">
        <w:rPr>
          <w:rFonts w:ascii="Arial" w:hAnsi="Arial" w:cs="Arial"/>
          <w:sz w:val="24"/>
          <w:szCs w:val="24"/>
          <w:lang w:val="en-US"/>
        </w:rPr>
        <w:t xml:space="preserve"> Biomaterials 31:9145</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[7] Alexis F. et Al. </w:t>
      </w:r>
      <w:r w:rsidRPr="0065313A">
        <w:rPr>
          <w:rFonts w:ascii="Arial" w:hAnsi="Arial" w:cs="Arial"/>
          <w:b/>
          <w:sz w:val="24"/>
          <w:szCs w:val="24"/>
          <w:lang w:val="en-US"/>
        </w:rPr>
        <w:t>2008</w:t>
      </w:r>
      <w:r w:rsidRPr="0065313A">
        <w:rPr>
          <w:rFonts w:ascii="Arial" w:hAnsi="Arial" w:cs="Arial"/>
          <w:sz w:val="24"/>
          <w:szCs w:val="24"/>
          <w:lang w:val="en-US"/>
        </w:rPr>
        <w:t xml:space="preserve"> Mol Pharm 5:505</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[8] Shenoy D.B. et Al. </w:t>
      </w:r>
      <w:r w:rsidRPr="0065313A">
        <w:rPr>
          <w:rFonts w:ascii="Arial" w:hAnsi="Arial" w:cs="Arial"/>
          <w:b/>
          <w:sz w:val="24"/>
          <w:szCs w:val="24"/>
          <w:lang w:val="en-US"/>
        </w:rPr>
        <w:t>2005</w:t>
      </w:r>
      <w:r w:rsidRPr="0065313A">
        <w:rPr>
          <w:rFonts w:ascii="Arial" w:hAnsi="Arial" w:cs="Arial"/>
          <w:sz w:val="24"/>
          <w:szCs w:val="24"/>
          <w:lang w:val="en-US"/>
        </w:rPr>
        <w:t xml:space="preserve"> Int J Pharm 293:261</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[9] Leroux J. et Al. </w:t>
      </w:r>
      <w:r w:rsidRPr="0065313A">
        <w:rPr>
          <w:rFonts w:ascii="Arial" w:hAnsi="Arial" w:cs="Arial"/>
          <w:b/>
          <w:sz w:val="24"/>
          <w:szCs w:val="24"/>
          <w:lang w:val="en-US"/>
        </w:rPr>
        <w:t>1996</w:t>
      </w:r>
      <w:r w:rsidRPr="0065313A">
        <w:rPr>
          <w:rFonts w:ascii="Arial" w:hAnsi="Arial" w:cs="Arial"/>
          <w:sz w:val="24"/>
          <w:szCs w:val="24"/>
          <w:lang w:val="en-US"/>
        </w:rPr>
        <w:t xml:space="preserve"> J Control Release 39:339</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[10] Rao </w:t>
      </w:r>
      <w:r w:rsidRPr="0065313A">
        <w:rPr>
          <w:rFonts w:ascii="Arial" w:hAnsi="Arial" w:cs="Arial"/>
          <w:iCs/>
          <w:sz w:val="24"/>
          <w:szCs w:val="24"/>
          <w:lang w:val="en-US"/>
        </w:rPr>
        <w:t xml:space="preserve">J.P. et al </w:t>
      </w:r>
      <w:r w:rsidRPr="0065313A">
        <w:rPr>
          <w:rFonts w:ascii="Arial" w:hAnsi="Arial" w:cs="Arial"/>
          <w:b/>
          <w:iCs/>
          <w:sz w:val="24"/>
          <w:szCs w:val="24"/>
          <w:lang w:val="en-US"/>
        </w:rPr>
        <w:t xml:space="preserve">2011 </w:t>
      </w:r>
      <w:r w:rsidRPr="0065313A">
        <w:rPr>
          <w:rFonts w:ascii="Arial" w:hAnsi="Arial" w:cs="Arial"/>
          <w:iCs/>
          <w:sz w:val="24"/>
          <w:szCs w:val="24"/>
          <w:lang w:val="en-US"/>
        </w:rPr>
        <w:t>Progress in Polymer Science 36:887</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[11] Kreuter J. in </w:t>
      </w:r>
      <w:r w:rsidRPr="0065313A">
        <w:rPr>
          <w:rFonts w:ascii="Arial" w:hAnsi="Arial" w:cs="Arial"/>
          <w:iCs/>
          <w:sz w:val="24"/>
          <w:szCs w:val="24"/>
          <w:lang w:val="en-US"/>
        </w:rPr>
        <w:t>Encyclopaedia of Pharmaceutical Technology</w:t>
      </w:r>
      <w:r w:rsidRPr="0065313A">
        <w:rPr>
          <w:rFonts w:ascii="Arial" w:hAnsi="Arial" w:cs="Arial"/>
          <w:sz w:val="24"/>
          <w:szCs w:val="24"/>
          <w:lang w:val="en-US"/>
        </w:rPr>
        <w:t>, Swarbrick J, Editor. 1994, Marcel Dekker Inc.: New York,</w:t>
      </w:r>
      <w:r w:rsidRPr="0065313A">
        <w:rPr>
          <w:rFonts w:ascii="Arial" w:hAnsi="Arial" w:cs="Arial"/>
          <w:iCs/>
          <w:sz w:val="24"/>
          <w:szCs w:val="24"/>
          <w:lang w:val="en-US"/>
        </w:rPr>
        <w:t xml:space="preserve"> </w:t>
      </w:r>
      <w:r w:rsidRPr="0065313A">
        <w:rPr>
          <w:rFonts w:ascii="Arial" w:hAnsi="Arial" w:cs="Arial"/>
          <w:sz w:val="24"/>
          <w:szCs w:val="24"/>
          <w:lang w:val="en-US"/>
        </w:rPr>
        <w:t>USA. p. 165-90.</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[12] Brigger I. et al. </w:t>
      </w:r>
      <w:r w:rsidRPr="0065313A">
        <w:rPr>
          <w:rFonts w:ascii="Arial" w:hAnsi="Arial" w:cs="Arial"/>
          <w:b/>
          <w:sz w:val="24"/>
          <w:szCs w:val="24"/>
          <w:lang w:val="en-US"/>
        </w:rPr>
        <w:t>2002</w:t>
      </w:r>
      <w:r w:rsidRPr="0065313A">
        <w:rPr>
          <w:rFonts w:ascii="Arial" w:hAnsi="Arial" w:cs="Arial"/>
          <w:sz w:val="24"/>
          <w:szCs w:val="24"/>
          <w:lang w:val="en-US"/>
        </w:rPr>
        <w:t xml:space="preserve"> Adv. Drug Del. Rev. 54:631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[13] Barichello J.M. et al. </w:t>
      </w:r>
      <w:r w:rsidRPr="0065313A">
        <w:rPr>
          <w:rFonts w:ascii="Arial" w:hAnsi="Arial" w:cs="Arial"/>
          <w:b/>
          <w:sz w:val="24"/>
          <w:szCs w:val="24"/>
          <w:lang w:val="en-US"/>
        </w:rPr>
        <w:t>1999</w:t>
      </w:r>
      <w:r w:rsidRPr="0065313A">
        <w:rPr>
          <w:rFonts w:ascii="Arial" w:hAnsi="Arial" w:cs="Arial"/>
          <w:sz w:val="24"/>
          <w:szCs w:val="24"/>
          <w:lang w:val="en-US"/>
        </w:rPr>
        <w:t xml:space="preserve"> Drug Dev Ind Pharm 25:471</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[14] Raghuvanshi R.S. et al.</w:t>
      </w:r>
      <w:r w:rsidRPr="0065313A">
        <w:rPr>
          <w:rFonts w:ascii="Arial" w:hAnsi="Arial" w:cs="Arial"/>
          <w:b/>
          <w:sz w:val="24"/>
          <w:szCs w:val="24"/>
          <w:lang w:val="en-US"/>
        </w:rPr>
        <w:t xml:space="preserve"> 2002</w:t>
      </w:r>
      <w:r w:rsidRPr="0065313A">
        <w:rPr>
          <w:rFonts w:ascii="Arial" w:hAnsi="Arial" w:cs="Arial"/>
          <w:sz w:val="24"/>
          <w:szCs w:val="24"/>
          <w:lang w:val="en-US"/>
        </w:rPr>
        <w:t xml:space="preserve"> Int J Pharm 245:109</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[15] Kawashima Y. et al. </w:t>
      </w:r>
      <w:r w:rsidRPr="0065313A">
        <w:rPr>
          <w:rFonts w:ascii="Arial" w:hAnsi="Arial" w:cs="Arial"/>
          <w:b/>
          <w:sz w:val="24"/>
          <w:szCs w:val="24"/>
          <w:lang w:val="en-US"/>
        </w:rPr>
        <w:t>2000</w:t>
      </w:r>
      <w:r w:rsidRPr="0065313A">
        <w:rPr>
          <w:rFonts w:ascii="Arial" w:hAnsi="Arial" w:cs="Arial"/>
          <w:sz w:val="24"/>
          <w:szCs w:val="24"/>
          <w:lang w:val="en-US"/>
        </w:rPr>
        <w:t xml:space="preserve"> Pharm Dev Technol 5: 77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[16] Park J.S. et al. </w:t>
      </w:r>
      <w:r w:rsidRPr="0065313A">
        <w:rPr>
          <w:rFonts w:ascii="Arial" w:hAnsi="Arial" w:cs="Arial"/>
          <w:b/>
          <w:sz w:val="24"/>
          <w:szCs w:val="24"/>
          <w:lang w:val="en-US"/>
        </w:rPr>
        <w:t>2010</w:t>
      </w:r>
      <w:r w:rsidRPr="0065313A">
        <w:rPr>
          <w:rFonts w:ascii="Arial" w:hAnsi="Arial" w:cs="Arial"/>
          <w:sz w:val="24"/>
          <w:szCs w:val="24"/>
          <w:lang w:val="en-US"/>
        </w:rPr>
        <w:t xml:space="preserve"> Biomaterials 31:124</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[17] Howard K.A. </w:t>
      </w:r>
      <w:r w:rsidRPr="0065313A">
        <w:rPr>
          <w:rFonts w:ascii="Arial" w:hAnsi="Arial" w:cs="Arial"/>
          <w:b/>
          <w:sz w:val="24"/>
          <w:szCs w:val="24"/>
          <w:lang w:val="en-US"/>
        </w:rPr>
        <w:t>2006</w:t>
      </w:r>
      <w:r w:rsidRPr="0065313A">
        <w:rPr>
          <w:rFonts w:ascii="Arial" w:hAnsi="Arial" w:cs="Arial"/>
          <w:sz w:val="24"/>
          <w:szCs w:val="24"/>
          <w:lang w:val="en-US"/>
        </w:rPr>
        <w:t xml:space="preserve"> Advanced Drug Delivery Reviews 61:710</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[18] Jung T. et al. </w:t>
      </w:r>
      <w:r w:rsidRPr="0065313A">
        <w:rPr>
          <w:rFonts w:ascii="Arial" w:hAnsi="Arial" w:cs="Arial"/>
          <w:b/>
          <w:sz w:val="24"/>
          <w:szCs w:val="24"/>
          <w:lang w:val="en-US"/>
        </w:rPr>
        <w:t>2000</w:t>
      </w:r>
      <w:r w:rsidRPr="0065313A">
        <w:rPr>
          <w:rFonts w:ascii="Arial" w:hAnsi="Arial" w:cs="Arial"/>
          <w:sz w:val="24"/>
          <w:szCs w:val="24"/>
          <w:lang w:val="en-US"/>
        </w:rPr>
        <w:t xml:space="preserve"> Eur J Pharm Biopharm 50: 147</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[19] Soppimath K.S. et al </w:t>
      </w:r>
      <w:r w:rsidRPr="0065313A">
        <w:rPr>
          <w:rFonts w:ascii="Arial" w:hAnsi="Arial" w:cs="Arial"/>
          <w:b/>
          <w:sz w:val="24"/>
          <w:szCs w:val="24"/>
          <w:lang w:val="en-US"/>
        </w:rPr>
        <w:t>2001</w:t>
      </w:r>
      <w:r w:rsidRPr="0065313A">
        <w:rPr>
          <w:rFonts w:ascii="Arial" w:hAnsi="Arial" w:cs="Arial"/>
          <w:sz w:val="24"/>
          <w:szCs w:val="24"/>
          <w:lang w:val="en-US"/>
        </w:rPr>
        <w:t xml:space="preserve"> J Control Release 70:1</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[20] Carino G. et al. </w:t>
      </w:r>
      <w:r w:rsidRPr="0065313A">
        <w:rPr>
          <w:rFonts w:ascii="Arial" w:hAnsi="Arial" w:cs="Arial"/>
          <w:b/>
          <w:sz w:val="24"/>
          <w:szCs w:val="24"/>
          <w:lang w:val="en-US"/>
        </w:rPr>
        <w:t>1999</w:t>
      </w:r>
      <w:r w:rsidRPr="0065313A">
        <w:rPr>
          <w:rFonts w:ascii="Arial" w:hAnsi="Arial" w:cs="Arial"/>
          <w:sz w:val="24"/>
          <w:szCs w:val="24"/>
          <w:lang w:val="en-US"/>
        </w:rPr>
        <w:t xml:space="preserve"> Adv Drug Deliv Rev 35:249</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[21] McAllister D.et al </w:t>
      </w:r>
      <w:r w:rsidRPr="0065313A">
        <w:rPr>
          <w:rFonts w:ascii="Arial" w:hAnsi="Arial" w:cs="Arial"/>
          <w:b/>
          <w:sz w:val="24"/>
          <w:szCs w:val="24"/>
          <w:lang w:val="en-US"/>
        </w:rPr>
        <w:t>2000</w:t>
      </w:r>
      <w:r w:rsidRPr="0065313A">
        <w:rPr>
          <w:rFonts w:ascii="Arial" w:hAnsi="Arial" w:cs="Arial"/>
          <w:sz w:val="24"/>
          <w:szCs w:val="24"/>
          <w:lang w:val="en-US"/>
        </w:rPr>
        <w:t xml:space="preserve"> Annu Rev Biomed Eng 2:289</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[22] Tahara K. et al. </w:t>
      </w:r>
      <w:r w:rsidRPr="0065313A">
        <w:rPr>
          <w:rFonts w:ascii="Arial" w:hAnsi="Arial" w:cs="Arial"/>
          <w:b/>
          <w:iCs/>
          <w:sz w:val="24"/>
          <w:szCs w:val="24"/>
          <w:lang w:val="en-US"/>
        </w:rPr>
        <w:t>2010</w:t>
      </w:r>
      <w:r w:rsidRPr="0065313A">
        <w:rPr>
          <w:rFonts w:ascii="Arial" w:hAnsi="Arial" w:cs="Arial"/>
          <w:sz w:val="24"/>
          <w:szCs w:val="24"/>
          <w:lang w:val="en-US"/>
        </w:rPr>
        <w:t xml:space="preserve"> Int. J. Pharm. </w:t>
      </w:r>
      <w:r w:rsidRPr="0065313A">
        <w:rPr>
          <w:rFonts w:ascii="Arial" w:hAnsi="Arial" w:cs="Arial"/>
          <w:iCs/>
          <w:sz w:val="24"/>
          <w:szCs w:val="24"/>
          <w:lang w:val="en-US"/>
        </w:rPr>
        <w:t>392:311</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[23] Khademhosseini A. </w:t>
      </w:r>
      <w:r w:rsidRPr="0065313A">
        <w:rPr>
          <w:rFonts w:ascii="Arial" w:hAnsi="Arial" w:cs="Arial"/>
          <w:b/>
          <w:sz w:val="24"/>
          <w:szCs w:val="24"/>
          <w:lang w:val="en-US"/>
        </w:rPr>
        <w:t>2006</w:t>
      </w:r>
      <w:r w:rsidRPr="0065313A">
        <w:rPr>
          <w:rFonts w:ascii="Arial" w:hAnsi="Arial" w:cs="Arial"/>
          <w:sz w:val="24"/>
          <w:szCs w:val="24"/>
          <w:lang w:val="en-US"/>
        </w:rPr>
        <w:t xml:space="preserve"> Chemical Engineering Program 102:38</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[24] Ballet F. </w:t>
      </w:r>
      <w:r w:rsidRPr="0065313A">
        <w:rPr>
          <w:rFonts w:ascii="Arial" w:hAnsi="Arial" w:cs="Arial"/>
          <w:b/>
          <w:sz w:val="24"/>
          <w:szCs w:val="24"/>
          <w:lang w:val="en-US"/>
        </w:rPr>
        <w:t xml:space="preserve">1990 </w:t>
      </w:r>
      <w:r w:rsidRPr="0065313A">
        <w:rPr>
          <w:rFonts w:ascii="Arial" w:hAnsi="Arial" w:cs="Arial"/>
          <w:sz w:val="24"/>
          <w:szCs w:val="24"/>
          <w:lang w:val="en-US"/>
        </w:rPr>
        <w:t>Pharmacol Ther 47:281</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[25] Jigjiao G et al in Biomedical Nanostructures edited by K.E. Gonsalves.</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[26] Visser C.C. at al. </w:t>
      </w:r>
      <w:r w:rsidRPr="0065313A">
        <w:rPr>
          <w:rFonts w:ascii="Arial" w:hAnsi="Arial" w:cs="Arial"/>
          <w:b/>
          <w:sz w:val="24"/>
          <w:szCs w:val="24"/>
          <w:lang w:val="en-US"/>
        </w:rPr>
        <w:t xml:space="preserve">2005 </w:t>
      </w:r>
      <w:r w:rsidRPr="0065313A">
        <w:rPr>
          <w:rFonts w:ascii="Arial" w:hAnsi="Arial" w:cs="Arial"/>
          <w:sz w:val="24"/>
          <w:szCs w:val="24"/>
          <w:lang w:val="en-US"/>
        </w:rPr>
        <w:t>Int J Pharm 25:299</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lastRenderedPageBreak/>
        <w:t xml:space="preserve">[27] Leamon CP et al. </w:t>
      </w:r>
      <w:r w:rsidRPr="0065313A">
        <w:rPr>
          <w:rFonts w:ascii="Arial" w:hAnsi="Arial" w:cs="Arial"/>
          <w:b/>
          <w:sz w:val="24"/>
          <w:szCs w:val="24"/>
          <w:lang w:val="en-US"/>
        </w:rPr>
        <w:t>2004</w:t>
      </w:r>
      <w:r w:rsidRPr="0065313A">
        <w:rPr>
          <w:rFonts w:ascii="Arial" w:hAnsi="Arial" w:cs="Arial"/>
          <w:sz w:val="24"/>
          <w:szCs w:val="24"/>
          <w:lang w:val="en-US"/>
        </w:rPr>
        <w:t xml:space="preserve"> Adv Drug Deliv Rev 80:1127</w:t>
      </w:r>
    </w:p>
    <w:p w:rsidR="00387A07" w:rsidRPr="0065313A" w:rsidRDefault="00387A07" w:rsidP="00387A07">
      <w:pPr>
        <w:spacing w:after="0" w:line="360" w:lineRule="auto"/>
        <w:rPr>
          <w:rFonts w:ascii="Arial" w:hAnsi="Arial" w:cs="Arial"/>
          <w:sz w:val="24"/>
          <w:szCs w:val="24"/>
          <w:lang w:val="it-IT"/>
        </w:rPr>
      </w:pPr>
      <w:r w:rsidRPr="0065313A">
        <w:rPr>
          <w:rFonts w:ascii="Arial" w:hAnsi="Arial" w:cs="Arial"/>
          <w:sz w:val="24"/>
          <w:szCs w:val="24"/>
          <w:lang w:val="it-IT"/>
        </w:rPr>
        <w:t xml:space="preserve">[28] Safra T. et al. </w:t>
      </w:r>
      <w:r w:rsidRPr="0065313A">
        <w:rPr>
          <w:rFonts w:ascii="Arial" w:hAnsi="Arial" w:cs="Arial"/>
          <w:b/>
          <w:sz w:val="24"/>
          <w:szCs w:val="24"/>
          <w:lang w:val="it-IT"/>
        </w:rPr>
        <w:t>2000</w:t>
      </w:r>
      <w:r w:rsidRPr="0065313A">
        <w:rPr>
          <w:rFonts w:ascii="Arial" w:hAnsi="Arial" w:cs="Arial"/>
          <w:sz w:val="24"/>
          <w:szCs w:val="24"/>
          <w:lang w:val="it-IT"/>
        </w:rPr>
        <w:t xml:space="preserve"> Ann Oncol 11:1029</w:t>
      </w:r>
    </w:p>
    <w:p w:rsidR="00387A07" w:rsidRPr="0065313A" w:rsidRDefault="00387A07" w:rsidP="00387A07">
      <w:pPr>
        <w:shd w:val="clear" w:color="auto" w:fill="FFFFFF"/>
        <w:spacing w:after="0" w:line="360" w:lineRule="auto"/>
        <w:rPr>
          <w:rFonts w:ascii="Arial" w:hAnsi="Arial" w:cs="Arial"/>
          <w:color w:val="333333"/>
          <w:sz w:val="24"/>
          <w:szCs w:val="24"/>
          <w:lang w:eastAsia="it-IT"/>
        </w:rPr>
      </w:pPr>
      <w:r w:rsidRPr="0065313A">
        <w:rPr>
          <w:rFonts w:ascii="Arial" w:hAnsi="Arial" w:cs="Arial"/>
          <w:color w:val="333333"/>
          <w:sz w:val="24"/>
          <w:szCs w:val="24"/>
          <w:lang w:eastAsia="it-IT"/>
        </w:rPr>
        <w:t xml:space="preserve">[29] Savita B. et al </w:t>
      </w:r>
      <w:r w:rsidRPr="0065313A">
        <w:rPr>
          <w:rFonts w:ascii="Arial" w:hAnsi="Arial" w:cs="Arial"/>
          <w:b/>
          <w:color w:val="333333"/>
          <w:sz w:val="24"/>
          <w:szCs w:val="24"/>
          <w:lang w:eastAsia="it-IT"/>
        </w:rPr>
        <w:t>2009</w:t>
      </w:r>
      <w:r w:rsidRPr="0065313A">
        <w:rPr>
          <w:rFonts w:ascii="Arial" w:hAnsi="Arial" w:cs="Arial"/>
          <w:color w:val="333333"/>
          <w:sz w:val="24"/>
          <w:szCs w:val="24"/>
          <w:lang w:eastAsia="it-IT"/>
        </w:rPr>
        <w:t xml:space="preserve"> </w:t>
      </w:r>
      <w:r w:rsidRPr="0065313A">
        <w:rPr>
          <w:rFonts w:ascii="Arial" w:hAnsi="Arial" w:cs="Arial"/>
          <w:i/>
          <w:iCs/>
          <w:color w:val="333333"/>
          <w:sz w:val="24"/>
          <w:szCs w:val="24"/>
          <w:lang w:eastAsia="it-IT"/>
        </w:rPr>
        <w:t>WIREs Nanomed Nanobiotechnol</w:t>
      </w:r>
      <w:r w:rsidRPr="0065313A">
        <w:rPr>
          <w:rFonts w:ascii="Arial" w:hAnsi="Arial" w:cs="Arial"/>
          <w:color w:val="333333"/>
          <w:sz w:val="24"/>
          <w:szCs w:val="24"/>
          <w:lang w:eastAsia="it-IT"/>
        </w:rPr>
        <w:t xml:space="preserve"> 1: 415</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[30] Maeda H. et al. </w:t>
      </w:r>
      <w:r w:rsidRPr="0065313A">
        <w:rPr>
          <w:rFonts w:ascii="Arial" w:hAnsi="Arial" w:cs="Arial"/>
          <w:b/>
          <w:sz w:val="24"/>
          <w:szCs w:val="24"/>
          <w:lang w:val="en-US"/>
        </w:rPr>
        <w:t>2009</w:t>
      </w:r>
      <w:r w:rsidRPr="0065313A">
        <w:rPr>
          <w:rFonts w:ascii="Arial" w:hAnsi="Arial" w:cs="Arial"/>
          <w:sz w:val="24"/>
          <w:szCs w:val="24"/>
          <w:lang w:val="en-US"/>
        </w:rPr>
        <w:t xml:space="preserve"> Eur J Pharm Biopharm 71:409</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[31] Panyam, J. et al </w:t>
      </w:r>
      <w:r w:rsidRPr="0065313A">
        <w:rPr>
          <w:rFonts w:ascii="Arial" w:hAnsi="Arial" w:cs="Arial"/>
          <w:b/>
          <w:sz w:val="24"/>
          <w:szCs w:val="24"/>
          <w:lang w:val="en-US"/>
        </w:rPr>
        <w:t xml:space="preserve">2003 </w:t>
      </w:r>
      <w:r w:rsidRPr="0065313A">
        <w:rPr>
          <w:rFonts w:ascii="Arial" w:hAnsi="Arial" w:cs="Arial"/>
          <w:sz w:val="24"/>
          <w:szCs w:val="24"/>
          <w:lang w:val="en-US"/>
        </w:rPr>
        <w:t xml:space="preserve">Int. J. Pharm. </w:t>
      </w:r>
      <w:r w:rsidRPr="0065313A">
        <w:rPr>
          <w:rFonts w:ascii="Arial" w:hAnsi="Arial" w:cs="Arial"/>
          <w:bCs/>
          <w:sz w:val="24"/>
          <w:szCs w:val="24"/>
          <w:lang w:val="en-US"/>
        </w:rPr>
        <w:t>262</w:t>
      </w:r>
      <w:r w:rsidRPr="0065313A">
        <w:rPr>
          <w:rFonts w:ascii="Arial" w:hAnsi="Arial" w:cs="Arial"/>
          <w:sz w:val="24"/>
          <w:szCs w:val="24"/>
          <w:lang w:val="en-US"/>
        </w:rPr>
        <w:t>: 1</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[32] Panyam, J. et al. </w:t>
      </w:r>
      <w:r w:rsidRPr="0065313A">
        <w:rPr>
          <w:rFonts w:ascii="Arial" w:hAnsi="Arial" w:cs="Arial"/>
          <w:b/>
          <w:sz w:val="24"/>
          <w:szCs w:val="24"/>
          <w:lang w:val="en-US"/>
        </w:rPr>
        <w:t xml:space="preserve">2003 </w:t>
      </w:r>
      <w:r w:rsidRPr="0065313A">
        <w:rPr>
          <w:rFonts w:ascii="Arial" w:hAnsi="Arial" w:cs="Arial"/>
          <w:sz w:val="24"/>
          <w:szCs w:val="24"/>
          <w:lang w:val="en-US"/>
        </w:rPr>
        <w:t xml:space="preserve">Adv. Drug Delivery Rev. </w:t>
      </w:r>
      <w:r w:rsidRPr="0065313A">
        <w:rPr>
          <w:rFonts w:ascii="Arial" w:hAnsi="Arial" w:cs="Arial"/>
          <w:bCs/>
          <w:sz w:val="24"/>
          <w:szCs w:val="24"/>
          <w:lang w:val="en-US"/>
        </w:rPr>
        <w:t>55</w:t>
      </w:r>
      <w:r w:rsidRPr="0065313A">
        <w:rPr>
          <w:rFonts w:ascii="Arial" w:hAnsi="Arial" w:cs="Arial"/>
          <w:sz w:val="24"/>
          <w:szCs w:val="24"/>
          <w:lang w:val="en-US"/>
        </w:rPr>
        <w:t>:329</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[33] Leamon CP. et al </w:t>
      </w:r>
      <w:r w:rsidRPr="0065313A">
        <w:rPr>
          <w:rFonts w:ascii="Arial" w:hAnsi="Arial" w:cs="Arial"/>
          <w:b/>
          <w:sz w:val="24"/>
          <w:szCs w:val="24"/>
          <w:lang w:val="en-US"/>
        </w:rPr>
        <w:t>2004</w:t>
      </w:r>
      <w:r w:rsidRPr="0065313A">
        <w:rPr>
          <w:rFonts w:ascii="Arial" w:hAnsi="Arial" w:cs="Arial"/>
          <w:sz w:val="24"/>
          <w:szCs w:val="24"/>
          <w:lang w:val="en-US"/>
        </w:rPr>
        <w:t xml:space="preserve"> Adv Drug Deliv Rev 80:1127</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[34] Li Y. et al </w:t>
      </w:r>
      <w:r w:rsidRPr="0065313A">
        <w:rPr>
          <w:rFonts w:ascii="Arial" w:hAnsi="Arial" w:cs="Arial"/>
          <w:b/>
          <w:sz w:val="24"/>
          <w:szCs w:val="24"/>
          <w:lang w:val="en-US"/>
        </w:rPr>
        <w:t xml:space="preserve">2003 </w:t>
      </w:r>
      <w:r w:rsidRPr="0065313A">
        <w:rPr>
          <w:rFonts w:ascii="Arial" w:hAnsi="Arial" w:cs="Arial"/>
          <w:sz w:val="24"/>
          <w:szCs w:val="24"/>
          <w:lang w:val="en-US"/>
        </w:rPr>
        <w:t>Int J Pharm  229:93</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[35] Malavasi F. et al </w:t>
      </w:r>
      <w:r w:rsidRPr="0065313A">
        <w:rPr>
          <w:rFonts w:ascii="Arial" w:hAnsi="Arial" w:cs="Arial"/>
          <w:b/>
          <w:sz w:val="24"/>
          <w:szCs w:val="24"/>
          <w:lang w:val="en-US"/>
        </w:rPr>
        <w:t xml:space="preserve">2000 </w:t>
      </w:r>
      <w:r w:rsidRPr="0065313A">
        <w:rPr>
          <w:rFonts w:ascii="Arial" w:hAnsi="Arial" w:cs="Arial"/>
          <w:sz w:val="24"/>
          <w:szCs w:val="24"/>
          <w:lang w:val="en-US"/>
        </w:rPr>
        <w:t>Biotechnol Adv 18:385</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[36] Shenoy D.B. et Al. </w:t>
      </w:r>
      <w:r w:rsidRPr="0065313A">
        <w:rPr>
          <w:rFonts w:ascii="Arial" w:hAnsi="Arial" w:cs="Arial"/>
          <w:b/>
          <w:sz w:val="24"/>
          <w:szCs w:val="24"/>
          <w:lang w:val="en-US"/>
        </w:rPr>
        <w:t>2005</w:t>
      </w:r>
      <w:r w:rsidRPr="0065313A">
        <w:rPr>
          <w:rFonts w:ascii="Arial" w:hAnsi="Arial" w:cs="Arial"/>
          <w:sz w:val="24"/>
          <w:szCs w:val="24"/>
          <w:lang w:val="en-US"/>
        </w:rPr>
        <w:t xml:space="preserve"> Int J Pharm 293:261</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[37] Leroux J. et Al. </w:t>
      </w:r>
      <w:r w:rsidRPr="0065313A">
        <w:rPr>
          <w:rFonts w:ascii="Arial" w:hAnsi="Arial" w:cs="Arial"/>
          <w:b/>
          <w:sz w:val="24"/>
          <w:szCs w:val="24"/>
          <w:lang w:val="en-US"/>
        </w:rPr>
        <w:t>1996</w:t>
      </w:r>
      <w:r w:rsidRPr="0065313A">
        <w:rPr>
          <w:rFonts w:ascii="Arial" w:hAnsi="Arial" w:cs="Arial"/>
          <w:sz w:val="24"/>
          <w:szCs w:val="24"/>
          <w:lang w:val="en-US"/>
        </w:rPr>
        <w:t xml:space="preserve"> J Control Release 39:339</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[38] Li Y.P. et al. </w:t>
      </w:r>
      <w:r w:rsidRPr="0065313A">
        <w:rPr>
          <w:rFonts w:ascii="Arial" w:hAnsi="Arial" w:cs="Arial"/>
          <w:b/>
          <w:sz w:val="24"/>
          <w:szCs w:val="24"/>
          <w:lang w:val="en-US"/>
        </w:rPr>
        <w:t>2001</w:t>
      </w:r>
      <w:r w:rsidRPr="0065313A">
        <w:rPr>
          <w:rFonts w:ascii="Arial" w:hAnsi="Arial" w:cs="Arial"/>
          <w:sz w:val="24"/>
          <w:szCs w:val="24"/>
          <w:lang w:val="en-US"/>
        </w:rPr>
        <w:t xml:space="preserve"> J Control Release 71:203]</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[39] Moghimi S.M. et al. </w:t>
      </w:r>
      <w:r w:rsidRPr="0065313A">
        <w:rPr>
          <w:rFonts w:ascii="Arial" w:hAnsi="Arial" w:cs="Arial"/>
          <w:b/>
          <w:sz w:val="24"/>
          <w:szCs w:val="24"/>
          <w:lang w:val="en-US"/>
        </w:rPr>
        <w:t>2001</w:t>
      </w:r>
      <w:r w:rsidRPr="0065313A">
        <w:rPr>
          <w:rFonts w:ascii="Arial" w:hAnsi="Arial" w:cs="Arial"/>
          <w:sz w:val="24"/>
          <w:szCs w:val="24"/>
          <w:lang w:val="en-US"/>
        </w:rPr>
        <w:t xml:space="preserve"> Pharmacol Rev 53:289</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[40] M. Teixeira et al. </w:t>
      </w:r>
      <w:r w:rsidRPr="0065313A">
        <w:rPr>
          <w:rFonts w:ascii="Arial" w:hAnsi="Arial" w:cs="Arial"/>
          <w:b/>
          <w:sz w:val="24"/>
          <w:szCs w:val="24"/>
          <w:lang w:val="en-US"/>
        </w:rPr>
        <w:t>2005</w:t>
      </w:r>
      <w:r w:rsidRPr="0065313A">
        <w:rPr>
          <w:rFonts w:ascii="Arial" w:hAnsi="Arial" w:cs="Arial"/>
          <w:sz w:val="24"/>
          <w:szCs w:val="24"/>
          <w:lang w:val="en-US"/>
        </w:rPr>
        <w:t xml:space="preserve"> Eur J Pharm Biopharm 59:491</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[41] Alexis F. et Al. </w:t>
      </w:r>
      <w:r w:rsidRPr="0065313A">
        <w:rPr>
          <w:rFonts w:ascii="Arial" w:hAnsi="Arial" w:cs="Arial"/>
          <w:b/>
          <w:sz w:val="24"/>
          <w:szCs w:val="24"/>
          <w:lang w:val="en-US"/>
        </w:rPr>
        <w:t>2008</w:t>
      </w:r>
      <w:r w:rsidRPr="0065313A">
        <w:rPr>
          <w:rFonts w:ascii="Arial" w:hAnsi="Arial" w:cs="Arial"/>
          <w:sz w:val="24"/>
          <w:szCs w:val="24"/>
          <w:lang w:val="en-US"/>
        </w:rPr>
        <w:t xml:space="preserve"> Mol. Pharm. 5:505</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[42] Hoffman A et al </w:t>
      </w:r>
      <w:r w:rsidRPr="0065313A">
        <w:rPr>
          <w:rFonts w:ascii="Arial" w:hAnsi="Arial" w:cs="Arial"/>
          <w:b/>
          <w:sz w:val="24"/>
          <w:szCs w:val="24"/>
          <w:lang w:val="en-US"/>
        </w:rPr>
        <w:t>2002</w:t>
      </w:r>
      <w:r w:rsidRPr="0065313A">
        <w:rPr>
          <w:rFonts w:ascii="Arial" w:hAnsi="Arial" w:cs="Arial"/>
          <w:sz w:val="24"/>
          <w:szCs w:val="24"/>
          <w:lang w:val="en-US"/>
        </w:rPr>
        <w:t xml:space="preserve"> Polym Adv Technol 13:992</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[43] Rejman J et al </w:t>
      </w:r>
      <w:r w:rsidRPr="0065313A">
        <w:rPr>
          <w:rFonts w:ascii="Arial" w:hAnsi="Arial" w:cs="Arial"/>
          <w:b/>
          <w:sz w:val="24"/>
          <w:szCs w:val="24"/>
          <w:lang w:val="en-US"/>
        </w:rPr>
        <w:t>2004</w:t>
      </w:r>
      <w:r w:rsidRPr="0065313A">
        <w:rPr>
          <w:rFonts w:ascii="Arial" w:hAnsi="Arial" w:cs="Arial"/>
          <w:sz w:val="24"/>
          <w:szCs w:val="24"/>
          <w:lang w:val="en-US"/>
        </w:rPr>
        <w:t xml:space="preserve"> Biochem J 377:159</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[44] Gao K. et al </w:t>
      </w:r>
      <w:r w:rsidRPr="0065313A">
        <w:rPr>
          <w:rFonts w:ascii="Arial" w:hAnsi="Arial" w:cs="Arial"/>
          <w:b/>
          <w:sz w:val="24"/>
          <w:szCs w:val="24"/>
          <w:lang w:val="en-US"/>
        </w:rPr>
        <w:t xml:space="preserve">2006 </w:t>
      </w:r>
      <w:r w:rsidRPr="0065313A">
        <w:rPr>
          <w:rFonts w:ascii="Arial" w:hAnsi="Arial" w:cs="Arial"/>
          <w:sz w:val="24"/>
          <w:szCs w:val="24"/>
          <w:lang w:val="en-US"/>
        </w:rPr>
        <w:t>Int J Pharm 310:213</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[45] Couvreur P. et al. </w:t>
      </w:r>
      <w:r w:rsidRPr="0065313A">
        <w:rPr>
          <w:rFonts w:ascii="Arial" w:hAnsi="Arial" w:cs="Arial"/>
          <w:b/>
          <w:sz w:val="24"/>
          <w:szCs w:val="24"/>
          <w:lang w:val="en-US"/>
        </w:rPr>
        <w:t>1995</w:t>
      </w:r>
      <w:r w:rsidRPr="0065313A">
        <w:rPr>
          <w:rFonts w:ascii="Arial" w:hAnsi="Arial" w:cs="Arial"/>
          <w:sz w:val="24"/>
          <w:szCs w:val="24"/>
          <w:lang w:val="en-US"/>
        </w:rPr>
        <w:t xml:space="preserve"> Eur J Pharm Biopharm 41:2 </w:t>
      </w:r>
    </w:p>
    <w:p w:rsidR="00387A07" w:rsidRPr="0065313A" w:rsidRDefault="00387A07" w:rsidP="00387A07">
      <w:pPr>
        <w:spacing w:after="0" w:line="360" w:lineRule="auto"/>
        <w:jc w:val="both"/>
        <w:rPr>
          <w:rFonts w:ascii="Arial" w:hAnsi="Arial" w:cs="Arial"/>
          <w:sz w:val="24"/>
          <w:szCs w:val="24"/>
          <w:lang w:val="it-IT"/>
        </w:rPr>
      </w:pPr>
      <w:r w:rsidRPr="0065313A">
        <w:rPr>
          <w:rFonts w:ascii="Arial" w:hAnsi="Arial" w:cs="Arial"/>
          <w:sz w:val="24"/>
          <w:szCs w:val="24"/>
          <w:lang w:val="it-IT"/>
        </w:rPr>
        <w:t xml:space="preserve">[46] Pinto Reis C. et al. </w:t>
      </w:r>
      <w:r w:rsidRPr="0065313A">
        <w:rPr>
          <w:rFonts w:ascii="Arial" w:hAnsi="Arial" w:cs="Arial"/>
          <w:b/>
          <w:sz w:val="24"/>
          <w:szCs w:val="24"/>
          <w:lang w:val="it-IT"/>
        </w:rPr>
        <w:t>2006</w:t>
      </w:r>
      <w:r w:rsidRPr="0065313A">
        <w:rPr>
          <w:rFonts w:ascii="Arial" w:hAnsi="Arial" w:cs="Arial"/>
          <w:sz w:val="24"/>
          <w:szCs w:val="24"/>
          <w:lang w:val="it-IT"/>
        </w:rPr>
        <w:t xml:space="preserve"> Nanomedicine 2:8</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[47] Thickett S.C. et al. </w:t>
      </w:r>
      <w:r w:rsidRPr="0065313A">
        <w:rPr>
          <w:rFonts w:ascii="Arial" w:hAnsi="Arial" w:cs="Arial"/>
          <w:b/>
          <w:sz w:val="24"/>
          <w:szCs w:val="24"/>
          <w:lang w:val="en-US"/>
        </w:rPr>
        <w:t>2007</w:t>
      </w:r>
      <w:r w:rsidRPr="0065313A">
        <w:rPr>
          <w:rFonts w:ascii="Arial" w:hAnsi="Arial" w:cs="Arial"/>
          <w:sz w:val="24"/>
          <w:szCs w:val="24"/>
          <w:lang w:val="en-US"/>
        </w:rPr>
        <w:t xml:space="preserve"> Polymer 48:6965</w:t>
      </w:r>
    </w:p>
    <w:p w:rsidR="00387A07" w:rsidRPr="0065313A" w:rsidRDefault="00387A07" w:rsidP="00387A07">
      <w:pPr>
        <w:spacing w:after="0" w:line="360" w:lineRule="auto"/>
        <w:jc w:val="both"/>
        <w:rPr>
          <w:rFonts w:ascii="Arial" w:hAnsi="Arial" w:cs="Arial"/>
          <w:sz w:val="24"/>
          <w:szCs w:val="24"/>
        </w:rPr>
      </w:pPr>
      <w:r w:rsidRPr="0065313A">
        <w:rPr>
          <w:rFonts w:ascii="Arial" w:hAnsi="Arial" w:cs="Arial"/>
          <w:sz w:val="24"/>
          <w:szCs w:val="24"/>
          <w:lang w:eastAsia="it-IT"/>
        </w:rPr>
        <w:t xml:space="preserve">[48] Smith W. V. </w:t>
      </w:r>
      <w:r w:rsidRPr="0065313A">
        <w:rPr>
          <w:rFonts w:ascii="Arial" w:hAnsi="Arial" w:cs="Arial"/>
          <w:b/>
          <w:sz w:val="24"/>
          <w:szCs w:val="24"/>
          <w:lang w:eastAsia="it-IT"/>
        </w:rPr>
        <w:t>1948</w:t>
      </w:r>
      <w:r w:rsidRPr="0065313A">
        <w:rPr>
          <w:rFonts w:ascii="Arial" w:hAnsi="Arial" w:cs="Arial"/>
          <w:sz w:val="24"/>
          <w:szCs w:val="24"/>
          <w:lang w:eastAsia="it-IT"/>
        </w:rPr>
        <w:t xml:space="preserve"> </w:t>
      </w:r>
      <w:r w:rsidRPr="0065313A">
        <w:rPr>
          <w:rFonts w:ascii="Arial" w:hAnsi="Arial" w:cs="Arial"/>
          <w:iCs/>
          <w:sz w:val="24"/>
          <w:szCs w:val="24"/>
          <w:lang w:eastAsia="it-IT"/>
        </w:rPr>
        <w:t>J Chem Phys</w:t>
      </w:r>
      <w:r w:rsidRPr="0065313A">
        <w:rPr>
          <w:rFonts w:ascii="Arial" w:hAnsi="Arial" w:cs="Arial"/>
          <w:sz w:val="24"/>
          <w:szCs w:val="24"/>
          <w:lang w:eastAsia="it-IT"/>
        </w:rPr>
        <w:t xml:space="preserve"> </w:t>
      </w:r>
      <w:r w:rsidRPr="0065313A">
        <w:rPr>
          <w:rFonts w:ascii="Arial" w:hAnsi="Arial" w:cs="Arial"/>
          <w:b/>
          <w:bCs/>
          <w:sz w:val="24"/>
          <w:szCs w:val="24"/>
          <w:lang w:eastAsia="it-IT"/>
        </w:rPr>
        <w:t>16</w:t>
      </w:r>
      <w:r w:rsidRPr="0065313A">
        <w:rPr>
          <w:rFonts w:ascii="Arial" w:hAnsi="Arial" w:cs="Arial"/>
          <w:sz w:val="24"/>
          <w:szCs w:val="24"/>
          <w:lang w:eastAsia="it-IT"/>
        </w:rPr>
        <w:t>, 592.</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[49] Kreuter J. et al. </w:t>
      </w:r>
      <w:r w:rsidRPr="0065313A">
        <w:rPr>
          <w:rFonts w:ascii="Arial" w:hAnsi="Arial" w:cs="Arial"/>
          <w:b/>
          <w:sz w:val="24"/>
          <w:szCs w:val="24"/>
          <w:lang w:val="en-US"/>
        </w:rPr>
        <w:t>1982</w:t>
      </w:r>
      <w:r w:rsidRPr="0065313A">
        <w:rPr>
          <w:rFonts w:ascii="Arial" w:hAnsi="Arial" w:cs="Arial"/>
          <w:sz w:val="24"/>
          <w:szCs w:val="24"/>
          <w:lang w:val="en-US"/>
        </w:rPr>
        <w:t xml:space="preserve"> J Polym Sci Polym Lett 20:543</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[50] Vauthier C. et al. </w:t>
      </w:r>
      <w:r w:rsidRPr="0065313A">
        <w:rPr>
          <w:rFonts w:ascii="Arial" w:hAnsi="Arial" w:cs="Arial"/>
          <w:b/>
          <w:sz w:val="24"/>
          <w:szCs w:val="24"/>
          <w:lang w:val="en-US"/>
        </w:rPr>
        <w:t xml:space="preserve">2003 </w:t>
      </w:r>
      <w:r w:rsidRPr="0065313A">
        <w:rPr>
          <w:rFonts w:ascii="Arial" w:hAnsi="Arial" w:cs="Arial"/>
          <w:sz w:val="24"/>
          <w:szCs w:val="24"/>
          <w:lang w:val="en-US"/>
        </w:rPr>
        <w:t>Adv Drug Deliv Rev</w:t>
      </w:r>
      <w:r w:rsidRPr="0065313A">
        <w:rPr>
          <w:rFonts w:ascii="Arial" w:hAnsi="Arial" w:cs="Arial"/>
          <w:b/>
          <w:sz w:val="24"/>
          <w:szCs w:val="24"/>
          <w:lang w:val="en-US"/>
        </w:rPr>
        <w:t xml:space="preserve"> </w:t>
      </w:r>
      <w:r w:rsidRPr="0065313A">
        <w:rPr>
          <w:rFonts w:ascii="Arial" w:hAnsi="Arial" w:cs="Arial"/>
          <w:sz w:val="24"/>
          <w:szCs w:val="24"/>
          <w:lang w:val="en-US"/>
        </w:rPr>
        <w:t>55:519</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[51] Kreuter J. </w:t>
      </w:r>
      <w:r w:rsidRPr="0065313A">
        <w:rPr>
          <w:rFonts w:ascii="Arial" w:hAnsi="Arial" w:cs="Arial"/>
          <w:b/>
          <w:sz w:val="24"/>
          <w:szCs w:val="24"/>
          <w:lang w:val="en-US"/>
        </w:rPr>
        <w:t>1983</w:t>
      </w:r>
      <w:r w:rsidRPr="0065313A">
        <w:rPr>
          <w:rFonts w:ascii="Arial" w:hAnsi="Arial" w:cs="Arial"/>
          <w:sz w:val="24"/>
          <w:szCs w:val="24"/>
          <w:lang w:val="en-US"/>
        </w:rPr>
        <w:t xml:space="preserve"> J Polym Sci 58:196</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[52] Liu G. et al. </w:t>
      </w:r>
      <w:r w:rsidRPr="0065313A">
        <w:rPr>
          <w:rFonts w:ascii="Arial" w:hAnsi="Arial" w:cs="Arial"/>
          <w:b/>
          <w:sz w:val="24"/>
          <w:szCs w:val="24"/>
          <w:lang w:val="en-US"/>
        </w:rPr>
        <w:t>2010</w:t>
      </w:r>
      <w:r w:rsidRPr="0065313A">
        <w:rPr>
          <w:rFonts w:ascii="Arial" w:hAnsi="Arial" w:cs="Arial"/>
          <w:sz w:val="24"/>
          <w:szCs w:val="24"/>
          <w:lang w:val="en-US"/>
        </w:rPr>
        <w:t xml:space="preserve"> Colloid Surf A 354:377</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[53] Song Z. et al. </w:t>
      </w:r>
      <w:r w:rsidRPr="0065313A">
        <w:rPr>
          <w:rFonts w:ascii="Arial" w:hAnsi="Arial" w:cs="Arial"/>
          <w:b/>
          <w:sz w:val="24"/>
          <w:szCs w:val="24"/>
          <w:lang w:val="en-US"/>
        </w:rPr>
        <w:t>1990</w:t>
      </w:r>
      <w:r w:rsidRPr="0065313A">
        <w:rPr>
          <w:rFonts w:ascii="Arial" w:hAnsi="Arial" w:cs="Arial"/>
          <w:sz w:val="24"/>
          <w:szCs w:val="24"/>
          <w:lang w:val="en-US"/>
        </w:rPr>
        <w:t xml:space="preserve"> J Polym Sci Part A Polym Chem 28:2359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[54] Wang S. et al. </w:t>
      </w:r>
      <w:r w:rsidRPr="0065313A">
        <w:rPr>
          <w:rFonts w:ascii="Arial" w:hAnsi="Arial" w:cs="Arial"/>
          <w:b/>
          <w:sz w:val="24"/>
          <w:szCs w:val="24"/>
          <w:lang w:val="en-US"/>
        </w:rPr>
        <w:t>2007</w:t>
      </w:r>
      <w:r w:rsidRPr="0065313A">
        <w:rPr>
          <w:rFonts w:ascii="Arial" w:hAnsi="Arial" w:cs="Arial"/>
          <w:sz w:val="24"/>
          <w:szCs w:val="24"/>
          <w:lang w:val="en-US"/>
        </w:rPr>
        <w:t xml:space="preserve"> Eur Polym J 43:178</w:t>
      </w:r>
    </w:p>
    <w:p w:rsidR="00387A07" w:rsidRPr="0065313A" w:rsidRDefault="00387A07" w:rsidP="00387A07">
      <w:pPr>
        <w:spacing w:after="0" w:line="360" w:lineRule="auto"/>
        <w:jc w:val="both"/>
        <w:rPr>
          <w:rFonts w:ascii="Arial" w:hAnsi="Arial" w:cs="Arial"/>
          <w:sz w:val="24"/>
          <w:szCs w:val="24"/>
          <w:lang w:val="it-IT"/>
        </w:rPr>
      </w:pPr>
      <w:r w:rsidRPr="0065313A">
        <w:rPr>
          <w:rFonts w:ascii="Arial" w:hAnsi="Arial" w:cs="Arial"/>
          <w:sz w:val="24"/>
          <w:szCs w:val="24"/>
          <w:lang w:val="it-IT"/>
        </w:rPr>
        <w:t xml:space="preserve">[55] Bardajee GR et al. </w:t>
      </w:r>
      <w:r w:rsidRPr="0065313A">
        <w:rPr>
          <w:rFonts w:ascii="Arial" w:hAnsi="Arial" w:cs="Arial"/>
          <w:b/>
          <w:sz w:val="24"/>
          <w:szCs w:val="24"/>
          <w:lang w:val="it-IT"/>
        </w:rPr>
        <w:t>2007</w:t>
      </w:r>
      <w:r w:rsidRPr="0065313A">
        <w:rPr>
          <w:rFonts w:ascii="Arial" w:hAnsi="Arial" w:cs="Arial"/>
          <w:sz w:val="24"/>
          <w:szCs w:val="24"/>
          <w:lang w:val="it-IT"/>
        </w:rPr>
        <w:t xml:space="preserve"> Polymer 48:5839</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[56] Karode SK et al. </w:t>
      </w:r>
      <w:r w:rsidRPr="0065313A">
        <w:rPr>
          <w:rFonts w:ascii="Arial" w:hAnsi="Arial" w:cs="Arial"/>
          <w:b/>
          <w:sz w:val="24"/>
          <w:szCs w:val="24"/>
          <w:lang w:val="en-US"/>
        </w:rPr>
        <w:t>1998</w:t>
      </w:r>
      <w:r w:rsidRPr="0065313A">
        <w:rPr>
          <w:rFonts w:ascii="Arial" w:hAnsi="Arial" w:cs="Arial"/>
          <w:sz w:val="24"/>
          <w:szCs w:val="24"/>
          <w:lang w:val="en-US"/>
        </w:rPr>
        <w:t xml:space="preserve"> Chem Eng Sci 53:264.</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[57] Couvreur P et al </w:t>
      </w:r>
      <w:r w:rsidRPr="0065313A">
        <w:rPr>
          <w:rFonts w:ascii="Arial" w:hAnsi="Arial" w:cs="Arial"/>
          <w:b/>
          <w:color w:val="000000"/>
          <w:sz w:val="24"/>
          <w:szCs w:val="24"/>
          <w:lang w:val="en-US"/>
        </w:rPr>
        <w:t>2002</w:t>
      </w:r>
      <w:r w:rsidRPr="0065313A">
        <w:rPr>
          <w:rFonts w:ascii="Arial" w:hAnsi="Arial" w:cs="Arial"/>
          <w:color w:val="000000"/>
          <w:sz w:val="24"/>
          <w:szCs w:val="24"/>
          <w:lang w:val="en-US"/>
        </w:rPr>
        <w:t xml:space="preserve"> Crit Rev Ther Drug Carrier Syst 19:99</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[58] Kreuter J. et al </w:t>
      </w:r>
      <w:r w:rsidRPr="0065313A">
        <w:rPr>
          <w:rFonts w:ascii="Arial" w:hAnsi="Arial" w:cs="Arial"/>
          <w:b/>
          <w:color w:val="000000"/>
          <w:sz w:val="24"/>
          <w:szCs w:val="24"/>
          <w:lang w:val="en-US"/>
        </w:rPr>
        <w:t>1976</w:t>
      </w:r>
      <w:r w:rsidRPr="0065313A">
        <w:rPr>
          <w:rFonts w:ascii="Arial" w:hAnsi="Arial" w:cs="Arial"/>
          <w:color w:val="000000"/>
          <w:sz w:val="24"/>
          <w:szCs w:val="24"/>
          <w:lang w:val="en-US"/>
        </w:rPr>
        <w:t xml:space="preserve"> Exp Cell Biol 44:12</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[59]Rolland A. et al </w:t>
      </w:r>
      <w:r w:rsidRPr="0065313A">
        <w:rPr>
          <w:rFonts w:ascii="Arial" w:hAnsi="Arial" w:cs="Arial"/>
          <w:b/>
          <w:color w:val="000000"/>
          <w:sz w:val="24"/>
          <w:szCs w:val="24"/>
          <w:lang w:val="en-US"/>
        </w:rPr>
        <w:t xml:space="preserve">1986 </w:t>
      </w:r>
      <w:r w:rsidRPr="0065313A">
        <w:rPr>
          <w:rFonts w:ascii="Arial" w:hAnsi="Arial" w:cs="Arial"/>
          <w:color w:val="000000"/>
          <w:sz w:val="24"/>
          <w:szCs w:val="24"/>
          <w:lang w:val="en-US"/>
        </w:rPr>
        <w:t>J Pharm Belg 41:94</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[60] Couvreur P et al </w:t>
      </w:r>
      <w:r w:rsidRPr="0065313A">
        <w:rPr>
          <w:rFonts w:ascii="Arial" w:hAnsi="Arial" w:cs="Arial"/>
          <w:b/>
          <w:color w:val="000000"/>
          <w:sz w:val="24"/>
          <w:szCs w:val="24"/>
          <w:lang w:val="en-US"/>
        </w:rPr>
        <w:t>1980</w:t>
      </w:r>
      <w:r w:rsidRPr="0065313A">
        <w:rPr>
          <w:rFonts w:ascii="Arial" w:hAnsi="Arial" w:cs="Arial"/>
          <w:color w:val="000000"/>
          <w:sz w:val="24"/>
          <w:szCs w:val="24"/>
          <w:lang w:val="en-US"/>
        </w:rPr>
        <w:t xml:space="preserve"> J Pharm Sci 69:199</w:t>
      </w:r>
    </w:p>
    <w:p w:rsidR="00387A07" w:rsidRPr="0065313A" w:rsidRDefault="00387A07" w:rsidP="00387A07">
      <w:pPr>
        <w:spacing w:after="0" w:line="360" w:lineRule="auto"/>
        <w:rPr>
          <w:rFonts w:ascii="Arial" w:hAnsi="Arial" w:cs="Arial"/>
          <w:color w:val="000000"/>
          <w:sz w:val="24"/>
          <w:szCs w:val="24"/>
          <w:lang w:val="it-IT"/>
        </w:rPr>
      </w:pPr>
      <w:r w:rsidRPr="0065313A">
        <w:rPr>
          <w:rFonts w:ascii="Arial" w:hAnsi="Arial" w:cs="Arial"/>
          <w:color w:val="000000"/>
          <w:sz w:val="24"/>
          <w:szCs w:val="24"/>
          <w:lang w:val="it-IT"/>
        </w:rPr>
        <w:lastRenderedPageBreak/>
        <w:t xml:space="preserve">[61] Radwan MA et al </w:t>
      </w:r>
      <w:r w:rsidRPr="0065313A">
        <w:rPr>
          <w:rFonts w:ascii="Arial" w:hAnsi="Arial" w:cs="Arial"/>
          <w:b/>
          <w:color w:val="000000"/>
          <w:sz w:val="24"/>
          <w:szCs w:val="24"/>
          <w:lang w:val="it-IT"/>
        </w:rPr>
        <w:t>2002</w:t>
      </w:r>
      <w:r w:rsidRPr="0065313A">
        <w:rPr>
          <w:rFonts w:ascii="Arial" w:hAnsi="Arial" w:cs="Arial"/>
          <w:color w:val="000000"/>
          <w:sz w:val="24"/>
          <w:szCs w:val="24"/>
          <w:lang w:val="it-IT"/>
        </w:rPr>
        <w:t xml:space="preserve"> J Microencapsul 19:225</w:t>
      </w:r>
    </w:p>
    <w:p w:rsidR="00387A07" w:rsidRPr="0065313A" w:rsidRDefault="00387A07" w:rsidP="00387A07">
      <w:pPr>
        <w:spacing w:after="0" w:line="360" w:lineRule="auto"/>
        <w:rPr>
          <w:rFonts w:ascii="Arial" w:hAnsi="Arial" w:cs="Arial"/>
          <w:color w:val="000000"/>
          <w:sz w:val="24"/>
          <w:szCs w:val="24"/>
          <w:lang w:val="it-IT"/>
        </w:rPr>
      </w:pPr>
      <w:r w:rsidRPr="0065313A">
        <w:rPr>
          <w:rFonts w:ascii="Arial" w:hAnsi="Arial" w:cs="Arial"/>
          <w:color w:val="000000"/>
          <w:sz w:val="24"/>
          <w:szCs w:val="24"/>
          <w:lang w:val="it-IT"/>
        </w:rPr>
        <w:t xml:space="preserve">[62] Li VHK et al. </w:t>
      </w:r>
      <w:r w:rsidRPr="0065313A">
        <w:rPr>
          <w:rFonts w:ascii="Arial" w:hAnsi="Arial" w:cs="Arial"/>
          <w:b/>
          <w:color w:val="000000"/>
          <w:sz w:val="24"/>
          <w:szCs w:val="24"/>
          <w:lang w:val="it-IT"/>
        </w:rPr>
        <w:t>1986</w:t>
      </w:r>
      <w:r w:rsidRPr="0065313A">
        <w:rPr>
          <w:rFonts w:ascii="Arial" w:hAnsi="Arial" w:cs="Arial"/>
          <w:color w:val="000000"/>
          <w:sz w:val="24"/>
          <w:szCs w:val="24"/>
          <w:lang w:val="it-IT"/>
        </w:rPr>
        <w:t xml:space="preserve"> J Microencapsul 3:213</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[63] Seijo B et al </w:t>
      </w:r>
      <w:r w:rsidRPr="0065313A">
        <w:rPr>
          <w:rFonts w:ascii="Arial" w:hAnsi="Arial" w:cs="Arial"/>
          <w:b/>
          <w:color w:val="000000"/>
          <w:sz w:val="24"/>
          <w:szCs w:val="24"/>
          <w:lang w:val="en-US"/>
        </w:rPr>
        <w:t>1990</w:t>
      </w:r>
      <w:r w:rsidRPr="0065313A">
        <w:rPr>
          <w:rFonts w:ascii="Arial" w:hAnsi="Arial" w:cs="Arial"/>
          <w:color w:val="000000"/>
          <w:sz w:val="24"/>
          <w:szCs w:val="24"/>
          <w:lang w:val="en-US"/>
        </w:rPr>
        <w:t xml:space="preserve"> Int J Pharm 138:237</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[64] Kubiak C et al </w:t>
      </w:r>
      <w:r w:rsidRPr="0065313A">
        <w:rPr>
          <w:rFonts w:ascii="Arial" w:hAnsi="Arial" w:cs="Arial"/>
          <w:b/>
          <w:color w:val="000000"/>
          <w:sz w:val="24"/>
          <w:szCs w:val="24"/>
          <w:lang w:val="en-US"/>
        </w:rPr>
        <w:t>1988</w:t>
      </w:r>
      <w:r w:rsidRPr="0065313A">
        <w:rPr>
          <w:rFonts w:ascii="Arial" w:hAnsi="Arial" w:cs="Arial"/>
          <w:color w:val="000000"/>
          <w:sz w:val="24"/>
          <w:szCs w:val="24"/>
          <w:lang w:val="en-US"/>
        </w:rPr>
        <w:t xml:space="preserve"> Int J Pharm 41:181</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[65] Grangier JL et al </w:t>
      </w:r>
      <w:r w:rsidRPr="0065313A">
        <w:rPr>
          <w:rFonts w:ascii="Arial" w:hAnsi="Arial" w:cs="Arial"/>
          <w:b/>
          <w:color w:val="000000"/>
          <w:sz w:val="24"/>
          <w:szCs w:val="24"/>
          <w:lang w:val="en-US"/>
        </w:rPr>
        <w:t>1991</w:t>
      </w:r>
      <w:r w:rsidRPr="0065313A">
        <w:rPr>
          <w:rFonts w:ascii="Arial" w:hAnsi="Arial" w:cs="Arial"/>
          <w:color w:val="000000"/>
          <w:sz w:val="24"/>
          <w:szCs w:val="24"/>
          <w:lang w:val="en-US"/>
        </w:rPr>
        <w:t xml:space="preserve"> J Control Release 15:3</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[66] Watnasirichaikul S et al </w:t>
      </w:r>
      <w:r w:rsidRPr="0065313A">
        <w:rPr>
          <w:rFonts w:ascii="Arial" w:hAnsi="Arial" w:cs="Arial"/>
          <w:b/>
          <w:color w:val="000000"/>
          <w:sz w:val="24"/>
          <w:szCs w:val="24"/>
          <w:lang w:val="en-US"/>
        </w:rPr>
        <w:t xml:space="preserve">2000 </w:t>
      </w:r>
      <w:r w:rsidRPr="0065313A">
        <w:rPr>
          <w:rFonts w:ascii="Arial" w:hAnsi="Arial" w:cs="Arial"/>
          <w:color w:val="000000"/>
          <w:sz w:val="24"/>
          <w:szCs w:val="24"/>
          <w:lang w:val="en-US"/>
        </w:rPr>
        <w:t>Pharm Res 17:684</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[67] Gursoy A et al </w:t>
      </w:r>
      <w:r w:rsidRPr="0065313A">
        <w:rPr>
          <w:rFonts w:ascii="Arial" w:hAnsi="Arial" w:cs="Arial"/>
          <w:b/>
          <w:color w:val="000000"/>
          <w:sz w:val="24"/>
          <w:szCs w:val="24"/>
          <w:lang w:val="en-US"/>
        </w:rPr>
        <w:t>1989</w:t>
      </w:r>
      <w:r w:rsidRPr="0065313A">
        <w:rPr>
          <w:rFonts w:ascii="Arial" w:hAnsi="Arial" w:cs="Arial"/>
          <w:color w:val="000000"/>
          <w:sz w:val="24"/>
          <w:szCs w:val="24"/>
          <w:lang w:val="en-US"/>
        </w:rPr>
        <w:t xml:space="preserve"> Int J Pharm 52:101</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[68] Damgé C et al </w:t>
      </w:r>
      <w:r w:rsidRPr="0065313A">
        <w:rPr>
          <w:rFonts w:ascii="Arial" w:hAnsi="Arial" w:cs="Arial"/>
          <w:b/>
          <w:color w:val="000000"/>
          <w:sz w:val="24"/>
          <w:szCs w:val="24"/>
          <w:lang w:val="en-US"/>
        </w:rPr>
        <w:t>1988</w:t>
      </w:r>
      <w:r w:rsidRPr="0065313A">
        <w:rPr>
          <w:rFonts w:ascii="Arial" w:hAnsi="Arial" w:cs="Arial"/>
          <w:color w:val="000000"/>
          <w:sz w:val="24"/>
          <w:szCs w:val="24"/>
          <w:lang w:val="en-US"/>
        </w:rPr>
        <w:t xml:space="preserve"> Diabetes 37:246</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[69] Lowe PJ et al </w:t>
      </w:r>
      <w:r w:rsidRPr="0065313A">
        <w:rPr>
          <w:rFonts w:ascii="Arial" w:hAnsi="Arial" w:cs="Arial"/>
          <w:b/>
          <w:color w:val="000000"/>
          <w:sz w:val="24"/>
          <w:szCs w:val="24"/>
          <w:lang w:val="en-US"/>
        </w:rPr>
        <w:t>1994</w:t>
      </w:r>
      <w:r w:rsidRPr="0065313A">
        <w:rPr>
          <w:rFonts w:ascii="Arial" w:hAnsi="Arial" w:cs="Arial"/>
          <w:color w:val="000000"/>
          <w:sz w:val="24"/>
          <w:szCs w:val="24"/>
          <w:lang w:val="en-US"/>
        </w:rPr>
        <w:t xml:space="preserve"> J Pharm Pharmacol 46:547</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color w:val="000000"/>
          <w:sz w:val="24"/>
          <w:szCs w:val="24"/>
          <w:lang w:val="en-US"/>
        </w:rPr>
        <w:t xml:space="preserve">[70] </w:t>
      </w:r>
      <w:r w:rsidRPr="0065313A">
        <w:rPr>
          <w:rFonts w:ascii="Arial" w:hAnsi="Arial" w:cs="Arial"/>
          <w:sz w:val="24"/>
          <w:szCs w:val="24"/>
          <w:lang w:val="en-US"/>
        </w:rPr>
        <w:t xml:space="preserve">Vanderhoff JV </w:t>
      </w:r>
      <w:r w:rsidRPr="0065313A">
        <w:rPr>
          <w:rFonts w:ascii="Arial" w:hAnsi="Arial" w:cs="Arial"/>
          <w:b/>
          <w:sz w:val="24"/>
          <w:szCs w:val="24"/>
          <w:lang w:val="en-US"/>
        </w:rPr>
        <w:t xml:space="preserve">1979 </w:t>
      </w:r>
      <w:r w:rsidRPr="0065313A">
        <w:rPr>
          <w:rFonts w:ascii="Arial" w:hAnsi="Arial" w:cs="Arial"/>
          <w:sz w:val="24"/>
          <w:szCs w:val="24"/>
          <w:lang w:val="en-US"/>
        </w:rPr>
        <w:t xml:space="preserve">US patent 4 177 177 </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[71] Freitas S. et al. </w:t>
      </w:r>
      <w:r w:rsidRPr="0065313A">
        <w:rPr>
          <w:rFonts w:ascii="Arial" w:hAnsi="Arial" w:cs="Arial"/>
          <w:b/>
          <w:sz w:val="24"/>
          <w:szCs w:val="24"/>
          <w:lang w:val="en-US"/>
        </w:rPr>
        <w:t>2005</w:t>
      </w:r>
      <w:r w:rsidRPr="0065313A">
        <w:rPr>
          <w:rFonts w:ascii="Arial" w:hAnsi="Arial" w:cs="Arial"/>
          <w:sz w:val="24"/>
          <w:szCs w:val="24"/>
          <w:lang w:val="en-US"/>
        </w:rPr>
        <w:t xml:space="preserve"> J Control Release 102:313</w:t>
      </w:r>
    </w:p>
    <w:p w:rsidR="00387A07" w:rsidRPr="0065313A" w:rsidRDefault="00387A07" w:rsidP="00387A07">
      <w:pPr>
        <w:spacing w:after="0" w:line="360" w:lineRule="auto"/>
        <w:jc w:val="both"/>
        <w:rPr>
          <w:rFonts w:ascii="Arial" w:hAnsi="Arial" w:cs="Arial"/>
          <w:sz w:val="24"/>
          <w:szCs w:val="24"/>
          <w:lang w:val="it-IT"/>
        </w:rPr>
      </w:pPr>
      <w:r w:rsidRPr="0065313A">
        <w:rPr>
          <w:rFonts w:ascii="Arial" w:hAnsi="Arial" w:cs="Arial"/>
          <w:sz w:val="24"/>
          <w:szCs w:val="24"/>
          <w:lang w:val="it-IT"/>
        </w:rPr>
        <w:t xml:space="preserve">[72] Pinto Reis C. et al. </w:t>
      </w:r>
      <w:r w:rsidRPr="0065313A">
        <w:rPr>
          <w:rFonts w:ascii="Arial" w:hAnsi="Arial" w:cs="Arial"/>
          <w:b/>
          <w:sz w:val="24"/>
          <w:szCs w:val="24"/>
          <w:lang w:val="it-IT"/>
        </w:rPr>
        <w:t>2006</w:t>
      </w:r>
      <w:r w:rsidRPr="0065313A">
        <w:rPr>
          <w:rFonts w:ascii="Arial" w:hAnsi="Arial" w:cs="Arial"/>
          <w:sz w:val="24"/>
          <w:szCs w:val="24"/>
          <w:lang w:val="it-IT"/>
        </w:rPr>
        <w:t xml:space="preserve"> Nanomedicine 2:8</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[73] Tice TR et al </w:t>
      </w:r>
      <w:r w:rsidRPr="0065313A">
        <w:rPr>
          <w:rFonts w:ascii="Arial" w:hAnsi="Arial" w:cs="Arial"/>
          <w:b/>
          <w:sz w:val="24"/>
          <w:szCs w:val="24"/>
          <w:lang w:val="en-US"/>
        </w:rPr>
        <w:t>1985</w:t>
      </w:r>
      <w:r w:rsidRPr="0065313A">
        <w:rPr>
          <w:rFonts w:ascii="Arial" w:hAnsi="Arial" w:cs="Arial"/>
          <w:sz w:val="24"/>
          <w:szCs w:val="24"/>
          <w:lang w:val="en-US"/>
        </w:rPr>
        <w:t xml:space="preserve"> J Control Release 2:365</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[74] Aftabrouchard D et al </w:t>
      </w:r>
      <w:r w:rsidRPr="0065313A">
        <w:rPr>
          <w:rFonts w:ascii="Arial" w:hAnsi="Arial" w:cs="Arial"/>
          <w:b/>
          <w:sz w:val="24"/>
          <w:szCs w:val="24"/>
          <w:lang w:val="en-US"/>
        </w:rPr>
        <w:t>1992</w:t>
      </w:r>
      <w:r w:rsidRPr="0065313A">
        <w:rPr>
          <w:rFonts w:ascii="Arial" w:hAnsi="Arial" w:cs="Arial"/>
          <w:sz w:val="24"/>
          <w:szCs w:val="24"/>
          <w:lang w:val="en-US"/>
        </w:rPr>
        <w:t xml:space="preserve"> STP Pharma Sci 2:343</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[75] Gurny R et al </w:t>
      </w:r>
      <w:r w:rsidRPr="0065313A">
        <w:rPr>
          <w:rFonts w:ascii="Arial" w:hAnsi="Arial" w:cs="Arial"/>
          <w:b/>
          <w:sz w:val="24"/>
          <w:szCs w:val="24"/>
          <w:lang w:val="en-US"/>
        </w:rPr>
        <w:t xml:space="preserve">1981 </w:t>
      </w:r>
      <w:r w:rsidRPr="0065313A">
        <w:rPr>
          <w:rFonts w:ascii="Arial" w:hAnsi="Arial" w:cs="Arial"/>
          <w:sz w:val="24"/>
          <w:szCs w:val="24"/>
          <w:lang w:val="en-US"/>
        </w:rPr>
        <w:t>Drug Dev Ind pharm 7:1</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[76] Kumar MVR </w:t>
      </w:r>
      <w:r w:rsidRPr="0065313A">
        <w:rPr>
          <w:rFonts w:ascii="Arial" w:hAnsi="Arial" w:cs="Arial"/>
          <w:b/>
          <w:sz w:val="24"/>
          <w:szCs w:val="24"/>
          <w:lang w:val="en-US"/>
        </w:rPr>
        <w:t xml:space="preserve">2000 </w:t>
      </w:r>
      <w:r w:rsidRPr="0065313A">
        <w:rPr>
          <w:rFonts w:ascii="Arial" w:hAnsi="Arial" w:cs="Arial"/>
          <w:sz w:val="24"/>
          <w:szCs w:val="24"/>
          <w:lang w:val="en-US"/>
        </w:rPr>
        <w:t>J Pharm Sci 3:234</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[77] Tabata J et al </w:t>
      </w:r>
      <w:r w:rsidRPr="0065313A">
        <w:rPr>
          <w:rFonts w:ascii="Arial" w:hAnsi="Arial" w:cs="Arial"/>
          <w:b/>
          <w:sz w:val="24"/>
          <w:szCs w:val="24"/>
          <w:lang w:val="en-US"/>
        </w:rPr>
        <w:t>1989</w:t>
      </w:r>
      <w:r w:rsidRPr="0065313A">
        <w:rPr>
          <w:rFonts w:ascii="Arial" w:hAnsi="Arial" w:cs="Arial"/>
          <w:sz w:val="24"/>
          <w:szCs w:val="24"/>
          <w:lang w:val="en-US"/>
        </w:rPr>
        <w:t xml:space="preserve"> Pharm Res 6:296</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[78] Bodmeier R et al </w:t>
      </w:r>
      <w:r w:rsidRPr="0065313A">
        <w:rPr>
          <w:rFonts w:ascii="Arial" w:hAnsi="Arial" w:cs="Arial"/>
          <w:b/>
          <w:sz w:val="24"/>
          <w:szCs w:val="24"/>
          <w:lang w:val="en-US"/>
        </w:rPr>
        <w:t>1990</w:t>
      </w:r>
      <w:r w:rsidRPr="0065313A">
        <w:rPr>
          <w:rFonts w:ascii="Arial" w:hAnsi="Arial" w:cs="Arial"/>
          <w:sz w:val="24"/>
          <w:szCs w:val="24"/>
          <w:lang w:val="en-US"/>
        </w:rPr>
        <w:t xml:space="preserve"> J Control Rel 12: 223</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[79] Landry FB et al </w:t>
      </w:r>
      <w:r w:rsidRPr="0065313A">
        <w:rPr>
          <w:rFonts w:ascii="Arial" w:hAnsi="Arial" w:cs="Arial"/>
          <w:b/>
          <w:sz w:val="24"/>
          <w:szCs w:val="24"/>
          <w:lang w:val="en-US"/>
        </w:rPr>
        <w:t>1996</w:t>
      </w:r>
      <w:r w:rsidRPr="0065313A">
        <w:rPr>
          <w:rFonts w:ascii="Arial" w:hAnsi="Arial" w:cs="Arial"/>
          <w:sz w:val="24"/>
          <w:szCs w:val="24"/>
          <w:lang w:val="en-US"/>
        </w:rPr>
        <w:t xml:space="preserve"> STP Pharma Sci 6:195</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[80] Koosha F et al </w:t>
      </w:r>
      <w:r w:rsidRPr="0065313A">
        <w:rPr>
          <w:rFonts w:ascii="Arial" w:hAnsi="Arial" w:cs="Arial"/>
          <w:b/>
          <w:sz w:val="24"/>
          <w:szCs w:val="24"/>
          <w:lang w:val="en-US"/>
        </w:rPr>
        <w:t xml:space="preserve">1989 </w:t>
      </w:r>
      <w:r w:rsidRPr="0065313A">
        <w:rPr>
          <w:rFonts w:ascii="Arial" w:hAnsi="Arial" w:cs="Arial"/>
          <w:sz w:val="24"/>
          <w:szCs w:val="24"/>
          <w:lang w:val="en-US"/>
        </w:rPr>
        <w:t>J Control release 9:149</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[81] Katare Y.K. et al </w:t>
      </w:r>
      <w:r w:rsidRPr="0065313A">
        <w:rPr>
          <w:rFonts w:ascii="Arial" w:hAnsi="Arial" w:cs="Arial"/>
          <w:b/>
          <w:sz w:val="24"/>
          <w:szCs w:val="24"/>
          <w:lang w:val="en-US"/>
        </w:rPr>
        <w:t>2006</w:t>
      </w:r>
      <w:r w:rsidRPr="0065313A">
        <w:rPr>
          <w:rFonts w:ascii="Arial" w:hAnsi="Arial" w:cs="Arial"/>
          <w:sz w:val="24"/>
          <w:szCs w:val="24"/>
          <w:lang w:val="en-US"/>
        </w:rPr>
        <w:t xml:space="preserve"> Eur J Pharm Sci 28 (3):179</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[82] Ruan G. et al </w:t>
      </w:r>
      <w:r w:rsidRPr="0065313A">
        <w:rPr>
          <w:rFonts w:ascii="Arial" w:hAnsi="Arial" w:cs="Arial"/>
          <w:b/>
          <w:sz w:val="24"/>
          <w:szCs w:val="24"/>
          <w:lang w:val="en-US"/>
        </w:rPr>
        <w:t>2002</w:t>
      </w:r>
      <w:r w:rsidRPr="0065313A">
        <w:rPr>
          <w:rFonts w:ascii="Arial" w:hAnsi="Arial" w:cs="Arial"/>
          <w:sz w:val="24"/>
          <w:szCs w:val="24"/>
          <w:lang w:val="en-US"/>
        </w:rPr>
        <w:t xml:space="preserve"> J Control Release 84 (3):151</w:t>
      </w:r>
    </w:p>
    <w:p w:rsidR="00387A07" w:rsidRPr="0065313A" w:rsidRDefault="00387A07" w:rsidP="00387A07">
      <w:pPr>
        <w:spacing w:after="0" w:line="360" w:lineRule="auto"/>
        <w:jc w:val="both"/>
        <w:rPr>
          <w:rFonts w:ascii="Arial" w:hAnsi="Arial" w:cs="Arial"/>
          <w:sz w:val="24"/>
          <w:szCs w:val="24"/>
          <w:lang w:val="it-IT"/>
        </w:rPr>
      </w:pPr>
      <w:r w:rsidRPr="0065313A">
        <w:rPr>
          <w:rFonts w:ascii="Arial" w:hAnsi="Arial" w:cs="Arial"/>
          <w:sz w:val="24"/>
          <w:szCs w:val="24"/>
          <w:lang w:val="it-IT"/>
        </w:rPr>
        <w:t xml:space="preserve">[83] Yamamoto M. et al </w:t>
      </w:r>
      <w:r w:rsidRPr="0065313A">
        <w:rPr>
          <w:rFonts w:ascii="Arial" w:hAnsi="Arial" w:cs="Arial"/>
          <w:b/>
          <w:sz w:val="24"/>
          <w:szCs w:val="24"/>
          <w:lang w:val="it-IT"/>
        </w:rPr>
        <w:t>1986</w:t>
      </w:r>
      <w:r w:rsidRPr="0065313A">
        <w:rPr>
          <w:rFonts w:ascii="Arial" w:hAnsi="Arial" w:cs="Arial"/>
          <w:sz w:val="24"/>
          <w:szCs w:val="24"/>
          <w:lang w:val="it-IT"/>
        </w:rPr>
        <w:t xml:space="preserve"> European patent 0 190 833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[84] Okada H. et al US patent </w:t>
      </w:r>
      <w:r w:rsidRPr="0065313A">
        <w:rPr>
          <w:rFonts w:ascii="Arial" w:hAnsi="Arial" w:cs="Arial"/>
          <w:b/>
          <w:sz w:val="24"/>
          <w:szCs w:val="24"/>
          <w:lang w:val="en-US"/>
        </w:rPr>
        <w:t>1987</w:t>
      </w:r>
      <w:r w:rsidRPr="0065313A">
        <w:rPr>
          <w:rFonts w:ascii="Arial" w:hAnsi="Arial" w:cs="Arial"/>
          <w:sz w:val="24"/>
          <w:szCs w:val="24"/>
          <w:lang w:val="en-US"/>
        </w:rPr>
        <w:t xml:space="preserve"> 4 652 411</w:t>
      </w:r>
    </w:p>
    <w:p w:rsidR="00387A07" w:rsidRPr="0065313A" w:rsidRDefault="00387A07" w:rsidP="00387A07">
      <w:pPr>
        <w:spacing w:after="0" w:line="360" w:lineRule="auto"/>
        <w:jc w:val="both"/>
        <w:rPr>
          <w:rFonts w:ascii="Arial" w:hAnsi="Arial" w:cs="Arial"/>
          <w:sz w:val="24"/>
          <w:szCs w:val="24"/>
          <w:lang w:val="it-IT"/>
        </w:rPr>
      </w:pPr>
      <w:r w:rsidRPr="0065313A">
        <w:rPr>
          <w:rFonts w:ascii="Arial" w:hAnsi="Arial" w:cs="Arial"/>
          <w:sz w:val="24"/>
          <w:szCs w:val="24"/>
          <w:lang w:val="it-IT"/>
        </w:rPr>
        <w:t xml:space="preserve">[85] Okada H. et al </w:t>
      </w:r>
      <w:r w:rsidRPr="0065313A">
        <w:rPr>
          <w:rFonts w:ascii="Arial" w:hAnsi="Arial" w:cs="Arial"/>
          <w:b/>
          <w:sz w:val="24"/>
          <w:szCs w:val="24"/>
          <w:lang w:val="it-IT"/>
        </w:rPr>
        <w:t>1989</w:t>
      </w:r>
      <w:r w:rsidRPr="0065313A">
        <w:rPr>
          <w:rFonts w:ascii="Arial" w:hAnsi="Arial" w:cs="Arial"/>
          <w:sz w:val="24"/>
          <w:szCs w:val="24"/>
          <w:lang w:val="it-IT"/>
        </w:rPr>
        <w:t xml:space="preserve"> European patent 0 145 240</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[86] Liu WR et al </w:t>
      </w:r>
      <w:r w:rsidRPr="0065313A">
        <w:rPr>
          <w:rFonts w:ascii="Arial" w:hAnsi="Arial" w:cs="Arial"/>
          <w:b/>
          <w:sz w:val="24"/>
          <w:szCs w:val="24"/>
          <w:lang w:val="en-US"/>
        </w:rPr>
        <w:t>1991</w:t>
      </w:r>
      <w:r w:rsidRPr="0065313A">
        <w:rPr>
          <w:rFonts w:ascii="Arial" w:hAnsi="Arial" w:cs="Arial"/>
          <w:sz w:val="24"/>
          <w:szCs w:val="24"/>
          <w:lang w:val="en-US"/>
        </w:rPr>
        <w:t xml:space="preserve"> Biotech Bioeng 37:177</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[87] P. Couvreur at Al.</w:t>
      </w:r>
      <w:r w:rsidRPr="0065313A">
        <w:rPr>
          <w:rFonts w:ascii="Arial" w:hAnsi="Arial" w:cs="Arial"/>
          <w:b/>
          <w:sz w:val="24"/>
          <w:szCs w:val="24"/>
          <w:lang w:val="en-US"/>
        </w:rPr>
        <w:t xml:space="preserve"> 1997 </w:t>
      </w:r>
      <w:r w:rsidRPr="0065313A">
        <w:rPr>
          <w:rFonts w:ascii="Arial" w:hAnsi="Arial" w:cs="Arial"/>
          <w:sz w:val="24"/>
          <w:szCs w:val="24"/>
          <w:lang w:val="en-US"/>
        </w:rPr>
        <w:t>Adv Drug Deliv Rev 28:85</w:t>
      </w:r>
    </w:p>
    <w:p w:rsidR="00387A07" w:rsidRPr="0065313A" w:rsidRDefault="00387A07" w:rsidP="00387A07">
      <w:pPr>
        <w:spacing w:after="0" w:line="360" w:lineRule="auto"/>
        <w:jc w:val="both"/>
        <w:rPr>
          <w:rFonts w:ascii="Arial" w:hAnsi="Arial" w:cs="Arial"/>
          <w:iCs/>
          <w:sz w:val="24"/>
          <w:szCs w:val="24"/>
          <w:lang w:val="en-US"/>
        </w:rPr>
      </w:pPr>
      <w:r w:rsidRPr="0065313A">
        <w:rPr>
          <w:rFonts w:ascii="Arial" w:hAnsi="Arial" w:cs="Arial"/>
          <w:sz w:val="24"/>
          <w:szCs w:val="24"/>
          <w:lang w:val="en-US"/>
        </w:rPr>
        <w:t xml:space="preserve">[88] </w:t>
      </w:r>
      <w:r w:rsidRPr="0065313A">
        <w:rPr>
          <w:rFonts w:ascii="Arial" w:hAnsi="Arial" w:cs="Arial"/>
          <w:iCs/>
          <w:sz w:val="24"/>
          <w:szCs w:val="24"/>
          <w:lang w:val="en-US"/>
        </w:rPr>
        <w:t xml:space="preserve">M. Ye et al. </w:t>
      </w:r>
      <w:r w:rsidRPr="0065313A">
        <w:rPr>
          <w:rFonts w:ascii="Arial" w:hAnsi="Arial" w:cs="Arial"/>
          <w:b/>
          <w:iCs/>
          <w:sz w:val="24"/>
          <w:szCs w:val="24"/>
          <w:lang w:val="en-US"/>
        </w:rPr>
        <w:t>2010</w:t>
      </w:r>
      <w:r w:rsidRPr="0065313A">
        <w:rPr>
          <w:rFonts w:ascii="Arial" w:hAnsi="Arial" w:cs="Arial"/>
          <w:iCs/>
          <w:sz w:val="24"/>
          <w:szCs w:val="24"/>
          <w:lang w:val="en-US"/>
        </w:rPr>
        <w:t xml:space="preserve"> J Control Release 146:241</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iCs/>
          <w:sz w:val="24"/>
          <w:szCs w:val="24"/>
          <w:lang w:val="en-US"/>
        </w:rPr>
        <w:t xml:space="preserve">[89] </w:t>
      </w:r>
      <w:r w:rsidRPr="0065313A">
        <w:rPr>
          <w:rFonts w:ascii="Arial" w:hAnsi="Arial" w:cs="Arial"/>
          <w:sz w:val="24"/>
          <w:szCs w:val="24"/>
          <w:lang w:val="en-US"/>
        </w:rPr>
        <w:t xml:space="preserve">Mainardes RM et al </w:t>
      </w:r>
      <w:r w:rsidRPr="0065313A">
        <w:rPr>
          <w:rFonts w:ascii="Arial" w:hAnsi="Arial" w:cs="Arial"/>
          <w:b/>
          <w:sz w:val="24"/>
          <w:szCs w:val="24"/>
          <w:lang w:val="en-US"/>
        </w:rPr>
        <w:t>2005</w:t>
      </w:r>
      <w:r w:rsidRPr="0065313A">
        <w:rPr>
          <w:rFonts w:ascii="Arial" w:hAnsi="Arial" w:cs="Arial"/>
          <w:sz w:val="24"/>
          <w:szCs w:val="24"/>
          <w:lang w:val="en-US"/>
        </w:rPr>
        <w:t xml:space="preserve"> J Microencapsul 22:13</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[90] Song CX et al </w:t>
      </w:r>
      <w:r w:rsidRPr="0065313A">
        <w:rPr>
          <w:rFonts w:ascii="Arial" w:hAnsi="Arial" w:cs="Arial"/>
          <w:b/>
          <w:sz w:val="24"/>
          <w:szCs w:val="24"/>
          <w:lang w:val="en-US"/>
        </w:rPr>
        <w:t>1997</w:t>
      </w:r>
      <w:r w:rsidRPr="0065313A">
        <w:rPr>
          <w:rFonts w:ascii="Arial" w:hAnsi="Arial" w:cs="Arial"/>
          <w:sz w:val="24"/>
          <w:szCs w:val="24"/>
          <w:lang w:val="en-US"/>
        </w:rPr>
        <w:t xml:space="preserve"> J Control Release 43:197</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[91] Lemoine D. </w:t>
      </w:r>
      <w:r w:rsidRPr="0065313A">
        <w:rPr>
          <w:rFonts w:ascii="Arial" w:hAnsi="Arial" w:cs="Arial"/>
          <w:b/>
          <w:sz w:val="24"/>
          <w:szCs w:val="24"/>
          <w:lang w:val="en-US"/>
        </w:rPr>
        <w:t>1998</w:t>
      </w:r>
      <w:r w:rsidRPr="0065313A">
        <w:rPr>
          <w:rFonts w:ascii="Arial" w:hAnsi="Arial" w:cs="Arial"/>
          <w:sz w:val="24"/>
          <w:szCs w:val="24"/>
          <w:lang w:val="en-US"/>
        </w:rPr>
        <w:t xml:space="preserve"> J Control Release54:15 </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[92] Zambaux MF et al </w:t>
      </w:r>
      <w:r w:rsidRPr="0065313A">
        <w:rPr>
          <w:rFonts w:ascii="Arial" w:hAnsi="Arial" w:cs="Arial"/>
          <w:b/>
          <w:sz w:val="24"/>
          <w:szCs w:val="24"/>
          <w:lang w:val="en-US"/>
        </w:rPr>
        <w:t>1998</w:t>
      </w:r>
      <w:r w:rsidRPr="0065313A">
        <w:rPr>
          <w:rFonts w:ascii="Arial" w:hAnsi="Arial" w:cs="Arial"/>
          <w:sz w:val="24"/>
          <w:szCs w:val="24"/>
          <w:lang w:val="en-US"/>
        </w:rPr>
        <w:t xml:space="preserve"> J Control Release 50:31</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[93] Quellec P et al </w:t>
      </w:r>
      <w:r w:rsidRPr="0065313A">
        <w:rPr>
          <w:rFonts w:ascii="Arial" w:hAnsi="Arial" w:cs="Arial"/>
          <w:b/>
          <w:sz w:val="24"/>
          <w:szCs w:val="24"/>
          <w:lang w:val="en-US"/>
        </w:rPr>
        <w:t>1999</w:t>
      </w:r>
      <w:r w:rsidRPr="0065313A">
        <w:rPr>
          <w:rFonts w:ascii="Arial" w:hAnsi="Arial" w:cs="Arial"/>
          <w:sz w:val="24"/>
          <w:szCs w:val="24"/>
          <w:lang w:val="en-US"/>
        </w:rPr>
        <w:t xml:space="preserve"> J Biomed Mater Res A 47:388 </w:t>
      </w:r>
    </w:p>
    <w:p w:rsidR="00387A07" w:rsidRPr="0065313A" w:rsidRDefault="00387A07" w:rsidP="00387A07">
      <w:pPr>
        <w:spacing w:after="0" w:line="360" w:lineRule="auto"/>
        <w:rPr>
          <w:rFonts w:ascii="Arial" w:hAnsi="Arial" w:cs="Arial"/>
          <w:sz w:val="24"/>
          <w:szCs w:val="24"/>
          <w:lang w:val="it-IT"/>
        </w:rPr>
      </w:pPr>
      <w:r w:rsidRPr="0065313A">
        <w:rPr>
          <w:rFonts w:ascii="Arial" w:hAnsi="Arial" w:cs="Arial"/>
          <w:sz w:val="24"/>
          <w:szCs w:val="24"/>
          <w:lang w:val="it-IT"/>
        </w:rPr>
        <w:t xml:space="preserve">[94] Musyanovyc A et al </w:t>
      </w:r>
      <w:r w:rsidRPr="0065313A">
        <w:rPr>
          <w:rFonts w:ascii="Arial" w:hAnsi="Arial" w:cs="Arial"/>
          <w:b/>
          <w:sz w:val="24"/>
          <w:szCs w:val="24"/>
          <w:lang w:val="it-IT"/>
        </w:rPr>
        <w:t>2008</w:t>
      </w:r>
      <w:r w:rsidRPr="0065313A">
        <w:rPr>
          <w:rFonts w:ascii="Arial" w:hAnsi="Arial" w:cs="Arial"/>
          <w:sz w:val="24"/>
          <w:szCs w:val="24"/>
          <w:lang w:val="it-IT"/>
        </w:rPr>
        <w:t xml:space="preserve"> Macromol Biosci 8:127</w:t>
      </w:r>
    </w:p>
    <w:p w:rsidR="00387A07" w:rsidRPr="0065313A" w:rsidRDefault="00387A07" w:rsidP="00387A07">
      <w:pPr>
        <w:spacing w:after="0" w:line="360" w:lineRule="auto"/>
        <w:rPr>
          <w:rFonts w:ascii="Arial" w:hAnsi="Arial" w:cs="Arial"/>
          <w:sz w:val="24"/>
          <w:szCs w:val="24"/>
          <w:lang w:val="it-IT"/>
        </w:rPr>
      </w:pPr>
      <w:r w:rsidRPr="0065313A">
        <w:rPr>
          <w:rFonts w:ascii="Arial" w:hAnsi="Arial" w:cs="Arial"/>
          <w:sz w:val="24"/>
          <w:szCs w:val="24"/>
          <w:lang w:val="it-IT"/>
        </w:rPr>
        <w:lastRenderedPageBreak/>
        <w:t xml:space="preserve">[95] Fessi H. et al </w:t>
      </w:r>
      <w:r w:rsidRPr="0065313A">
        <w:rPr>
          <w:rFonts w:ascii="Arial" w:hAnsi="Arial" w:cs="Arial"/>
          <w:b/>
          <w:sz w:val="24"/>
          <w:szCs w:val="24"/>
          <w:lang w:val="it-IT"/>
        </w:rPr>
        <w:t>1989</w:t>
      </w:r>
      <w:r w:rsidRPr="0065313A">
        <w:rPr>
          <w:rFonts w:ascii="Arial" w:hAnsi="Arial" w:cs="Arial"/>
          <w:sz w:val="24"/>
          <w:szCs w:val="24"/>
          <w:lang w:val="it-IT"/>
        </w:rPr>
        <w:t xml:space="preserve"> Int J Pharm 55:1</w:t>
      </w:r>
    </w:p>
    <w:p w:rsidR="00387A07" w:rsidRPr="0065313A" w:rsidRDefault="00387A07" w:rsidP="00387A07">
      <w:pPr>
        <w:spacing w:after="0" w:line="360" w:lineRule="auto"/>
        <w:rPr>
          <w:rFonts w:ascii="Arial" w:hAnsi="Arial" w:cs="Arial"/>
          <w:sz w:val="24"/>
          <w:szCs w:val="24"/>
          <w:lang w:val="it-IT"/>
        </w:rPr>
      </w:pPr>
      <w:r w:rsidRPr="0065313A">
        <w:rPr>
          <w:rFonts w:ascii="Arial" w:hAnsi="Arial" w:cs="Arial"/>
          <w:sz w:val="24"/>
          <w:szCs w:val="24"/>
          <w:lang w:val="it-IT"/>
        </w:rPr>
        <w:t xml:space="preserve">[96] Mishra B. et al </w:t>
      </w:r>
      <w:r w:rsidRPr="0065313A">
        <w:rPr>
          <w:rFonts w:ascii="Arial" w:hAnsi="Arial" w:cs="Arial"/>
          <w:b/>
          <w:sz w:val="24"/>
          <w:szCs w:val="24"/>
          <w:lang w:val="it-IT"/>
        </w:rPr>
        <w:t>2010</w:t>
      </w:r>
      <w:r w:rsidRPr="0065313A">
        <w:rPr>
          <w:rFonts w:ascii="Arial" w:hAnsi="Arial" w:cs="Arial"/>
          <w:sz w:val="24"/>
          <w:szCs w:val="24"/>
          <w:lang w:val="it-IT"/>
        </w:rPr>
        <w:t>Nanomedicine 6:9</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[97] Limayem I et al </w:t>
      </w:r>
      <w:r w:rsidRPr="0065313A">
        <w:rPr>
          <w:rFonts w:ascii="Arial" w:hAnsi="Arial" w:cs="Arial"/>
          <w:b/>
          <w:color w:val="000000"/>
          <w:sz w:val="24"/>
          <w:szCs w:val="24"/>
          <w:lang w:val="en-US"/>
        </w:rPr>
        <w:t>2006</w:t>
      </w:r>
      <w:r w:rsidRPr="0065313A">
        <w:rPr>
          <w:rFonts w:ascii="Arial" w:hAnsi="Arial" w:cs="Arial"/>
          <w:color w:val="000000"/>
          <w:sz w:val="24"/>
          <w:szCs w:val="24"/>
          <w:lang w:val="en-US"/>
        </w:rPr>
        <w:t xml:space="preserve"> Int J Pharm 325:124</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[98] Yallapu MM et al </w:t>
      </w:r>
      <w:r w:rsidRPr="0065313A">
        <w:rPr>
          <w:rFonts w:ascii="Arial" w:hAnsi="Arial" w:cs="Arial"/>
          <w:b/>
          <w:color w:val="000000"/>
          <w:sz w:val="24"/>
          <w:szCs w:val="24"/>
          <w:lang w:val="en-US"/>
        </w:rPr>
        <w:t>2010</w:t>
      </w:r>
      <w:r w:rsidRPr="0065313A">
        <w:rPr>
          <w:rFonts w:ascii="Arial" w:hAnsi="Arial" w:cs="Arial"/>
          <w:color w:val="000000"/>
          <w:sz w:val="24"/>
          <w:szCs w:val="24"/>
          <w:lang w:val="en-US"/>
        </w:rPr>
        <w:t xml:space="preserve"> J Colloid Interface Sci 351:19</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[99] Moinard-Checot D et al </w:t>
      </w:r>
      <w:r w:rsidRPr="0065313A">
        <w:rPr>
          <w:rFonts w:ascii="Arial" w:hAnsi="Arial" w:cs="Arial"/>
          <w:b/>
          <w:color w:val="000000"/>
          <w:sz w:val="24"/>
          <w:szCs w:val="24"/>
          <w:lang w:val="en-US"/>
        </w:rPr>
        <w:t>2008</w:t>
      </w:r>
      <w:r w:rsidRPr="0065313A">
        <w:rPr>
          <w:rFonts w:ascii="Arial" w:hAnsi="Arial" w:cs="Arial"/>
          <w:color w:val="000000"/>
          <w:sz w:val="24"/>
          <w:szCs w:val="24"/>
          <w:lang w:val="en-US"/>
        </w:rPr>
        <w:t xml:space="preserve"> J Colloid Interface Sci 317:458</w:t>
      </w:r>
    </w:p>
    <w:p w:rsidR="00387A07" w:rsidRPr="0065313A" w:rsidRDefault="00387A07" w:rsidP="00387A07">
      <w:pPr>
        <w:spacing w:after="0" w:line="360" w:lineRule="auto"/>
        <w:rPr>
          <w:rFonts w:ascii="Arial" w:hAnsi="Arial" w:cs="Arial"/>
          <w:color w:val="000000"/>
          <w:sz w:val="24"/>
          <w:szCs w:val="24"/>
          <w:lang w:val="en-US"/>
        </w:rPr>
      </w:pPr>
      <w:r w:rsidRPr="0065313A">
        <w:rPr>
          <w:rFonts w:ascii="Arial" w:hAnsi="Arial" w:cs="Arial"/>
          <w:color w:val="000000"/>
          <w:sz w:val="24"/>
          <w:szCs w:val="24"/>
          <w:lang w:val="en-US"/>
        </w:rPr>
        <w:t xml:space="preserve">[100] Stella B et al </w:t>
      </w:r>
      <w:r w:rsidRPr="0065313A">
        <w:rPr>
          <w:rFonts w:ascii="Arial" w:hAnsi="Arial" w:cs="Arial"/>
          <w:b/>
          <w:color w:val="000000"/>
          <w:sz w:val="24"/>
          <w:szCs w:val="24"/>
          <w:lang w:val="en-US"/>
        </w:rPr>
        <w:t>2007</w:t>
      </w:r>
      <w:r w:rsidRPr="0065313A">
        <w:rPr>
          <w:rFonts w:ascii="Arial" w:hAnsi="Arial" w:cs="Arial"/>
          <w:color w:val="000000"/>
          <w:sz w:val="24"/>
          <w:szCs w:val="24"/>
          <w:lang w:val="en-US"/>
        </w:rPr>
        <w:t xml:space="preserve"> Int J Pharm 344:71  </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[101] Legrand P et al </w:t>
      </w:r>
      <w:r w:rsidRPr="0065313A">
        <w:rPr>
          <w:rFonts w:ascii="Arial" w:hAnsi="Arial" w:cs="Arial"/>
          <w:b/>
          <w:sz w:val="24"/>
          <w:szCs w:val="24"/>
          <w:lang w:val="en-US"/>
        </w:rPr>
        <w:t>2007</w:t>
      </w:r>
      <w:r w:rsidRPr="0065313A">
        <w:rPr>
          <w:rFonts w:ascii="Arial" w:hAnsi="Arial" w:cs="Arial"/>
          <w:sz w:val="24"/>
          <w:szCs w:val="24"/>
          <w:lang w:val="en-US"/>
        </w:rPr>
        <w:t xml:space="preserve"> Int J Pharm 344:33</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[102] Zili Z et al </w:t>
      </w:r>
      <w:r w:rsidRPr="0065313A">
        <w:rPr>
          <w:rFonts w:ascii="Arial" w:hAnsi="Arial" w:cs="Arial"/>
          <w:b/>
          <w:sz w:val="24"/>
          <w:szCs w:val="24"/>
          <w:lang w:val="en-US"/>
        </w:rPr>
        <w:t>2005</w:t>
      </w:r>
      <w:r w:rsidRPr="0065313A">
        <w:rPr>
          <w:rFonts w:ascii="Arial" w:hAnsi="Arial" w:cs="Arial"/>
          <w:sz w:val="24"/>
          <w:szCs w:val="24"/>
          <w:lang w:val="en-US"/>
        </w:rPr>
        <w:t xml:space="preserve"> Int J Pharm 294:261</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[103] Seyler I et al </w:t>
      </w:r>
      <w:r w:rsidRPr="0065313A">
        <w:rPr>
          <w:rFonts w:ascii="Arial" w:hAnsi="Arial" w:cs="Arial"/>
          <w:b/>
          <w:sz w:val="24"/>
          <w:szCs w:val="24"/>
          <w:lang w:val="en-US"/>
        </w:rPr>
        <w:t xml:space="preserve">1999 </w:t>
      </w:r>
      <w:r w:rsidRPr="0065313A">
        <w:rPr>
          <w:rFonts w:ascii="Arial" w:hAnsi="Arial" w:cs="Arial"/>
          <w:sz w:val="24"/>
          <w:szCs w:val="24"/>
          <w:lang w:val="en-US"/>
        </w:rPr>
        <w:t>J Nanopart Res 1:91</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[104] Ferranti V et al </w:t>
      </w:r>
      <w:r w:rsidRPr="0065313A">
        <w:rPr>
          <w:rFonts w:ascii="Arial" w:hAnsi="Arial" w:cs="Arial"/>
          <w:b/>
          <w:sz w:val="24"/>
          <w:szCs w:val="24"/>
          <w:lang w:val="en-US"/>
        </w:rPr>
        <w:t>1999</w:t>
      </w:r>
      <w:r w:rsidRPr="0065313A">
        <w:rPr>
          <w:rFonts w:ascii="Arial" w:hAnsi="Arial" w:cs="Arial"/>
          <w:sz w:val="24"/>
          <w:szCs w:val="24"/>
          <w:lang w:val="en-US"/>
        </w:rPr>
        <w:t xml:space="preserve"> int J Pharm 193:107</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[105] Alleman E et al </w:t>
      </w:r>
      <w:r w:rsidRPr="0065313A">
        <w:rPr>
          <w:rFonts w:ascii="Arial" w:hAnsi="Arial" w:cs="Arial"/>
          <w:b/>
          <w:sz w:val="24"/>
          <w:szCs w:val="24"/>
          <w:lang w:val="en-US"/>
        </w:rPr>
        <w:t>1992</w:t>
      </w:r>
      <w:r w:rsidRPr="0065313A">
        <w:rPr>
          <w:rFonts w:ascii="Arial" w:hAnsi="Arial" w:cs="Arial"/>
          <w:sz w:val="24"/>
          <w:szCs w:val="24"/>
          <w:lang w:val="en-US"/>
        </w:rPr>
        <w:t xml:space="preserve"> Int J Pharm 87:247</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[106] Konan YN et al </w:t>
      </w:r>
      <w:r w:rsidRPr="0065313A">
        <w:rPr>
          <w:rFonts w:ascii="Arial" w:hAnsi="Arial" w:cs="Arial"/>
          <w:b/>
          <w:sz w:val="24"/>
          <w:szCs w:val="24"/>
          <w:lang w:val="en-US"/>
        </w:rPr>
        <w:t>2002</w:t>
      </w:r>
      <w:r w:rsidRPr="0065313A">
        <w:rPr>
          <w:rFonts w:ascii="Arial" w:hAnsi="Arial" w:cs="Arial"/>
          <w:sz w:val="24"/>
          <w:szCs w:val="24"/>
          <w:lang w:val="en-US"/>
        </w:rPr>
        <w:t xml:space="preserve"> Int J Pharm 52:233</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[107] Perugini P et al </w:t>
      </w:r>
      <w:r w:rsidRPr="0065313A">
        <w:rPr>
          <w:rFonts w:ascii="Arial" w:hAnsi="Arial" w:cs="Arial"/>
          <w:b/>
          <w:sz w:val="24"/>
          <w:szCs w:val="24"/>
          <w:lang w:val="en-US"/>
        </w:rPr>
        <w:t>2002</w:t>
      </w:r>
      <w:r w:rsidRPr="0065313A">
        <w:rPr>
          <w:rFonts w:ascii="Arial" w:hAnsi="Arial" w:cs="Arial"/>
          <w:sz w:val="24"/>
          <w:szCs w:val="24"/>
          <w:lang w:val="en-US"/>
        </w:rPr>
        <w:t xml:space="preserve"> Int J Pharm 246:37</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[108] Zweers MLT et al </w:t>
      </w:r>
      <w:r w:rsidRPr="0065313A">
        <w:rPr>
          <w:rFonts w:ascii="Arial" w:hAnsi="Arial" w:cs="Arial"/>
          <w:b/>
          <w:sz w:val="24"/>
          <w:szCs w:val="24"/>
          <w:lang w:val="en-US"/>
        </w:rPr>
        <w:t>2003</w:t>
      </w:r>
      <w:r w:rsidRPr="0065313A">
        <w:rPr>
          <w:rFonts w:ascii="Arial" w:hAnsi="Arial" w:cs="Arial"/>
          <w:sz w:val="24"/>
          <w:szCs w:val="24"/>
          <w:lang w:val="en-US"/>
        </w:rPr>
        <w:t xml:space="preserve"> J Biomed Mater Res B 66:559</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[109] Nguyen CA et al </w:t>
      </w:r>
      <w:r w:rsidRPr="0065313A">
        <w:rPr>
          <w:rFonts w:ascii="Arial" w:hAnsi="Arial" w:cs="Arial"/>
          <w:b/>
          <w:sz w:val="24"/>
          <w:szCs w:val="24"/>
          <w:lang w:val="en-US"/>
        </w:rPr>
        <w:t>2003</w:t>
      </w:r>
      <w:r w:rsidRPr="0065313A">
        <w:rPr>
          <w:rFonts w:ascii="Arial" w:hAnsi="Arial" w:cs="Arial"/>
          <w:sz w:val="24"/>
          <w:szCs w:val="24"/>
          <w:lang w:val="en-US"/>
        </w:rPr>
        <w:t xml:space="preserve"> Eur J Pharm Sci 20:217</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[110] Zweers MLT et al </w:t>
      </w:r>
      <w:r w:rsidRPr="0065313A">
        <w:rPr>
          <w:rFonts w:ascii="Arial" w:hAnsi="Arial" w:cs="Arial"/>
          <w:b/>
          <w:sz w:val="24"/>
          <w:szCs w:val="24"/>
          <w:lang w:val="en-US"/>
        </w:rPr>
        <w:t>2004</w:t>
      </w:r>
      <w:r w:rsidRPr="0065313A">
        <w:rPr>
          <w:rFonts w:ascii="Arial" w:hAnsi="Arial" w:cs="Arial"/>
          <w:sz w:val="24"/>
          <w:szCs w:val="24"/>
          <w:lang w:val="en-US"/>
        </w:rPr>
        <w:t xml:space="preserve"> J Control Release 100:347</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[111] Zhang Z. et al </w:t>
      </w:r>
      <w:r w:rsidRPr="0065313A">
        <w:rPr>
          <w:rFonts w:ascii="Arial" w:hAnsi="Arial" w:cs="Arial"/>
          <w:b/>
          <w:sz w:val="24"/>
          <w:szCs w:val="24"/>
          <w:lang w:val="en-US"/>
        </w:rPr>
        <w:t xml:space="preserve">2006 </w:t>
      </w:r>
      <w:r w:rsidRPr="0065313A">
        <w:rPr>
          <w:rFonts w:ascii="Arial" w:hAnsi="Arial" w:cs="Arial"/>
          <w:sz w:val="24"/>
          <w:szCs w:val="24"/>
          <w:lang w:val="en-US"/>
        </w:rPr>
        <w:t>J Control Release 111:263</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[112] Tim L.T. et al </w:t>
      </w:r>
      <w:r w:rsidRPr="0065313A">
        <w:rPr>
          <w:rFonts w:ascii="Arial" w:hAnsi="Arial" w:cs="Arial"/>
          <w:b/>
          <w:sz w:val="24"/>
          <w:szCs w:val="24"/>
          <w:lang w:val="en-US"/>
        </w:rPr>
        <w:t>2008</w:t>
      </w:r>
      <w:r w:rsidRPr="0065313A">
        <w:rPr>
          <w:rFonts w:ascii="Arial" w:hAnsi="Arial" w:cs="Arial"/>
          <w:sz w:val="24"/>
          <w:szCs w:val="24"/>
          <w:lang w:val="en-US"/>
        </w:rPr>
        <w:t xml:space="preserve"> Progress in Polymer Science 33:820</w:t>
      </w:r>
    </w:p>
    <w:p w:rsidR="00387A07" w:rsidRPr="0065313A" w:rsidRDefault="00387A07" w:rsidP="00387A07">
      <w:pPr>
        <w:spacing w:after="0" w:line="360" w:lineRule="auto"/>
        <w:rPr>
          <w:rFonts w:ascii="Arial" w:hAnsi="Arial" w:cs="Arial"/>
          <w:sz w:val="24"/>
          <w:szCs w:val="24"/>
          <w:lang w:val="it-IT"/>
        </w:rPr>
      </w:pPr>
      <w:r w:rsidRPr="0065313A">
        <w:rPr>
          <w:rFonts w:ascii="Arial" w:hAnsi="Arial" w:cs="Arial"/>
          <w:sz w:val="24"/>
          <w:szCs w:val="24"/>
          <w:lang w:val="it-IT"/>
        </w:rPr>
        <w:t xml:space="preserve">[113] Auras R et al </w:t>
      </w:r>
      <w:r w:rsidRPr="0065313A">
        <w:rPr>
          <w:rFonts w:ascii="Arial" w:hAnsi="Arial" w:cs="Arial"/>
          <w:b/>
          <w:sz w:val="24"/>
          <w:szCs w:val="24"/>
          <w:lang w:val="it-IT"/>
        </w:rPr>
        <w:t>2004</w:t>
      </w:r>
      <w:r w:rsidRPr="0065313A">
        <w:rPr>
          <w:rFonts w:ascii="Arial" w:hAnsi="Arial" w:cs="Arial"/>
          <w:sz w:val="24"/>
          <w:szCs w:val="24"/>
          <w:lang w:val="it-IT"/>
        </w:rPr>
        <w:t xml:space="preserve"> Macromol Biosci 4:835</w:t>
      </w:r>
    </w:p>
    <w:p w:rsidR="00387A07" w:rsidRPr="0065313A" w:rsidRDefault="00387A07" w:rsidP="00387A07">
      <w:pPr>
        <w:spacing w:after="0" w:line="360" w:lineRule="auto"/>
        <w:rPr>
          <w:rFonts w:ascii="Arial" w:hAnsi="Arial" w:cs="Arial"/>
          <w:sz w:val="24"/>
          <w:szCs w:val="24"/>
          <w:lang w:val="it-IT"/>
        </w:rPr>
      </w:pPr>
      <w:r w:rsidRPr="0065313A">
        <w:rPr>
          <w:rFonts w:ascii="Arial" w:hAnsi="Arial" w:cs="Arial"/>
          <w:sz w:val="24"/>
          <w:szCs w:val="24"/>
          <w:lang w:val="it-IT"/>
        </w:rPr>
        <w:t xml:space="preserve">[114] Urayama H. et al  </w:t>
      </w:r>
      <w:r w:rsidRPr="0065313A">
        <w:rPr>
          <w:rFonts w:ascii="Arial" w:hAnsi="Arial" w:cs="Arial"/>
          <w:b/>
          <w:sz w:val="24"/>
          <w:szCs w:val="24"/>
          <w:lang w:val="it-IT"/>
        </w:rPr>
        <w:t>2003</w:t>
      </w:r>
      <w:r w:rsidRPr="0065313A">
        <w:rPr>
          <w:rFonts w:ascii="Arial" w:hAnsi="Arial" w:cs="Arial"/>
          <w:sz w:val="24"/>
          <w:szCs w:val="24"/>
          <w:lang w:val="it-IT"/>
        </w:rPr>
        <w:t xml:space="preserve"> Macromol Mater Eng 288:137</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[115] Tsuji H. et al </w:t>
      </w:r>
      <w:r w:rsidRPr="0065313A">
        <w:rPr>
          <w:rFonts w:ascii="Arial" w:hAnsi="Arial" w:cs="Arial"/>
          <w:b/>
          <w:sz w:val="24"/>
          <w:szCs w:val="24"/>
          <w:lang w:val="en-US"/>
        </w:rPr>
        <w:t>1996</w:t>
      </w:r>
      <w:r w:rsidRPr="0065313A">
        <w:rPr>
          <w:rFonts w:ascii="Arial" w:hAnsi="Arial" w:cs="Arial"/>
          <w:sz w:val="24"/>
          <w:szCs w:val="24"/>
          <w:lang w:val="en-US"/>
        </w:rPr>
        <w:t xml:space="preserve"> Macromol Chem Phys 197:3483</w:t>
      </w:r>
    </w:p>
    <w:p w:rsidR="00387A07" w:rsidRPr="0065313A" w:rsidRDefault="00387A07" w:rsidP="00387A07">
      <w:pPr>
        <w:spacing w:after="0" w:line="360" w:lineRule="auto"/>
        <w:rPr>
          <w:lang w:val="en-US"/>
        </w:rPr>
      </w:pPr>
      <w:r w:rsidRPr="0065313A">
        <w:rPr>
          <w:rFonts w:ascii="Arial" w:hAnsi="Arial" w:cs="Arial"/>
          <w:sz w:val="24"/>
          <w:szCs w:val="24"/>
          <w:lang w:val="en-US"/>
        </w:rPr>
        <w:t xml:space="preserve">[116] </w:t>
      </w:r>
      <w:r w:rsidRPr="0065313A">
        <w:rPr>
          <w:rFonts w:ascii="Arial" w:hAnsi="Arial" w:cs="Arial"/>
          <w:iCs/>
          <w:sz w:val="24"/>
          <w:szCs w:val="24"/>
          <w:lang w:val="en-US"/>
        </w:rPr>
        <w:t>Xing J. et al. 2007 Int J BioMacromol 40:153</w:t>
      </w:r>
    </w:p>
    <w:p w:rsidR="00387A07" w:rsidRPr="0065313A" w:rsidRDefault="00387A07" w:rsidP="00387A07">
      <w:pPr>
        <w:spacing w:after="0" w:line="360" w:lineRule="auto"/>
      </w:pPr>
      <w:r w:rsidRPr="0065313A">
        <w:rPr>
          <w:rFonts w:ascii="Arial" w:hAnsi="Arial" w:cs="Arial"/>
          <w:sz w:val="24"/>
          <w:szCs w:val="24"/>
          <w:lang w:val="en-US"/>
        </w:rPr>
        <w:t xml:space="preserve">[117] </w:t>
      </w:r>
      <w:r w:rsidRPr="0065313A">
        <w:rPr>
          <w:rFonts w:ascii="Arial" w:hAnsi="Arial" w:cs="Arial"/>
          <w:color w:val="131413"/>
          <w:sz w:val="26"/>
          <w:szCs w:val="26"/>
          <w:lang w:val="en-US"/>
        </w:rPr>
        <w:t xml:space="preserve">Leo E. et Al. </w:t>
      </w:r>
      <w:r w:rsidRPr="0065313A">
        <w:rPr>
          <w:rFonts w:ascii="Arial" w:hAnsi="Arial" w:cs="Arial"/>
          <w:b/>
          <w:color w:val="131413"/>
          <w:sz w:val="26"/>
          <w:szCs w:val="26"/>
          <w:lang w:val="en-US"/>
        </w:rPr>
        <w:t>2004</w:t>
      </w:r>
      <w:r w:rsidRPr="0065313A">
        <w:rPr>
          <w:rFonts w:ascii="Arial" w:hAnsi="Arial" w:cs="Arial"/>
          <w:color w:val="131413"/>
          <w:sz w:val="26"/>
          <w:szCs w:val="26"/>
          <w:lang w:val="en-US"/>
        </w:rPr>
        <w:t xml:space="preserve"> </w:t>
      </w:r>
      <w:r w:rsidRPr="0065313A">
        <w:rPr>
          <w:rFonts w:ascii="Arial" w:hAnsi="Arial" w:cs="Arial"/>
          <w:sz w:val="26"/>
          <w:szCs w:val="26"/>
          <w:lang w:val="en-US"/>
        </w:rPr>
        <w:t>Int. J. Pharm. 278: 133</w:t>
      </w:r>
    </w:p>
    <w:p w:rsidR="00387A07" w:rsidRPr="0065313A" w:rsidRDefault="00387A07" w:rsidP="00387A07">
      <w:pPr>
        <w:spacing w:after="0" w:line="360" w:lineRule="auto"/>
      </w:pPr>
      <w:r w:rsidRPr="0065313A">
        <w:rPr>
          <w:rFonts w:ascii="Arial" w:hAnsi="Arial" w:cs="Arial"/>
          <w:sz w:val="24"/>
          <w:szCs w:val="24"/>
          <w:lang w:val="en-US"/>
        </w:rPr>
        <w:t xml:space="preserve">[118] </w:t>
      </w:r>
      <w:r w:rsidRPr="0065313A">
        <w:rPr>
          <w:rFonts w:ascii="Arial" w:hAnsi="Arial" w:cs="Arial"/>
          <w:sz w:val="24"/>
          <w:szCs w:val="24"/>
        </w:rPr>
        <w:t xml:space="preserve">Lee SH et al </w:t>
      </w:r>
      <w:r w:rsidRPr="0065313A">
        <w:rPr>
          <w:rFonts w:ascii="Arial" w:hAnsi="Arial" w:cs="Arial"/>
          <w:b/>
          <w:sz w:val="24"/>
          <w:szCs w:val="24"/>
        </w:rPr>
        <w:t>2007</w:t>
      </w:r>
      <w:r w:rsidRPr="0065313A">
        <w:rPr>
          <w:rFonts w:ascii="Arial" w:hAnsi="Arial" w:cs="Arial"/>
          <w:sz w:val="24"/>
          <w:szCs w:val="24"/>
        </w:rPr>
        <w:t xml:space="preserve"> Biomaterials 28:2041</w:t>
      </w:r>
    </w:p>
    <w:p w:rsidR="00387A07" w:rsidRPr="0065313A" w:rsidRDefault="00387A07" w:rsidP="00387A07">
      <w:pPr>
        <w:spacing w:after="0" w:line="360" w:lineRule="auto"/>
        <w:rPr>
          <w:lang w:val="en-US"/>
        </w:rPr>
      </w:pPr>
      <w:r w:rsidRPr="0065313A">
        <w:rPr>
          <w:rFonts w:ascii="Arial" w:hAnsi="Arial" w:cs="Arial"/>
          <w:sz w:val="24"/>
          <w:szCs w:val="24"/>
          <w:lang w:val="en-US"/>
        </w:rPr>
        <w:t xml:space="preserve">[119] Jean-Christophe L. et al </w:t>
      </w:r>
      <w:r w:rsidRPr="0065313A">
        <w:rPr>
          <w:rFonts w:ascii="Arial" w:hAnsi="Arial" w:cs="Arial"/>
          <w:b/>
          <w:sz w:val="24"/>
          <w:szCs w:val="24"/>
          <w:lang w:val="en-US"/>
        </w:rPr>
        <w:t>1996</w:t>
      </w:r>
      <w:r w:rsidRPr="0065313A">
        <w:rPr>
          <w:rFonts w:ascii="Arial" w:hAnsi="Arial" w:cs="Arial"/>
          <w:sz w:val="24"/>
          <w:szCs w:val="24"/>
          <w:lang w:val="en-US"/>
        </w:rPr>
        <w:t xml:space="preserve"> J Control Release 36:339</w:t>
      </w:r>
    </w:p>
    <w:p w:rsidR="00387A07" w:rsidRPr="0065313A" w:rsidRDefault="00387A07" w:rsidP="00387A07">
      <w:pPr>
        <w:spacing w:after="0" w:line="360" w:lineRule="auto"/>
      </w:pPr>
      <w:r w:rsidRPr="0065313A">
        <w:rPr>
          <w:rFonts w:ascii="Arial" w:hAnsi="Arial" w:cs="Arial"/>
          <w:sz w:val="24"/>
          <w:szCs w:val="24"/>
          <w:lang w:val="en-US"/>
        </w:rPr>
        <w:t xml:space="preserve">[120] Matsumoto J et al </w:t>
      </w:r>
      <w:r w:rsidRPr="0065313A">
        <w:rPr>
          <w:rFonts w:ascii="Arial" w:hAnsi="Arial" w:cs="Arial"/>
          <w:b/>
          <w:sz w:val="24"/>
          <w:szCs w:val="24"/>
          <w:lang w:val="en-US"/>
        </w:rPr>
        <w:t>1999</w:t>
      </w:r>
      <w:r w:rsidRPr="0065313A">
        <w:rPr>
          <w:rFonts w:ascii="Arial" w:hAnsi="Arial" w:cs="Arial"/>
          <w:sz w:val="24"/>
          <w:szCs w:val="24"/>
          <w:lang w:val="en-US"/>
        </w:rPr>
        <w:t xml:space="preserve"> Int J Pharm 185:9</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[121] Nemati F. </w:t>
      </w:r>
      <w:r w:rsidRPr="0065313A">
        <w:rPr>
          <w:rFonts w:ascii="Arial" w:hAnsi="Arial" w:cs="Arial"/>
          <w:b/>
          <w:sz w:val="24"/>
          <w:szCs w:val="24"/>
          <w:lang w:val="en-US"/>
        </w:rPr>
        <w:t>1996</w:t>
      </w:r>
      <w:r w:rsidRPr="0065313A">
        <w:rPr>
          <w:rFonts w:ascii="Arial" w:hAnsi="Arial" w:cs="Arial"/>
          <w:sz w:val="24"/>
          <w:szCs w:val="24"/>
          <w:lang w:val="en-US"/>
        </w:rPr>
        <w:t xml:space="preserve"> Int J Pharm 138:237</w:t>
      </w:r>
    </w:p>
    <w:p w:rsidR="00387A07" w:rsidRPr="0065313A" w:rsidRDefault="00387A07" w:rsidP="00387A07">
      <w:pPr>
        <w:spacing w:after="0" w:line="360" w:lineRule="auto"/>
      </w:pPr>
      <w:r w:rsidRPr="0065313A">
        <w:rPr>
          <w:rFonts w:ascii="Arial" w:hAnsi="Arial" w:cs="Arial"/>
          <w:sz w:val="24"/>
          <w:szCs w:val="24"/>
          <w:lang w:val="en-US"/>
        </w:rPr>
        <w:t xml:space="preserve">[122] </w:t>
      </w:r>
      <w:r w:rsidRPr="0065313A">
        <w:rPr>
          <w:rFonts w:ascii="Arial" w:hAnsi="Arial" w:cs="Arial"/>
          <w:iCs/>
          <w:sz w:val="24"/>
          <w:szCs w:val="24"/>
          <w:lang w:val="en-US"/>
        </w:rPr>
        <w:t xml:space="preserve">Z. Zhang at al </w:t>
      </w:r>
      <w:r w:rsidRPr="0065313A">
        <w:rPr>
          <w:rFonts w:ascii="Arial" w:hAnsi="Arial" w:cs="Arial"/>
          <w:b/>
          <w:iCs/>
          <w:sz w:val="24"/>
          <w:szCs w:val="24"/>
          <w:lang w:val="en-US"/>
        </w:rPr>
        <w:t>2006</w:t>
      </w:r>
      <w:r w:rsidRPr="0065313A">
        <w:rPr>
          <w:rFonts w:ascii="Arial" w:hAnsi="Arial" w:cs="Arial"/>
          <w:iCs/>
          <w:sz w:val="24"/>
          <w:szCs w:val="24"/>
          <w:lang w:val="en-US"/>
        </w:rPr>
        <w:t xml:space="preserve"> Biomaterials 27:262</w:t>
      </w:r>
    </w:p>
    <w:p w:rsidR="00387A07" w:rsidRPr="0065313A" w:rsidRDefault="00387A07" w:rsidP="00387A07">
      <w:pPr>
        <w:spacing w:after="0" w:line="360" w:lineRule="auto"/>
        <w:rPr>
          <w:rFonts w:ascii="Arial" w:hAnsi="Arial" w:cs="Arial"/>
          <w:iCs/>
          <w:sz w:val="24"/>
          <w:szCs w:val="24"/>
          <w:lang w:val="en-US"/>
        </w:rPr>
      </w:pPr>
      <w:r w:rsidRPr="0065313A">
        <w:rPr>
          <w:rFonts w:ascii="Arial" w:hAnsi="Arial" w:cs="Arial"/>
          <w:sz w:val="24"/>
          <w:szCs w:val="24"/>
          <w:lang w:val="en-US"/>
        </w:rPr>
        <w:t xml:space="preserve">[123] </w:t>
      </w:r>
      <w:r w:rsidRPr="0065313A">
        <w:rPr>
          <w:rFonts w:ascii="Arial" w:hAnsi="Arial" w:cs="Arial"/>
          <w:iCs/>
          <w:sz w:val="24"/>
          <w:szCs w:val="24"/>
          <w:lang w:val="en-US"/>
        </w:rPr>
        <w:t xml:space="preserve">.S. Guterres et al. </w:t>
      </w:r>
      <w:r w:rsidRPr="0065313A">
        <w:rPr>
          <w:rFonts w:ascii="Arial" w:hAnsi="Arial" w:cs="Arial"/>
          <w:b/>
          <w:iCs/>
          <w:sz w:val="24"/>
          <w:szCs w:val="24"/>
          <w:lang w:val="en-US"/>
        </w:rPr>
        <w:t>1995 I</w:t>
      </w:r>
      <w:r w:rsidRPr="0065313A">
        <w:rPr>
          <w:rFonts w:ascii="Arial" w:hAnsi="Arial" w:cs="Arial"/>
          <w:iCs/>
          <w:sz w:val="24"/>
          <w:szCs w:val="24"/>
          <w:lang w:val="en-US"/>
        </w:rPr>
        <w:t>nternational Journal of Pharmaceutics 113:57</w:t>
      </w:r>
    </w:p>
    <w:p w:rsidR="00387A07" w:rsidRPr="0065313A" w:rsidRDefault="00387A07" w:rsidP="00387A07">
      <w:pPr>
        <w:autoSpaceDE w:val="0"/>
        <w:autoSpaceDN w:val="0"/>
        <w:adjustRightInd w:val="0"/>
        <w:spacing w:after="0" w:line="360" w:lineRule="auto"/>
        <w:jc w:val="both"/>
        <w:rPr>
          <w:rFonts w:ascii="Arial" w:hAnsi="Arial" w:cs="Arial"/>
          <w:i/>
          <w:iCs/>
          <w:sz w:val="24"/>
          <w:szCs w:val="24"/>
          <w:lang w:val="en-US"/>
        </w:rPr>
      </w:pPr>
      <w:r w:rsidRPr="0065313A">
        <w:rPr>
          <w:rFonts w:ascii="Arial" w:hAnsi="Arial" w:cs="Arial"/>
          <w:iCs/>
          <w:sz w:val="24"/>
          <w:szCs w:val="24"/>
          <w:lang w:val="en-US"/>
        </w:rPr>
        <w:t xml:space="preserve">[124] </w:t>
      </w:r>
      <w:r w:rsidRPr="0065313A">
        <w:rPr>
          <w:rFonts w:ascii="Arial" w:hAnsi="Arial" w:cs="Arial"/>
          <w:sz w:val="24"/>
          <w:szCs w:val="24"/>
          <w:lang w:val="en-US"/>
        </w:rPr>
        <w:t>Witschi C</w:t>
      </w:r>
      <w:r w:rsidRPr="0065313A">
        <w:rPr>
          <w:rFonts w:ascii="Arial" w:hAnsi="Arial" w:cs="Arial"/>
          <w:iCs/>
          <w:sz w:val="24"/>
          <w:szCs w:val="24"/>
          <w:lang w:val="en-US"/>
        </w:rPr>
        <w:t xml:space="preserve"> et al </w:t>
      </w:r>
      <w:r w:rsidRPr="0065313A">
        <w:rPr>
          <w:rFonts w:ascii="Arial" w:hAnsi="Arial" w:cs="Arial"/>
          <w:b/>
          <w:iCs/>
          <w:sz w:val="24"/>
          <w:szCs w:val="24"/>
          <w:lang w:val="en-US"/>
        </w:rPr>
        <w:t>1998</w:t>
      </w:r>
      <w:r w:rsidRPr="0065313A">
        <w:rPr>
          <w:rFonts w:ascii="Arial" w:hAnsi="Arial" w:cs="Arial"/>
          <w:i/>
          <w:iCs/>
          <w:sz w:val="24"/>
          <w:szCs w:val="24"/>
          <w:lang w:val="en-US"/>
        </w:rPr>
        <w:t xml:space="preserve"> </w:t>
      </w:r>
      <w:r w:rsidRPr="0065313A">
        <w:rPr>
          <w:rFonts w:ascii="Arial" w:hAnsi="Arial" w:cs="Arial"/>
          <w:sz w:val="24"/>
          <w:szCs w:val="24"/>
          <w:lang w:val="en-US"/>
        </w:rPr>
        <w:t xml:space="preserve">J. Controlled Release </w:t>
      </w:r>
      <w:r w:rsidRPr="0065313A">
        <w:rPr>
          <w:rFonts w:ascii="Arial" w:hAnsi="Arial" w:cs="Arial"/>
          <w:bCs/>
          <w:sz w:val="24"/>
          <w:szCs w:val="24"/>
          <w:lang w:val="en-US"/>
        </w:rPr>
        <w:t>51</w:t>
      </w:r>
      <w:r w:rsidRPr="0065313A">
        <w:rPr>
          <w:rFonts w:ascii="Arial" w:hAnsi="Arial" w:cs="Arial"/>
          <w:sz w:val="24"/>
          <w:szCs w:val="24"/>
          <w:lang w:val="en-US"/>
        </w:rPr>
        <w:t>:327</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iCs/>
          <w:sz w:val="24"/>
          <w:szCs w:val="24"/>
          <w:lang w:val="en-US"/>
        </w:rPr>
        <w:t xml:space="preserve">[125] </w:t>
      </w:r>
      <w:r w:rsidRPr="0065313A">
        <w:rPr>
          <w:rFonts w:ascii="Arial" w:hAnsi="Arial" w:cs="Arial"/>
          <w:sz w:val="24"/>
          <w:szCs w:val="24"/>
          <w:lang w:val="en-US"/>
        </w:rPr>
        <w:t xml:space="preserve">Fonseca C. et al </w:t>
      </w:r>
      <w:r w:rsidRPr="0065313A">
        <w:rPr>
          <w:rFonts w:ascii="Arial" w:hAnsi="Arial" w:cs="Arial"/>
          <w:b/>
          <w:sz w:val="24"/>
          <w:szCs w:val="24"/>
          <w:lang w:val="en-US"/>
        </w:rPr>
        <w:t>2002</w:t>
      </w:r>
      <w:r w:rsidRPr="0065313A">
        <w:rPr>
          <w:rFonts w:ascii="Arial" w:hAnsi="Arial" w:cs="Arial"/>
          <w:sz w:val="24"/>
          <w:szCs w:val="24"/>
          <w:lang w:val="en-US"/>
        </w:rPr>
        <w:t xml:space="preserve"> J Control Release 83: 273</w:t>
      </w:r>
    </w:p>
    <w:p w:rsidR="00387A07" w:rsidRPr="0065313A" w:rsidRDefault="00387A07" w:rsidP="00387A07">
      <w:pPr>
        <w:spacing w:after="0" w:line="360" w:lineRule="auto"/>
        <w:rPr>
          <w:rFonts w:ascii="Arial" w:hAnsi="Arial" w:cs="Arial"/>
          <w:sz w:val="24"/>
          <w:szCs w:val="24"/>
          <w:lang w:val="en-US"/>
        </w:rPr>
      </w:pPr>
      <w:r w:rsidRPr="0065313A">
        <w:rPr>
          <w:rFonts w:ascii="Arial" w:hAnsi="Arial" w:cs="Arial"/>
          <w:sz w:val="24"/>
          <w:szCs w:val="24"/>
          <w:lang w:val="en-US"/>
        </w:rPr>
        <w:t xml:space="preserve">[126] Moreno D et al. </w:t>
      </w:r>
      <w:r w:rsidRPr="0065313A">
        <w:rPr>
          <w:rFonts w:ascii="Arial" w:hAnsi="Arial" w:cs="Arial"/>
          <w:b/>
          <w:sz w:val="24"/>
          <w:szCs w:val="24"/>
          <w:lang w:val="en-US"/>
        </w:rPr>
        <w:t>2010</w:t>
      </w:r>
      <w:r w:rsidRPr="0065313A">
        <w:rPr>
          <w:rFonts w:ascii="Arial" w:hAnsi="Arial" w:cs="Arial"/>
          <w:sz w:val="24"/>
          <w:szCs w:val="24"/>
          <w:lang w:val="en-US"/>
        </w:rPr>
        <w:t xml:space="preserve"> Eur J Pharm Biopharm 74:265</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[127] Mittal G et al </w:t>
      </w:r>
      <w:r w:rsidRPr="0065313A">
        <w:rPr>
          <w:rFonts w:ascii="Arial" w:hAnsi="Arial" w:cs="Arial"/>
          <w:b/>
          <w:sz w:val="24"/>
          <w:szCs w:val="24"/>
          <w:lang w:val="en-US"/>
        </w:rPr>
        <w:t>2007</w:t>
      </w:r>
      <w:r w:rsidRPr="0065313A">
        <w:rPr>
          <w:rFonts w:ascii="Arial" w:hAnsi="Arial" w:cs="Arial"/>
          <w:sz w:val="24"/>
          <w:szCs w:val="24"/>
          <w:lang w:val="en-US"/>
        </w:rPr>
        <w:t xml:space="preserve"> J Control Release 119: 77</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lastRenderedPageBreak/>
        <w:t xml:space="preserve">[128]  K. Andreas et al. </w:t>
      </w:r>
      <w:r w:rsidRPr="0065313A">
        <w:rPr>
          <w:rFonts w:ascii="Arial" w:hAnsi="Arial" w:cs="Arial"/>
          <w:b/>
          <w:sz w:val="24"/>
          <w:szCs w:val="24"/>
          <w:lang w:val="en-US"/>
        </w:rPr>
        <w:t>2011</w:t>
      </w:r>
      <w:r w:rsidRPr="0065313A">
        <w:rPr>
          <w:rFonts w:ascii="Arial" w:hAnsi="Arial" w:cs="Arial"/>
          <w:sz w:val="24"/>
          <w:szCs w:val="24"/>
          <w:lang w:val="en-US"/>
        </w:rPr>
        <w:t xml:space="preserve">  Acta Biomaterialia 7:1485</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[129]  M. Teixeira et al. </w:t>
      </w:r>
      <w:r w:rsidRPr="0065313A">
        <w:rPr>
          <w:rFonts w:ascii="Arial" w:hAnsi="Arial" w:cs="Arial"/>
          <w:b/>
          <w:sz w:val="24"/>
          <w:szCs w:val="24"/>
          <w:lang w:val="en-US"/>
        </w:rPr>
        <w:t>2005</w:t>
      </w:r>
      <w:r w:rsidRPr="0065313A">
        <w:rPr>
          <w:rFonts w:ascii="Arial" w:hAnsi="Arial" w:cs="Arial"/>
          <w:sz w:val="24"/>
          <w:szCs w:val="24"/>
          <w:lang w:val="en-US"/>
        </w:rPr>
        <w:t xml:space="preserve"> Eur J Pharm Biopharm 59:491</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[130] Tewes F et al. </w:t>
      </w:r>
      <w:r w:rsidRPr="0065313A">
        <w:rPr>
          <w:rFonts w:ascii="Arial" w:hAnsi="Arial" w:cs="Arial"/>
          <w:b/>
          <w:sz w:val="24"/>
          <w:szCs w:val="24"/>
          <w:lang w:val="en-US"/>
        </w:rPr>
        <w:t>2007</w:t>
      </w:r>
      <w:r w:rsidRPr="0065313A">
        <w:rPr>
          <w:rFonts w:ascii="Arial" w:hAnsi="Arial" w:cs="Arial"/>
          <w:sz w:val="24"/>
          <w:szCs w:val="24"/>
          <w:lang w:val="en-US"/>
        </w:rPr>
        <w:t xml:space="preserve"> Eur J Pharm Biopharm 66:488</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[131] Feczkó T et al. </w:t>
      </w:r>
      <w:r w:rsidRPr="0065313A">
        <w:rPr>
          <w:rFonts w:ascii="Arial" w:hAnsi="Arial" w:cs="Arial"/>
          <w:b/>
          <w:sz w:val="24"/>
          <w:szCs w:val="24"/>
          <w:lang w:val="en-US"/>
        </w:rPr>
        <w:t>2011</w:t>
      </w:r>
      <w:r w:rsidRPr="0065313A">
        <w:rPr>
          <w:rFonts w:ascii="Arial" w:hAnsi="Arial" w:cs="Arial"/>
          <w:sz w:val="24"/>
          <w:szCs w:val="24"/>
          <w:lang w:val="en-US"/>
        </w:rPr>
        <w:t xml:space="preserve"> Chemical Engineering and Processing 50:757</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[132] Pitt CG. In: Chasin M, Langer R editors. Biodegradable polymers as drug delivery systems. New York: Marcel Dekker; 1990. p. 71–120</w:t>
      </w:r>
    </w:p>
    <w:p w:rsidR="00387A07" w:rsidRPr="0065313A" w:rsidRDefault="00387A07" w:rsidP="00387A07">
      <w:pPr>
        <w:spacing w:after="0" w:line="360" w:lineRule="auto"/>
        <w:jc w:val="both"/>
        <w:rPr>
          <w:rFonts w:ascii="Arial" w:hAnsi="Arial" w:cs="Arial"/>
          <w:b/>
          <w:sz w:val="24"/>
          <w:szCs w:val="24"/>
          <w:lang w:val="en-US"/>
        </w:rPr>
      </w:pPr>
      <w:r w:rsidRPr="0065313A">
        <w:rPr>
          <w:rFonts w:ascii="Arial" w:hAnsi="Arial" w:cs="Arial"/>
          <w:sz w:val="24"/>
          <w:szCs w:val="24"/>
          <w:lang w:val="en-US"/>
        </w:rPr>
        <w:t xml:space="preserve">[133] Sinha VR et al </w:t>
      </w:r>
      <w:r w:rsidRPr="0065313A">
        <w:rPr>
          <w:rFonts w:ascii="Arial" w:hAnsi="Arial" w:cs="Arial"/>
          <w:b/>
          <w:sz w:val="24"/>
          <w:szCs w:val="24"/>
          <w:lang w:val="en-US"/>
        </w:rPr>
        <w:t>2004</w:t>
      </w:r>
      <w:r w:rsidRPr="0065313A">
        <w:rPr>
          <w:rFonts w:ascii="Arial" w:hAnsi="Arial" w:cs="Arial"/>
          <w:sz w:val="24"/>
          <w:szCs w:val="24"/>
          <w:lang w:val="en-US"/>
        </w:rPr>
        <w:t xml:space="preserve"> Int J Pharm 278:1</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[134] Chandra R, Rustgi R </w:t>
      </w:r>
      <w:r w:rsidRPr="0065313A">
        <w:rPr>
          <w:rFonts w:ascii="Arial" w:hAnsi="Arial" w:cs="Arial"/>
          <w:b/>
          <w:sz w:val="24"/>
          <w:szCs w:val="24"/>
          <w:lang w:val="en-US"/>
        </w:rPr>
        <w:t>1998</w:t>
      </w:r>
      <w:r w:rsidRPr="0065313A">
        <w:rPr>
          <w:rFonts w:ascii="Arial" w:hAnsi="Arial" w:cs="Arial"/>
          <w:sz w:val="24"/>
          <w:szCs w:val="24"/>
          <w:lang w:val="en-US"/>
        </w:rPr>
        <w:t xml:space="preserve"> Progr Polym Sci 23:1273</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[135] Nair LS, Laurencin CT. </w:t>
      </w:r>
      <w:r w:rsidRPr="0065313A">
        <w:rPr>
          <w:rFonts w:ascii="Arial" w:hAnsi="Arial" w:cs="Arial"/>
          <w:b/>
          <w:sz w:val="24"/>
          <w:szCs w:val="24"/>
          <w:lang w:val="en-US"/>
        </w:rPr>
        <w:t>2007</w:t>
      </w:r>
      <w:r w:rsidRPr="0065313A">
        <w:rPr>
          <w:rFonts w:ascii="Arial" w:hAnsi="Arial" w:cs="Arial"/>
          <w:sz w:val="24"/>
          <w:szCs w:val="24"/>
          <w:lang w:val="en-US"/>
        </w:rPr>
        <w:t xml:space="preserve"> Progr Polym Sci 32:762</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[136] Lam CXF at al </w:t>
      </w:r>
      <w:r w:rsidRPr="0065313A">
        <w:rPr>
          <w:rFonts w:ascii="Arial" w:hAnsi="Arial" w:cs="Arial"/>
          <w:b/>
          <w:sz w:val="24"/>
          <w:szCs w:val="24"/>
          <w:lang w:val="en-US"/>
        </w:rPr>
        <w:t>2008</w:t>
      </w:r>
      <w:r w:rsidRPr="0065313A">
        <w:rPr>
          <w:rFonts w:ascii="Arial" w:hAnsi="Arial" w:cs="Arial"/>
          <w:sz w:val="24"/>
          <w:szCs w:val="24"/>
          <w:lang w:val="en-US"/>
        </w:rPr>
        <w:t xml:space="preserve"> Biomed Mater 3:1</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rPr>
        <w:t xml:space="preserve">[137] </w:t>
      </w:r>
      <w:r w:rsidRPr="0065313A">
        <w:rPr>
          <w:rFonts w:ascii="Arial" w:hAnsi="Arial" w:cs="Arial"/>
          <w:sz w:val="24"/>
          <w:szCs w:val="24"/>
          <w:lang w:val="en-US"/>
        </w:rPr>
        <w:t xml:space="preserve">M.A. Woodruff et al </w:t>
      </w:r>
      <w:r w:rsidRPr="0065313A">
        <w:rPr>
          <w:rFonts w:ascii="Arial" w:hAnsi="Arial" w:cs="Arial"/>
          <w:b/>
          <w:sz w:val="24"/>
          <w:szCs w:val="24"/>
          <w:lang w:val="en-US"/>
        </w:rPr>
        <w:t>2010</w:t>
      </w:r>
      <w:r w:rsidRPr="0065313A">
        <w:rPr>
          <w:rFonts w:ascii="Arial" w:hAnsi="Arial" w:cs="Arial"/>
          <w:sz w:val="24"/>
          <w:szCs w:val="24"/>
          <w:lang w:val="en-US"/>
        </w:rPr>
        <w:t xml:space="preserve"> Progress in Polymer Science 35:1217</w:t>
      </w:r>
    </w:p>
    <w:p w:rsidR="00387A07" w:rsidRPr="0065313A" w:rsidRDefault="00387A07" w:rsidP="00387A07">
      <w:pPr>
        <w:autoSpaceDE w:val="0"/>
        <w:autoSpaceDN w:val="0"/>
        <w:adjustRightInd w:val="0"/>
        <w:spacing w:after="0" w:line="360" w:lineRule="auto"/>
        <w:rPr>
          <w:rFonts w:ascii="Arial" w:hAnsi="Arial" w:cs="Arial"/>
          <w:sz w:val="24"/>
          <w:szCs w:val="24"/>
          <w:lang w:val="en-US"/>
        </w:rPr>
      </w:pPr>
      <w:r w:rsidRPr="0065313A">
        <w:rPr>
          <w:rFonts w:ascii="Arial" w:hAnsi="Arial" w:cs="Arial"/>
          <w:sz w:val="24"/>
          <w:szCs w:val="24"/>
          <w:lang w:val="en-US"/>
        </w:rPr>
        <w:t xml:space="preserve">[138] Calvo P et al </w:t>
      </w:r>
      <w:r w:rsidRPr="0065313A">
        <w:rPr>
          <w:rFonts w:ascii="Arial" w:hAnsi="Arial" w:cs="Arial"/>
          <w:b/>
          <w:sz w:val="24"/>
          <w:szCs w:val="24"/>
          <w:lang w:val="en-US"/>
        </w:rPr>
        <w:t>1996</w:t>
      </w:r>
      <w:r w:rsidRPr="0065313A">
        <w:rPr>
          <w:rFonts w:ascii="Arial" w:hAnsi="Arial" w:cs="Arial"/>
          <w:sz w:val="24"/>
          <w:szCs w:val="24"/>
          <w:lang w:val="en-US"/>
        </w:rPr>
        <w:t xml:space="preserve"> J Pharm Sci 85:530</w:t>
      </w:r>
    </w:p>
    <w:p w:rsidR="00387A07" w:rsidRPr="0065313A" w:rsidRDefault="00387A07" w:rsidP="00387A07">
      <w:pPr>
        <w:autoSpaceDE w:val="0"/>
        <w:autoSpaceDN w:val="0"/>
        <w:adjustRightInd w:val="0"/>
        <w:spacing w:after="0" w:line="360" w:lineRule="auto"/>
        <w:jc w:val="both"/>
        <w:rPr>
          <w:rFonts w:ascii="Arial" w:hAnsi="Arial" w:cs="Arial"/>
          <w:color w:val="000000"/>
          <w:sz w:val="24"/>
          <w:szCs w:val="24"/>
          <w:lang w:val="en-US"/>
        </w:rPr>
      </w:pPr>
      <w:r w:rsidRPr="0065313A">
        <w:rPr>
          <w:rFonts w:ascii="Arial" w:hAnsi="Arial" w:cs="Arial"/>
          <w:color w:val="000000"/>
          <w:sz w:val="24"/>
          <w:szCs w:val="24"/>
          <w:lang w:val="en-US"/>
        </w:rPr>
        <w:t xml:space="preserve">[139] Chawla JS et al </w:t>
      </w:r>
      <w:r w:rsidRPr="0065313A">
        <w:rPr>
          <w:rFonts w:ascii="Arial" w:hAnsi="Arial" w:cs="Arial"/>
          <w:b/>
          <w:color w:val="000000"/>
          <w:sz w:val="24"/>
          <w:szCs w:val="24"/>
          <w:lang w:val="en-US"/>
        </w:rPr>
        <w:t>2002</w:t>
      </w:r>
      <w:r w:rsidRPr="0065313A">
        <w:rPr>
          <w:rFonts w:ascii="Arial" w:hAnsi="Arial" w:cs="Arial"/>
          <w:color w:val="000000"/>
          <w:sz w:val="24"/>
          <w:szCs w:val="24"/>
          <w:lang w:val="en-US"/>
        </w:rPr>
        <w:t xml:space="preserve"> International Journal of Pharmaceutics 249:127</w:t>
      </w:r>
    </w:p>
    <w:p w:rsidR="00387A07" w:rsidRPr="0065313A" w:rsidRDefault="00387A07" w:rsidP="00387A07">
      <w:pPr>
        <w:autoSpaceDE w:val="0"/>
        <w:autoSpaceDN w:val="0"/>
        <w:adjustRightInd w:val="0"/>
        <w:spacing w:after="0" w:line="360" w:lineRule="auto"/>
        <w:jc w:val="both"/>
        <w:rPr>
          <w:rFonts w:ascii="Arial" w:hAnsi="Arial" w:cs="Arial"/>
          <w:color w:val="000000"/>
          <w:sz w:val="24"/>
          <w:szCs w:val="24"/>
          <w:lang w:val="en-US"/>
        </w:rPr>
      </w:pPr>
      <w:r w:rsidRPr="0065313A">
        <w:rPr>
          <w:rFonts w:ascii="Arial" w:hAnsi="Arial" w:cs="Arial"/>
          <w:sz w:val="24"/>
          <w:szCs w:val="24"/>
          <w:lang w:val="en-US"/>
        </w:rPr>
        <w:t xml:space="preserve">[140] Deshpande D </w:t>
      </w:r>
      <w:r w:rsidRPr="0065313A">
        <w:rPr>
          <w:rFonts w:ascii="Arial" w:hAnsi="Arial" w:cs="Arial"/>
          <w:b/>
          <w:sz w:val="24"/>
          <w:szCs w:val="24"/>
          <w:lang w:val="en-US"/>
        </w:rPr>
        <w:t>2008</w:t>
      </w:r>
      <w:r w:rsidRPr="0065313A">
        <w:rPr>
          <w:rFonts w:ascii="Arial" w:hAnsi="Arial" w:cs="Arial"/>
          <w:sz w:val="24"/>
          <w:szCs w:val="24"/>
          <w:lang w:val="en-US"/>
        </w:rPr>
        <w:t xml:space="preserve">  pharm research 25:1936</w:t>
      </w:r>
    </w:p>
    <w:p w:rsidR="00387A07" w:rsidRPr="0065313A" w:rsidRDefault="00387A07" w:rsidP="00387A07">
      <w:pPr>
        <w:autoSpaceDE w:val="0"/>
        <w:autoSpaceDN w:val="0"/>
        <w:adjustRightInd w:val="0"/>
        <w:spacing w:after="0" w:line="360" w:lineRule="auto"/>
        <w:jc w:val="both"/>
        <w:rPr>
          <w:rFonts w:ascii="Arial" w:hAnsi="Arial" w:cs="Arial"/>
          <w:color w:val="000000"/>
          <w:sz w:val="24"/>
          <w:szCs w:val="24"/>
          <w:lang w:val="en-US"/>
        </w:rPr>
      </w:pPr>
      <w:r w:rsidRPr="0065313A">
        <w:rPr>
          <w:rFonts w:ascii="Arial" w:hAnsi="Arial" w:cs="Arial"/>
          <w:color w:val="000000"/>
          <w:sz w:val="24"/>
          <w:szCs w:val="24"/>
          <w:lang w:val="en-US"/>
        </w:rPr>
        <w:t>[141] Muller CR Pharmazie 56:846.</w:t>
      </w:r>
    </w:p>
    <w:p w:rsidR="00387A07" w:rsidRPr="0065313A" w:rsidRDefault="00387A07" w:rsidP="00387A07">
      <w:pPr>
        <w:autoSpaceDE w:val="0"/>
        <w:autoSpaceDN w:val="0"/>
        <w:adjustRightInd w:val="0"/>
        <w:spacing w:after="0" w:line="360" w:lineRule="auto"/>
        <w:jc w:val="both"/>
        <w:rPr>
          <w:rFonts w:ascii="Arial" w:hAnsi="Arial" w:cs="Arial"/>
          <w:sz w:val="24"/>
          <w:szCs w:val="24"/>
          <w:lang w:val="it-IT"/>
        </w:rPr>
      </w:pPr>
      <w:r w:rsidRPr="0065313A">
        <w:rPr>
          <w:rFonts w:ascii="Arial" w:hAnsi="Arial" w:cs="Arial"/>
          <w:color w:val="000000"/>
          <w:sz w:val="24"/>
          <w:szCs w:val="24"/>
          <w:lang w:val="it-IT"/>
        </w:rPr>
        <w:t xml:space="preserve">[142] Mei L </w:t>
      </w:r>
      <w:r w:rsidRPr="0065313A">
        <w:rPr>
          <w:rFonts w:ascii="Arial" w:hAnsi="Arial" w:cs="Arial"/>
          <w:b/>
          <w:color w:val="000000"/>
          <w:sz w:val="24"/>
          <w:szCs w:val="24"/>
          <w:lang w:val="it-IT"/>
        </w:rPr>
        <w:t>2009</w:t>
      </w:r>
      <w:r w:rsidRPr="0065313A">
        <w:rPr>
          <w:rFonts w:ascii="Arial" w:hAnsi="Arial" w:cs="Arial"/>
          <w:color w:val="000000"/>
          <w:sz w:val="24"/>
          <w:szCs w:val="24"/>
          <w:lang w:val="it-IT"/>
        </w:rPr>
        <w:t xml:space="preserve"> Nanoscale Res Lett 4:1530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[143] Lacoulonche F. et al </w:t>
      </w:r>
      <w:r w:rsidRPr="0065313A">
        <w:rPr>
          <w:rFonts w:ascii="Arial" w:hAnsi="Arial" w:cs="Arial"/>
          <w:b/>
          <w:sz w:val="24"/>
          <w:szCs w:val="24"/>
          <w:lang w:val="en-US"/>
        </w:rPr>
        <w:t>1999</w:t>
      </w:r>
      <w:r w:rsidRPr="0065313A">
        <w:rPr>
          <w:rFonts w:ascii="Arial" w:hAnsi="Arial" w:cs="Arial"/>
          <w:sz w:val="24"/>
          <w:szCs w:val="24"/>
          <w:lang w:val="en-US"/>
        </w:rPr>
        <w:t xml:space="preserve"> Drug Dev Ind Pharm 25:983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[144] Gref R. et al </w:t>
      </w:r>
      <w:r w:rsidRPr="0065313A">
        <w:rPr>
          <w:rFonts w:ascii="Arial" w:hAnsi="Arial" w:cs="Arial"/>
          <w:b/>
          <w:sz w:val="24"/>
          <w:szCs w:val="24"/>
          <w:lang w:val="en-US"/>
        </w:rPr>
        <w:t>1994</w:t>
      </w:r>
      <w:r w:rsidRPr="0065313A">
        <w:rPr>
          <w:rFonts w:ascii="Arial" w:hAnsi="Arial" w:cs="Arial"/>
          <w:sz w:val="24"/>
          <w:szCs w:val="24"/>
          <w:lang w:val="en-US"/>
        </w:rPr>
        <w:t xml:space="preserve"> Science 263:1600</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[145] Frank M. et al </w:t>
      </w:r>
      <w:r w:rsidRPr="0065313A">
        <w:rPr>
          <w:rFonts w:ascii="Arial" w:hAnsi="Arial" w:cs="Arial"/>
          <w:b/>
          <w:sz w:val="24"/>
          <w:szCs w:val="24"/>
          <w:lang w:val="en-US"/>
        </w:rPr>
        <w:t>1991</w:t>
      </w:r>
      <w:r w:rsidRPr="0065313A">
        <w:rPr>
          <w:rFonts w:ascii="Arial" w:hAnsi="Arial" w:cs="Arial"/>
          <w:sz w:val="24"/>
          <w:szCs w:val="24"/>
          <w:lang w:val="en-US"/>
        </w:rPr>
        <w:t xml:space="preserve"> Immunol Today 12:322</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[146] Illum L. et al </w:t>
      </w:r>
      <w:r w:rsidRPr="0065313A">
        <w:rPr>
          <w:rFonts w:ascii="Arial" w:hAnsi="Arial" w:cs="Arial"/>
          <w:b/>
          <w:sz w:val="24"/>
          <w:szCs w:val="24"/>
          <w:lang w:val="en-US"/>
        </w:rPr>
        <w:t>1984</w:t>
      </w:r>
      <w:r w:rsidRPr="0065313A">
        <w:rPr>
          <w:rFonts w:ascii="Arial" w:hAnsi="Arial" w:cs="Arial"/>
          <w:sz w:val="24"/>
          <w:szCs w:val="24"/>
          <w:lang w:val="en-US"/>
        </w:rPr>
        <w:t xml:space="preserve"> FEBS Lett 167:79</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[147] Kaul G. et al </w:t>
      </w:r>
      <w:r w:rsidRPr="0065313A">
        <w:rPr>
          <w:rFonts w:ascii="Arial" w:hAnsi="Arial" w:cs="Arial"/>
          <w:b/>
          <w:sz w:val="24"/>
          <w:szCs w:val="24"/>
          <w:lang w:val="en-US"/>
        </w:rPr>
        <w:t>2002</w:t>
      </w:r>
      <w:r w:rsidRPr="0065313A">
        <w:rPr>
          <w:rFonts w:ascii="Arial" w:hAnsi="Arial" w:cs="Arial"/>
          <w:sz w:val="24"/>
          <w:szCs w:val="24"/>
          <w:lang w:val="en-US"/>
        </w:rPr>
        <w:t xml:space="preserve"> Pharm Res 19:1061</w:t>
      </w:r>
    </w:p>
    <w:p w:rsidR="00387A07" w:rsidRPr="0065313A" w:rsidRDefault="00387A07" w:rsidP="00387A07">
      <w:pPr>
        <w:spacing w:after="0" w:line="360" w:lineRule="auto"/>
        <w:jc w:val="both"/>
        <w:rPr>
          <w:rFonts w:ascii="Arial" w:hAnsi="Arial" w:cs="Arial"/>
          <w:iCs/>
          <w:sz w:val="24"/>
          <w:szCs w:val="24"/>
          <w:lang w:val="en-US"/>
        </w:rPr>
      </w:pPr>
      <w:r w:rsidRPr="0065313A">
        <w:rPr>
          <w:rFonts w:ascii="Arial" w:hAnsi="Arial" w:cs="Arial"/>
          <w:sz w:val="24"/>
          <w:szCs w:val="24"/>
          <w:lang w:val="en-US"/>
        </w:rPr>
        <w:t xml:space="preserve">[148] </w:t>
      </w:r>
      <w:r w:rsidRPr="0065313A">
        <w:rPr>
          <w:rFonts w:ascii="Arial" w:hAnsi="Arial" w:cs="Arial"/>
          <w:iCs/>
          <w:sz w:val="24"/>
          <w:szCs w:val="24"/>
          <w:lang w:val="en-US"/>
        </w:rPr>
        <w:t xml:space="preserve">D.E. Owens III et al </w:t>
      </w:r>
      <w:r w:rsidRPr="0065313A">
        <w:rPr>
          <w:rFonts w:ascii="Arial" w:hAnsi="Arial" w:cs="Arial"/>
          <w:b/>
          <w:iCs/>
          <w:sz w:val="24"/>
          <w:szCs w:val="24"/>
          <w:lang w:val="en-US"/>
        </w:rPr>
        <w:t>2006</w:t>
      </w:r>
      <w:r w:rsidRPr="0065313A">
        <w:rPr>
          <w:rFonts w:ascii="Arial" w:hAnsi="Arial" w:cs="Arial"/>
          <w:iCs/>
          <w:sz w:val="24"/>
          <w:szCs w:val="24"/>
          <w:lang w:val="en-US"/>
        </w:rPr>
        <w:t xml:space="preserve">  Int J Pharm 307:93</w:t>
      </w:r>
    </w:p>
    <w:p w:rsidR="00387A07" w:rsidRPr="0065313A" w:rsidRDefault="00387A07" w:rsidP="00387A07">
      <w:pPr>
        <w:spacing w:after="0" w:line="360" w:lineRule="auto"/>
        <w:jc w:val="both"/>
        <w:rPr>
          <w:rFonts w:ascii="Arial" w:hAnsi="Arial" w:cs="Arial"/>
          <w:sz w:val="24"/>
          <w:szCs w:val="24"/>
          <w:lang w:val="it-IT"/>
        </w:rPr>
      </w:pPr>
      <w:r w:rsidRPr="0065313A">
        <w:rPr>
          <w:rFonts w:ascii="Arial" w:hAnsi="Arial" w:cs="Arial"/>
          <w:iCs/>
          <w:sz w:val="24"/>
          <w:szCs w:val="24"/>
          <w:lang w:val="it-IT"/>
        </w:rPr>
        <w:t xml:space="preserve">[149] </w:t>
      </w:r>
      <w:r w:rsidRPr="0065313A">
        <w:rPr>
          <w:rFonts w:ascii="Arial" w:hAnsi="Arial" w:cs="Arial"/>
          <w:sz w:val="24"/>
          <w:szCs w:val="24"/>
          <w:lang w:val="it-IT"/>
        </w:rPr>
        <w:t xml:space="preserve">Peracchia MT </w:t>
      </w:r>
      <w:r w:rsidRPr="0065313A">
        <w:rPr>
          <w:rFonts w:ascii="Arial" w:hAnsi="Arial" w:cs="Arial"/>
          <w:b/>
          <w:sz w:val="24"/>
          <w:szCs w:val="24"/>
          <w:lang w:val="it-IT"/>
        </w:rPr>
        <w:t>2003</w:t>
      </w:r>
      <w:r w:rsidRPr="0065313A">
        <w:rPr>
          <w:rFonts w:ascii="Arial" w:hAnsi="Arial" w:cs="Arial"/>
          <w:sz w:val="24"/>
          <w:szCs w:val="24"/>
          <w:lang w:val="it-IT"/>
        </w:rPr>
        <w:t xml:space="preserve"> S.T.P. Pharma Sci 13:155</w:t>
      </w:r>
    </w:p>
    <w:p w:rsidR="00387A07" w:rsidRPr="0065313A" w:rsidRDefault="00387A07" w:rsidP="00387A07">
      <w:pPr>
        <w:spacing w:after="0" w:line="360" w:lineRule="auto"/>
        <w:jc w:val="both"/>
        <w:rPr>
          <w:rFonts w:ascii="Arial" w:hAnsi="Arial" w:cs="Arial"/>
          <w:sz w:val="24"/>
          <w:szCs w:val="24"/>
          <w:lang w:val="it-IT"/>
        </w:rPr>
      </w:pPr>
      <w:r w:rsidRPr="0065313A">
        <w:rPr>
          <w:rFonts w:ascii="Arial" w:hAnsi="Arial" w:cs="Arial"/>
          <w:sz w:val="24"/>
          <w:szCs w:val="24"/>
          <w:lang w:val="it-IT"/>
        </w:rPr>
        <w:t xml:space="preserve">[150] Peracchia M.T. et al </w:t>
      </w:r>
      <w:r w:rsidRPr="0065313A">
        <w:rPr>
          <w:rFonts w:ascii="Arial" w:hAnsi="Arial" w:cs="Arial"/>
          <w:b/>
          <w:sz w:val="24"/>
          <w:szCs w:val="24"/>
          <w:lang w:val="it-IT"/>
        </w:rPr>
        <w:t>1997</w:t>
      </w:r>
      <w:r w:rsidRPr="0065313A">
        <w:rPr>
          <w:rFonts w:ascii="Arial" w:hAnsi="Arial" w:cs="Arial"/>
          <w:sz w:val="24"/>
          <w:szCs w:val="24"/>
          <w:lang w:val="it-IT"/>
        </w:rPr>
        <w:t xml:space="preserve"> Life Sci 61:749</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[151] Storm G et al </w:t>
      </w:r>
      <w:r w:rsidRPr="0065313A">
        <w:rPr>
          <w:rFonts w:ascii="Arial" w:hAnsi="Arial" w:cs="Arial"/>
          <w:b/>
          <w:sz w:val="24"/>
          <w:szCs w:val="24"/>
          <w:lang w:val="en-US"/>
        </w:rPr>
        <w:t>1995</w:t>
      </w:r>
      <w:r w:rsidRPr="0065313A">
        <w:rPr>
          <w:rFonts w:ascii="Arial" w:hAnsi="Arial" w:cs="Arial"/>
          <w:sz w:val="24"/>
          <w:szCs w:val="24"/>
          <w:lang w:val="en-US"/>
        </w:rPr>
        <w:t xml:space="preserve"> Adv Drug Deliv Rev 17:31</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[152] Saunders JH et al. 1962 in Polyurethanes: Chemistry and technology. Interscience, </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         New York</w:t>
      </w:r>
    </w:p>
    <w:p w:rsidR="00387A07" w:rsidRPr="0065313A" w:rsidRDefault="00387A07" w:rsidP="00387A07">
      <w:pPr>
        <w:spacing w:after="0" w:line="360" w:lineRule="auto"/>
        <w:jc w:val="both"/>
        <w:rPr>
          <w:rFonts w:ascii="Arial" w:hAnsi="Arial" w:cs="Arial"/>
          <w:sz w:val="24"/>
          <w:szCs w:val="24"/>
          <w:lang w:val="en-US"/>
        </w:rPr>
      </w:pPr>
      <w:r w:rsidRPr="0065313A">
        <w:rPr>
          <w:rFonts w:ascii="Arial" w:hAnsi="Arial" w:cs="Arial"/>
          <w:sz w:val="24"/>
          <w:szCs w:val="24"/>
          <w:lang w:val="en-US"/>
        </w:rPr>
        <w:t xml:space="preserve">[153] Zanetti-Ramos B. et al </w:t>
      </w:r>
      <w:r w:rsidRPr="0065313A">
        <w:rPr>
          <w:rFonts w:ascii="Arial" w:hAnsi="Arial" w:cs="Arial"/>
          <w:b/>
          <w:sz w:val="24"/>
          <w:szCs w:val="24"/>
          <w:lang w:val="en-US"/>
        </w:rPr>
        <w:t>2006</w:t>
      </w:r>
      <w:r w:rsidRPr="0065313A">
        <w:rPr>
          <w:rFonts w:ascii="Arial" w:hAnsi="Arial" w:cs="Arial"/>
          <w:sz w:val="24"/>
          <w:szCs w:val="24"/>
          <w:lang w:val="en-US"/>
        </w:rPr>
        <w:t xml:space="preserve"> polymer 47:8080</w:t>
      </w:r>
    </w:p>
    <w:p w:rsidR="00387A07" w:rsidRPr="0065313A" w:rsidRDefault="00387A07" w:rsidP="00387A07">
      <w:pPr>
        <w:pStyle w:val="Default"/>
        <w:spacing w:line="360" w:lineRule="auto"/>
        <w:jc w:val="both"/>
        <w:rPr>
          <w:rFonts w:ascii="Arial" w:hAnsi="Arial" w:cs="Arial"/>
          <w:color w:val="231F20"/>
          <w:lang w:val="en-US"/>
        </w:rPr>
      </w:pPr>
      <w:r w:rsidRPr="0065313A">
        <w:rPr>
          <w:rFonts w:ascii="Arial" w:hAnsi="Arial" w:cs="Arial"/>
          <w:color w:val="231F20"/>
          <w:lang w:val="en-US"/>
        </w:rPr>
        <w:t>[154]</w:t>
      </w:r>
      <w:r w:rsidRPr="0065313A">
        <w:rPr>
          <w:rFonts w:ascii="Arial" w:hAnsi="Arial" w:cs="Arial"/>
          <w:lang w:val="en-US"/>
        </w:rPr>
        <w:t xml:space="preserve"> Illum L. </w:t>
      </w:r>
      <w:r w:rsidRPr="0065313A">
        <w:rPr>
          <w:rFonts w:ascii="Arial" w:hAnsi="Arial" w:cs="Arial"/>
          <w:b/>
          <w:lang w:val="en-US"/>
        </w:rPr>
        <w:t>1998</w:t>
      </w:r>
      <w:r w:rsidRPr="0065313A">
        <w:rPr>
          <w:rFonts w:ascii="Arial" w:hAnsi="Arial" w:cs="Arial"/>
          <w:lang w:val="en-US"/>
        </w:rPr>
        <w:t xml:space="preserve"> Pharm. Res. 15: 1326</w:t>
      </w:r>
    </w:p>
    <w:p w:rsidR="00387A07" w:rsidRPr="0065313A" w:rsidRDefault="00387A07" w:rsidP="00387A07">
      <w:pPr>
        <w:pStyle w:val="Default"/>
        <w:spacing w:line="360" w:lineRule="auto"/>
        <w:jc w:val="both"/>
        <w:rPr>
          <w:rFonts w:ascii="Arial" w:hAnsi="Arial" w:cs="Arial"/>
          <w:lang w:val="en-US"/>
        </w:rPr>
      </w:pPr>
      <w:r w:rsidRPr="0065313A">
        <w:rPr>
          <w:rFonts w:ascii="Arial" w:hAnsi="Arial" w:cs="Arial"/>
          <w:color w:val="231F20"/>
          <w:lang w:val="en-US"/>
        </w:rPr>
        <w:t xml:space="preserve">[155] </w:t>
      </w:r>
      <w:r w:rsidRPr="0065313A">
        <w:rPr>
          <w:rFonts w:ascii="Arial" w:hAnsi="Arial" w:cs="Arial"/>
          <w:lang w:val="en-US"/>
        </w:rPr>
        <w:t xml:space="preserve">Muzzarelli R A A. </w:t>
      </w:r>
      <w:r w:rsidRPr="0065313A">
        <w:rPr>
          <w:rFonts w:ascii="Arial" w:hAnsi="Arial" w:cs="Arial"/>
          <w:b/>
          <w:lang w:val="en-US"/>
        </w:rPr>
        <w:t>2009</w:t>
      </w:r>
      <w:r w:rsidRPr="0065313A">
        <w:rPr>
          <w:rFonts w:ascii="Arial" w:hAnsi="Arial" w:cs="Arial"/>
          <w:lang w:val="en-US"/>
        </w:rPr>
        <w:t xml:space="preserve"> Carbohydrate Polymers 77:1</w:t>
      </w:r>
    </w:p>
    <w:p w:rsidR="00387A07" w:rsidRPr="0065313A" w:rsidRDefault="00387A07" w:rsidP="00387A07">
      <w:pPr>
        <w:pStyle w:val="Default"/>
        <w:spacing w:line="360" w:lineRule="auto"/>
        <w:jc w:val="both"/>
        <w:rPr>
          <w:rFonts w:ascii="Arial" w:hAnsi="Arial" w:cs="Arial"/>
          <w:lang w:val="en-US"/>
        </w:rPr>
      </w:pPr>
      <w:r w:rsidRPr="0065313A">
        <w:rPr>
          <w:rFonts w:ascii="Arial" w:hAnsi="Arial" w:cs="Arial"/>
          <w:color w:val="231F20"/>
          <w:lang w:val="en-US"/>
        </w:rPr>
        <w:t xml:space="preserve">[156] </w:t>
      </w:r>
      <w:r w:rsidRPr="0065313A">
        <w:rPr>
          <w:rFonts w:ascii="Arial" w:hAnsi="Arial" w:cs="Arial"/>
          <w:lang w:val="en-US"/>
        </w:rPr>
        <w:t xml:space="preserve">Wang et al. </w:t>
      </w:r>
      <w:r w:rsidRPr="0065313A">
        <w:rPr>
          <w:rFonts w:ascii="Arial" w:hAnsi="Arial" w:cs="Arial"/>
          <w:b/>
          <w:lang w:val="en-US"/>
        </w:rPr>
        <w:t>2010</w:t>
      </w:r>
      <w:r w:rsidRPr="0065313A">
        <w:rPr>
          <w:rFonts w:ascii="Arial" w:hAnsi="Arial" w:cs="Arial"/>
          <w:lang w:val="en-US"/>
        </w:rPr>
        <w:t xml:space="preserve"> biomaterials 31(14):3976</w:t>
      </w: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pPr>
        <w:rPr>
          <w:lang w:val="en-US"/>
        </w:rPr>
      </w:pPr>
    </w:p>
    <w:p w:rsidR="00387A07" w:rsidRDefault="00387A07" w:rsidP="00387A07">
      <w:pPr>
        <w:spacing w:line="360" w:lineRule="auto"/>
        <w:jc w:val="right"/>
        <w:rPr>
          <w:rFonts w:ascii="Arial" w:hAnsi="Arial" w:cs="Arial"/>
          <w:b/>
          <w:color w:val="002060"/>
          <w:sz w:val="120"/>
          <w:szCs w:val="120"/>
          <w:lang w:val="en-US"/>
        </w:rPr>
      </w:pPr>
      <w:r w:rsidRPr="007C2F2E">
        <w:rPr>
          <w:rFonts w:ascii="Arial" w:hAnsi="Arial" w:cs="Arial"/>
          <w:b/>
          <w:color w:val="002060"/>
          <w:sz w:val="120"/>
          <w:szCs w:val="120"/>
          <w:lang w:val="en-US"/>
        </w:rPr>
        <w:t>Section I</w:t>
      </w:r>
      <w:r>
        <w:rPr>
          <w:rFonts w:ascii="Arial" w:hAnsi="Arial" w:cs="Arial"/>
          <w:b/>
          <w:color w:val="002060"/>
          <w:sz w:val="120"/>
          <w:szCs w:val="120"/>
          <w:lang w:val="en-US"/>
        </w:rPr>
        <w:t>I</w:t>
      </w: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Default="00387A07" w:rsidP="00387A07">
      <w:pPr>
        <w:spacing w:line="360" w:lineRule="auto"/>
        <w:jc w:val="right"/>
        <w:rPr>
          <w:rFonts w:ascii="Arial" w:hAnsi="Arial" w:cs="Arial"/>
          <w:b/>
          <w:color w:val="002060"/>
          <w:sz w:val="120"/>
          <w:szCs w:val="120"/>
          <w:lang w:val="en-US"/>
        </w:rPr>
      </w:pPr>
    </w:p>
    <w:p w:rsidR="00387A07" w:rsidRPr="007C2F2E" w:rsidRDefault="00387A07" w:rsidP="00387A07">
      <w:pPr>
        <w:spacing w:line="360" w:lineRule="auto"/>
        <w:jc w:val="right"/>
        <w:rPr>
          <w:rFonts w:ascii="Arial" w:hAnsi="Arial" w:cs="Arial"/>
          <w:b/>
          <w:color w:val="002060"/>
          <w:sz w:val="120"/>
          <w:szCs w:val="120"/>
          <w:lang w:val="en-US"/>
        </w:rPr>
      </w:pPr>
    </w:p>
    <w:p w:rsidR="00387A07" w:rsidRDefault="00387A07" w:rsidP="00387A07"/>
    <w:p w:rsidR="00387A07" w:rsidRPr="00E17E1F" w:rsidRDefault="00387A07" w:rsidP="00387A07">
      <w:pPr>
        <w:pStyle w:val="Titolo1"/>
        <w:spacing w:line="360" w:lineRule="auto"/>
        <w:jc w:val="right"/>
        <w:rPr>
          <w:rFonts w:ascii="Arial" w:hAnsi="Arial" w:cs="Arial"/>
          <w:color w:val="002060"/>
          <w:sz w:val="124"/>
          <w:szCs w:val="124"/>
          <w:lang w:val="en-US"/>
        </w:rPr>
      </w:pPr>
      <w:r w:rsidRPr="00E17E1F">
        <w:rPr>
          <w:rFonts w:ascii="Arial" w:hAnsi="Arial" w:cs="Arial"/>
          <w:color w:val="002060"/>
          <w:sz w:val="124"/>
          <w:szCs w:val="124"/>
          <w:lang w:val="en-US"/>
        </w:rPr>
        <w:lastRenderedPageBreak/>
        <w:t>Chapter 2</w:t>
      </w:r>
    </w:p>
    <w:p w:rsidR="00387A07" w:rsidRPr="00E17E1F" w:rsidRDefault="00387A07" w:rsidP="00387A07">
      <w:pPr>
        <w:rPr>
          <w:lang w:val="en-US"/>
        </w:rPr>
      </w:pPr>
    </w:p>
    <w:p w:rsidR="00387A07" w:rsidRPr="00E17E1F" w:rsidRDefault="00387A07" w:rsidP="00387A07">
      <w:pPr>
        <w:spacing w:line="360" w:lineRule="auto"/>
        <w:jc w:val="right"/>
        <w:rPr>
          <w:rFonts w:ascii="Arial" w:hAnsi="Arial" w:cs="Arial"/>
          <w:b/>
          <w:sz w:val="50"/>
          <w:szCs w:val="50"/>
          <w:lang w:val="en-US"/>
        </w:rPr>
      </w:pPr>
      <w:r w:rsidRPr="00E17E1F">
        <w:rPr>
          <w:rFonts w:ascii="Arial" w:hAnsi="Arial" w:cs="Arial"/>
          <w:b/>
          <w:sz w:val="50"/>
          <w:szCs w:val="50"/>
          <w:lang w:val="en-US"/>
        </w:rPr>
        <w:t xml:space="preserve">Innovative biodegradable Nanoparticles </w:t>
      </w:r>
    </w:p>
    <w:p w:rsidR="00387A07" w:rsidRPr="00E17E1F" w:rsidRDefault="00387A07" w:rsidP="00387A07">
      <w:pPr>
        <w:spacing w:line="360" w:lineRule="auto"/>
        <w:jc w:val="right"/>
        <w:rPr>
          <w:rFonts w:ascii="Arial" w:hAnsi="Arial" w:cs="Arial"/>
          <w:b/>
          <w:sz w:val="50"/>
          <w:szCs w:val="50"/>
          <w:lang w:val="en-US"/>
        </w:rPr>
      </w:pPr>
      <w:r w:rsidRPr="00E17E1F">
        <w:rPr>
          <w:rFonts w:ascii="Arial" w:hAnsi="Arial" w:cs="Arial"/>
          <w:b/>
          <w:sz w:val="50"/>
          <w:szCs w:val="50"/>
          <w:lang w:val="en-US"/>
        </w:rPr>
        <w:t>for Passive Targeting of Cancer</w:t>
      </w:r>
    </w:p>
    <w:p w:rsidR="00387A07" w:rsidRPr="00E17E1F" w:rsidRDefault="00387A07" w:rsidP="00387A07">
      <w:pPr>
        <w:pStyle w:val="Testonormale"/>
        <w:spacing w:after="120" w:line="360" w:lineRule="auto"/>
        <w:jc w:val="both"/>
        <w:rPr>
          <w:rFonts w:ascii="Arial" w:hAnsi="Arial" w:cs="Arial"/>
          <w:b/>
          <w:sz w:val="28"/>
          <w:szCs w:val="28"/>
          <w:lang w:val="en-GB"/>
        </w:rPr>
      </w:pPr>
    </w:p>
    <w:p w:rsidR="00387A07" w:rsidRPr="00E17E1F" w:rsidRDefault="00387A07" w:rsidP="00387A07">
      <w:pPr>
        <w:pStyle w:val="Testonormale"/>
        <w:spacing w:before="240" w:after="240" w:line="360" w:lineRule="auto"/>
        <w:jc w:val="both"/>
        <w:rPr>
          <w:rFonts w:ascii="Arial" w:hAnsi="Arial" w:cs="Arial"/>
          <w:b/>
          <w:sz w:val="28"/>
          <w:szCs w:val="28"/>
          <w:lang w:val="en-GB"/>
        </w:rPr>
      </w:pPr>
      <w:r w:rsidRPr="00E17E1F">
        <w:rPr>
          <w:rFonts w:ascii="Arial" w:hAnsi="Arial" w:cs="Arial"/>
          <w:b/>
          <w:sz w:val="28"/>
          <w:szCs w:val="28"/>
          <w:lang w:val="en-GB"/>
        </w:rPr>
        <w:t>Abstract</w:t>
      </w:r>
    </w:p>
    <w:p w:rsidR="00387A07" w:rsidRPr="00E17E1F" w:rsidRDefault="00387A07" w:rsidP="00387A07">
      <w:pPr>
        <w:pStyle w:val="Testonormale"/>
        <w:spacing w:line="360" w:lineRule="auto"/>
        <w:jc w:val="both"/>
        <w:rPr>
          <w:rFonts w:ascii="Arial" w:hAnsi="Arial" w:cs="Arial"/>
          <w:sz w:val="24"/>
          <w:szCs w:val="24"/>
          <w:lang w:val="en-GB"/>
        </w:rPr>
      </w:pPr>
      <w:r w:rsidRPr="00E17E1F">
        <w:rPr>
          <w:rFonts w:ascii="Arial" w:hAnsi="Arial" w:cs="Arial"/>
          <w:sz w:val="24"/>
          <w:szCs w:val="24"/>
          <w:lang w:val="en-GB"/>
        </w:rPr>
        <w:t xml:space="preserve">Biodegradable polymeric nanoparticles have shown to be promising forms for the delivery of a wide array of drug formulations, such as hydrophobic or hydrophilic active principles, proteins or other bio molecules. Their ability to sustain a controlled release for a prolonged period of time at a specific site of action makes them suitable candidates for the selective delivery of chemotherapy, overcoming common problems associated with high systemic toxicity and poor bioavailability of traditional therapies. </w:t>
      </w:r>
    </w:p>
    <w:p w:rsidR="00387A07" w:rsidRPr="00E17E1F" w:rsidRDefault="00387A07" w:rsidP="00387A07">
      <w:pPr>
        <w:pStyle w:val="Testonormale"/>
        <w:spacing w:line="360" w:lineRule="auto"/>
        <w:jc w:val="both"/>
        <w:rPr>
          <w:rFonts w:ascii="Arial" w:hAnsi="Arial" w:cs="Arial"/>
          <w:sz w:val="24"/>
          <w:szCs w:val="24"/>
          <w:lang w:val="en-GB"/>
        </w:rPr>
      </w:pPr>
      <w:r w:rsidRPr="00E17E1F">
        <w:rPr>
          <w:rFonts w:ascii="Arial" w:hAnsi="Arial" w:cs="Arial"/>
          <w:sz w:val="24"/>
          <w:szCs w:val="24"/>
          <w:lang w:val="en-GB"/>
        </w:rPr>
        <w:t xml:space="preserve">In addition to the above mentioned properties, nanoparticles offer high carrier capacity, stability and the ability to passively target tumour cells through the Enhanced Permeation and Retention (EPR) Effect. </w:t>
      </w:r>
    </w:p>
    <w:p w:rsidR="00387A07" w:rsidRPr="00E17E1F" w:rsidRDefault="00387A07" w:rsidP="00387A07">
      <w:pPr>
        <w:pStyle w:val="NanotechMainText"/>
        <w:spacing w:line="360" w:lineRule="auto"/>
        <w:ind w:firstLine="0"/>
        <w:rPr>
          <w:rFonts w:ascii="Arial" w:hAnsi="Arial" w:cs="Arial"/>
          <w:sz w:val="24"/>
          <w:szCs w:val="24"/>
          <w:lang w:val="en-GB"/>
        </w:rPr>
      </w:pPr>
      <w:r w:rsidRPr="00E17E1F">
        <w:rPr>
          <w:rFonts w:ascii="Arial" w:hAnsi="Arial" w:cs="Arial"/>
          <w:sz w:val="24"/>
          <w:szCs w:val="24"/>
        </w:rPr>
        <w:t xml:space="preserve">The aim of the present chapter is to investigate the possibility of introducing a novel biodegradable polyesterurethane (PU) for the preparation of nanoparticles via the Solvent Displacement Method. </w:t>
      </w:r>
      <w:r w:rsidRPr="00E17E1F">
        <w:rPr>
          <w:rFonts w:ascii="Arial" w:hAnsi="Arial" w:cs="Arial"/>
          <w:sz w:val="24"/>
          <w:szCs w:val="24"/>
          <w:lang w:val="en-GB"/>
        </w:rPr>
        <w:t xml:space="preserve">Polyurethanes have been successfully employed as biomaterials for several decades in a variety of applications, because of their tuneable mechanical properties and good biocompatibility; nevertheless their use as particles for controlled drug release has been poorely investigated. </w:t>
      </w:r>
    </w:p>
    <w:p w:rsidR="00387A07" w:rsidRPr="00E17E1F" w:rsidRDefault="00387A07" w:rsidP="00387A07">
      <w:pPr>
        <w:pStyle w:val="Corpodeltesto2"/>
        <w:spacing w:line="360" w:lineRule="auto"/>
        <w:ind w:firstLine="0"/>
        <w:outlineLvl w:val="0"/>
        <w:rPr>
          <w:rFonts w:ascii="Arial" w:hAnsi="Arial" w:cs="Arial"/>
          <w:sz w:val="24"/>
          <w:szCs w:val="24"/>
          <w:lang w:val="en-GB"/>
        </w:rPr>
      </w:pPr>
      <w:r w:rsidRPr="00E17E1F">
        <w:rPr>
          <w:rFonts w:ascii="Arial" w:hAnsi="Arial" w:cs="Arial"/>
          <w:sz w:val="24"/>
          <w:szCs w:val="24"/>
        </w:rPr>
        <w:t xml:space="preserve">In this work </w:t>
      </w:r>
      <w:r w:rsidRPr="00E17E1F">
        <w:rPr>
          <w:rFonts w:ascii="Arial" w:hAnsi="Arial" w:cs="Arial"/>
          <w:sz w:val="24"/>
          <w:szCs w:val="24"/>
          <w:lang w:val="en-GB"/>
        </w:rPr>
        <w:t xml:space="preserve">a novel biodegradable material belonging to the polyesterurethane family (C-BC2000), containing poly(ε-caprolactone) as macrodiol,  was successfully applied for the preparation of </w:t>
      </w:r>
      <w:r w:rsidRPr="00E17E1F">
        <w:rPr>
          <w:rFonts w:ascii="Arial" w:hAnsi="Arial" w:cs="Arial"/>
          <w:sz w:val="24"/>
          <w:szCs w:val="24"/>
        </w:rPr>
        <w:t xml:space="preserve">nanospheres </w:t>
      </w:r>
      <w:r w:rsidRPr="00E17E1F">
        <w:rPr>
          <w:rFonts w:ascii="Arial" w:hAnsi="Arial" w:cs="Arial"/>
          <w:sz w:val="24"/>
          <w:szCs w:val="24"/>
          <w:lang w:val="en-GB"/>
        </w:rPr>
        <w:t>with uniform size distribution, for the controlled delivery of Paclitaxel.</w:t>
      </w:r>
    </w:p>
    <w:p w:rsidR="00387A07" w:rsidRPr="00E17E1F" w:rsidRDefault="00387A07" w:rsidP="00387A07">
      <w:pPr>
        <w:pStyle w:val="Corpodeltesto2"/>
        <w:spacing w:line="360" w:lineRule="auto"/>
        <w:ind w:firstLine="0"/>
        <w:outlineLvl w:val="0"/>
        <w:rPr>
          <w:rFonts w:ascii="Arial" w:hAnsi="Arial" w:cs="Arial"/>
          <w:sz w:val="24"/>
          <w:szCs w:val="24"/>
          <w:lang w:val="en-GB"/>
        </w:rPr>
        <w:sectPr w:rsidR="00387A07" w:rsidRPr="00E17E1F" w:rsidSect="00387A07">
          <w:footerReference w:type="default" r:id="rId24"/>
          <w:pgSz w:w="11907" w:h="16839" w:code="9"/>
          <w:pgMar w:top="1440" w:right="1134" w:bottom="1440" w:left="1134" w:header="720" w:footer="720" w:gutter="0"/>
          <w:pgNumType w:start="1"/>
          <w:cols w:space="720"/>
          <w:docGrid w:linePitch="360"/>
        </w:sectPr>
      </w:pPr>
      <w:r w:rsidRPr="00E17E1F">
        <w:rPr>
          <w:rFonts w:ascii="Arial" w:hAnsi="Arial" w:cs="Arial"/>
          <w:sz w:val="24"/>
          <w:szCs w:val="24"/>
          <w:lang w:val="en-GB"/>
        </w:rPr>
        <w:lastRenderedPageBreak/>
        <w:t>If compared to nanoparticles prepared with commercial polyesters,</w:t>
      </w:r>
      <w:r w:rsidRPr="00E17E1F">
        <w:rPr>
          <w:rFonts w:ascii="Arial" w:hAnsi="Arial" w:cs="Arial"/>
          <w:bCs/>
          <w:sz w:val="24"/>
          <w:szCs w:val="24"/>
        </w:rPr>
        <w:t xml:space="preserve"> such as </w:t>
      </w:r>
      <w:r w:rsidRPr="00E17E1F">
        <w:rPr>
          <w:rFonts w:ascii="Arial" w:hAnsi="Arial" w:cs="Arial"/>
          <w:bCs/>
          <w:sz w:val="24"/>
          <w:szCs w:val="24"/>
          <w:lang w:val="en-GB"/>
        </w:rPr>
        <w:t>Poly (</w:t>
      </w:r>
      <w:r w:rsidRPr="00E17E1F">
        <w:rPr>
          <w:rFonts w:ascii="Arial" w:hAnsi="Arial" w:cs="Arial"/>
          <w:bCs/>
          <w:sz w:val="24"/>
          <w:szCs w:val="24"/>
        </w:rPr>
        <w:t>ε-caprolactone) (PCL) and poly(D,L–Lactide) (PLA), C-BC2000 n</w:t>
      </w:r>
      <w:r w:rsidRPr="00E17E1F">
        <w:rPr>
          <w:rFonts w:ascii="Arial" w:hAnsi="Arial" w:cs="Arial"/>
          <w:sz w:val="24"/>
          <w:szCs w:val="24"/>
          <w:lang w:val="en-GB"/>
        </w:rPr>
        <w:t>anoparticles exhibit enhanced cellular internalization and optimal release properties, with the highest encapsulation efficiency, the lowest burst effect and a prolonged release over time.</w:t>
      </w:r>
    </w:p>
    <w:p w:rsidR="00387A07" w:rsidRPr="00E17E1F" w:rsidRDefault="00387A07" w:rsidP="00387A07">
      <w:pPr>
        <w:spacing w:before="240" w:after="240" w:line="360" w:lineRule="auto"/>
        <w:jc w:val="both"/>
        <w:rPr>
          <w:rFonts w:ascii="Arial" w:hAnsi="Arial" w:cs="Arial"/>
          <w:b/>
          <w:sz w:val="28"/>
          <w:szCs w:val="28"/>
          <w:lang w:val="en-US"/>
        </w:rPr>
      </w:pPr>
      <w:r w:rsidRPr="00E17E1F">
        <w:rPr>
          <w:rFonts w:ascii="Arial" w:hAnsi="Arial" w:cs="Arial"/>
          <w:b/>
          <w:sz w:val="28"/>
          <w:szCs w:val="28"/>
          <w:lang w:val="en-US"/>
        </w:rPr>
        <w:lastRenderedPageBreak/>
        <w:t xml:space="preserve">2.1 </w:t>
      </w:r>
      <w:r w:rsidRPr="00E17E1F">
        <w:rPr>
          <w:rFonts w:ascii="Arial" w:hAnsi="Arial" w:cs="Arial"/>
          <w:b/>
          <w:sz w:val="28"/>
          <w:szCs w:val="28"/>
        </w:rPr>
        <w:t>Introduction</w:t>
      </w:r>
      <w:r w:rsidRPr="00E17E1F">
        <w:rPr>
          <w:rFonts w:ascii="Arial" w:hAnsi="Arial" w:cs="Arial"/>
          <w:b/>
          <w:sz w:val="28"/>
          <w:szCs w:val="28"/>
          <w:lang w:val="en-US"/>
        </w:rPr>
        <w:t xml:space="preserve"> </w:t>
      </w:r>
    </w:p>
    <w:p w:rsidR="00387A07" w:rsidRPr="00E17E1F" w:rsidRDefault="00387A07" w:rsidP="00387A07">
      <w:pPr>
        <w:spacing w:after="0" w:line="360" w:lineRule="auto"/>
        <w:jc w:val="both"/>
        <w:rPr>
          <w:rFonts w:ascii="Arial" w:hAnsi="Arial" w:cs="Arial"/>
          <w:sz w:val="24"/>
          <w:szCs w:val="24"/>
          <w:lang w:val="en-US"/>
        </w:rPr>
      </w:pPr>
      <w:r w:rsidRPr="00E17E1F">
        <w:rPr>
          <w:rFonts w:ascii="Arial" w:hAnsi="Arial" w:cs="Arial"/>
          <w:sz w:val="24"/>
          <w:szCs w:val="24"/>
          <w:lang w:val="en-US"/>
        </w:rPr>
        <w:t xml:space="preserve">As extensively discussed in chapter 1, biodegradable polymers have been widely applied in literature as matrix forming materials for drug carriers because of their ability to be reabsorbed by the body without causing toxic reactions [1]. The most used and studied biodegradable polymers belong to the polyester family, mainly Poly(D,L-lactide) (PLA), Poly(ε-caprolactone) (PCL), Poly(D,L-Lactide-co-Glycolide) (PLGA) and their copolymers [2,3,4,5]. </w:t>
      </w:r>
    </w:p>
    <w:p w:rsidR="00387A07" w:rsidRPr="00E17E1F" w:rsidRDefault="00387A07" w:rsidP="00387A07">
      <w:pPr>
        <w:spacing w:after="0" w:line="360" w:lineRule="auto"/>
        <w:jc w:val="both"/>
        <w:rPr>
          <w:rFonts w:ascii="Arial" w:hAnsi="Arial" w:cs="Arial"/>
          <w:color w:val="000000"/>
          <w:sz w:val="24"/>
          <w:szCs w:val="24"/>
          <w:lang w:eastAsia="it-IT"/>
        </w:rPr>
      </w:pPr>
      <w:r w:rsidRPr="00E17E1F">
        <w:rPr>
          <w:rFonts w:ascii="Arial" w:hAnsi="Arial" w:cs="Arial"/>
          <w:color w:val="141413"/>
          <w:sz w:val="24"/>
          <w:szCs w:val="24"/>
          <w:lang w:eastAsia="it-IT"/>
        </w:rPr>
        <w:t>Several manufacturing techniques, including Single or Double Emulsion Solvent-Evaporation, Emulsification Diffusion, and Solvent Displacement have been proposed to produce biodegradable nanoparticles for the controlled release of various drugs [6,7,8,9]</w:t>
      </w:r>
      <w:r w:rsidRPr="00E17E1F">
        <w:rPr>
          <w:rFonts w:ascii="Arial" w:hAnsi="Arial" w:cs="Arial"/>
          <w:color w:val="000000"/>
          <w:sz w:val="24"/>
          <w:szCs w:val="24"/>
          <w:lang w:eastAsia="it-IT"/>
        </w:rPr>
        <w:t xml:space="preserve">.  Among these, the Solvent Displacement Method (SD), </w:t>
      </w:r>
      <w:r w:rsidRPr="00E17E1F">
        <w:rPr>
          <w:rFonts w:ascii="Arial" w:hAnsi="Arial" w:cs="Arial"/>
          <w:sz w:val="24"/>
          <w:szCs w:val="24"/>
          <w:lang w:val="en-US"/>
        </w:rPr>
        <w:t>first developed and patented by Fessi and co-workers [10]</w:t>
      </w:r>
      <w:r w:rsidRPr="00E17E1F">
        <w:rPr>
          <w:rFonts w:ascii="Arial" w:hAnsi="Arial" w:cs="Arial"/>
          <w:color w:val="000000"/>
          <w:sz w:val="24"/>
          <w:szCs w:val="24"/>
          <w:lang w:eastAsia="it-IT"/>
        </w:rPr>
        <w:t xml:space="preserve"> is a fast, highly reproducible</w:t>
      </w:r>
      <w:r w:rsidRPr="00E17E1F">
        <w:rPr>
          <w:rFonts w:ascii="Arial" w:hAnsi="Arial" w:cs="Arial"/>
          <w:color w:val="141413"/>
          <w:sz w:val="24"/>
          <w:szCs w:val="24"/>
          <w:lang w:eastAsia="it-IT"/>
        </w:rPr>
        <w:t xml:space="preserve"> one-step manufacturing process for the preparation of mono-disperse polymeric nanoparticles with a size range of approximately 50–300 nm [11]</w:t>
      </w:r>
      <w:r w:rsidRPr="00E17E1F">
        <w:rPr>
          <w:rFonts w:ascii="Arial" w:hAnsi="Arial" w:cs="Arial"/>
          <w:color w:val="000000"/>
          <w:sz w:val="24"/>
          <w:szCs w:val="24"/>
          <w:lang w:eastAsia="it-IT"/>
        </w:rPr>
        <w:t xml:space="preserve">. </w:t>
      </w:r>
    </w:p>
    <w:p w:rsidR="00387A07" w:rsidRPr="00E17E1F" w:rsidRDefault="00387A07" w:rsidP="00387A07">
      <w:pPr>
        <w:spacing w:after="0" w:line="360" w:lineRule="auto"/>
        <w:jc w:val="both"/>
        <w:rPr>
          <w:rFonts w:ascii="Arial" w:hAnsi="Arial" w:cs="Arial"/>
          <w:sz w:val="24"/>
          <w:szCs w:val="24"/>
          <w:lang w:val="en-US"/>
        </w:rPr>
      </w:pPr>
      <w:r w:rsidRPr="00E17E1F">
        <w:rPr>
          <w:rFonts w:ascii="Arial" w:hAnsi="Arial" w:cs="Arial"/>
          <w:sz w:val="24"/>
          <w:szCs w:val="24"/>
          <w:lang w:val="en-US"/>
        </w:rPr>
        <w:t>The method applies two miscible solvents, generally acetone and water. Both the polymer and the drug must dissolve in the first solvent but not in the second system (the non-solvent). The addition of the first solution to the second one leads to immediate precipitation of the polymer and to rapid drug entrapment. The fast nanoparticle formation is governed by the so-called Marangoni effect, which is due to interfacial turbulences that take place at the interface between the solvent and the non-solvent.</w:t>
      </w:r>
    </w:p>
    <w:p w:rsidR="00387A07" w:rsidRPr="00E17E1F" w:rsidRDefault="00387A07" w:rsidP="00387A07">
      <w:pPr>
        <w:autoSpaceDE w:val="0"/>
        <w:autoSpaceDN w:val="0"/>
        <w:adjustRightInd w:val="0"/>
        <w:spacing w:after="0" w:line="360" w:lineRule="auto"/>
        <w:jc w:val="both"/>
        <w:rPr>
          <w:rFonts w:ascii="Arial" w:hAnsi="Arial" w:cs="Arial"/>
          <w:color w:val="141413"/>
          <w:sz w:val="24"/>
          <w:szCs w:val="24"/>
          <w:lang w:eastAsia="it-IT"/>
        </w:rPr>
      </w:pPr>
      <w:r w:rsidRPr="00E17E1F">
        <w:rPr>
          <w:rFonts w:ascii="Arial" w:hAnsi="Arial" w:cs="Arial"/>
          <w:color w:val="000000"/>
          <w:sz w:val="24"/>
          <w:szCs w:val="24"/>
          <w:lang w:eastAsia="it-IT"/>
        </w:rPr>
        <w:t>Other interesting features of this tech</w:t>
      </w:r>
      <w:r w:rsidRPr="00E17E1F">
        <w:rPr>
          <w:rFonts w:ascii="Arial" w:hAnsi="Arial" w:cs="Arial"/>
          <w:color w:val="141413"/>
          <w:sz w:val="24"/>
          <w:szCs w:val="24"/>
          <w:lang w:eastAsia="it-IT"/>
        </w:rPr>
        <w:t>nique include the use of non-toxic, completely water-miscible organic solvents and the absence of applied shear stresses or high temperatures during the process, which may cause drug leakage and particles breakdown.</w:t>
      </w:r>
    </w:p>
    <w:p w:rsidR="00387A07" w:rsidRPr="00E17E1F" w:rsidRDefault="00387A07" w:rsidP="00387A07">
      <w:pPr>
        <w:autoSpaceDE w:val="0"/>
        <w:autoSpaceDN w:val="0"/>
        <w:adjustRightInd w:val="0"/>
        <w:spacing w:after="0" w:line="360" w:lineRule="auto"/>
        <w:jc w:val="both"/>
        <w:rPr>
          <w:rFonts w:ascii="Arial" w:hAnsi="Arial" w:cs="Arial"/>
          <w:color w:val="141413"/>
          <w:sz w:val="24"/>
          <w:szCs w:val="24"/>
          <w:lang w:eastAsia="it-IT"/>
        </w:rPr>
      </w:pPr>
      <w:r w:rsidRPr="00E17E1F">
        <w:rPr>
          <w:rFonts w:ascii="Arial" w:hAnsi="Arial" w:cs="Arial"/>
          <w:color w:val="141413"/>
          <w:sz w:val="24"/>
          <w:szCs w:val="24"/>
          <w:lang w:eastAsia="it-IT"/>
        </w:rPr>
        <w:t xml:space="preserve">The Solvent Displacement Method has been extensively applied for the preparation of nanoparticles with different biodegradable polyesters for the release of various drug formulations. In most cases rapid release profiles were reported. </w:t>
      </w:r>
      <w:r w:rsidRPr="00E17E1F">
        <w:rPr>
          <w:rFonts w:ascii="Arial" w:hAnsi="Arial" w:cs="Arial"/>
          <w:sz w:val="24"/>
          <w:szCs w:val="24"/>
          <w:lang w:val="en-US"/>
        </w:rPr>
        <w:t>Chawla et Al [12] proposed PCL nanoparticles for the controlled release of Tamoxifen, an estrogen receptor modulator applied in the treatment of breast cancer. They reported a loading efficiency of 60% and a rapid release profile, with nearly all the encapsulated drug released within the first 20 hours of incubation in deionized water.</w:t>
      </w:r>
      <w:r w:rsidRPr="00E17E1F">
        <w:rPr>
          <w:rFonts w:ascii="Arial" w:hAnsi="Arial" w:cs="Arial"/>
          <w:color w:val="141413"/>
          <w:sz w:val="24"/>
          <w:szCs w:val="24"/>
          <w:lang w:eastAsia="it-IT"/>
        </w:rPr>
        <w:t xml:space="preserve"> Leo and co-workers [13] reported similar profiles for the </w:t>
      </w:r>
      <w:r w:rsidRPr="00E17E1F">
        <w:rPr>
          <w:rFonts w:ascii="Arial" w:hAnsi="Arial" w:cs="Arial"/>
          <w:sz w:val="24"/>
          <w:szCs w:val="24"/>
          <w:lang w:val="en-US"/>
        </w:rPr>
        <w:t xml:space="preserve">anti-ischemic drug Cloricromene Acid (AD6-Acid) from PLA nanoparticles. </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lastRenderedPageBreak/>
        <w:t>The aim of the present work was to investigate the possibility of introducing novel materials, i.e. biodegradable Polyesterurethanes (PUs) based on Poly(ε-caprolactone), for the preparation of nanoparticles with improved degradation properties and release profiles by the Solvent Displacement Method.</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For this reason a novel biodegradable material (in the following referred to as C-BC2000)  was synthesised  according to a two-step synthesis procedure, using PCL as macrodiol.</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 xml:space="preserve">The proposed polymer belongs to the Polyester-urethane family, and showed good biocompatibility as well as biodegradability. Polyurethanes are an interesting group of polymers with versatile characteristics, such as tuneable mechanical properties and good biocompatibility, depending on the molecular composition. Changes in the molecular weight or chemical structure of their soft and hard segments allow for optimization of mechanical and chemical properties of these materials based on the desired application. Polyurethanes have been successfully employed as biomaterials for several decades [14]; nevertheless little is reported in literature concerning their use as particles for controlled drug release. Zanetti-Ramos and co-workers [15,16] successfully prepared PU nanoparticles by the emulsion polymerization method, which involves </w:t>
      </w:r>
      <w:r w:rsidRPr="00E17E1F">
        <w:rPr>
          <w:rFonts w:ascii="Arial" w:hAnsi="Arial" w:cs="Arial"/>
          <w:i/>
          <w:sz w:val="24"/>
          <w:szCs w:val="24"/>
        </w:rPr>
        <w:t>in situ</w:t>
      </w:r>
      <w:r w:rsidRPr="00E17E1F">
        <w:rPr>
          <w:rFonts w:ascii="Arial" w:hAnsi="Arial" w:cs="Arial"/>
          <w:sz w:val="24"/>
          <w:szCs w:val="24"/>
        </w:rPr>
        <w:t xml:space="preserve"> polymerization.</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 xml:space="preserve">In the present section, the preparation of nanoparticles by the Solvent displacement method with a proprietary biodegradable polyester-urethane (C-BC2000) is proposed for the first time. Two commercial polyesters (PCL and PLA) were used to prepare control nanoparticles. Paclitaxel one of the most potent anti-neoplastic drugs, which is known to </w:t>
      </w:r>
      <w:r w:rsidRPr="00E17E1F">
        <w:rPr>
          <w:rFonts w:ascii="Arial" w:eastAsia="AdvTimes" w:hAnsi="Arial" w:cs="Arial"/>
          <w:sz w:val="24"/>
          <w:szCs w:val="24"/>
          <w:lang w:val="en-US"/>
        </w:rPr>
        <w:t>show excellent therapeutic efficacy against a wide spectrum of cancers [17,18] was encapsulated inside the carriers.</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Particles prepared with the three polymers were analyzed in terms of morphology, size distribution and zeta potential; their degradation properties as well as their cellular uptake behaviour were  also investigated and compared.</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The protocol for particles’ preparation was optimized by selecting the appropriate polymer and surfactant concentrations in order to obtain nanoparticles with a mean size below 250 nm to be used for the passive targeting of cancer through the Enhanced Permeation and Retention (EPR) Effect [19].</w:t>
      </w:r>
    </w:p>
    <w:p w:rsidR="00387A07" w:rsidRPr="00E17E1F" w:rsidRDefault="00387A07" w:rsidP="00387A07">
      <w:pPr>
        <w:spacing w:after="240" w:line="360" w:lineRule="auto"/>
        <w:jc w:val="both"/>
        <w:rPr>
          <w:rFonts w:ascii="Arial" w:hAnsi="Arial" w:cs="Arial"/>
          <w:sz w:val="24"/>
          <w:szCs w:val="24"/>
        </w:rPr>
      </w:pPr>
      <w:r w:rsidRPr="00E17E1F">
        <w:rPr>
          <w:rFonts w:ascii="Arial" w:hAnsi="Arial" w:cs="Arial"/>
          <w:sz w:val="24"/>
          <w:szCs w:val="24"/>
        </w:rPr>
        <w:t xml:space="preserve">The EPR effect is characteristic of fast-growing tissues, like tumours, which need an extensive supply of oxygen to proliferate and therefore possess more permeable and fenestrated vessels compared to normal tissues [20]. The pore cut-off size of several tumour models has been reported ranging between 380 and 780nm [21]. Nanoparticles or </w:t>
      </w:r>
      <w:r w:rsidRPr="00E17E1F">
        <w:rPr>
          <w:rFonts w:ascii="Arial" w:hAnsi="Arial" w:cs="Arial"/>
          <w:sz w:val="24"/>
          <w:szCs w:val="24"/>
        </w:rPr>
        <w:lastRenderedPageBreak/>
        <w:t xml:space="preserve">macromolecules larger than 40KDa selectively leak out from tumour vessels and accumulate in tumour tissues, a feature that is not observed for healthy tissues and can therefore be exploited for selective targeting of cancer cells. Moreover, tumours lack of an efficient lymphatic systems and are not able to efficiently eliminate the particles, once they penetrate inside the tissue. </w:t>
      </w:r>
    </w:p>
    <w:p w:rsidR="00387A07" w:rsidRPr="00E17E1F" w:rsidRDefault="00387A07" w:rsidP="00387A07">
      <w:pPr>
        <w:spacing w:before="240" w:after="240" w:line="360" w:lineRule="auto"/>
        <w:jc w:val="both"/>
        <w:rPr>
          <w:rFonts w:ascii="Arial" w:hAnsi="Arial" w:cs="Arial"/>
          <w:b/>
          <w:sz w:val="28"/>
          <w:szCs w:val="28"/>
        </w:rPr>
      </w:pPr>
      <w:r w:rsidRPr="00E17E1F">
        <w:rPr>
          <w:rFonts w:ascii="Arial" w:hAnsi="Arial" w:cs="Arial"/>
          <w:b/>
          <w:sz w:val="28"/>
          <w:szCs w:val="28"/>
        </w:rPr>
        <w:t>2.2 Materials &amp; methods</w:t>
      </w:r>
    </w:p>
    <w:p w:rsidR="00387A07" w:rsidRPr="00E17E1F" w:rsidRDefault="00387A07" w:rsidP="00387A07">
      <w:pPr>
        <w:spacing w:before="240" w:after="240" w:line="360" w:lineRule="auto"/>
        <w:jc w:val="both"/>
        <w:rPr>
          <w:rFonts w:ascii="Arial" w:hAnsi="Arial" w:cs="Arial"/>
          <w:b/>
          <w:sz w:val="24"/>
          <w:szCs w:val="24"/>
        </w:rPr>
      </w:pPr>
      <w:r w:rsidRPr="00E17E1F">
        <w:rPr>
          <w:rFonts w:ascii="Arial" w:hAnsi="Arial" w:cs="Arial"/>
          <w:b/>
          <w:sz w:val="24"/>
          <w:szCs w:val="24"/>
        </w:rPr>
        <w:t>2.2.1 Materials</w:t>
      </w:r>
    </w:p>
    <w:p w:rsidR="00387A07" w:rsidRPr="00E17E1F" w:rsidRDefault="00387A07" w:rsidP="00387A07">
      <w:pPr>
        <w:pStyle w:val="Default"/>
        <w:spacing w:line="360" w:lineRule="auto"/>
        <w:jc w:val="both"/>
        <w:rPr>
          <w:rFonts w:ascii="Arial" w:hAnsi="Arial" w:cs="Arial"/>
          <w:lang w:val="en-US"/>
        </w:rPr>
      </w:pPr>
      <w:r w:rsidRPr="00E17E1F">
        <w:rPr>
          <w:rFonts w:ascii="Arial" w:hAnsi="Arial" w:cs="Arial"/>
          <w:lang w:val="en-US"/>
        </w:rPr>
        <w:t>The two commercial polymers used in this study i.e. PCL (M</w:t>
      </w:r>
      <w:r w:rsidRPr="00E17E1F">
        <w:rPr>
          <w:rFonts w:ascii="Arial" w:hAnsi="Arial" w:cs="Arial"/>
          <w:vertAlign w:val="subscript"/>
          <w:lang w:val="en-US"/>
        </w:rPr>
        <w:t>W</w:t>
      </w:r>
      <w:r w:rsidRPr="00E17E1F">
        <w:rPr>
          <w:rFonts w:ascii="Arial" w:hAnsi="Arial" w:cs="Arial"/>
          <w:lang w:val="en-US"/>
        </w:rPr>
        <w:t xml:space="preserve"> = 50000 g/mol) and PLA (M</w:t>
      </w:r>
      <w:r w:rsidRPr="00E17E1F">
        <w:rPr>
          <w:rFonts w:ascii="Arial" w:hAnsi="Arial" w:cs="Arial"/>
          <w:vertAlign w:val="subscript"/>
          <w:lang w:val="en-US"/>
        </w:rPr>
        <w:t xml:space="preserve">w </w:t>
      </w:r>
      <w:r w:rsidRPr="00E17E1F">
        <w:rPr>
          <w:rFonts w:ascii="Arial" w:hAnsi="Arial" w:cs="Arial"/>
          <w:lang w:val="en-US"/>
        </w:rPr>
        <w:t xml:space="preserve">= 20000-30000 g/mol) were purchased from Polysciences Inc. </w:t>
      </w:r>
    </w:p>
    <w:p w:rsidR="00387A07" w:rsidRPr="00E17E1F" w:rsidRDefault="00387A07" w:rsidP="00387A07">
      <w:pPr>
        <w:pStyle w:val="Titolo1"/>
        <w:spacing w:before="0" w:line="360" w:lineRule="auto"/>
        <w:jc w:val="both"/>
        <w:textAlignment w:val="baseline"/>
        <w:rPr>
          <w:rFonts w:ascii="Arial" w:hAnsi="Arial" w:cs="Arial"/>
          <w:b w:val="0"/>
          <w:color w:val="auto"/>
          <w:sz w:val="24"/>
          <w:szCs w:val="24"/>
          <w:lang w:val="en-US"/>
        </w:rPr>
      </w:pPr>
      <w:r w:rsidRPr="00E17E1F">
        <w:rPr>
          <w:rFonts w:ascii="Arial" w:hAnsi="Arial" w:cs="Arial"/>
          <w:b w:val="0"/>
          <w:color w:val="auto"/>
          <w:sz w:val="24"/>
          <w:szCs w:val="24"/>
          <w:lang w:val="en-US"/>
        </w:rPr>
        <w:t xml:space="preserve">Tween 80, Trehalose, Rhodamine, Phosphate Buffer Saline (PBS) and </w:t>
      </w:r>
      <w:r w:rsidRPr="00E17E1F">
        <w:rPr>
          <w:rFonts w:ascii="Arial" w:hAnsi="Arial" w:cs="Arial"/>
          <w:b w:val="0"/>
          <w:color w:val="auto"/>
          <w:sz w:val="24"/>
          <w:szCs w:val="24"/>
          <w:shd w:val="clear" w:color="auto" w:fill="FFFFFF"/>
          <w:lang w:val="en-US"/>
        </w:rPr>
        <w:t>Dulbecco's Modified Eagle Medium (</w:t>
      </w:r>
      <w:r w:rsidRPr="00E17E1F">
        <w:rPr>
          <w:rFonts w:ascii="Arial" w:hAnsi="Arial" w:cs="Arial"/>
          <w:b w:val="0"/>
          <w:color w:val="auto"/>
          <w:sz w:val="24"/>
          <w:szCs w:val="24"/>
          <w:lang w:val="en-US"/>
        </w:rPr>
        <w:t xml:space="preserve">DMEM) were purchased from Sigma Aldrich-Italy. </w:t>
      </w:r>
    </w:p>
    <w:p w:rsidR="00387A07" w:rsidRPr="00E17E1F" w:rsidRDefault="00387A07" w:rsidP="00387A07">
      <w:pPr>
        <w:pStyle w:val="Titolo1"/>
        <w:spacing w:before="0" w:line="360" w:lineRule="auto"/>
        <w:jc w:val="both"/>
        <w:textAlignment w:val="baseline"/>
        <w:rPr>
          <w:rFonts w:ascii="Arial" w:hAnsi="Arial" w:cs="Arial"/>
          <w:b w:val="0"/>
          <w:color w:val="auto"/>
          <w:sz w:val="24"/>
          <w:szCs w:val="24"/>
          <w:lang w:val="en-US"/>
        </w:rPr>
      </w:pPr>
      <w:r w:rsidRPr="00E17E1F">
        <w:rPr>
          <w:rFonts w:ascii="Arial" w:hAnsi="Arial" w:cs="Arial"/>
          <w:b w:val="0"/>
          <w:color w:val="auto"/>
          <w:sz w:val="24"/>
          <w:szCs w:val="24"/>
          <w:lang w:val="en-US"/>
        </w:rPr>
        <w:t>Paclitaxel was donated by Sorin Biomedica.</w:t>
      </w:r>
    </w:p>
    <w:p w:rsidR="00387A07" w:rsidRPr="00E17E1F" w:rsidRDefault="00387A07" w:rsidP="00387A07">
      <w:pPr>
        <w:spacing w:after="0" w:line="360" w:lineRule="auto"/>
        <w:jc w:val="both"/>
        <w:rPr>
          <w:rFonts w:ascii="Arial" w:hAnsi="Arial" w:cs="Arial"/>
          <w:sz w:val="24"/>
          <w:szCs w:val="24"/>
          <w:lang w:eastAsia="it-IT"/>
        </w:rPr>
      </w:pPr>
      <w:r w:rsidRPr="00E17E1F">
        <w:rPr>
          <w:rFonts w:ascii="Arial" w:hAnsi="Arial" w:cs="Arial"/>
          <w:sz w:val="24"/>
          <w:szCs w:val="24"/>
          <w:lang w:eastAsia="it-IT"/>
        </w:rPr>
        <w:t xml:space="preserve">Milli-Q and deionised water were produced by a Millipore water purification system (Millipore Corporation). </w:t>
      </w:r>
      <w:r w:rsidRPr="00E17E1F">
        <w:rPr>
          <w:rFonts w:ascii="Arial" w:hAnsi="Arial" w:cs="Arial"/>
          <w:sz w:val="24"/>
          <w:szCs w:val="24"/>
        </w:rPr>
        <w:t>All solvents were of analytical grade.</w:t>
      </w:r>
    </w:p>
    <w:p w:rsidR="00387A07" w:rsidRPr="00E17E1F" w:rsidRDefault="00387A07" w:rsidP="00387A07">
      <w:pPr>
        <w:pStyle w:val="Default"/>
        <w:spacing w:line="360" w:lineRule="auto"/>
        <w:jc w:val="both"/>
        <w:rPr>
          <w:rFonts w:ascii="Arial" w:hAnsi="Arial" w:cs="Arial"/>
          <w:lang w:val="en-US"/>
        </w:rPr>
      </w:pPr>
      <w:r w:rsidRPr="00E17E1F">
        <w:rPr>
          <w:rStyle w:val="MacchinadascrivereHTML"/>
          <w:rFonts w:ascii="Arial" w:eastAsiaTheme="minorHAnsi" w:hAnsi="Arial" w:cs="Arial"/>
          <w:sz w:val="24"/>
          <w:szCs w:val="24"/>
          <w:lang w:val="en-US"/>
        </w:rPr>
        <w:t>For the synthesis of the polyurethane C-BC2000, Poly(</w:t>
      </w:r>
      <w:r w:rsidRPr="00E17E1F">
        <w:rPr>
          <w:rStyle w:val="MacchinadascrivereHTML"/>
          <w:rFonts w:ascii="Arial" w:eastAsiaTheme="minorHAnsi" w:hAnsi="Arial" w:cs="Arial"/>
          <w:sz w:val="24"/>
          <w:szCs w:val="24"/>
        </w:rPr>
        <w:t>ε</w:t>
      </w:r>
      <w:r w:rsidRPr="00E17E1F">
        <w:rPr>
          <w:rStyle w:val="MacchinadascrivereHTML"/>
          <w:rFonts w:ascii="Arial" w:eastAsiaTheme="minorHAnsi" w:hAnsi="Arial" w:cs="Arial"/>
          <w:sz w:val="24"/>
          <w:szCs w:val="24"/>
          <w:lang w:val="en-US"/>
        </w:rPr>
        <w:t>-caprolactone) diol (M</w:t>
      </w:r>
      <w:r w:rsidRPr="00E17E1F">
        <w:rPr>
          <w:rStyle w:val="MacchinadascrivereHTML"/>
          <w:rFonts w:ascii="Arial" w:eastAsiaTheme="minorHAnsi" w:hAnsi="Arial" w:cs="Arial"/>
          <w:sz w:val="24"/>
          <w:szCs w:val="24"/>
          <w:vertAlign w:val="subscript"/>
          <w:lang w:val="en-US"/>
        </w:rPr>
        <w:t>n</w:t>
      </w:r>
      <w:r w:rsidRPr="00E17E1F">
        <w:rPr>
          <w:rStyle w:val="MacchinadascrivereHTML"/>
          <w:rFonts w:ascii="Arial" w:eastAsiaTheme="minorHAnsi" w:hAnsi="Arial" w:cs="Arial"/>
          <w:sz w:val="24"/>
          <w:szCs w:val="24"/>
          <w:lang w:val="en-US"/>
        </w:rPr>
        <w:t>=2000 g/mol), 1,4 butanediisocyanate (BDI) and 1,4-cyclohexane dimethanol (CDM, mixture cis and trans) were purchased from Sigma Aldrich-Italy and used as macrodiol, diisocyanate and chain extender respectively. 1,4 butanediisocyanate was distilled before use. Dibutyltin dilaurate (</w:t>
      </w:r>
      <w:r w:rsidRPr="00E17E1F">
        <w:rPr>
          <w:rFonts w:ascii="Arial" w:hAnsi="Arial" w:cs="Arial"/>
          <w:lang w:val="en-US"/>
        </w:rPr>
        <w:t>DBTDL, Sigma Aldrich-Italy) was used as catalyst during the pre-polymerization reaction.</w:t>
      </w:r>
    </w:p>
    <w:p w:rsidR="00387A07" w:rsidRPr="00E17E1F" w:rsidRDefault="00387A07" w:rsidP="00387A07">
      <w:pPr>
        <w:spacing w:before="240" w:after="240" w:line="360" w:lineRule="auto"/>
        <w:jc w:val="both"/>
        <w:rPr>
          <w:rFonts w:ascii="Arial" w:hAnsi="Arial" w:cs="Arial"/>
          <w:b/>
          <w:color w:val="000000"/>
          <w:sz w:val="24"/>
          <w:szCs w:val="24"/>
          <w:lang w:eastAsia="it-IT"/>
        </w:rPr>
      </w:pPr>
      <w:r w:rsidRPr="00E17E1F">
        <w:rPr>
          <w:rFonts w:ascii="Arial" w:hAnsi="Arial" w:cs="Arial"/>
          <w:b/>
          <w:color w:val="000000"/>
          <w:sz w:val="24"/>
          <w:szCs w:val="24"/>
          <w:lang w:eastAsia="it-IT"/>
        </w:rPr>
        <w:t>2.2.2 Polymer Synthesis</w:t>
      </w:r>
    </w:p>
    <w:p w:rsidR="00387A07" w:rsidRPr="00E17E1F" w:rsidRDefault="00387A07" w:rsidP="00387A07">
      <w:pPr>
        <w:spacing w:after="0" w:line="360" w:lineRule="auto"/>
        <w:jc w:val="both"/>
        <w:rPr>
          <w:rStyle w:val="Enfasicorsivo"/>
          <w:rFonts w:ascii="Arial" w:hAnsi="Arial" w:cs="Arial"/>
          <w:bCs/>
          <w:i w:val="0"/>
          <w:color w:val="000000"/>
          <w:sz w:val="24"/>
          <w:szCs w:val="24"/>
          <w:shd w:val="clear" w:color="auto" w:fill="FFFFFF"/>
        </w:rPr>
      </w:pPr>
      <w:r w:rsidRPr="00E17E1F">
        <w:rPr>
          <w:rFonts w:ascii="Arial" w:hAnsi="Arial" w:cs="Arial"/>
          <w:sz w:val="24"/>
          <w:szCs w:val="24"/>
        </w:rPr>
        <w:t xml:space="preserve">The Polyester-urethane used in this study (C-BC2000) was synthesised following a two steps synthesis procedure in inert atmosphere [22,23].  Briefly, the macrodiol, </w:t>
      </w:r>
      <w:r w:rsidRPr="00E17E1F">
        <w:rPr>
          <w:rStyle w:val="MacchinadascrivereHTML"/>
          <w:rFonts w:ascii="Arial" w:eastAsiaTheme="minorHAnsi" w:hAnsi="Arial" w:cs="Arial"/>
          <w:sz w:val="24"/>
          <w:szCs w:val="24"/>
        </w:rPr>
        <w:t xml:space="preserve">Poly(ε-caprolactone) diol was dissolved in 1,2-dichloroethane (DCE) and the obtained solution dried azeotropically for at least 8 hours. The diisocyanate, BDI, was then added to the solution (2:1 molar ratio with respect to the macrodiol, DBTDL as catalyst) and reacted with the macrodiol at 85°C in anhydrous DCE for 150 minutes in order to form a pre-polymer. At the end of the pre-polymerization reaction the solution was concentrated and the chain extender CDM, previously dried azeotropically in DCE, was added at 1:1 molar ratio with respect to the macrodiol at room temperature. The chain extension reaction was </w:t>
      </w:r>
      <w:r w:rsidRPr="00E17E1F">
        <w:rPr>
          <w:rStyle w:val="MacchinadascrivereHTML"/>
          <w:rFonts w:ascii="Arial" w:eastAsiaTheme="minorHAnsi" w:hAnsi="Arial" w:cs="Arial"/>
          <w:sz w:val="24"/>
          <w:szCs w:val="24"/>
        </w:rPr>
        <w:lastRenderedPageBreak/>
        <w:t>stopped after 18 hours by addition of methanol. The polymer solution was precipitated in petroleum ether. The polymer was then re-dissolved in d</w:t>
      </w:r>
      <w:r w:rsidRPr="00E17E1F">
        <w:rPr>
          <w:rStyle w:val="Enfasicorsivo"/>
          <w:rFonts w:ascii="Arial" w:hAnsi="Arial" w:cs="Arial"/>
          <w:color w:val="000000"/>
          <w:sz w:val="24"/>
          <w:szCs w:val="24"/>
          <w:shd w:val="clear" w:color="auto" w:fill="FFFFFF"/>
        </w:rPr>
        <w:t>imethylformamide (DMF) and precipitated in methanol in order to remove low molecular weight impurities and residual catalyst. The polymer was finally collected by decantation and centrifugation</w:t>
      </w:r>
      <w:r w:rsidRPr="00E17E1F">
        <w:rPr>
          <w:rStyle w:val="MacchinadascrivereHTML"/>
          <w:rFonts w:ascii="Arial" w:eastAsiaTheme="minorHAnsi" w:hAnsi="Arial" w:cs="Arial"/>
          <w:i/>
          <w:sz w:val="24"/>
          <w:szCs w:val="24"/>
        </w:rPr>
        <w:t xml:space="preserve"> </w:t>
      </w:r>
      <w:r w:rsidRPr="00E17E1F">
        <w:rPr>
          <w:rStyle w:val="Enfasicorsivo"/>
          <w:rFonts w:ascii="Arial" w:hAnsi="Arial" w:cs="Arial"/>
          <w:color w:val="000000"/>
          <w:sz w:val="24"/>
          <w:szCs w:val="24"/>
          <w:shd w:val="clear" w:color="auto" w:fill="FFFFFF"/>
        </w:rPr>
        <w:t xml:space="preserve">(Hettich MIRKO 220R, 5500 rpm, 20°C) and dried at 40°C under vacuum for 24 hours. </w:t>
      </w:r>
    </w:p>
    <w:p w:rsidR="00387A07" w:rsidRPr="00E17E1F" w:rsidRDefault="00387A07" w:rsidP="00387A07">
      <w:pPr>
        <w:spacing w:line="360" w:lineRule="auto"/>
        <w:jc w:val="both"/>
        <w:rPr>
          <w:rFonts w:ascii="Arial" w:hAnsi="Arial" w:cs="Arial"/>
          <w:color w:val="000000"/>
          <w:sz w:val="24"/>
          <w:szCs w:val="24"/>
          <w:lang w:eastAsia="it-IT"/>
        </w:rPr>
      </w:pPr>
      <w:r w:rsidRPr="00E17E1F">
        <w:rPr>
          <w:rStyle w:val="MacchinadascrivereHTML"/>
          <w:rFonts w:ascii="Arial" w:eastAsiaTheme="minorHAnsi" w:hAnsi="Arial" w:cs="Arial"/>
          <w:sz w:val="24"/>
          <w:szCs w:val="24"/>
          <w:lang w:val="en-US"/>
        </w:rPr>
        <w:t xml:space="preserve">The polyurethane acronym C-BC2000 is based on the nature of the constituent segments, as follows: the first letter C indicates the chain extender CDM, the letter B corresponds to the </w:t>
      </w:r>
      <w:r w:rsidRPr="00E17E1F">
        <w:rPr>
          <w:rStyle w:val="MacchinadascrivereHTML"/>
          <w:rFonts w:ascii="Arial" w:eastAsiaTheme="minorHAnsi" w:hAnsi="Arial" w:cs="Arial"/>
          <w:sz w:val="24"/>
          <w:szCs w:val="24"/>
        </w:rPr>
        <w:t>diisocyanate</w:t>
      </w:r>
      <w:r w:rsidRPr="00E17E1F">
        <w:rPr>
          <w:rStyle w:val="MacchinadascrivereHTML"/>
          <w:rFonts w:ascii="Arial" w:eastAsiaTheme="minorHAnsi" w:hAnsi="Arial" w:cs="Arial"/>
          <w:sz w:val="24"/>
          <w:szCs w:val="24"/>
          <w:lang w:val="en-US"/>
        </w:rPr>
        <w:t xml:space="preserve"> BDI, while C2000 corresponds to </w:t>
      </w:r>
      <w:r w:rsidRPr="00E17E1F">
        <w:rPr>
          <w:rStyle w:val="MacchinadascrivereHTML"/>
          <w:rFonts w:ascii="Arial" w:eastAsiaTheme="minorHAnsi" w:hAnsi="Arial" w:cs="Arial"/>
          <w:sz w:val="24"/>
          <w:szCs w:val="24"/>
        </w:rPr>
        <w:t>Poly(ε-caprolactone)</w:t>
      </w:r>
      <w:r w:rsidRPr="00E17E1F">
        <w:rPr>
          <w:rStyle w:val="MacchinadascrivereHTML"/>
          <w:rFonts w:ascii="Arial" w:eastAsiaTheme="minorHAnsi" w:hAnsi="Arial" w:cs="Arial"/>
          <w:sz w:val="24"/>
          <w:szCs w:val="24"/>
          <w:lang w:val="en-US"/>
        </w:rPr>
        <w:t xml:space="preserve"> diol with average number molecular weight M</w:t>
      </w:r>
      <w:r w:rsidRPr="00E17E1F">
        <w:rPr>
          <w:rStyle w:val="MacchinadascrivereHTML"/>
          <w:rFonts w:ascii="Arial" w:eastAsiaTheme="minorHAnsi" w:hAnsi="Arial" w:cs="Arial"/>
          <w:sz w:val="24"/>
          <w:szCs w:val="24"/>
          <w:vertAlign w:val="subscript"/>
          <w:lang w:val="en-US"/>
        </w:rPr>
        <w:t>n</w:t>
      </w:r>
      <w:r w:rsidRPr="00E17E1F">
        <w:rPr>
          <w:rStyle w:val="MacchinadascrivereHTML"/>
          <w:rFonts w:ascii="Arial" w:eastAsiaTheme="minorHAnsi" w:hAnsi="Arial" w:cs="Arial"/>
          <w:sz w:val="24"/>
          <w:szCs w:val="24"/>
          <w:lang w:val="en-US"/>
        </w:rPr>
        <w:t xml:space="preserve"> = 2000g/mol.</w:t>
      </w:r>
    </w:p>
    <w:p w:rsidR="00387A07" w:rsidRPr="00E17E1F" w:rsidRDefault="00387A07" w:rsidP="00387A07">
      <w:pPr>
        <w:spacing w:before="240" w:after="240" w:line="360" w:lineRule="auto"/>
        <w:jc w:val="both"/>
        <w:rPr>
          <w:rFonts w:ascii="Arial" w:hAnsi="Arial" w:cs="Arial"/>
          <w:b/>
          <w:sz w:val="24"/>
          <w:szCs w:val="24"/>
        </w:rPr>
      </w:pPr>
      <w:r w:rsidRPr="00E17E1F">
        <w:rPr>
          <w:rFonts w:ascii="Arial" w:hAnsi="Arial" w:cs="Arial"/>
          <w:b/>
          <w:sz w:val="24"/>
          <w:szCs w:val="24"/>
        </w:rPr>
        <w:t>2.2.3 Polymer characterization</w:t>
      </w:r>
    </w:p>
    <w:p w:rsidR="00387A07" w:rsidRPr="00E17E1F" w:rsidRDefault="00387A07" w:rsidP="00387A07">
      <w:pPr>
        <w:spacing w:before="240" w:after="240" w:line="360" w:lineRule="auto"/>
        <w:jc w:val="both"/>
        <w:rPr>
          <w:rFonts w:ascii="Arial" w:hAnsi="Arial" w:cs="Arial"/>
          <w:b/>
          <w:i/>
          <w:sz w:val="24"/>
          <w:szCs w:val="24"/>
          <w:lang w:val="en-US"/>
        </w:rPr>
      </w:pPr>
      <w:r w:rsidRPr="00E17E1F">
        <w:rPr>
          <w:rFonts w:ascii="Arial" w:hAnsi="Arial" w:cs="Arial"/>
          <w:b/>
          <w:i/>
          <w:sz w:val="24"/>
          <w:szCs w:val="24"/>
          <w:lang w:val="en-US"/>
        </w:rPr>
        <w:t>2.2.3.1 FTIR Analysis</w:t>
      </w:r>
    </w:p>
    <w:p w:rsidR="00387A07" w:rsidRPr="00E17E1F" w:rsidRDefault="00387A07" w:rsidP="00387A07">
      <w:pPr>
        <w:spacing w:line="360" w:lineRule="auto"/>
        <w:jc w:val="both"/>
        <w:rPr>
          <w:rFonts w:ascii="Arial" w:hAnsi="Arial" w:cs="Arial"/>
          <w:sz w:val="24"/>
          <w:szCs w:val="24"/>
        </w:rPr>
      </w:pPr>
      <w:r w:rsidRPr="00E17E1F">
        <w:rPr>
          <w:rFonts w:ascii="Arial" w:hAnsi="Arial" w:cs="Arial"/>
          <w:sz w:val="24"/>
          <w:szCs w:val="24"/>
        </w:rPr>
        <w:t>Attenuated Total Reflectance Fourier Transform Infrared Spectrum (ATR-FT-IR) of the synthesised polyurethane was obtained at room temperature in the spectral range from 4000 to 450 cm</w:t>
      </w:r>
      <w:r w:rsidRPr="00E17E1F">
        <w:rPr>
          <w:rFonts w:ascii="Arial" w:hAnsi="Arial" w:cs="Arial"/>
          <w:sz w:val="24"/>
          <w:szCs w:val="24"/>
          <w:vertAlign w:val="superscript"/>
        </w:rPr>
        <w:t>-1</w:t>
      </w:r>
      <w:r w:rsidRPr="00E17E1F">
        <w:rPr>
          <w:rFonts w:ascii="Arial" w:hAnsi="Arial" w:cs="Arial"/>
          <w:sz w:val="24"/>
          <w:szCs w:val="24"/>
        </w:rPr>
        <w:t xml:space="preserve"> using a Perkin Elmer Spectrum 100 equipped with an ATR accessory (UATR KRS5) with diamond crystal. The spectrum, obtained as a result of 16 scans with a resolution of 4 cm</w:t>
      </w:r>
      <w:r w:rsidRPr="00E17E1F">
        <w:rPr>
          <w:rFonts w:ascii="Arial" w:hAnsi="Arial" w:cs="Arial"/>
          <w:sz w:val="24"/>
          <w:szCs w:val="24"/>
          <w:vertAlign w:val="superscript"/>
        </w:rPr>
        <w:t>-1</w:t>
      </w:r>
      <w:r w:rsidRPr="00E17E1F">
        <w:rPr>
          <w:rFonts w:ascii="Arial" w:hAnsi="Arial" w:cs="Arial"/>
          <w:sz w:val="24"/>
          <w:szCs w:val="24"/>
        </w:rPr>
        <w:t>, was analyzed with the</w:t>
      </w:r>
      <w:r w:rsidRPr="00E17E1F">
        <w:rPr>
          <w:rFonts w:ascii="Arial" w:hAnsi="Arial" w:cs="Arial"/>
          <w:sz w:val="24"/>
          <w:szCs w:val="24"/>
          <w:vertAlign w:val="superscript"/>
        </w:rPr>
        <w:t xml:space="preserve"> </w:t>
      </w:r>
      <w:r w:rsidRPr="00E17E1F">
        <w:rPr>
          <w:rFonts w:ascii="Arial" w:hAnsi="Arial" w:cs="Arial"/>
          <w:sz w:val="24"/>
          <w:szCs w:val="24"/>
        </w:rPr>
        <w:t>Perkin Elmer Spectrum software. For ATR-FT-IR analysis the sample was prepared as a film, by using conventional solvent-casting techniques with chloroform as a solvent at a concentration of 3 %w/v.</w:t>
      </w:r>
    </w:p>
    <w:p w:rsidR="00387A07" w:rsidRPr="00E17E1F" w:rsidRDefault="00387A07" w:rsidP="00387A07">
      <w:pPr>
        <w:spacing w:before="240" w:after="240" w:line="360" w:lineRule="auto"/>
        <w:jc w:val="both"/>
        <w:rPr>
          <w:rFonts w:ascii="Arial" w:hAnsi="Arial" w:cs="Arial"/>
          <w:b/>
          <w:i/>
          <w:sz w:val="24"/>
          <w:szCs w:val="24"/>
          <w:lang w:val="en-US"/>
        </w:rPr>
      </w:pPr>
      <w:r w:rsidRPr="00E17E1F">
        <w:rPr>
          <w:rFonts w:ascii="Arial" w:hAnsi="Arial" w:cs="Arial"/>
          <w:b/>
          <w:i/>
          <w:sz w:val="24"/>
          <w:szCs w:val="24"/>
          <w:lang w:val="en-US"/>
        </w:rPr>
        <w:t>2.2.3.2 GPC Analysis</w:t>
      </w:r>
    </w:p>
    <w:p w:rsidR="00387A07" w:rsidRDefault="00387A07" w:rsidP="00387A07">
      <w:pPr>
        <w:autoSpaceDE w:val="0"/>
        <w:autoSpaceDN w:val="0"/>
        <w:adjustRightInd w:val="0"/>
        <w:spacing w:line="360" w:lineRule="auto"/>
        <w:jc w:val="both"/>
        <w:rPr>
          <w:rFonts w:ascii="Arial" w:eastAsia="AdvTimes" w:hAnsi="Arial" w:cs="Arial"/>
          <w:sz w:val="24"/>
          <w:szCs w:val="24"/>
          <w:lang w:val="en-US"/>
        </w:rPr>
      </w:pPr>
      <w:r w:rsidRPr="00E17E1F">
        <w:rPr>
          <w:rFonts w:ascii="Arial" w:hAnsi="Arial" w:cs="Arial"/>
          <w:sz w:val="24"/>
          <w:szCs w:val="24"/>
          <w:lang w:val="en-US"/>
        </w:rPr>
        <w:t>The number average molecular weight (</w:t>
      </w:r>
      <m:oMath>
        <m:bar>
          <m:barPr>
            <m:pos m:val="top"/>
            <m:ctrlPr>
              <w:rPr>
                <w:rFonts w:ascii="Cambria Math" w:hAnsi="Cambria Math" w:cs="Arial"/>
                <w:i/>
                <w:sz w:val="24"/>
                <w:szCs w:val="24"/>
                <w:lang w:val="en-US"/>
              </w:rPr>
            </m:ctrlPr>
          </m:barPr>
          <m:e>
            <m:r>
              <w:rPr>
                <w:rFonts w:ascii="Cambria Math" w:hAnsi="Cambria Math" w:cs="Arial"/>
                <w:sz w:val="24"/>
                <w:szCs w:val="24"/>
                <w:lang w:val="en-US"/>
              </w:rPr>
              <m:t>M</m:t>
            </m:r>
          </m:e>
        </m:bar>
      </m:oMath>
      <w:r w:rsidRPr="00E17E1F">
        <w:rPr>
          <w:rFonts w:ascii="Arial" w:hAnsi="Arial" w:cs="Arial"/>
          <w:sz w:val="24"/>
          <w:szCs w:val="24"/>
          <w:vertAlign w:val="subscript"/>
          <w:lang w:val="en-US"/>
        </w:rPr>
        <w:t>n</w:t>
      </w:r>
      <w:r w:rsidRPr="00E17E1F">
        <w:rPr>
          <w:rFonts w:ascii="Arial" w:hAnsi="Arial" w:cs="Arial"/>
          <w:sz w:val="24"/>
          <w:szCs w:val="24"/>
          <w:lang w:val="en-US"/>
        </w:rPr>
        <w:t xml:space="preserve">) </w:t>
      </w:r>
      <w:r w:rsidRPr="00E17E1F">
        <w:rPr>
          <w:rStyle w:val="Enfasicorsivo"/>
          <w:rFonts w:ascii="Arial" w:hAnsi="Arial" w:cs="Arial"/>
          <w:color w:val="000000"/>
          <w:sz w:val="24"/>
          <w:szCs w:val="24"/>
          <w:shd w:val="clear" w:color="auto" w:fill="FFFFFF"/>
        </w:rPr>
        <w:t xml:space="preserve">and molecular weight distribution </w:t>
      </w:r>
      <w:r w:rsidRPr="00E17E1F">
        <w:rPr>
          <w:rFonts w:ascii="Arial" w:hAnsi="Arial" w:cs="Arial"/>
          <w:sz w:val="24"/>
          <w:szCs w:val="24"/>
          <w:lang w:val="en-US"/>
        </w:rPr>
        <w:t xml:space="preserve">of the new polyester-urethane C-BC2000 were characterized by </w:t>
      </w:r>
      <w:r w:rsidRPr="00E17E1F">
        <w:rPr>
          <w:rStyle w:val="MacchinadascrivereHTML"/>
          <w:rFonts w:ascii="Arial" w:eastAsiaTheme="minorHAnsi" w:hAnsi="Arial" w:cs="Arial"/>
          <w:sz w:val="24"/>
          <w:szCs w:val="24"/>
        </w:rPr>
        <w:t>Size Exclusion Chromatography (SEC, Agilent 1200 series)</w:t>
      </w:r>
      <w:r w:rsidRPr="00E17E1F">
        <w:rPr>
          <w:rFonts w:ascii="Arial" w:hAnsi="Arial" w:cs="Arial"/>
          <w:sz w:val="24"/>
          <w:szCs w:val="24"/>
          <w:lang w:val="en-US"/>
        </w:rPr>
        <w:t>, using</w:t>
      </w:r>
      <w:r w:rsidRPr="00E17E1F">
        <w:rPr>
          <w:rFonts w:ascii="Arial" w:eastAsia="AdvTimes" w:hAnsi="Arial" w:cs="Arial"/>
          <w:sz w:val="24"/>
          <w:szCs w:val="24"/>
          <w:lang w:val="en-US"/>
        </w:rPr>
        <w:t xml:space="preserve"> a Waters Styragel HT2 and HT4 series of columns with </w:t>
      </w:r>
      <w:r w:rsidRPr="00E17E1F">
        <w:rPr>
          <w:rFonts w:ascii="Arial" w:hAnsi="Arial" w:cs="Arial"/>
          <w:sz w:val="24"/>
          <w:szCs w:val="24"/>
          <w:lang w:val="en-US"/>
        </w:rPr>
        <w:t>Tetrahydrofuran  (THF)</w:t>
      </w:r>
      <w:r w:rsidRPr="00E17E1F">
        <w:rPr>
          <w:rFonts w:ascii="Arial" w:eastAsia="AdvTimes" w:hAnsi="Arial" w:cs="Arial"/>
          <w:sz w:val="24"/>
          <w:szCs w:val="24"/>
          <w:lang w:val="en-US"/>
        </w:rPr>
        <w:t xml:space="preserve"> as eluent at 50°C. A</w:t>
      </w:r>
      <w:r w:rsidRPr="00E17E1F">
        <w:rPr>
          <w:rStyle w:val="Enfasicorsivo"/>
          <w:rFonts w:ascii="Arial" w:hAnsi="Arial" w:cs="Arial"/>
          <w:color w:val="000000"/>
          <w:sz w:val="24"/>
          <w:szCs w:val="24"/>
          <w:shd w:val="clear" w:color="auto" w:fill="FFFFFF"/>
        </w:rPr>
        <w:t xml:space="preserve"> flow rate of 0.5 ml/min and an injection volume of 20μl were selected.</w:t>
      </w:r>
      <w:r w:rsidRPr="00E17E1F">
        <w:rPr>
          <w:rFonts w:ascii="Arial" w:eastAsia="AdvTimes" w:hAnsi="Arial" w:cs="Arial"/>
          <w:sz w:val="24"/>
          <w:szCs w:val="24"/>
          <w:lang w:val="en-US"/>
        </w:rPr>
        <w:t xml:space="preserve"> The weight-average molecular weight (</w:t>
      </w:r>
      <m:oMath>
        <m:bar>
          <m:barPr>
            <m:pos m:val="top"/>
            <m:ctrlPr>
              <w:rPr>
                <w:rFonts w:ascii="Cambria Math" w:eastAsia="AdvTimes" w:hAnsi="Cambria Math" w:cs="Arial"/>
                <w:i/>
                <w:sz w:val="24"/>
                <w:szCs w:val="24"/>
                <w:lang w:val="en-US"/>
              </w:rPr>
            </m:ctrlPr>
          </m:barPr>
          <m:e>
            <m:r>
              <w:rPr>
                <w:rFonts w:ascii="Cambria Math" w:eastAsia="AdvTimes" w:hAnsi="Cambria Math" w:cs="Arial"/>
                <w:sz w:val="24"/>
                <w:szCs w:val="24"/>
                <w:lang w:val="en-US"/>
              </w:rPr>
              <m:t>M</m:t>
            </m:r>
          </m:e>
        </m:bar>
      </m:oMath>
      <w:r w:rsidRPr="00E17E1F">
        <w:rPr>
          <w:rFonts w:ascii="Arial" w:eastAsia="AdvTimes" w:hAnsi="Arial" w:cs="Arial"/>
          <w:sz w:val="24"/>
          <w:szCs w:val="24"/>
          <w:vertAlign w:val="subscript"/>
          <w:lang w:val="en-US"/>
        </w:rPr>
        <w:t>w</w:t>
      </w:r>
      <w:r w:rsidRPr="00E17E1F">
        <w:rPr>
          <w:rFonts w:ascii="Arial" w:eastAsia="AdvTimes" w:hAnsi="Arial" w:cs="Arial"/>
          <w:sz w:val="24"/>
          <w:szCs w:val="24"/>
          <w:lang w:val="en-US"/>
        </w:rPr>
        <w:t>), average number molecular weight (</w:t>
      </w:r>
      <m:oMath>
        <m:bar>
          <m:barPr>
            <m:pos m:val="top"/>
            <m:ctrlPr>
              <w:rPr>
                <w:rFonts w:ascii="Cambria Math" w:hAnsi="Cambria Math" w:cs="Arial"/>
                <w:i/>
                <w:sz w:val="24"/>
                <w:szCs w:val="24"/>
                <w:lang w:val="en-US"/>
              </w:rPr>
            </m:ctrlPr>
          </m:barPr>
          <m:e>
            <m:r>
              <w:rPr>
                <w:rFonts w:ascii="Cambria Math" w:hAnsi="Cambria Math" w:cs="Arial"/>
                <w:sz w:val="24"/>
                <w:szCs w:val="24"/>
                <w:lang w:val="en-US"/>
              </w:rPr>
              <m:t>M</m:t>
            </m:r>
          </m:e>
        </m:bar>
      </m:oMath>
      <w:r w:rsidRPr="00E17E1F">
        <w:rPr>
          <w:rFonts w:ascii="Arial" w:hAnsi="Arial" w:cs="Arial"/>
          <w:sz w:val="24"/>
          <w:szCs w:val="24"/>
          <w:vertAlign w:val="subscript"/>
          <w:lang w:val="en-US"/>
        </w:rPr>
        <w:t>n</w:t>
      </w:r>
      <w:r w:rsidRPr="00E17E1F">
        <w:rPr>
          <w:rStyle w:val="Enfasicorsivo"/>
          <w:rFonts w:ascii="Arial" w:hAnsi="Arial" w:cs="Arial"/>
          <w:color w:val="000000"/>
          <w:sz w:val="24"/>
          <w:szCs w:val="24"/>
          <w:shd w:val="clear" w:color="auto" w:fill="FFFFFF"/>
        </w:rPr>
        <w:t>) and polydispersity (</w:t>
      </w:r>
      <m:oMath>
        <m:r>
          <w:rPr>
            <w:rStyle w:val="Enfasicorsivo"/>
            <w:rFonts w:ascii="Cambria Math" w:hAnsi="Cambria Math" w:cs="Arial"/>
            <w:color w:val="000000"/>
            <w:sz w:val="24"/>
            <w:szCs w:val="24"/>
            <w:shd w:val="clear" w:color="auto" w:fill="FFFFFF"/>
          </w:rPr>
          <m:t>M</m:t>
        </m:r>
      </m:oMath>
      <w:r w:rsidRPr="00E17E1F">
        <w:rPr>
          <w:rStyle w:val="Enfasicorsivo"/>
          <w:rFonts w:ascii="Arial" w:hAnsi="Arial" w:cs="Arial"/>
          <w:color w:val="000000"/>
          <w:sz w:val="24"/>
          <w:szCs w:val="24"/>
          <w:shd w:val="clear" w:color="auto" w:fill="FFFFFF"/>
          <w:vertAlign w:val="subscript"/>
        </w:rPr>
        <w:t>w</w:t>
      </w:r>
      <w:r w:rsidRPr="00E17E1F">
        <w:rPr>
          <w:rStyle w:val="Enfasicorsivo"/>
          <w:rFonts w:ascii="Arial" w:hAnsi="Arial" w:cs="Arial"/>
          <w:color w:val="000000"/>
          <w:sz w:val="24"/>
          <w:szCs w:val="24"/>
          <w:shd w:val="clear" w:color="auto" w:fill="FFFFFF"/>
        </w:rPr>
        <w:t>/</w:t>
      </w:r>
      <m:oMath>
        <m:bar>
          <m:barPr>
            <m:pos m:val="top"/>
            <m:ctrlPr>
              <w:rPr>
                <w:rFonts w:ascii="Cambria Math" w:hAnsi="Cambria Math" w:cs="Arial"/>
                <w:i/>
                <w:sz w:val="24"/>
                <w:szCs w:val="24"/>
                <w:lang w:val="en-US"/>
              </w:rPr>
            </m:ctrlPr>
          </m:barPr>
          <m:e>
            <m:r>
              <w:rPr>
                <w:rFonts w:ascii="Cambria Math" w:hAnsi="Cambria Math" w:cs="Arial"/>
                <w:sz w:val="24"/>
                <w:szCs w:val="24"/>
                <w:lang w:val="en-US"/>
              </w:rPr>
              <m:t>M</m:t>
            </m:r>
          </m:e>
        </m:bar>
      </m:oMath>
      <w:r w:rsidRPr="00E17E1F">
        <w:rPr>
          <w:rFonts w:ascii="Arial" w:hAnsi="Arial" w:cs="Arial"/>
          <w:sz w:val="24"/>
          <w:szCs w:val="24"/>
          <w:vertAlign w:val="subscript"/>
          <w:lang w:val="en-US"/>
        </w:rPr>
        <w:t>n</w:t>
      </w:r>
      <w:r w:rsidRPr="00E17E1F">
        <w:rPr>
          <w:rStyle w:val="Enfasicorsivo"/>
          <w:rFonts w:ascii="Arial" w:hAnsi="Arial" w:cs="Arial"/>
          <w:color w:val="000000"/>
          <w:sz w:val="24"/>
          <w:szCs w:val="24"/>
          <w:shd w:val="clear" w:color="auto" w:fill="FFFFFF"/>
        </w:rPr>
        <w:t xml:space="preserve">) were determined from the retention time data using the Agilent ChemStation software, </w:t>
      </w:r>
      <w:r w:rsidRPr="00E17E1F">
        <w:rPr>
          <w:rFonts w:ascii="Arial" w:eastAsia="AdvTimes" w:hAnsi="Arial" w:cs="Arial"/>
          <w:sz w:val="24"/>
          <w:szCs w:val="24"/>
          <w:lang w:val="en-US"/>
        </w:rPr>
        <w:t>after calibration with polystyrene standard.</w:t>
      </w:r>
    </w:p>
    <w:p w:rsidR="005F30E0" w:rsidRDefault="005F30E0" w:rsidP="00387A07">
      <w:pPr>
        <w:autoSpaceDE w:val="0"/>
        <w:autoSpaceDN w:val="0"/>
        <w:adjustRightInd w:val="0"/>
        <w:spacing w:line="360" w:lineRule="auto"/>
        <w:jc w:val="both"/>
        <w:rPr>
          <w:rFonts w:ascii="Arial" w:eastAsia="AdvTimes" w:hAnsi="Arial" w:cs="Arial"/>
          <w:sz w:val="24"/>
          <w:szCs w:val="24"/>
          <w:lang w:val="en-US"/>
        </w:rPr>
      </w:pPr>
    </w:p>
    <w:p w:rsidR="005F30E0" w:rsidRPr="00E17E1F" w:rsidRDefault="005F30E0" w:rsidP="00387A07">
      <w:pPr>
        <w:autoSpaceDE w:val="0"/>
        <w:autoSpaceDN w:val="0"/>
        <w:adjustRightInd w:val="0"/>
        <w:spacing w:line="360" w:lineRule="auto"/>
        <w:jc w:val="both"/>
        <w:rPr>
          <w:rFonts w:ascii="Arial" w:eastAsia="AdvTimes" w:hAnsi="Arial" w:cs="Arial"/>
          <w:sz w:val="24"/>
          <w:szCs w:val="24"/>
          <w:lang w:val="en-US"/>
        </w:rPr>
      </w:pPr>
    </w:p>
    <w:p w:rsidR="00387A07" w:rsidRPr="00E17E1F" w:rsidRDefault="00387A07" w:rsidP="00387A07">
      <w:pPr>
        <w:spacing w:before="240" w:after="240" w:line="360" w:lineRule="auto"/>
        <w:jc w:val="both"/>
        <w:rPr>
          <w:rFonts w:ascii="Arial" w:hAnsi="Arial" w:cs="Arial"/>
          <w:b/>
          <w:i/>
          <w:sz w:val="24"/>
          <w:szCs w:val="24"/>
          <w:lang w:val="en-US"/>
        </w:rPr>
      </w:pPr>
      <w:r w:rsidRPr="00E17E1F">
        <w:rPr>
          <w:rFonts w:ascii="Arial" w:hAnsi="Arial" w:cs="Arial"/>
          <w:b/>
          <w:i/>
          <w:sz w:val="24"/>
          <w:szCs w:val="24"/>
          <w:lang w:val="en-US"/>
        </w:rPr>
        <w:lastRenderedPageBreak/>
        <w:t>2.2.3.3 DSC analysis</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Thermal properties were studied using Differential Scanning Calorimetry (DSC) (TA Instruments DSC Q20). Approximately 5 mg of the sample were encapsulated in hermetic aluminium pans and cooled from room temperature to -20°C. The pan was then heated from -20°C to 200°C at 10 °C/min, isothermally maintained at 200°C for 3 minutes, quenched to -20°C at 10°C/min and reheated from -20°C to 200°C at 10°C/min under nitrogen atmosphere. All Thermograms were analyzed using the TA Universal Analysis software. Melting temperature (T</w:t>
      </w:r>
      <w:r w:rsidRPr="00E17E1F">
        <w:rPr>
          <w:rFonts w:ascii="Arial" w:hAnsi="Arial" w:cs="Arial"/>
          <w:sz w:val="24"/>
          <w:szCs w:val="24"/>
          <w:vertAlign w:val="subscript"/>
        </w:rPr>
        <w:t>m</w:t>
      </w:r>
      <w:r w:rsidRPr="00E17E1F">
        <w:rPr>
          <w:rFonts w:ascii="Arial" w:hAnsi="Arial" w:cs="Arial"/>
          <w:sz w:val="24"/>
          <w:szCs w:val="24"/>
        </w:rPr>
        <w:t>) was taken at the summit of the melting peak and the melting enthalpy (ΔH</w:t>
      </w:r>
      <w:r w:rsidRPr="00E17E1F">
        <w:rPr>
          <w:rFonts w:ascii="Arial" w:hAnsi="Arial" w:cs="Arial"/>
          <w:sz w:val="24"/>
          <w:szCs w:val="24"/>
          <w:vertAlign w:val="subscript"/>
        </w:rPr>
        <w:t>m</w:t>
      </w:r>
      <w:r w:rsidRPr="00E17E1F">
        <w:rPr>
          <w:rFonts w:ascii="Arial" w:hAnsi="Arial" w:cs="Arial"/>
          <w:sz w:val="24"/>
          <w:szCs w:val="24"/>
        </w:rPr>
        <w:t xml:space="preserve">) was calculated through linear integration of the endothermic peak. </w:t>
      </w:r>
    </w:p>
    <w:p w:rsidR="00387A07" w:rsidRPr="00E17E1F" w:rsidRDefault="00387A07" w:rsidP="00387A07">
      <w:pPr>
        <w:spacing w:after="120" w:line="360" w:lineRule="auto"/>
        <w:jc w:val="both"/>
        <w:outlineLvl w:val="0"/>
        <w:rPr>
          <w:rStyle w:val="MacchinadascrivereHTML"/>
          <w:rFonts w:ascii="Arial" w:eastAsiaTheme="minorHAnsi" w:hAnsi="Arial" w:cs="Arial"/>
          <w:sz w:val="24"/>
          <w:szCs w:val="24"/>
        </w:rPr>
      </w:pPr>
      <w:r w:rsidRPr="00E17E1F">
        <w:rPr>
          <w:rFonts w:ascii="Arial" w:hAnsi="Arial" w:cs="Arial"/>
          <w:sz w:val="24"/>
          <w:szCs w:val="24"/>
        </w:rPr>
        <w:t xml:space="preserve">C-BC2000 crystallinity was calculated with respect to the content of </w:t>
      </w:r>
      <w:r w:rsidRPr="00E17E1F">
        <w:rPr>
          <w:rStyle w:val="MacchinadascrivereHTML"/>
          <w:rFonts w:ascii="Arial" w:eastAsiaTheme="minorHAnsi" w:hAnsi="Arial" w:cs="Arial"/>
          <w:sz w:val="24"/>
          <w:szCs w:val="24"/>
        </w:rPr>
        <w:t>poly(ε-caprolactone) diol, the reagent responsible for the crystalline domains in the polyurethane structure [24]. Crystallinity was therefore calculated according to the following equation [25]</w:t>
      </w:r>
    </w:p>
    <w:p w:rsidR="00387A07" w:rsidRPr="00E17E1F" w:rsidRDefault="00860AC7" w:rsidP="00387A07">
      <w:pPr>
        <w:spacing w:line="360" w:lineRule="auto"/>
        <w:jc w:val="both"/>
        <w:outlineLvl w:val="0"/>
        <w:rPr>
          <w:rStyle w:val="MacchinadascrivereHTML"/>
          <w:rFonts w:ascii="Arial" w:eastAsiaTheme="majorEastAsia" w:hAnsi="Arial" w:cs="Arial"/>
          <w:sz w:val="24"/>
          <w:szCs w:val="24"/>
        </w:rPr>
      </w:pPr>
      <m:oMathPara>
        <m:oMath>
          <m:sSub>
            <m:sSubPr>
              <m:ctrlPr>
                <w:rPr>
                  <w:rStyle w:val="MacchinadascrivereHTML"/>
                  <w:rFonts w:ascii="Cambria Math" w:eastAsiaTheme="majorEastAsia" w:hAnsi="Cambria Math" w:cs="Arial"/>
                  <w:i/>
                  <w:sz w:val="24"/>
                  <w:szCs w:val="24"/>
                </w:rPr>
              </m:ctrlPr>
            </m:sSubPr>
            <m:e>
              <m:r>
                <m:rPr>
                  <m:sty m:val="p"/>
                </m:rPr>
                <w:rPr>
                  <w:rStyle w:val="MacchinadascrivereHTML"/>
                  <w:rFonts w:ascii="Cambria Math" w:eastAsiaTheme="majorEastAsia" w:hAnsi="Cambria Math" w:cs="Arial"/>
                  <w:sz w:val="24"/>
                  <w:szCs w:val="24"/>
                </w:rPr>
                <m:t>X</m:t>
              </m:r>
            </m:e>
            <m:sub>
              <m:r>
                <m:rPr>
                  <m:sty m:val="p"/>
                </m:rPr>
                <w:rPr>
                  <w:rStyle w:val="MacchinadascrivereHTML"/>
                  <w:rFonts w:ascii="Cambria Math" w:eastAsiaTheme="majorEastAsia" w:hAnsi="Cambria Math" w:cs="Arial"/>
                  <w:sz w:val="24"/>
                  <w:szCs w:val="24"/>
                </w:rPr>
                <m:t>c</m:t>
              </m:r>
            </m:sub>
          </m:sSub>
          <m:r>
            <m:rPr>
              <m:sty m:val="p"/>
            </m:rPr>
            <w:rPr>
              <w:rStyle w:val="MacchinadascrivereHTML"/>
              <w:rFonts w:ascii="Cambria Math" w:eastAsiaTheme="majorEastAsia" w:hAnsi="Cambria Math" w:cs="Arial"/>
              <w:sz w:val="24"/>
              <w:szCs w:val="24"/>
            </w:rPr>
            <m:t>%=</m:t>
          </m:r>
          <m:f>
            <m:fPr>
              <m:ctrlPr>
                <w:rPr>
                  <w:rStyle w:val="MacchinadascrivereHTML"/>
                  <w:rFonts w:ascii="Cambria Math" w:eastAsiaTheme="majorEastAsia" w:hAnsi="Cambria Math" w:cs="Arial"/>
                  <w:i/>
                  <w:sz w:val="24"/>
                  <w:szCs w:val="24"/>
                </w:rPr>
              </m:ctrlPr>
            </m:fPr>
            <m:num>
              <m:d>
                <m:dPr>
                  <m:ctrlPr>
                    <w:rPr>
                      <w:rStyle w:val="MacchinadascrivereHTML"/>
                      <w:rFonts w:ascii="Cambria Math" w:eastAsiaTheme="majorEastAsia" w:hAnsi="Cambria Math" w:cs="Arial"/>
                      <w:i/>
                      <w:sz w:val="24"/>
                      <w:szCs w:val="24"/>
                    </w:rPr>
                  </m:ctrlPr>
                </m:dPr>
                <m:e>
                  <m:sSub>
                    <m:sSubPr>
                      <m:ctrlPr>
                        <w:rPr>
                          <w:rStyle w:val="MacchinadascrivereHTML"/>
                          <w:rFonts w:ascii="Cambria Math" w:eastAsiaTheme="majorEastAsia" w:hAnsi="Cambria Math" w:cs="Arial"/>
                          <w:i/>
                          <w:sz w:val="24"/>
                          <w:szCs w:val="24"/>
                        </w:rPr>
                      </m:ctrlPr>
                    </m:sSubPr>
                    <m:e>
                      <m:r>
                        <m:rPr>
                          <m:sty m:val="p"/>
                        </m:rPr>
                        <w:rPr>
                          <w:rStyle w:val="MacchinadascrivereHTML"/>
                          <w:rFonts w:ascii="Cambria Math" w:eastAsiaTheme="majorEastAsia" w:hAnsi="Cambria Math" w:cs="Arial"/>
                          <w:sz w:val="24"/>
                          <w:szCs w:val="24"/>
                        </w:rPr>
                        <m:t>ΔH</m:t>
                      </m:r>
                    </m:e>
                    <m:sub>
                      <m:r>
                        <m:rPr>
                          <m:sty m:val="p"/>
                        </m:rPr>
                        <w:rPr>
                          <w:rStyle w:val="MacchinadascrivereHTML"/>
                          <w:rFonts w:ascii="Cambria Math" w:eastAsiaTheme="majorEastAsia" w:hAnsi="Cambria Math" w:cs="Arial"/>
                          <w:sz w:val="24"/>
                          <w:szCs w:val="24"/>
                        </w:rPr>
                        <m:t>m</m:t>
                      </m:r>
                    </m:sub>
                  </m:sSub>
                  <m:r>
                    <m:rPr>
                      <m:sty m:val="p"/>
                    </m:rPr>
                    <w:rPr>
                      <w:rStyle w:val="MacchinadascrivereHTML"/>
                      <w:rFonts w:ascii="Cambria Math" w:eastAsiaTheme="majorEastAsia" w:hAnsi="Cambria Math" w:cs="Arial"/>
                      <w:sz w:val="24"/>
                      <w:szCs w:val="24"/>
                    </w:rPr>
                    <m:t>∙100</m:t>
                  </m:r>
                </m:e>
              </m:d>
            </m:num>
            <m:den>
              <m:d>
                <m:dPr>
                  <m:begChr m:val="["/>
                  <m:endChr m:val="]"/>
                  <m:ctrlPr>
                    <w:rPr>
                      <w:rStyle w:val="MacchinadascrivereHTML"/>
                      <w:rFonts w:ascii="Cambria Math" w:eastAsiaTheme="majorEastAsia" w:hAnsi="Cambria Math" w:cs="Arial"/>
                      <w:i/>
                      <w:sz w:val="24"/>
                      <w:szCs w:val="24"/>
                    </w:rPr>
                  </m:ctrlPr>
                </m:dPr>
                <m:e>
                  <m:d>
                    <m:dPr>
                      <m:ctrlPr>
                        <w:rPr>
                          <w:rStyle w:val="MacchinadascrivereHTML"/>
                          <w:rFonts w:ascii="Cambria Math" w:eastAsiaTheme="majorEastAsia" w:hAnsi="Cambria Math" w:cs="Arial"/>
                          <w:i/>
                          <w:sz w:val="24"/>
                          <w:szCs w:val="24"/>
                        </w:rPr>
                      </m:ctrlPr>
                    </m:dPr>
                    <m:e>
                      <m:f>
                        <m:fPr>
                          <m:type m:val="lin"/>
                          <m:ctrlPr>
                            <w:rPr>
                              <w:rStyle w:val="MacchinadascrivereHTML"/>
                              <w:rFonts w:ascii="Cambria Math" w:eastAsiaTheme="majorEastAsia" w:hAnsi="Cambria Math" w:cs="Arial"/>
                              <w:i/>
                              <w:sz w:val="24"/>
                              <w:szCs w:val="24"/>
                            </w:rPr>
                          </m:ctrlPr>
                        </m:fPr>
                        <m:num>
                          <m:r>
                            <m:rPr>
                              <m:sty m:val="p"/>
                            </m:rPr>
                            <w:rPr>
                              <w:rStyle w:val="MacchinadascrivereHTML"/>
                              <w:rFonts w:ascii="Cambria Math" w:eastAsiaTheme="majorEastAsia" w:hAnsi="Cambria Math" w:cs="Arial"/>
                              <w:sz w:val="24"/>
                              <w:szCs w:val="24"/>
                            </w:rPr>
                            <m:t>ω</m:t>
                          </m:r>
                        </m:num>
                        <m:den>
                          <m:r>
                            <m:rPr>
                              <m:sty m:val="p"/>
                            </m:rPr>
                            <w:rPr>
                              <w:rStyle w:val="MacchinadascrivereHTML"/>
                              <w:rFonts w:ascii="Cambria Math" w:eastAsiaTheme="majorEastAsia" w:hAnsi="Cambria Math" w:cs="Arial"/>
                              <w:sz w:val="24"/>
                              <w:szCs w:val="24"/>
                            </w:rPr>
                            <m:t>100</m:t>
                          </m:r>
                        </m:den>
                      </m:f>
                    </m:e>
                  </m:d>
                  <m:r>
                    <m:rPr>
                      <m:sty m:val="p"/>
                    </m:rPr>
                    <w:rPr>
                      <w:rStyle w:val="MacchinadascrivereHTML"/>
                      <w:rFonts w:ascii="Cambria Math" w:eastAsiaTheme="majorEastAsia" w:hAnsi="Cambria Math" w:cs="Arial"/>
                      <w:sz w:val="24"/>
                      <w:szCs w:val="24"/>
                    </w:rPr>
                    <m:t>∙</m:t>
                  </m:r>
                  <m:sSubSup>
                    <m:sSubSupPr>
                      <m:ctrlPr>
                        <w:rPr>
                          <w:rStyle w:val="MacchinadascrivereHTML"/>
                          <w:rFonts w:ascii="Cambria Math" w:eastAsiaTheme="majorEastAsia" w:hAnsi="Cambria Math" w:cs="Arial"/>
                          <w:i/>
                          <w:sz w:val="24"/>
                          <w:szCs w:val="24"/>
                        </w:rPr>
                      </m:ctrlPr>
                    </m:sSubSupPr>
                    <m:e>
                      <m:r>
                        <m:rPr>
                          <m:sty m:val="p"/>
                        </m:rPr>
                        <w:rPr>
                          <w:rStyle w:val="MacchinadascrivereHTML"/>
                          <w:rFonts w:ascii="Cambria Math" w:eastAsiaTheme="majorEastAsia" w:hAnsi="Cambria Math" w:cs="Arial"/>
                          <w:sz w:val="24"/>
                          <w:szCs w:val="24"/>
                        </w:rPr>
                        <m:t>ΔH</m:t>
                      </m:r>
                    </m:e>
                    <m:sub>
                      <m:r>
                        <m:rPr>
                          <m:sty m:val="p"/>
                        </m:rPr>
                        <w:rPr>
                          <w:rStyle w:val="MacchinadascrivereHTML"/>
                          <w:rFonts w:ascii="Cambria Math" w:eastAsiaTheme="majorEastAsia" w:hAnsi="Cambria Math" w:cs="Arial"/>
                          <w:sz w:val="24"/>
                          <w:szCs w:val="24"/>
                        </w:rPr>
                        <m:t>m</m:t>
                      </m:r>
                    </m:sub>
                    <m:sup>
                      <m:r>
                        <m:rPr>
                          <m:sty m:val="p"/>
                        </m:rPr>
                        <w:rPr>
                          <w:rStyle w:val="MacchinadascrivereHTML"/>
                          <w:rFonts w:ascii="Cambria Math" w:eastAsiaTheme="majorEastAsia" w:hAnsi="Cambria Math" w:cs="Arial"/>
                          <w:sz w:val="24"/>
                          <w:szCs w:val="24"/>
                        </w:rPr>
                        <m:t>0</m:t>
                      </m:r>
                    </m:sup>
                  </m:sSubSup>
                </m:e>
              </m:d>
            </m:den>
          </m:f>
          <m:r>
            <m:rPr>
              <m:sty m:val="p"/>
            </m:rPr>
            <w:rPr>
              <w:rStyle w:val="MacchinadascrivereHTML"/>
              <w:rFonts w:ascii="Cambria Math" w:eastAsiaTheme="majorEastAsia" w:hAnsi="Cambria Math" w:cs="Arial"/>
              <w:sz w:val="24"/>
              <w:szCs w:val="24"/>
            </w:rPr>
            <m:t xml:space="preserve">       </m:t>
          </m:r>
          <m:d>
            <m:dPr>
              <m:ctrlPr>
                <w:rPr>
                  <w:rStyle w:val="MacchinadascrivereHTML"/>
                  <w:rFonts w:ascii="Cambria Math" w:eastAsiaTheme="majorEastAsia" w:hAnsi="Cambria Math" w:cs="Arial"/>
                  <w:i/>
                  <w:sz w:val="24"/>
                  <w:szCs w:val="24"/>
                </w:rPr>
              </m:ctrlPr>
            </m:dPr>
            <m:e>
              <m:r>
                <m:rPr>
                  <m:sty m:val="p"/>
                </m:rPr>
                <w:rPr>
                  <w:rStyle w:val="MacchinadascrivereHTML"/>
                  <w:rFonts w:ascii="Cambria Math" w:eastAsiaTheme="majorEastAsia" w:hAnsi="Cambria Math" w:cs="Arial"/>
                  <w:sz w:val="24"/>
                  <w:szCs w:val="24"/>
                </w:rPr>
                <m:t>Eq.2.1</m:t>
              </m:r>
            </m:e>
          </m:d>
        </m:oMath>
      </m:oMathPara>
    </w:p>
    <w:p w:rsidR="00387A07" w:rsidRPr="00E17E1F" w:rsidRDefault="00387A07" w:rsidP="00387A07">
      <w:pPr>
        <w:spacing w:before="120" w:after="0" w:line="360" w:lineRule="auto"/>
        <w:jc w:val="both"/>
        <w:outlineLvl w:val="0"/>
        <w:rPr>
          <w:rStyle w:val="MacchinadascrivereHTML"/>
          <w:rFonts w:ascii="Arial" w:eastAsiaTheme="minorHAnsi" w:hAnsi="Arial" w:cs="Arial"/>
          <w:sz w:val="24"/>
          <w:szCs w:val="24"/>
        </w:rPr>
      </w:pPr>
      <w:r w:rsidRPr="00E17E1F">
        <w:rPr>
          <w:rStyle w:val="MacchinadascrivereHTML"/>
          <w:rFonts w:ascii="Arial" w:eastAsiaTheme="minorHAnsi" w:hAnsi="Arial" w:cs="Arial"/>
          <w:sz w:val="24"/>
          <w:szCs w:val="24"/>
        </w:rPr>
        <w:t>where ΔH</w:t>
      </w:r>
      <w:r w:rsidRPr="00E17E1F">
        <w:rPr>
          <w:rStyle w:val="MacchinadascrivereHTML"/>
          <w:rFonts w:ascii="Arial" w:eastAsiaTheme="minorHAnsi" w:hAnsi="Arial" w:cs="Arial"/>
          <w:sz w:val="24"/>
          <w:szCs w:val="24"/>
          <w:vertAlign w:val="subscript"/>
        </w:rPr>
        <w:t>m</w:t>
      </w:r>
      <w:r w:rsidRPr="00E17E1F">
        <w:rPr>
          <w:rStyle w:val="MacchinadascrivereHTML"/>
          <w:rFonts w:ascii="Arial" w:eastAsiaTheme="minorHAnsi" w:hAnsi="Arial" w:cs="Arial"/>
          <w:sz w:val="24"/>
          <w:szCs w:val="24"/>
        </w:rPr>
        <w:t xml:space="preserve"> (J/g) is the heat of fusion of the sample calculated using the TA Universal Analysis software through linear integration of the endothermic peak of fusion, ω (%) is the weight percent of poly(ε-caprolactone) diol within the polymer, ΔH</w:t>
      </w:r>
      <w:r w:rsidRPr="00E17E1F">
        <w:rPr>
          <w:rStyle w:val="MacchinadascrivereHTML"/>
          <w:rFonts w:ascii="Arial" w:eastAsiaTheme="minorHAnsi" w:hAnsi="Arial" w:cs="Arial"/>
          <w:sz w:val="24"/>
          <w:szCs w:val="24"/>
          <w:vertAlign w:val="subscript"/>
        </w:rPr>
        <w:t>m</w:t>
      </w:r>
      <w:r w:rsidRPr="00E17E1F">
        <w:rPr>
          <w:rStyle w:val="MacchinadascrivereHTML"/>
          <w:rFonts w:ascii="Arial" w:eastAsiaTheme="minorHAnsi" w:hAnsi="Arial" w:cs="Arial"/>
          <w:sz w:val="24"/>
          <w:szCs w:val="24"/>
          <w:vertAlign w:val="superscript"/>
        </w:rPr>
        <w:t>0</w:t>
      </w:r>
      <w:r w:rsidRPr="00E17E1F">
        <w:rPr>
          <w:rStyle w:val="MacchinadascrivereHTML"/>
          <w:rFonts w:ascii="Arial" w:eastAsiaTheme="minorHAnsi" w:hAnsi="Arial" w:cs="Arial"/>
          <w:sz w:val="24"/>
          <w:szCs w:val="24"/>
        </w:rPr>
        <w:t xml:space="preserve"> (J/g) is the heat of fusion of a completely crystalline poly(ε-caprolactone) diol (135.44 J/g) [26].</w:t>
      </w:r>
    </w:p>
    <w:p w:rsidR="00387A07" w:rsidRPr="00E17E1F" w:rsidRDefault="00387A07" w:rsidP="00387A07">
      <w:pPr>
        <w:spacing w:before="240" w:after="240" w:line="360" w:lineRule="auto"/>
        <w:jc w:val="both"/>
        <w:rPr>
          <w:rFonts w:ascii="Arial" w:hAnsi="Arial" w:cs="Arial"/>
          <w:b/>
          <w:i/>
          <w:sz w:val="24"/>
          <w:szCs w:val="24"/>
        </w:rPr>
      </w:pPr>
      <w:r w:rsidRPr="00E17E1F">
        <w:rPr>
          <w:rFonts w:ascii="Arial" w:hAnsi="Arial" w:cs="Arial"/>
          <w:b/>
          <w:i/>
          <w:sz w:val="24"/>
          <w:szCs w:val="24"/>
        </w:rPr>
        <w:t>2.2.3.4 DMTA Analysis</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Since the glass transition temperature (T</w:t>
      </w:r>
      <w:r w:rsidRPr="00E17E1F">
        <w:rPr>
          <w:rFonts w:ascii="Arial" w:hAnsi="Arial" w:cs="Arial"/>
          <w:sz w:val="24"/>
          <w:szCs w:val="24"/>
          <w:vertAlign w:val="subscript"/>
        </w:rPr>
        <w:t>g</w:t>
      </w:r>
      <w:r w:rsidRPr="00E17E1F">
        <w:rPr>
          <w:rFonts w:ascii="Arial" w:hAnsi="Arial" w:cs="Arial"/>
          <w:sz w:val="24"/>
          <w:szCs w:val="24"/>
        </w:rPr>
        <w:t>) of the sample was out of the temperature range for DSC analysis, Dynamic Mechanical Thermal Analysis (DMTA</w:t>
      </w:r>
      <w:r w:rsidRPr="00E17E1F">
        <w:t xml:space="preserve"> </w:t>
      </w:r>
      <w:r w:rsidRPr="00E17E1F">
        <w:rPr>
          <w:rFonts w:ascii="Arial" w:hAnsi="Arial" w:cs="Arial"/>
          <w:sz w:val="24"/>
          <w:szCs w:val="24"/>
        </w:rPr>
        <w:t>TA Instruments DMA Q800) was used. Glass transition temperature (T</w:t>
      </w:r>
      <w:r w:rsidRPr="00E17E1F">
        <w:rPr>
          <w:rFonts w:ascii="Arial" w:hAnsi="Arial" w:cs="Arial"/>
          <w:sz w:val="24"/>
          <w:szCs w:val="24"/>
          <w:vertAlign w:val="subscript"/>
        </w:rPr>
        <w:t>g</w:t>
      </w:r>
      <w:r w:rsidRPr="00E17E1F">
        <w:rPr>
          <w:rFonts w:ascii="Arial" w:hAnsi="Arial" w:cs="Arial"/>
          <w:sz w:val="24"/>
          <w:szCs w:val="24"/>
        </w:rPr>
        <w:t>) was defined as a change in the heat capacity as the polymer goes from the glass state to the rubber state.</w:t>
      </w:r>
    </w:p>
    <w:p w:rsidR="00387A07" w:rsidRDefault="00387A07" w:rsidP="00387A07">
      <w:pPr>
        <w:spacing w:after="0" w:line="360" w:lineRule="auto"/>
        <w:jc w:val="both"/>
        <w:rPr>
          <w:rFonts w:ascii="Arial" w:hAnsi="Arial" w:cs="Arial"/>
          <w:sz w:val="24"/>
          <w:szCs w:val="24"/>
        </w:rPr>
      </w:pPr>
      <w:r w:rsidRPr="00E17E1F">
        <w:rPr>
          <w:rFonts w:ascii="Arial" w:hAnsi="Arial" w:cs="Arial"/>
          <w:sz w:val="24"/>
          <w:szCs w:val="24"/>
        </w:rPr>
        <w:t xml:space="preserve">Rectangular samples measuring 25 mm in length, approximately 0.5 mm in thickness and 7 mm in width were obtained by means of hot pressing at 115°C. Films were cooled at -70 °C and then uniaxially deformed in the linear viscoelastic region in tension mode at 1 Hz oscillating frequency in a nitrogen atmosphere. The samples were heated from -70°C to 50°C at a rate of 3°C/min. Glass transition temperature was defined as the location of the peak in tan(δ) curve. </w:t>
      </w:r>
    </w:p>
    <w:p w:rsidR="005F30E0" w:rsidRDefault="005F30E0" w:rsidP="00387A07">
      <w:pPr>
        <w:spacing w:after="0" w:line="360" w:lineRule="auto"/>
        <w:jc w:val="both"/>
        <w:rPr>
          <w:rFonts w:ascii="Arial" w:hAnsi="Arial" w:cs="Arial"/>
          <w:sz w:val="24"/>
          <w:szCs w:val="24"/>
        </w:rPr>
      </w:pPr>
    </w:p>
    <w:p w:rsidR="005F30E0" w:rsidRPr="00E17E1F" w:rsidRDefault="005F30E0" w:rsidP="00387A07">
      <w:pPr>
        <w:spacing w:after="0" w:line="360" w:lineRule="auto"/>
        <w:jc w:val="both"/>
        <w:rPr>
          <w:rFonts w:ascii="Arial" w:hAnsi="Arial" w:cs="Arial"/>
          <w:sz w:val="24"/>
          <w:szCs w:val="24"/>
        </w:rPr>
      </w:pPr>
    </w:p>
    <w:p w:rsidR="00387A07" w:rsidRPr="00E17E1F" w:rsidRDefault="00387A07" w:rsidP="00387A07">
      <w:pPr>
        <w:spacing w:before="240" w:after="240" w:line="360" w:lineRule="auto"/>
        <w:jc w:val="both"/>
        <w:rPr>
          <w:rFonts w:ascii="Arial" w:hAnsi="Arial" w:cs="Arial"/>
          <w:b/>
          <w:sz w:val="24"/>
          <w:szCs w:val="24"/>
          <w:lang w:val="en-US"/>
        </w:rPr>
      </w:pPr>
      <w:r w:rsidRPr="00E17E1F">
        <w:rPr>
          <w:rFonts w:ascii="Arial" w:hAnsi="Arial" w:cs="Arial"/>
          <w:b/>
          <w:sz w:val="24"/>
          <w:szCs w:val="24"/>
          <w:lang w:val="en-US"/>
        </w:rPr>
        <w:lastRenderedPageBreak/>
        <w:t xml:space="preserve">2.2.4 Contact Angle measurements </w:t>
      </w:r>
    </w:p>
    <w:p w:rsidR="00387A07" w:rsidRPr="00E17E1F" w:rsidRDefault="00387A07" w:rsidP="00387A07">
      <w:pPr>
        <w:autoSpaceDE w:val="0"/>
        <w:autoSpaceDN w:val="0"/>
        <w:adjustRightInd w:val="0"/>
        <w:spacing w:line="360" w:lineRule="auto"/>
        <w:jc w:val="both"/>
        <w:rPr>
          <w:rFonts w:ascii="Arial" w:hAnsi="Arial" w:cs="Arial"/>
          <w:b/>
          <w:bCs/>
          <w:sz w:val="24"/>
          <w:szCs w:val="24"/>
        </w:rPr>
      </w:pPr>
      <w:r w:rsidRPr="00E17E1F">
        <w:rPr>
          <w:rFonts w:ascii="Arial" w:hAnsi="Arial" w:cs="Arial"/>
          <w:sz w:val="24"/>
          <w:szCs w:val="24"/>
        </w:rPr>
        <w:t>The water contact angle was measured by means of a Contact Angle Measure instrument (</w:t>
      </w:r>
      <w:r w:rsidRPr="00E17E1F">
        <w:rPr>
          <w:rFonts w:ascii="Arial" w:hAnsi="Arial" w:cs="Arial"/>
          <w:sz w:val="24"/>
          <w:szCs w:val="24"/>
          <w:lang w:val="en-US"/>
        </w:rPr>
        <w:t>KSV Instrument CAM 200</w:t>
      </w:r>
      <w:r w:rsidRPr="00E17E1F">
        <w:rPr>
          <w:rFonts w:ascii="Arial" w:hAnsi="Arial" w:cs="Arial"/>
          <w:sz w:val="24"/>
          <w:szCs w:val="24"/>
        </w:rPr>
        <w:t xml:space="preserve">) using a sessile drop method. Samples were prepared by spin coating a 2 %w/v polymer solution in chloroform over a rectangular glass slide. A 5μl drop of distilled water was gently deposited onto the surface of the sample, images were recorded within a time-frame of 5s (1 image/s) and analyzed by using the </w:t>
      </w:r>
      <w:r w:rsidRPr="00E17E1F">
        <w:rPr>
          <w:rFonts w:ascii="Arial" w:hAnsi="Arial" w:cs="Arial"/>
          <w:i/>
          <w:sz w:val="24"/>
          <w:szCs w:val="24"/>
        </w:rPr>
        <w:t>Attension Theta</w:t>
      </w:r>
      <w:r w:rsidRPr="00E17E1F">
        <w:rPr>
          <w:rFonts w:ascii="Arial" w:hAnsi="Arial" w:cs="Arial"/>
          <w:sz w:val="24"/>
          <w:szCs w:val="24"/>
        </w:rPr>
        <w:t xml:space="preserve"> software that allows an automatic c</w:t>
      </w:r>
      <w:r w:rsidRPr="00E17E1F">
        <w:rPr>
          <w:rStyle w:val="apple-style-span"/>
          <w:rFonts w:ascii="Arial" w:hAnsi="Arial" w:cs="Arial"/>
          <w:bCs/>
          <w:color w:val="000000"/>
          <w:sz w:val="24"/>
          <w:szCs w:val="24"/>
        </w:rPr>
        <w:t>urve fitting of the drop profile based on the Young &amp; Laplace equation</w:t>
      </w:r>
      <w:r w:rsidRPr="00E17E1F">
        <w:rPr>
          <w:rFonts w:ascii="Arial" w:hAnsi="Arial" w:cs="Arial"/>
          <w:sz w:val="24"/>
          <w:szCs w:val="24"/>
        </w:rPr>
        <w:t xml:space="preserve">. Four different runs were recorded for each sample, and results were expressed as mean ± standard deviation. </w:t>
      </w:r>
    </w:p>
    <w:p w:rsidR="00387A07" w:rsidRPr="00E17E1F" w:rsidRDefault="00387A07" w:rsidP="00387A07">
      <w:pPr>
        <w:spacing w:before="240" w:after="240" w:line="360" w:lineRule="auto"/>
        <w:jc w:val="both"/>
        <w:rPr>
          <w:rFonts w:ascii="Arial" w:hAnsi="Arial" w:cs="Arial"/>
          <w:b/>
          <w:sz w:val="24"/>
          <w:szCs w:val="24"/>
        </w:rPr>
      </w:pPr>
      <w:r w:rsidRPr="00E17E1F">
        <w:rPr>
          <w:rFonts w:ascii="Arial" w:hAnsi="Arial" w:cs="Arial"/>
          <w:b/>
          <w:sz w:val="24"/>
          <w:szCs w:val="24"/>
        </w:rPr>
        <w:t>2.2.5 Preparation of nanoparticles</w:t>
      </w:r>
    </w:p>
    <w:p w:rsidR="00387A07" w:rsidRPr="00E17E1F" w:rsidRDefault="00387A07" w:rsidP="00387A07">
      <w:pPr>
        <w:spacing w:before="240" w:after="240" w:line="360" w:lineRule="auto"/>
        <w:jc w:val="both"/>
        <w:rPr>
          <w:rFonts w:ascii="Arial" w:hAnsi="Arial" w:cs="Arial"/>
          <w:b/>
          <w:i/>
          <w:sz w:val="24"/>
          <w:szCs w:val="24"/>
        </w:rPr>
      </w:pPr>
      <w:r w:rsidRPr="00E17E1F">
        <w:rPr>
          <w:rFonts w:ascii="Arial" w:hAnsi="Arial" w:cs="Arial"/>
          <w:b/>
          <w:i/>
          <w:sz w:val="24"/>
          <w:szCs w:val="24"/>
        </w:rPr>
        <w:t>2.2.5.1 Optimization of the protocol</w:t>
      </w:r>
    </w:p>
    <w:p w:rsidR="00387A07" w:rsidRPr="00E17E1F" w:rsidRDefault="00387A07" w:rsidP="00387A07">
      <w:pPr>
        <w:spacing w:line="360" w:lineRule="auto"/>
        <w:jc w:val="both"/>
        <w:rPr>
          <w:rFonts w:ascii="Arial" w:hAnsi="Arial" w:cs="Arial"/>
          <w:sz w:val="24"/>
          <w:szCs w:val="24"/>
        </w:rPr>
      </w:pPr>
      <w:r w:rsidRPr="00E17E1F">
        <w:rPr>
          <w:rFonts w:ascii="Arial" w:hAnsi="Arial" w:cs="Arial"/>
          <w:sz w:val="24"/>
          <w:szCs w:val="24"/>
        </w:rPr>
        <w:t>Nanoparticles were prepared by the Solvent Displacement Technique using PCL, PLA or the newly synthesised low molecular weight Polyesterurethane C-BC2000 as matrix-forming materials and TWEEN 80 as emulsifier [10]. Two parameters were independently modified in order to obtain particles with the appropriate size distribution:</w:t>
      </w:r>
    </w:p>
    <w:p w:rsidR="00387A07" w:rsidRPr="00E17E1F" w:rsidRDefault="00387A07" w:rsidP="00387A07">
      <w:pPr>
        <w:pStyle w:val="Paragrafoelenco"/>
        <w:numPr>
          <w:ilvl w:val="0"/>
          <w:numId w:val="5"/>
        </w:numPr>
        <w:spacing w:after="0" w:line="360" w:lineRule="auto"/>
        <w:jc w:val="both"/>
        <w:rPr>
          <w:rFonts w:ascii="Arial" w:hAnsi="Arial" w:cs="Arial"/>
          <w:sz w:val="24"/>
          <w:szCs w:val="24"/>
        </w:rPr>
      </w:pPr>
      <w:r w:rsidRPr="00E17E1F">
        <w:rPr>
          <w:rFonts w:ascii="Arial" w:hAnsi="Arial" w:cs="Arial"/>
          <w:sz w:val="24"/>
          <w:szCs w:val="24"/>
        </w:rPr>
        <w:t xml:space="preserve">The ratio between the polymer and the surfactant (w/w). </w:t>
      </w:r>
    </w:p>
    <w:p w:rsidR="00387A07" w:rsidRPr="00E17E1F" w:rsidRDefault="00387A07" w:rsidP="00387A07">
      <w:pPr>
        <w:pStyle w:val="Paragrafoelenco"/>
        <w:numPr>
          <w:ilvl w:val="0"/>
          <w:numId w:val="5"/>
        </w:numPr>
        <w:spacing w:after="120" w:line="360" w:lineRule="auto"/>
        <w:ind w:left="777" w:hanging="357"/>
        <w:jc w:val="both"/>
        <w:rPr>
          <w:rFonts w:ascii="Arial" w:hAnsi="Arial" w:cs="Arial"/>
          <w:sz w:val="24"/>
          <w:szCs w:val="24"/>
        </w:rPr>
      </w:pPr>
      <w:r w:rsidRPr="00E17E1F">
        <w:rPr>
          <w:rFonts w:ascii="Arial" w:hAnsi="Arial" w:cs="Arial"/>
          <w:sz w:val="24"/>
          <w:szCs w:val="24"/>
        </w:rPr>
        <w:t>The polymer concentration in acetone (w/v).</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Two different ratios (R) between the polymer and the emulsifier were tested (R=1 and R=0.5), as well as four different polymer concentrations (0.4%; 0.6%; 0.9% and 1.2% w/v) at a fixed polymer/surfactant ratio (R=1).</w:t>
      </w:r>
    </w:p>
    <w:p w:rsidR="00387A07" w:rsidRDefault="00387A07" w:rsidP="00387A07">
      <w:pPr>
        <w:spacing w:line="360" w:lineRule="auto"/>
        <w:jc w:val="both"/>
        <w:rPr>
          <w:rFonts w:ascii="Arial" w:hAnsi="Arial" w:cs="Arial"/>
          <w:sz w:val="24"/>
          <w:szCs w:val="24"/>
        </w:rPr>
      </w:pPr>
      <w:r w:rsidRPr="00E17E1F">
        <w:rPr>
          <w:rFonts w:ascii="Arial" w:hAnsi="Arial" w:cs="Arial"/>
          <w:sz w:val="24"/>
          <w:szCs w:val="24"/>
        </w:rPr>
        <w:t xml:space="preserve">For particles preparation, the polymer was dissolved in 10 ml acetone and then slowly added drop wise into 20 ml of water containing the emulsifier under moderate magnetic stirring. Particles formed instantaneously for the fast diffusion of the solvent from the core of the droplets towards the water phase. Acetone was removed from the colloidal suspension </w:t>
      </w:r>
      <w:r w:rsidRPr="00E17E1F">
        <w:rPr>
          <w:rFonts w:ascii="Arial" w:eastAsia="AdvTimes" w:hAnsi="Arial" w:cs="Arial"/>
          <w:color w:val="000000"/>
          <w:sz w:val="24"/>
          <w:szCs w:val="24"/>
        </w:rPr>
        <w:t xml:space="preserve">under reduced </w:t>
      </w:r>
      <w:r w:rsidRPr="00E17E1F">
        <w:rPr>
          <w:rFonts w:ascii="Arial" w:eastAsia="AdvTimes" w:hAnsi="Arial" w:cs="Arial"/>
          <w:color w:val="000000"/>
          <w:sz w:val="24"/>
          <w:szCs w:val="24"/>
          <w:lang w:val="en-US"/>
        </w:rPr>
        <w:t>pressure</w:t>
      </w:r>
      <w:r w:rsidRPr="00E17E1F">
        <w:rPr>
          <w:rFonts w:ascii="Arial" w:eastAsia="AdvTimes" w:hAnsi="Arial" w:cs="Arial"/>
          <w:color w:val="000000"/>
          <w:sz w:val="24"/>
          <w:szCs w:val="24"/>
        </w:rPr>
        <w:t>,</w:t>
      </w:r>
      <w:r w:rsidRPr="00E17E1F">
        <w:rPr>
          <w:rFonts w:ascii="Arial" w:hAnsi="Arial" w:cs="Arial"/>
          <w:sz w:val="24"/>
          <w:szCs w:val="24"/>
        </w:rPr>
        <w:t xml:space="preserve"> by </w:t>
      </w:r>
      <w:r w:rsidRPr="00E17E1F">
        <w:rPr>
          <w:rFonts w:ascii="Arial" w:eastAsia="AdvTimes" w:hAnsi="Arial" w:cs="Arial"/>
          <w:color w:val="000000"/>
          <w:sz w:val="24"/>
          <w:szCs w:val="24"/>
          <w:lang w:val="en-US"/>
        </w:rPr>
        <w:t>using a ro</w:t>
      </w:r>
      <w:r w:rsidRPr="00E17E1F">
        <w:rPr>
          <w:rFonts w:ascii="Arial" w:eastAsia="AdvTimes" w:hAnsi="Arial" w:cs="Arial"/>
          <w:color w:val="000000"/>
          <w:sz w:val="24"/>
          <w:szCs w:val="24"/>
        </w:rPr>
        <w:t>tary evaporator (Buchi).</w:t>
      </w:r>
      <w:r w:rsidRPr="00E17E1F">
        <w:rPr>
          <w:rFonts w:ascii="Arial" w:eastAsia="AdvTimes" w:hAnsi="Arial" w:cs="Arial"/>
          <w:color w:val="000000"/>
          <w:sz w:val="24"/>
          <w:szCs w:val="24"/>
          <w:lang w:val="en-US"/>
        </w:rPr>
        <w:t xml:space="preserve"> </w:t>
      </w:r>
      <w:r w:rsidRPr="00E17E1F">
        <w:rPr>
          <w:rFonts w:ascii="Arial" w:hAnsi="Arial" w:cs="Arial"/>
          <w:sz w:val="24"/>
          <w:szCs w:val="24"/>
        </w:rPr>
        <w:t xml:space="preserve">After dialysis (24h) against distilled water, particles were collected by centrifugation, frozen at -80°C and freeze-dried in the presence of Trehalose as cryo-preserving agent [27]. </w:t>
      </w:r>
    </w:p>
    <w:p w:rsidR="005F30E0" w:rsidRDefault="005F30E0" w:rsidP="00387A07">
      <w:pPr>
        <w:spacing w:line="360" w:lineRule="auto"/>
        <w:jc w:val="both"/>
        <w:rPr>
          <w:rFonts w:ascii="Arial" w:hAnsi="Arial" w:cs="Arial"/>
          <w:sz w:val="24"/>
          <w:szCs w:val="24"/>
        </w:rPr>
      </w:pPr>
    </w:p>
    <w:p w:rsidR="005F30E0" w:rsidRPr="00B03900" w:rsidRDefault="005F30E0" w:rsidP="00387A07">
      <w:pPr>
        <w:spacing w:line="360" w:lineRule="auto"/>
        <w:jc w:val="both"/>
        <w:rPr>
          <w:rFonts w:ascii="Arial" w:hAnsi="Arial" w:cs="Arial"/>
          <w:sz w:val="24"/>
          <w:szCs w:val="24"/>
        </w:rPr>
      </w:pPr>
    </w:p>
    <w:p w:rsidR="00387A07" w:rsidRPr="00E17E1F" w:rsidRDefault="00387A07" w:rsidP="00387A07">
      <w:pPr>
        <w:autoSpaceDE w:val="0"/>
        <w:autoSpaceDN w:val="0"/>
        <w:adjustRightInd w:val="0"/>
        <w:spacing w:before="240" w:after="240" w:line="360" w:lineRule="auto"/>
        <w:rPr>
          <w:rFonts w:ascii="Arial" w:hAnsi="Arial" w:cs="Arial"/>
          <w:b/>
          <w:i/>
          <w:color w:val="000000"/>
          <w:sz w:val="24"/>
          <w:szCs w:val="24"/>
          <w:lang w:val="en-US"/>
        </w:rPr>
      </w:pPr>
      <w:r w:rsidRPr="00E17E1F">
        <w:rPr>
          <w:rFonts w:ascii="Arial" w:hAnsi="Arial" w:cs="Arial"/>
          <w:b/>
          <w:i/>
          <w:color w:val="000000"/>
          <w:sz w:val="24"/>
          <w:szCs w:val="24"/>
          <w:lang w:val="en-US"/>
        </w:rPr>
        <w:lastRenderedPageBreak/>
        <w:t>2.2.5.2 Preparation of Paclitaxel-loaded nanoparticles</w:t>
      </w:r>
    </w:p>
    <w:p w:rsidR="00387A07" w:rsidRPr="00E17E1F" w:rsidRDefault="00387A07" w:rsidP="00387A07">
      <w:pPr>
        <w:spacing w:line="360" w:lineRule="auto"/>
        <w:jc w:val="both"/>
        <w:rPr>
          <w:rFonts w:ascii="Arial" w:hAnsi="Arial" w:cs="Arial"/>
          <w:sz w:val="24"/>
          <w:szCs w:val="24"/>
        </w:rPr>
      </w:pPr>
      <w:r w:rsidRPr="00E17E1F">
        <w:rPr>
          <w:rFonts w:ascii="Arial" w:hAnsi="Arial" w:cs="Arial"/>
          <w:sz w:val="24"/>
          <w:szCs w:val="24"/>
        </w:rPr>
        <w:t xml:space="preserve">PX-loaded nanoparticles (3% w/w with respect to the polymer weight) were prepared as described above, at an optimized polymer concentration of 0.6% w/v and at a polymer/surfactant ratio R=1. </w:t>
      </w:r>
    </w:p>
    <w:p w:rsidR="00387A07" w:rsidRPr="00E17E1F" w:rsidRDefault="00387A07" w:rsidP="00387A07">
      <w:pPr>
        <w:autoSpaceDE w:val="0"/>
        <w:autoSpaceDN w:val="0"/>
        <w:adjustRightInd w:val="0"/>
        <w:spacing w:before="240" w:after="240" w:line="360" w:lineRule="auto"/>
        <w:jc w:val="both"/>
        <w:rPr>
          <w:rFonts w:ascii="Arial" w:hAnsi="Arial" w:cs="Arial"/>
          <w:b/>
          <w:color w:val="000000"/>
          <w:sz w:val="24"/>
          <w:szCs w:val="24"/>
          <w:lang w:val="en-US"/>
        </w:rPr>
      </w:pPr>
      <w:r w:rsidRPr="00E17E1F">
        <w:rPr>
          <w:rFonts w:ascii="Arial" w:hAnsi="Arial" w:cs="Arial"/>
          <w:b/>
          <w:color w:val="000000"/>
          <w:sz w:val="24"/>
          <w:szCs w:val="24"/>
          <w:lang w:val="en-US"/>
        </w:rPr>
        <w:t>2.2.6 Characterization of nanoparticles</w:t>
      </w:r>
    </w:p>
    <w:p w:rsidR="00387A07" w:rsidRPr="00E17E1F" w:rsidRDefault="00387A07" w:rsidP="00387A07">
      <w:pPr>
        <w:autoSpaceDE w:val="0"/>
        <w:autoSpaceDN w:val="0"/>
        <w:adjustRightInd w:val="0"/>
        <w:spacing w:before="240" w:after="240" w:line="360" w:lineRule="auto"/>
        <w:jc w:val="both"/>
        <w:rPr>
          <w:rFonts w:ascii="Arial" w:hAnsi="Arial" w:cs="Arial"/>
          <w:b/>
          <w:i/>
          <w:color w:val="000000"/>
          <w:sz w:val="24"/>
          <w:szCs w:val="24"/>
          <w:lang w:val="en-US"/>
        </w:rPr>
      </w:pPr>
      <w:r w:rsidRPr="00E17E1F">
        <w:rPr>
          <w:rFonts w:ascii="Arial" w:hAnsi="Arial" w:cs="Arial"/>
          <w:b/>
          <w:i/>
          <w:color w:val="000000"/>
          <w:sz w:val="24"/>
          <w:szCs w:val="24"/>
          <w:lang w:val="en-US"/>
        </w:rPr>
        <w:t>2.2.6.1 P</w:t>
      </w:r>
      <w:r w:rsidRPr="00E17E1F">
        <w:rPr>
          <w:rFonts w:ascii="Arial" w:hAnsi="Arial" w:cs="Arial"/>
          <w:b/>
          <w:i/>
          <w:color w:val="000000"/>
          <w:sz w:val="24"/>
          <w:szCs w:val="24"/>
        </w:rPr>
        <w:t xml:space="preserve">article size and size </w:t>
      </w:r>
      <w:r w:rsidRPr="00E17E1F">
        <w:rPr>
          <w:rFonts w:ascii="Arial" w:hAnsi="Arial" w:cs="Arial"/>
          <w:b/>
          <w:i/>
          <w:color w:val="000000"/>
          <w:sz w:val="24"/>
          <w:szCs w:val="24"/>
          <w:lang w:val="en-US"/>
        </w:rPr>
        <w:t xml:space="preserve">distribution. </w:t>
      </w:r>
    </w:p>
    <w:p w:rsidR="00387A07" w:rsidRPr="00E17E1F" w:rsidRDefault="00387A07" w:rsidP="00387A07">
      <w:pPr>
        <w:autoSpaceDE w:val="0"/>
        <w:autoSpaceDN w:val="0"/>
        <w:adjustRightInd w:val="0"/>
        <w:spacing w:line="360" w:lineRule="auto"/>
        <w:jc w:val="both"/>
        <w:rPr>
          <w:rFonts w:ascii="Arial" w:eastAsia="AdvTimes" w:hAnsi="Arial" w:cs="Arial"/>
          <w:color w:val="000000"/>
          <w:sz w:val="24"/>
          <w:szCs w:val="24"/>
        </w:rPr>
      </w:pPr>
      <w:r w:rsidRPr="00E17E1F">
        <w:rPr>
          <w:rFonts w:ascii="Arial" w:eastAsia="AdvTimes" w:hAnsi="Arial" w:cs="Arial"/>
          <w:color w:val="000000"/>
          <w:sz w:val="24"/>
          <w:szCs w:val="24"/>
          <w:lang w:val="en-US"/>
        </w:rPr>
        <w:t>The particle</w:t>
      </w:r>
      <w:r w:rsidRPr="00E17E1F">
        <w:rPr>
          <w:rFonts w:ascii="Arial" w:eastAsia="AdvTimes" w:hAnsi="Arial" w:cs="Arial"/>
          <w:color w:val="000000"/>
          <w:sz w:val="24"/>
          <w:szCs w:val="24"/>
        </w:rPr>
        <w:t xml:space="preserve"> size, size distribution and Polydispersity index (PDI), which is an indicator of the width of the size distribution, were determined</w:t>
      </w:r>
      <w:r w:rsidRPr="00E17E1F">
        <w:rPr>
          <w:rFonts w:ascii="Arial" w:eastAsia="AdvTimes" w:hAnsi="Arial" w:cs="Arial"/>
          <w:color w:val="000000"/>
          <w:sz w:val="24"/>
          <w:szCs w:val="24"/>
          <w:lang w:val="en-US"/>
        </w:rPr>
        <w:t xml:space="preserve"> using a Dynamic Laser</w:t>
      </w:r>
      <w:r w:rsidRPr="00E17E1F">
        <w:rPr>
          <w:rFonts w:ascii="Arial" w:eastAsia="AdvTimes" w:hAnsi="Arial" w:cs="Arial"/>
          <w:color w:val="000000"/>
          <w:sz w:val="24"/>
          <w:szCs w:val="24"/>
        </w:rPr>
        <w:t xml:space="preserve"> Light Scattering Technology (Malvern Instruments, Zetasizer Nano S90). The dispersion of NPs was diluted with ultrapure water and completely sonicated before analysis. The measured values were averaged by five runs.</w:t>
      </w:r>
    </w:p>
    <w:p w:rsidR="00387A07" w:rsidRPr="00E17E1F" w:rsidRDefault="00387A07" w:rsidP="00387A07">
      <w:pPr>
        <w:autoSpaceDE w:val="0"/>
        <w:autoSpaceDN w:val="0"/>
        <w:adjustRightInd w:val="0"/>
        <w:spacing w:before="240" w:after="240" w:line="360" w:lineRule="auto"/>
        <w:jc w:val="both"/>
        <w:rPr>
          <w:rFonts w:ascii="Arial" w:eastAsia="AdvTimes" w:hAnsi="Arial" w:cs="Arial"/>
          <w:b/>
          <w:i/>
          <w:color w:val="000000"/>
          <w:sz w:val="24"/>
          <w:szCs w:val="24"/>
        </w:rPr>
      </w:pPr>
      <w:r w:rsidRPr="00E17E1F">
        <w:rPr>
          <w:rFonts w:ascii="Arial" w:eastAsia="AdvTimes" w:hAnsi="Arial" w:cs="Arial"/>
          <w:b/>
          <w:i/>
          <w:color w:val="000000"/>
          <w:sz w:val="24"/>
          <w:szCs w:val="24"/>
        </w:rPr>
        <w:t>2.2.6.2 Surface charge</w:t>
      </w:r>
    </w:p>
    <w:p w:rsidR="00387A07" w:rsidRPr="00E17E1F" w:rsidRDefault="00387A07" w:rsidP="00387A07">
      <w:pPr>
        <w:autoSpaceDE w:val="0"/>
        <w:autoSpaceDN w:val="0"/>
        <w:adjustRightInd w:val="0"/>
        <w:spacing w:after="0" w:line="360" w:lineRule="auto"/>
        <w:jc w:val="both"/>
        <w:rPr>
          <w:rFonts w:ascii="Arial" w:eastAsia="AdvTimes" w:hAnsi="Arial" w:cs="Arial"/>
          <w:color w:val="000000"/>
          <w:sz w:val="24"/>
          <w:szCs w:val="24"/>
        </w:rPr>
      </w:pPr>
      <w:r w:rsidRPr="00E17E1F">
        <w:rPr>
          <w:rFonts w:ascii="Arial" w:hAnsi="Arial" w:cs="Arial"/>
          <w:bCs/>
          <w:sz w:val="24"/>
          <w:szCs w:val="24"/>
        </w:rPr>
        <w:t>The zeta potential value, which is a measure of the surface charge of nanoparticles, is an indicator of their stability in suspension.</w:t>
      </w:r>
    </w:p>
    <w:p w:rsidR="00387A07" w:rsidRPr="00E17E1F" w:rsidRDefault="00387A07" w:rsidP="00387A07">
      <w:pPr>
        <w:autoSpaceDE w:val="0"/>
        <w:autoSpaceDN w:val="0"/>
        <w:adjustRightInd w:val="0"/>
        <w:spacing w:after="0" w:line="360" w:lineRule="auto"/>
        <w:jc w:val="both"/>
        <w:rPr>
          <w:rFonts w:ascii="Arial" w:eastAsia="AdvTimes" w:hAnsi="Arial" w:cs="Arial"/>
          <w:color w:val="000000"/>
          <w:sz w:val="24"/>
          <w:szCs w:val="24"/>
        </w:rPr>
      </w:pPr>
      <w:r w:rsidRPr="00E17E1F">
        <w:rPr>
          <w:rFonts w:ascii="Arial" w:eastAsia="AdvTimes" w:hAnsi="Arial" w:cs="Arial"/>
          <w:color w:val="000000"/>
          <w:sz w:val="24"/>
          <w:szCs w:val="24"/>
        </w:rPr>
        <w:t>Surface charge was determined by Zetasizer Nano ZS Zeta Potential Analyzer (Malvern Instruments) at room temperature in ultrapure water.</w:t>
      </w:r>
    </w:p>
    <w:p w:rsidR="00387A07" w:rsidRPr="00E17E1F" w:rsidRDefault="00387A07" w:rsidP="00387A07">
      <w:pPr>
        <w:autoSpaceDE w:val="0"/>
        <w:autoSpaceDN w:val="0"/>
        <w:adjustRightInd w:val="0"/>
        <w:spacing w:after="0" w:line="360" w:lineRule="auto"/>
        <w:jc w:val="both"/>
        <w:rPr>
          <w:rFonts w:ascii="Arial" w:eastAsia="AdvTimes" w:hAnsi="Arial" w:cs="Arial"/>
          <w:color w:val="000000"/>
          <w:sz w:val="24"/>
          <w:szCs w:val="24"/>
        </w:rPr>
      </w:pPr>
      <w:r w:rsidRPr="00E17E1F">
        <w:rPr>
          <w:rFonts w:ascii="Arial" w:eastAsia="AdvTimes" w:hAnsi="Arial" w:cs="Arial"/>
          <w:color w:val="000000"/>
          <w:sz w:val="24"/>
          <w:szCs w:val="24"/>
        </w:rPr>
        <w:t xml:space="preserve">The measurements were taken as an average of five runs. </w:t>
      </w:r>
    </w:p>
    <w:p w:rsidR="00387A07" w:rsidRPr="00E17E1F" w:rsidRDefault="00387A07" w:rsidP="00387A07">
      <w:pPr>
        <w:autoSpaceDE w:val="0"/>
        <w:autoSpaceDN w:val="0"/>
        <w:adjustRightInd w:val="0"/>
        <w:spacing w:before="240" w:after="240" w:line="360" w:lineRule="auto"/>
        <w:jc w:val="both"/>
        <w:rPr>
          <w:rFonts w:ascii="Arial" w:eastAsia="AdvTimes" w:hAnsi="Arial" w:cs="Arial"/>
          <w:b/>
          <w:i/>
          <w:color w:val="000000"/>
          <w:sz w:val="24"/>
          <w:szCs w:val="24"/>
        </w:rPr>
      </w:pPr>
      <w:r w:rsidRPr="00E17E1F">
        <w:rPr>
          <w:rFonts w:ascii="Arial" w:eastAsia="AdvTimes" w:hAnsi="Arial" w:cs="Arial"/>
          <w:b/>
          <w:i/>
          <w:color w:val="000000"/>
          <w:sz w:val="24"/>
          <w:szCs w:val="24"/>
        </w:rPr>
        <w:t>2.2.6.3 Particle morphology</w:t>
      </w:r>
    </w:p>
    <w:p w:rsidR="00387A07" w:rsidRPr="00E17E1F" w:rsidRDefault="00387A07" w:rsidP="00387A07">
      <w:pPr>
        <w:autoSpaceDE w:val="0"/>
        <w:autoSpaceDN w:val="0"/>
        <w:adjustRightInd w:val="0"/>
        <w:spacing w:after="0" w:line="360" w:lineRule="auto"/>
        <w:jc w:val="both"/>
        <w:rPr>
          <w:rFonts w:ascii="Arial" w:eastAsia="AdvTimes" w:hAnsi="Arial" w:cs="Arial"/>
          <w:color w:val="000000"/>
          <w:sz w:val="24"/>
          <w:szCs w:val="24"/>
        </w:rPr>
      </w:pPr>
      <w:r w:rsidRPr="00E17E1F">
        <w:rPr>
          <w:rFonts w:ascii="Arial" w:eastAsia="AdvTimes" w:hAnsi="Arial" w:cs="Arial"/>
          <w:color w:val="000000"/>
          <w:sz w:val="24"/>
          <w:szCs w:val="24"/>
        </w:rPr>
        <w:t xml:space="preserve">NPs Morphology was examined by Scanning Electron Microscopy (SEM Leo Instruments) and by Atomic Force microscopy (AFM </w:t>
      </w:r>
      <w:r w:rsidRPr="00E17E1F">
        <w:rPr>
          <w:rStyle w:val="MacchinadascrivereHTML"/>
          <w:rFonts w:ascii="Arial" w:eastAsiaTheme="majorEastAsia" w:hAnsi="Arial" w:cs="Arial"/>
          <w:sz w:val="24"/>
          <w:szCs w:val="24"/>
        </w:rPr>
        <w:t>NanoWizard II, JPK Instruments,</w:t>
      </w:r>
      <w:r w:rsidRPr="00E17E1F">
        <w:rPr>
          <w:rFonts w:ascii="Arial" w:hAnsi="Arial" w:cs="Arial"/>
          <w:sz w:val="24"/>
          <w:szCs w:val="24"/>
        </w:rPr>
        <w:br/>
      </w:r>
      <w:r w:rsidRPr="00E17E1F">
        <w:rPr>
          <w:rStyle w:val="MacchinadascrivereHTML"/>
          <w:rFonts w:ascii="Arial" w:eastAsiaTheme="majorEastAsia" w:hAnsi="Arial" w:cs="Arial"/>
          <w:sz w:val="24"/>
          <w:szCs w:val="24"/>
        </w:rPr>
        <w:t>Berlin, Germany). For SEM analysis,</w:t>
      </w:r>
      <w:r w:rsidRPr="00E17E1F">
        <w:rPr>
          <w:rFonts w:ascii="Arial" w:eastAsia="AdvTimes" w:hAnsi="Arial" w:cs="Arial"/>
          <w:color w:val="000000"/>
          <w:sz w:val="24"/>
          <w:szCs w:val="24"/>
        </w:rPr>
        <w:t xml:space="preserve"> particles were mounted on aluminium stabs and coated with gold, by using an Agar Auto Sputter Coater. The analysis was performed at a working distance of 10mm and a voltage of  20kV.  </w:t>
      </w:r>
    </w:p>
    <w:p w:rsidR="00387A07" w:rsidRPr="00E17E1F" w:rsidRDefault="00387A07" w:rsidP="00387A07">
      <w:pPr>
        <w:autoSpaceDE w:val="0"/>
        <w:autoSpaceDN w:val="0"/>
        <w:adjustRightInd w:val="0"/>
        <w:spacing w:after="0" w:line="360" w:lineRule="auto"/>
        <w:jc w:val="both"/>
        <w:rPr>
          <w:rFonts w:ascii="Arial" w:eastAsia="AdvTimes" w:hAnsi="Arial" w:cs="Arial"/>
          <w:color w:val="000000"/>
          <w:sz w:val="24"/>
          <w:szCs w:val="24"/>
        </w:rPr>
      </w:pPr>
      <w:r w:rsidRPr="00E17E1F">
        <w:rPr>
          <w:rFonts w:ascii="Arial" w:eastAsia="AdvTimes" w:hAnsi="Arial" w:cs="Arial"/>
          <w:color w:val="000000"/>
          <w:sz w:val="24"/>
          <w:szCs w:val="24"/>
        </w:rPr>
        <w:t xml:space="preserve">For AFM, </w:t>
      </w:r>
      <w:r w:rsidRPr="00E17E1F">
        <w:rPr>
          <w:rStyle w:val="MacchinadascrivereHTML"/>
          <w:rFonts w:ascii="Arial" w:eastAsiaTheme="majorEastAsia" w:hAnsi="Arial" w:cs="Arial"/>
          <w:sz w:val="24"/>
          <w:szCs w:val="24"/>
        </w:rPr>
        <w:t>Intermittent-contact mode was used to obtain height and phase data.</w:t>
      </w:r>
      <w:r w:rsidRPr="00E17E1F">
        <w:rPr>
          <w:rFonts w:ascii="Arial" w:hAnsi="Arial" w:cs="Arial"/>
          <w:sz w:val="24"/>
          <w:szCs w:val="24"/>
        </w:rPr>
        <w:br/>
      </w:r>
      <w:r w:rsidRPr="00E17E1F">
        <w:rPr>
          <w:rStyle w:val="MacchinadascrivereHTML"/>
          <w:rFonts w:ascii="Arial" w:eastAsiaTheme="majorEastAsia" w:hAnsi="Arial" w:cs="Arial"/>
          <w:sz w:val="24"/>
          <w:szCs w:val="24"/>
        </w:rPr>
        <w:t>Microfabricated Silicon cantilevers with force constants around 40N/m</w:t>
      </w:r>
      <w:r w:rsidRPr="00E17E1F">
        <w:rPr>
          <w:rFonts w:ascii="Arial" w:hAnsi="Arial" w:cs="Arial"/>
          <w:sz w:val="24"/>
          <w:szCs w:val="24"/>
        </w:rPr>
        <w:br/>
      </w:r>
      <w:r w:rsidRPr="00E17E1F">
        <w:rPr>
          <w:rStyle w:val="MacchinadascrivereHTML"/>
          <w:rFonts w:ascii="Arial" w:eastAsiaTheme="majorEastAsia" w:hAnsi="Arial" w:cs="Arial"/>
          <w:sz w:val="24"/>
          <w:szCs w:val="24"/>
        </w:rPr>
        <w:t>and fundamental frequencies of 300±10KHz were used. The frequency</w:t>
      </w:r>
      <w:r w:rsidRPr="00E17E1F">
        <w:rPr>
          <w:rFonts w:ascii="Arial" w:hAnsi="Arial" w:cs="Arial"/>
          <w:sz w:val="24"/>
          <w:szCs w:val="24"/>
        </w:rPr>
        <w:br/>
      </w:r>
      <w:r w:rsidRPr="00E17E1F">
        <w:rPr>
          <w:rStyle w:val="MacchinadascrivereHTML"/>
          <w:rFonts w:ascii="Arial" w:eastAsiaTheme="majorEastAsia" w:hAnsi="Arial" w:cs="Arial"/>
          <w:sz w:val="24"/>
          <w:szCs w:val="24"/>
        </w:rPr>
        <w:t>of vibration of the cantilever was fixed near the resonance on the</w:t>
      </w:r>
      <w:r w:rsidRPr="00E17E1F">
        <w:rPr>
          <w:rFonts w:ascii="Arial" w:hAnsi="Arial" w:cs="Arial"/>
          <w:sz w:val="24"/>
          <w:szCs w:val="24"/>
        </w:rPr>
        <w:br/>
      </w:r>
      <w:r w:rsidRPr="00E17E1F">
        <w:rPr>
          <w:rStyle w:val="MacchinadascrivereHTML"/>
          <w:rFonts w:ascii="Arial" w:eastAsiaTheme="majorEastAsia" w:hAnsi="Arial" w:cs="Arial"/>
          <w:sz w:val="24"/>
          <w:szCs w:val="24"/>
        </w:rPr>
        <w:t>low-side.</w:t>
      </w:r>
      <w:r w:rsidRPr="00E17E1F">
        <w:rPr>
          <w:rFonts w:ascii="Arial" w:hAnsi="Arial" w:cs="Arial"/>
          <w:sz w:val="24"/>
          <w:szCs w:val="24"/>
        </w:rPr>
        <w:t xml:space="preserve"> </w:t>
      </w:r>
    </w:p>
    <w:p w:rsidR="00387A07" w:rsidRPr="00E17E1F" w:rsidRDefault="00387A07" w:rsidP="00387A07">
      <w:pPr>
        <w:autoSpaceDE w:val="0"/>
        <w:autoSpaceDN w:val="0"/>
        <w:adjustRightInd w:val="0"/>
        <w:spacing w:before="240" w:after="240" w:line="360" w:lineRule="auto"/>
        <w:jc w:val="both"/>
        <w:rPr>
          <w:rFonts w:ascii="Arial" w:hAnsi="Arial" w:cs="Arial"/>
          <w:b/>
          <w:i/>
          <w:color w:val="000000"/>
          <w:sz w:val="24"/>
          <w:szCs w:val="24"/>
        </w:rPr>
      </w:pPr>
      <w:r w:rsidRPr="00E17E1F">
        <w:rPr>
          <w:rFonts w:ascii="Arial" w:hAnsi="Arial" w:cs="Arial"/>
          <w:b/>
          <w:i/>
          <w:color w:val="000000"/>
          <w:sz w:val="24"/>
          <w:szCs w:val="24"/>
          <w:lang w:val="en-US"/>
        </w:rPr>
        <w:lastRenderedPageBreak/>
        <w:t xml:space="preserve">2.2.6.4 Determination of </w:t>
      </w:r>
      <w:r w:rsidRPr="00E17E1F">
        <w:rPr>
          <w:rFonts w:ascii="Arial" w:hAnsi="Arial" w:cs="Arial"/>
          <w:b/>
          <w:i/>
          <w:color w:val="000000"/>
          <w:sz w:val="24"/>
          <w:szCs w:val="24"/>
        </w:rPr>
        <w:t>Paclitaxel loading and release profiles</w:t>
      </w:r>
    </w:p>
    <w:p w:rsidR="00387A07" w:rsidRPr="00E17E1F" w:rsidRDefault="00387A07" w:rsidP="00387A07">
      <w:pPr>
        <w:autoSpaceDE w:val="0"/>
        <w:autoSpaceDN w:val="0"/>
        <w:adjustRightInd w:val="0"/>
        <w:spacing w:after="120" w:line="360" w:lineRule="auto"/>
        <w:jc w:val="both"/>
        <w:rPr>
          <w:rFonts w:ascii="Arial" w:hAnsi="Arial" w:cs="Arial"/>
          <w:color w:val="000000"/>
          <w:sz w:val="24"/>
          <w:szCs w:val="24"/>
        </w:rPr>
      </w:pPr>
      <w:r w:rsidRPr="00E17E1F">
        <w:rPr>
          <w:rFonts w:ascii="Arial" w:hAnsi="Arial" w:cs="Arial"/>
          <w:color w:val="000000"/>
          <w:sz w:val="24"/>
          <w:szCs w:val="24"/>
        </w:rPr>
        <w:t>The amount of encapsulated PX was quantified by using UV spectrophotometer (Perkin Elmer Lamba25) at an absorbance wavelength of 221nm. For drug loading measurements, 10mg of freeze dried nanoparticles were accurately weighted and dissolved in acetone. After solvent evaporation the encapsulated drug was extracted with ethanol and distilled water (3:1) and its concentration analyzed. Encapsulation efficiency (EE) was determined as follows:</w:t>
      </w:r>
    </w:p>
    <w:p w:rsidR="00387A07" w:rsidRPr="00E17E1F" w:rsidRDefault="00387A07" w:rsidP="00387A07">
      <w:pPr>
        <w:autoSpaceDE w:val="0"/>
        <w:autoSpaceDN w:val="0"/>
        <w:adjustRightInd w:val="0"/>
        <w:spacing w:line="360" w:lineRule="auto"/>
        <w:jc w:val="both"/>
        <w:rPr>
          <w:rFonts w:ascii="Arial" w:hAnsi="Arial" w:cs="Arial"/>
          <w:color w:val="000000"/>
          <w:sz w:val="24"/>
          <w:szCs w:val="24"/>
        </w:rPr>
      </w:pPr>
      <m:oMathPara>
        <m:oMath>
          <m:r>
            <w:rPr>
              <w:rFonts w:ascii="Cambria Math" w:hAnsi="Cambria Math" w:cs="Arial"/>
              <w:color w:val="000000"/>
              <w:sz w:val="24"/>
              <w:szCs w:val="24"/>
            </w:rPr>
            <m:t>EE</m:t>
          </m:r>
          <m:r>
            <w:rPr>
              <w:rFonts w:ascii="Cambria Math" w:hAnsi="Arial" w:cs="Arial"/>
              <w:color w:val="000000"/>
              <w:sz w:val="24"/>
              <w:szCs w:val="24"/>
            </w:rPr>
            <m:t>%=</m:t>
          </m:r>
          <m:d>
            <m:dPr>
              <m:ctrlPr>
                <w:rPr>
                  <w:rFonts w:ascii="Cambria Math" w:hAnsi="Arial" w:cs="Arial"/>
                  <w:i/>
                  <w:color w:val="000000"/>
                  <w:sz w:val="24"/>
                  <w:szCs w:val="24"/>
                </w:rPr>
              </m:ctrlPr>
            </m:dPr>
            <m:e>
              <m:f>
                <m:fPr>
                  <m:ctrlPr>
                    <w:rPr>
                      <w:rFonts w:ascii="Cambria Math" w:hAnsi="Arial" w:cs="Arial"/>
                      <w:i/>
                      <w:color w:val="000000"/>
                      <w:sz w:val="24"/>
                      <w:szCs w:val="24"/>
                    </w:rPr>
                  </m:ctrlPr>
                </m:fPr>
                <m:num>
                  <m:sSub>
                    <m:sSubPr>
                      <m:ctrlPr>
                        <w:rPr>
                          <w:rFonts w:ascii="Cambria Math" w:hAnsi="Arial" w:cs="Arial"/>
                          <w:i/>
                          <w:color w:val="000000"/>
                          <w:sz w:val="24"/>
                          <w:szCs w:val="24"/>
                        </w:rPr>
                      </m:ctrlPr>
                    </m:sSubPr>
                    <m:e>
                      <m:r>
                        <w:rPr>
                          <w:rFonts w:ascii="Cambria Math" w:hAnsi="Cambria Math" w:cs="Arial"/>
                          <w:color w:val="000000"/>
                          <w:sz w:val="24"/>
                          <w:szCs w:val="24"/>
                        </w:rPr>
                        <m:t>W</m:t>
                      </m:r>
                    </m:e>
                    <m:sub>
                      <m:r>
                        <w:rPr>
                          <w:rFonts w:ascii="Cambria Math" w:hAnsi="Cambria Math" w:cs="Arial"/>
                          <w:color w:val="000000"/>
                          <w:sz w:val="24"/>
                          <w:szCs w:val="24"/>
                        </w:rPr>
                        <m:t>PXd</m:t>
                      </m:r>
                    </m:sub>
                  </m:sSub>
                </m:num>
                <m:den>
                  <m:sSub>
                    <m:sSubPr>
                      <m:ctrlPr>
                        <w:rPr>
                          <w:rFonts w:ascii="Cambria Math" w:hAnsi="Arial" w:cs="Arial"/>
                          <w:i/>
                          <w:color w:val="000000"/>
                          <w:sz w:val="24"/>
                          <w:szCs w:val="24"/>
                        </w:rPr>
                      </m:ctrlPr>
                    </m:sSubPr>
                    <m:e>
                      <m:r>
                        <w:rPr>
                          <w:rFonts w:ascii="Cambria Math" w:hAnsi="Cambria Math" w:cs="Arial"/>
                          <w:color w:val="000000"/>
                          <w:sz w:val="24"/>
                          <w:szCs w:val="24"/>
                        </w:rPr>
                        <m:t>W</m:t>
                      </m:r>
                    </m:e>
                    <m:sub>
                      <m:r>
                        <w:rPr>
                          <w:rFonts w:ascii="Cambria Math" w:hAnsi="Cambria Math" w:cs="Arial"/>
                          <w:color w:val="000000"/>
                          <w:sz w:val="24"/>
                          <w:szCs w:val="24"/>
                        </w:rPr>
                        <m:t>PXt</m:t>
                      </m:r>
                    </m:sub>
                  </m:sSub>
                </m:den>
              </m:f>
            </m:e>
          </m:d>
          <m:r>
            <w:rPr>
              <w:rFonts w:ascii="Cambria Math" w:hAnsi="Arial" w:cs="Arial"/>
              <w:color w:val="000000"/>
              <w:sz w:val="24"/>
              <w:szCs w:val="24"/>
            </w:rPr>
            <m:t>×</m:t>
          </m:r>
          <m:r>
            <w:rPr>
              <w:rFonts w:ascii="Cambria Math" w:hAnsi="Arial" w:cs="Arial"/>
              <w:color w:val="000000"/>
              <w:sz w:val="24"/>
              <w:szCs w:val="24"/>
            </w:rPr>
            <m:t>100         (Eq. 2.2)</m:t>
          </m:r>
        </m:oMath>
      </m:oMathPara>
    </w:p>
    <w:p w:rsidR="00387A07" w:rsidRPr="00E17E1F" w:rsidRDefault="00387A07" w:rsidP="00387A07">
      <w:pPr>
        <w:autoSpaceDE w:val="0"/>
        <w:autoSpaceDN w:val="0"/>
        <w:adjustRightInd w:val="0"/>
        <w:spacing w:before="120" w:after="0" w:line="360" w:lineRule="auto"/>
        <w:jc w:val="both"/>
        <w:rPr>
          <w:rFonts w:ascii="Arial" w:hAnsi="Arial" w:cs="Arial"/>
          <w:color w:val="000000"/>
          <w:sz w:val="24"/>
          <w:szCs w:val="24"/>
        </w:rPr>
      </w:pPr>
      <w:r w:rsidRPr="00E17E1F">
        <w:rPr>
          <w:rFonts w:ascii="Arial" w:hAnsi="Arial" w:cs="Arial"/>
          <w:color w:val="000000"/>
          <w:sz w:val="24"/>
          <w:szCs w:val="24"/>
        </w:rPr>
        <w:t>where, W</w:t>
      </w:r>
      <w:r w:rsidRPr="00E17E1F">
        <w:rPr>
          <w:rFonts w:ascii="Arial" w:hAnsi="Arial" w:cs="Arial"/>
          <w:color w:val="000000"/>
          <w:sz w:val="24"/>
          <w:szCs w:val="24"/>
          <w:vertAlign w:val="subscript"/>
        </w:rPr>
        <w:t xml:space="preserve">PXd </w:t>
      </w:r>
      <w:r w:rsidRPr="00E17E1F">
        <w:rPr>
          <w:rFonts w:ascii="Arial" w:hAnsi="Arial" w:cs="Arial"/>
          <w:color w:val="000000"/>
          <w:sz w:val="24"/>
          <w:szCs w:val="24"/>
        </w:rPr>
        <w:t>is the weight (mg) of drug detected by UV spectroscopy and W</w:t>
      </w:r>
      <w:r w:rsidRPr="00E17E1F">
        <w:rPr>
          <w:rFonts w:ascii="Arial" w:hAnsi="Arial" w:cs="Arial"/>
          <w:color w:val="000000"/>
          <w:sz w:val="24"/>
          <w:szCs w:val="24"/>
          <w:vertAlign w:val="subscript"/>
        </w:rPr>
        <w:t xml:space="preserve">PXt </w:t>
      </w:r>
      <w:r w:rsidRPr="00E17E1F">
        <w:rPr>
          <w:rFonts w:ascii="Arial" w:hAnsi="Arial" w:cs="Arial"/>
          <w:color w:val="000000"/>
          <w:sz w:val="24"/>
          <w:szCs w:val="24"/>
        </w:rPr>
        <w:t>is the theoretical amount of drug expected in 10mg of nanoparticles.</w:t>
      </w:r>
    </w:p>
    <w:p w:rsidR="00387A07" w:rsidRPr="00E17E1F" w:rsidRDefault="00387A07" w:rsidP="00387A07">
      <w:pPr>
        <w:autoSpaceDE w:val="0"/>
        <w:autoSpaceDN w:val="0"/>
        <w:adjustRightInd w:val="0"/>
        <w:spacing w:after="0" w:line="360" w:lineRule="auto"/>
        <w:jc w:val="both"/>
        <w:rPr>
          <w:rFonts w:ascii="Arial" w:hAnsi="Arial" w:cs="Arial"/>
          <w:color w:val="000000"/>
          <w:sz w:val="24"/>
          <w:szCs w:val="24"/>
        </w:rPr>
      </w:pPr>
      <w:r w:rsidRPr="00E17E1F">
        <w:rPr>
          <w:rFonts w:ascii="Arial" w:hAnsi="Arial" w:cs="Arial"/>
          <w:color w:val="000000"/>
          <w:sz w:val="24"/>
          <w:szCs w:val="24"/>
        </w:rPr>
        <w:t>For the determination of PX release profiles, 10mg of nanoparticles were accurately weighted, dispersed in 1.5 ml distilled water and incubated at 37°C under constant shaking in a IKA KS-4000</w:t>
      </w:r>
      <w:r w:rsidRPr="00E17E1F">
        <w:rPr>
          <w:color w:val="000000"/>
        </w:rPr>
        <w:t xml:space="preserve"> </w:t>
      </w:r>
      <w:r w:rsidRPr="00E17E1F">
        <w:rPr>
          <w:rFonts w:ascii="Arial" w:hAnsi="Arial" w:cs="Arial"/>
          <w:color w:val="000000"/>
          <w:sz w:val="24"/>
          <w:szCs w:val="24"/>
        </w:rPr>
        <w:t>incubator for up to five days. The amount of drug released was measured daily. In order to characterize the initial burst effect, the measurement was taken after 1 and 6 hours soaking during the first day of incubation. At the predetermined time points, the release medium was replaced with fresh water, the old solution was diluted with proper volumes of ethanol and analyzed by UV spectroscopy to determine the amount of drug released over time.</w:t>
      </w:r>
    </w:p>
    <w:p w:rsidR="00387A07" w:rsidRPr="00E17E1F" w:rsidRDefault="00387A07" w:rsidP="00387A07">
      <w:pPr>
        <w:autoSpaceDE w:val="0"/>
        <w:autoSpaceDN w:val="0"/>
        <w:adjustRightInd w:val="0"/>
        <w:spacing w:before="240" w:after="240" w:line="360" w:lineRule="auto"/>
        <w:jc w:val="both"/>
        <w:rPr>
          <w:rFonts w:ascii="Arial" w:eastAsia="AdvTimes" w:hAnsi="Arial" w:cs="Arial"/>
          <w:b/>
          <w:color w:val="000000"/>
          <w:sz w:val="24"/>
          <w:szCs w:val="24"/>
        </w:rPr>
      </w:pPr>
      <w:r w:rsidRPr="00E17E1F">
        <w:rPr>
          <w:rFonts w:ascii="Arial" w:eastAsia="AdvTimes" w:hAnsi="Arial" w:cs="Arial"/>
          <w:b/>
          <w:color w:val="000000"/>
          <w:sz w:val="24"/>
          <w:szCs w:val="24"/>
        </w:rPr>
        <w:t>2.2.7  Hydrolytic degradation studies</w:t>
      </w:r>
    </w:p>
    <w:p w:rsidR="00387A07" w:rsidRPr="00E17E1F" w:rsidRDefault="00387A07" w:rsidP="00387A07">
      <w:pPr>
        <w:autoSpaceDE w:val="0"/>
        <w:autoSpaceDN w:val="0"/>
        <w:adjustRightInd w:val="0"/>
        <w:spacing w:after="0" w:line="360" w:lineRule="auto"/>
        <w:jc w:val="both"/>
        <w:rPr>
          <w:rFonts w:ascii="Arial" w:eastAsia="AdvTimes" w:hAnsi="Arial" w:cs="Arial"/>
          <w:color w:val="000000"/>
          <w:sz w:val="24"/>
          <w:szCs w:val="24"/>
        </w:rPr>
      </w:pPr>
      <w:r w:rsidRPr="00E17E1F">
        <w:rPr>
          <w:rFonts w:ascii="Arial" w:eastAsia="AdvTimes" w:hAnsi="Arial" w:cs="Arial"/>
          <w:color w:val="000000"/>
          <w:sz w:val="24"/>
          <w:szCs w:val="24"/>
        </w:rPr>
        <w:t xml:space="preserve">Hydrolytic degradation studies were performed on the three materials in the form of nanoparticles and films. </w:t>
      </w:r>
    </w:p>
    <w:p w:rsidR="00387A07" w:rsidRPr="00E17E1F" w:rsidRDefault="00387A07" w:rsidP="00387A07">
      <w:pPr>
        <w:autoSpaceDE w:val="0"/>
        <w:autoSpaceDN w:val="0"/>
        <w:adjustRightInd w:val="0"/>
        <w:spacing w:after="0" w:line="360" w:lineRule="auto"/>
        <w:jc w:val="both"/>
        <w:rPr>
          <w:rFonts w:ascii="Arial" w:eastAsia="AdvTimes" w:hAnsi="Arial" w:cs="Arial"/>
          <w:color w:val="000000"/>
          <w:sz w:val="24"/>
          <w:szCs w:val="24"/>
        </w:rPr>
      </w:pPr>
      <w:r w:rsidRPr="00E17E1F">
        <w:rPr>
          <w:rFonts w:ascii="Arial" w:eastAsia="AdvTimes" w:hAnsi="Arial" w:cs="Arial"/>
          <w:color w:val="000000"/>
          <w:sz w:val="24"/>
          <w:szCs w:val="24"/>
        </w:rPr>
        <w:t>PCL, PLA and C-BC2000 films were prepared by solvent casting, using chloroform as a solvent. Polymer films were prepared by solvent casting and then cut into slices (10mm x 10mm) which were used for further analysis.</w:t>
      </w:r>
    </w:p>
    <w:p w:rsidR="00387A07" w:rsidRPr="00E17E1F" w:rsidRDefault="00387A07" w:rsidP="00387A07">
      <w:pPr>
        <w:autoSpaceDE w:val="0"/>
        <w:autoSpaceDN w:val="0"/>
        <w:adjustRightInd w:val="0"/>
        <w:spacing w:after="0" w:line="360" w:lineRule="auto"/>
        <w:jc w:val="both"/>
        <w:rPr>
          <w:rFonts w:ascii="Arial" w:eastAsia="AdvTimes" w:hAnsi="Arial" w:cs="Arial"/>
          <w:color w:val="000000"/>
          <w:sz w:val="24"/>
          <w:szCs w:val="24"/>
        </w:rPr>
      </w:pPr>
      <w:r w:rsidRPr="00E17E1F">
        <w:rPr>
          <w:rFonts w:ascii="Arial" w:eastAsia="AdvTimes" w:hAnsi="Arial" w:cs="Arial"/>
          <w:color w:val="000000"/>
          <w:sz w:val="24"/>
          <w:szCs w:val="24"/>
        </w:rPr>
        <w:t>Degradation was studied by detecting changes in the average molecular weight of samples by Size Exclusion Chromatography (SEC).</w:t>
      </w:r>
    </w:p>
    <w:p w:rsidR="00387A07" w:rsidRPr="00E17E1F" w:rsidRDefault="00387A07" w:rsidP="00387A07">
      <w:pPr>
        <w:autoSpaceDE w:val="0"/>
        <w:autoSpaceDN w:val="0"/>
        <w:adjustRightInd w:val="0"/>
        <w:spacing w:after="120" w:line="360" w:lineRule="auto"/>
        <w:jc w:val="both"/>
        <w:rPr>
          <w:rFonts w:ascii="Arial" w:eastAsia="AdvTimes" w:hAnsi="Arial" w:cs="Arial"/>
          <w:color w:val="000000"/>
          <w:sz w:val="24"/>
          <w:szCs w:val="24"/>
        </w:rPr>
      </w:pPr>
      <w:r w:rsidRPr="00E17E1F">
        <w:rPr>
          <w:rFonts w:ascii="Arial" w:eastAsia="AdvTimes" w:hAnsi="Arial" w:cs="Arial"/>
          <w:color w:val="000000"/>
          <w:sz w:val="24"/>
          <w:szCs w:val="24"/>
        </w:rPr>
        <w:t>Molecular weight loss was expressed according to the following equation [28]:</w:t>
      </w:r>
    </w:p>
    <w:p w:rsidR="00387A07" w:rsidRPr="00E17E1F" w:rsidRDefault="00387A07" w:rsidP="00387A07">
      <w:pPr>
        <w:autoSpaceDE w:val="0"/>
        <w:autoSpaceDN w:val="0"/>
        <w:adjustRightInd w:val="0"/>
        <w:spacing w:line="360" w:lineRule="auto"/>
        <w:jc w:val="both"/>
        <w:rPr>
          <w:rFonts w:ascii="Arial" w:eastAsia="AdvTimes" w:hAnsi="Arial" w:cs="Arial"/>
          <w:color w:val="000000"/>
          <w:sz w:val="24"/>
          <w:szCs w:val="24"/>
        </w:rPr>
      </w:pPr>
      <m:oMathPara>
        <m:oMath>
          <m:r>
            <m:rPr>
              <m:sty m:val="p"/>
            </m:rPr>
            <w:rPr>
              <w:rFonts w:ascii="Cambria Math" w:eastAsia="AdvTimes" w:hAnsi="Cambria Math" w:cs="Arial"/>
              <w:color w:val="000000"/>
              <w:sz w:val="24"/>
              <w:szCs w:val="24"/>
            </w:rPr>
            <m:t>Δ</m:t>
          </m:r>
          <m:sSub>
            <m:sSubPr>
              <m:ctrlPr>
                <w:rPr>
                  <w:rFonts w:ascii="Cambria Math" w:eastAsia="AdvTimes" w:hAnsi="Cambria Math" w:cs="Arial"/>
                  <w:i/>
                  <w:color w:val="000000"/>
                  <w:sz w:val="24"/>
                  <w:szCs w:val="24"/>
                </w:rPr>
              </m:ctrlPr>
            </m:sSubPr>
            <m:e>
              <m:bar>
                <m:barPr>
                  <m:pos m:val="top"/>
                  <m:ctrlPr>
                    <w:rPr>
                      <w:rFonts w:ascii="Cambria Math" w:eastAsia="AdvTimes" w:hAnsi="Cambria Math" w:cs="Arial"/>
                      <w:i/>
                      <w:color w:val="000000"/>
                      <w:sz w:val="24"/>
                      <w:szCs w:val="24"/>
                    </w:rPr>
                  </m:ctrlPr>
                </m:barPr>
                <m:e>
                  <m:r>
                    <w:rPr>
                      <w:rFonts w:ascii="Cambria Math" w:eastAsia="AdvTimes" w:hAnsi="Cambria Math" w:cs="Arial"/>
                      <w:color w:val="000000"/>
                      <w:sz w:val="24"/>
                      <w:szCs w:val="24"/>
                    </w:rPr>
                    <m:t>M</m:t>
                  </m:r>
                </m:e>
              </m:bar>
            </m:e>
            <m:sub>
              <m:r>
                <w:rPr>
                  <w:rFonts w:ascii="Cambria Math" w:eastAsia="AdvTimes" w:hAnsi="Cambria Math" w:cs="Arial"/>
                  <w:color w:val="000000"/>
                  <w:sz w:val="24"/>
                  <w:szCs w:val="24"/>
                </w:rPr>
                <m:t>n</m:t>
              </m:r>
            </m:sub>
          </m:sSub>
          <m:r>
            <w:rPr>
              <w:rFonts w:ascii="Cambria Math" w:eastAsia="AdvTimes" w:hAnsi="Cambria Math" w:cs="Arial"/>
              <w:color w:val="000000"/>
              <w:sz w:val="24"/>
              <w:szCs w:val="24"/>
            </w:rPr>
            <m:t>=</m:t>
          </m:r>
          <m:d>
            <m:dPr>
              <m:ctrlPr>
                <w:rPr>
                  <w:rFonts w:ascii="Cambria Math" w:eastAsia="AdvTimes" w:hAnsi="Cambria Math" w:cs="Arial"/>
                  <w:i/>
                  <w:color w:val="000000"/>
                  <w:sz w:val="24"/>
                  <w:szCs w:val="24"/>
                </w:rPr>
              </m:ctrlPr>
            </m:dPr>
            <m:e>
              <m:f>
                <m:fPr>
                  <m:ctrlPr>
                    <w:rPr>
                      <w:rFonts w:ascii="Cambria Math" w:eastAsia="AdvTimes" w:hAnsi="Cambria Math" w:cs="Arial"/>
                      <w:i/>
                      <w:color w:val="000000"/>
                      <w:sz w:val="24"/>
                      <w:szCs w:val="24"/>
                    </w:rPr>
                  </m:ctrlPr>
                </m:fPr>
                <m:num>
                  <m:sSub>
                    <m:sSubPr>
                      <m:ctrlPr>
                        <w:rPr>
                          <w:rFonts w:ascii="Cambria Math" w:eastAsia="AdvTimes" w:hAnsi="Cambria Math" w:cs="Arial"/>
                          <w:i/>
                          <w:color w:val="000000"/>
                          <w:sz w:val="24"/>
                          <w:szCs w:val="24"/>
                        </w:rPr>
                      </m:ctrlPr>
                    </m:sSubPr>
                    <m:e>
                      <m:bar>
                        <m:barPr>
                          <m:pos m:val="top"/>
                          <m:ctrlPr>
                            <w:rPr>
                              <w:rFonts w:ascii="Cambria Math" w:eastAsia="AdvTimes" w:hAnsi="Cambria Math" w:cs="Arial"/>
                              <w:i/>
                              <w:color w:val="000000"/>
                              <w:sz w:val="24"/>
                              <w:szCs w:val="24"/>
                            </w:rPr>
                          </m:ctrlPr>
                        </m:barPr>
                        <m:e>
                          <m:r>
                            <w:rPr>
                              <w:rFonts w:ascii="Cambria Math" w:eastAsia="AdvTimes" w:hAnsi="Cambria Math" w:cs="Arial"/>
                              <w:color w:val="000000"/>
                              <w:sz w:val="24"/>
                              <w:szCs w:val="24"/>
                            </w:rPr>
                            <m:t>M</m:t>
                          </m:r>
                        </m:e>
                      </m:bar>
                    </m:e>
                    <m:sub>
                      <m:r>
                        <w:rPr>
                          <w:rFonts w:ascii="Cambria Math" w:eastAsia="AdvTimes" w:hAnsi="Cambria Math" w:cs="Arial"/>
                          <w:color w:val="000000"/>
                          <w:sz w:val="24"/>
                          <w:szCs w:val="24"/>
                        </w:rPr>
                        <m:t>n0</m:t>
                      </m:r>
                    </m:sub>
                  </m:sSub>
                  <m:r>
                    <w:rPr>
                      <w:rFonts w:ascii="Cambria Math" w:eastAsia="AdvTimes" w:hAnsi="Cambria Math" w:cs="Arial"/>
                      <w:color w:val="000000"/>
                      <w:sz w:val="24"/>
                      <w:szCs w:val="24"/>
                    </w:rPr>
                    <m:t>-</m:t>
                  </m:r>
                  <m:sSub>
                    <m:sSubPr>
                      <m:ctrlPr>
                        <w:rPr>
                          <w:rFonts w:ascii="Cambria Math" w:eastAsia="AdvTimes" w:hAnsi="Cambria Math" w:cs="Arial"/>
                          <w:i/>
                          <w:color w:val="000000"/>
                          <w:sz w:val="24"/>
                          <w:szCs w:val="24"/>
                        </w:rPr>
                      </m:ctrlPr>
                    </m:sSubPr>
                    <m:e>
                      <m:bar>
                        <m:barPr>
                          <m:pos m:val="top"/>
                          <m:ctrlPr>
                            <w:rPr>
                              <w:rFonts w:ascii="Cambria Math" w:eastAsia="AdvTimes" w:hAnsi="Cambria Math" w:cs="Arial"/>
                              <w:i/>
                              <w:color w:val="000000"/>
                              <w:sz w:val="24"/>
                              <w:szCs w:val="24"/>
                            </w:rPr>
                          </m:ctrlPr>
                        </m:barPr>
                        <m:e>
                          <m:r>
                            <w:rPr>
                              <w:rFonts w:ascii="Cambria Math" w:eastAsia="AdvTimes" w:hAnsi="Cambria Math" w:cs="Arial"/>
                              <w:color w:val="000000"/>
                              <w:sz w:val="24"/>
                              <w:szCs w:val="24"/>
                            </w:rPr>
                            <m:t>M</m:t>
                          </m:r>
                        </m:e>
                      </m:bar>
                    </m:e>
                    <m:sub>
                      <m:r>
                        <w:rPr>
                          <w:rFonts w:ascii="Cambria Math" w:eastAsia="AdvTimes" w:hAnsi="Cambria Math" w:cs="Arial"/>
                          <w:color w:val="000000"/>
                          <w:sz w:val="24"/>
                          <w:szCs w:val="24"/>
                        </w:rPr>
                        <m:t>nt</m:t>
                      </m:r>
                    </m:sub>
                  </m:sSub>
                </m:num>
                <m:den>
                  <m:sSub>
                    <m:sSubPr>
                      <m:ctrlPr>
                        <w:rPr>
                          <w:rFonts w:ascii="Cambria Math" w:eastAsia="AdvTimes" w:hAnsi="Cambria Math" w:cs="Arial"/>
                          <w:i/>
                          <w:color w:val="000000"/>
                          <w:sz w:val="24"/>
                          <w:szCs w:val="24"/>
                        </w:rPr>
                      </m:ctrlPr>
                    </m:sSubPr>
                    <m:e>
                      <m:bar>
                        <m:barPr>
                          <m:pos m:val="top"/>
                          <m:ctrlPr>
                            <w:rPr>
                              <w:rFonts w:ascii="Cambria Math" w:eastAsia="AdvTimes" w:hAnsi="Cambria Math" w:cs="Arial"/>
                              <w:i/>
                              <w:color w:val="000000"/>
                              <w:sz w:val="24"/>
                              <w:szCs w:val="24"/>
                            </w:rPr>
                          </m:ctrlPr>
                        </m:barPr>
                        <m:e>
                          <m:r>
                            <w:rPr>
                              <w:rFonts w:ascii="Cambria Math" w:eastAsia="AdvTimes" w:hAnsi="Cambria Math" w:cs="Arial"/>
                              <w:color w:val="000000"/>
                              <w:sz w:val="24"/>
                              <w:szCs w:val="24"/>
                            </w:rPr>
                            <m:t>M</m:t>
                          </m:r>
                        </m:e>
                      </m:bar>
                    </m:e>
                    <m:sub>
                      <m:r>
                        <w:rPr>
                          <w:rFonts w:ascii="Cambria Math" w:eastAsia="AdvTimes" w:hAnsi="Cambria Math" w:cs="Arial"/>
                          <w:color w:val="000000"/>
                          <w:sz w:val="24"/>
                          <w:szCs w:val="24"/>
                        </w:rPr>
                        <m:t>n0</m:t>
                      </m:r>
                    </m:sub>
                  </m:sSub>
                </m:den>
              </m:f>
            </m:e>
          </m:d>
          <m:r>
            <w:rPr>
              <w:rFonts w:ascii="Cambria Math" w:eastAsia="AdvTimes" w:hAnsi="Cambria Math" w:cs="Arial"/>
              <w:color w:val="000000"/>
              <w:sz w:val="24"/>
              <w:szCs w:val="24"/>
            </w:rPr>
            <m:t>×100   (Eq.2.3)</m:t>
          </m:r>
        </m:oMath>
      </m:oMathPara>
    </w:p>
    <w:p w:rsidR="00387A07" w:rsidRPr="00E17E1F" w:rsidRDefault="00387A07" w:rsidP="00387A07">
      <w:pPr>
        <w:autoSpaceDE w:val="0"/>
        <w:autoSpaceDN w:val="0"/>
        <w:adjustRightInd w:val="0"/>
        <w:spacing w:after="0" w:line="360" w:lineRule="auto"/>
        <w:jc w:val="both"/>
        <w:rPr>
          <w:rFonts w:ascii="Arial" w:eastAsia="AdvTimes" w:hAnsi="Arial" w:cs="Arial"/>
          <w:color w:val="000000"/>
          <w:sz w:val="24"/>
          <w:szCs w:val="24"/>
        </w:rPr>
      </w:pPr>
      <w:r w:rsidRPr="00E17E1F">
        <w:rPr>
          <w:rFonts w:ascii="Arial" w:eastAsia="AdvTimes" w:hAnsi="Arial" w:cs="Arial"/>
          <w:color w:val="000000"/>
          <w:sz w:val="24"/>
          <w:szCs w:val="24"/>
        </w:rPr>
        <w:lastRenderedPageBreak/>
        <w:t xml:space="preserve">Where </w:t>
      </w:r>
      <m:oMath>
        <m:bar>
          <m:barPr>
            <m:pos m:val="top"/>
            <m:ctrlPr>
              <w:rPr>
                <w:rFonts w:ascii="Cambria Math" w:eastAsia="AdvTimes" w:hAnsi="Cambria Math" w:cs="Arial"/>
                <w:i/>
                <w:color w:val="000000"/>
                <w:sz w:val="24"/>
                <w:szCs w:val="24"/>
              </w:rPr>
            </m:ctrlPr>
          </m:barPr>
          <m:e>
            <m:r>
              <w:rPr>
                <w:rFonts w:ascii="Cambria Math" w:eastAsia="AdvTimes" w:hAnsi="Cambria Math" w:cs="Arial"/>
                <w:color w:val="000000"/>
                <w:sz w:val="24"/>
                <w:szCs w:val="24"/>
              </w:rPr>
              <m:t>M</m:t>
            </m:r>
          </m:e>
        </m:bar>
      </m:oMath>
      <w:r w:rsidRPr="00E17E1F">
        <w:rPr>
          <w:rFonts w:ascii="Arial" w:eastAsia="AdvTimes" w:hAnsi="Arial" w:cs="Arial"/>
          <w:i/>
          <w:color w:val="000000"/>
          <w:sz w:val="24"/>
          <w:szCs w:val="24"/>
          <w:vertAlign w:val="subscript"/>
        </w:rPr>
        <w:t>n0</w:t>
      </w:r>
      <w:r w:rsidRPr="00E17E1F">
        <w:rPr>
          <w:rFonts w:ascii="Arial" w:eastAsia="AdvTimes" w:hAnsi="Arial" w:cs="Arial"/>
          <w:color w:val="000000"/>
          <w:sz w:val="24"/>
          <w:szCs w:val="24"/>
          <w:vertAlign w:val="subscript"/>
        </w:rPr>
        <w:t xml:space="preserve"> </w:t>
      </w:r>
      <w:r w:rsidRPr="00E17E1F">
        <w:rPr>
          <w:rFonts w:ascii="Arial" w:eastAsia="AdvTimes" w:hAnsi="Arial" w:cs="Arial"/>
          <w:color w:val="000000"/>
          <w:sz w:val="24"/>
          <w:szCs w:val="24"/>
        </w:rPr>
        <w:t xml:space="preserve">is the initial molecular weight and </w:t>
      </w:r>
      <m:oMath>
        <m:bar>
          <m:barPr>
            <m:pos m:val="top"/>
            <m:ctrlPr>
              <w:rPr>
                <w:rFonts w:ascii="Cambria Math" w:eastAsia="AdvTimes" w:hAnsi="Cambria Math" w:cs="Arial"/>
                <w:i/>
                <w:color w:val="000000"/>
                <w:sz w:val="24"/>
                <w:szCs w:val="24"/>
              </w:rPr>
            </m:ctrlPr>
          </m:barPr>
          <m:e>
            <m:r>
              <w:rPr>
                <w:rFonts w:ascii="Cambria Math" w:eastAsia="AdvTimes" w:hAnsi="Cambria Math" w:cs="Arial"/>
                <w:color w:val="000000"/>
                <w:sz w:val="24"/>
                <w:szCs w:val="24"/>
              </w:rPr>
              <m:t>M</m:t>
            </m:r>
          </m:e>
        </m:bar>
      </m:oMath>
      <w:r w:rsidRPr="00E17E1F">
        <w:rPr>
          <w:rFonts w:ascii="Arial" w:eastAsia="AdvTimes" w:hAnsi="Arial" w:cs="Arial"/>
          <w:i/>
          <w:color w:val="000000"/>
          <w:sz w:val="24"/>
          <w:szCs w:val="24"/>
          <w:vertAlign w:val="subscript"/>
        </w:rPr>
        <w:t>nt</w:t>
      </w:r>
      <w:r w:rsidRPr="00E17E1F">
        <w:rPr>
          <w:rFonts w:ascii="Arial" w:eastAsia="AdvTimes" w:hAnsi="Arial" w:cs="Arial"/>
          <w:color w:val="000000"/>
          <w:sz w:val="24"/>
          <w:szCs w:val="24"/>
          <w:vertAlign w:val="subscript"/>
        </w:rPr>
        <w:t xml:space="preserve"> </w:t>
      </w:r>
      <w:r w:rsidRPr="00E17E1F">
        <w:rPr>
          <w:rFonts w:ascii="Arial" w:eastAsia="AdvTimes" w:hAnsi="Arial" w:cs="Arial"/>
          <w:color w:val="000000"/>
          <w:sz w:val="24"/>
          <w:szCs w:val="24"/>
        </w:rPr>
        <w:t>is the molecular weight after each degradation step.</w:t>
      </w:r>
    </w:p>
    <w:p w:rsidR="00387A07" w:rsidRPr="00E17E1F" w:rsidRDefault="00387A07" w:rsidP="00387A07">
      <w:pPr>
        <w:spacing w:after="0" w:line="360" w:lineRule="auto"/>
        <w:jc w:val="both"/>
        <w:rPr>
          <w:rFonts w:ascii="Arial" w:eastAsia="AdvTimes" w:hAnsi="Arial" w:cs="Arial"/>
          <w:sz w:val="24"/>
          <w:szCs w:val="24"/>
          <w:lang w:val="en-US"/>
        </w:rPr>
      </w:pPr>
      <w:r w:rsidRPr="00E17E1F">
        <w:rPr>
          <w:rFonts w:ascii="Arial" w:eastAsia="AdvTimes" w:hAnsi="Arial" w:cs="Arial"/>
          <w:color w:val="000000"/>
          <w:sz w:val="24"/>
          <w:szCs w:val="24"/>
        </w:rPr>
        <w:t xml:space="preserve">To assess the biodegradation behaviour in contact with physiological fluids, nanoparticles (10mg) and films were immersed in PBS pH 7.5 (0.1ml/mg of polymer) at 37°C in a shaking incubator, for up to four weeks. The buffer medium was changed every 3 days. After predetermined </w:t>
      </w:r>
      <w:r w:rsidRPr="00E17E1F">
        <w:rPr>
          <w:rFonts w:ascii="Arial" w:eastAsia="AdvTimes" w:hAnsi="Arial" w:cs="Arial"/>
          <w:sz w:val="24"/>
          <w:szCs w:val="24"/>
          <w:lang w:val="en-US"/>
        </w:rPr>
        <w:t xml:space="preserve">periods of time, three samples for each polymer were removed from the solution, washed with distilled water, dried under vacuum at room temperature for 24 hours and their average number molecular weight was determined. </w:t>
      </w:r>
    </w:p>
    <w:p w:rsidR="00387A07" w:rsidRPr="00E17E1F" w:rsidRDefault="00387A07" w:rsidP="00387A07">
      <w:pPr>
        <w:spacing w:before="240" w:after="240" w:line="360" w:lineRule="auto"/>
        <w:jc w:val="both"/>
        <w:rPr>
          <w:rFonts w:ascii="Arial" w:hAnsi="Arial" w:cs="Arial"/>
          <w:b/>
          <w:sz w:val="24"/>
          <w:szCs w:val="24"/>
        </w:rPr>
      </w:pPr>
      <w:r w:rsidRPr="00E17E1F">
        <w:rPr>
          <w:rFonts w:ascii="Arial" w:hAnsi="Arial" w:cs="Arial"/>
          <w:b/>
          <w:sz w:val="24"/>
          <w:szCs w:val="24"/>
        </w:rPr>
        <w:t>2.2.8 In vitro cell viability.</w:t>
      </w:r>
    </w:p>
    <w:p w:rsidR="00387A07" w:rsidRPr="00E17E1F" w:rsidRDefault="00387A07" w:rsidP="00387A07">
      <w:pPr>
        <w:spacing w:after="0" w:line="360" w:lineRule="auto"/>
        <w:jc w:val="both"/>
        <w:rPr>
          <w:rFonts w:ascii="Arial" w:hAnsi="Arial" w:cs="Arial"/>
          <w:color w:val="000000"/>
          <w:sz w:val="24"/>
          <w:szCs w:val="24"/>
        </w:rPr>
      </w:pPr>
      <w:r w:rsidRPr="00E17E1F">
        <w:rPr>
          <w:rFonts w:ascii="Arial" w:hAnsi="Arial" w:cs="Arial"/>
          <w:color w:val="000000"/>
          <w:sz w:val="24"/>
          <w:szCs w:val="24"/>
        </w:rPr>
        <w:t xml:space="preserve">To assess the toxicity of nanoparticles, the calcein-am assay was used. This viability test uses the lypophilic, non-fluorescent calcein-acetoxymethylester (Cal-AM) which </w:t>
      </w:r>
      <w:r w:rsidRPr="00E17E1F">
        <w:rPr>
          <w:rFonts w:ascii="Arial" w:hAnsi="Arial" w:cs="Arial"/>
          <w:sz w:val="24"/>
          <w:szCs w:val="24"/>
        </w:rPr>
        <w:t xml:space="preserve">can be transported through the cellular membrane of living cells </w:t>
      </w:r>
      <w:r w:rsidRPr="00E17E1F">
        <w:rPr>
          <w:rFonts w:ascii="Arial" w:hAnsi="Arial" w:cs="Arial"/>
          <w:color w:val="000000"/>
          <w:sz w:val="24"/>
          <w:szCs w:val="24"/>
        </w:rPr>
        <w:t xml:space="preserve">and then cleaved by intracellular esterases by </w:t>
      </w:r>
      <w:r w:rsidRPr="00E17E1F">
        <w:rPr>
          <w:rFonts w:ascii="Arial" w:hAnsi="Arial" w:cs="Arial"/>
          <w:sz w:val="24"/>
          <w:szCs w:val="24"/>
        </w:rPr>
        <w:t>acetomethoxy group</w:t>
      </w:r>
      <w:r w:rsidRPr="00E17E1F">
        <w:rPr>
          <w:rFonts w:ascii="Arial" w:hAnsi="Arial" w:cs="Arial"/>
          <w:color w:val="000000"/>
          <w:sz w:val="24"/>
          <w:szCs w:val="24"/>
        </w:rPr>
        <w:t xml:space="preserve"> removal [29].</w:t>
      </w:r>
    </w:p>
    <w:p w:rsidR="00387A07" w:rsidRPr="00E17E1F" w:rsidRDefault="00387A07" w:rsidP="00387A07">
      <w:pPr>
        <w:spacing w:after="0" w:line="360" w:lineRule="auto"/>
        <w:jc w:val="both"/>
        <w:rPr>
          <w:rFonts w:ascii="Arial" w:hAnsi="Arial" w:cs="Arial"/>
          <w:color w:val="000000"/>
          <w:sz w:val="24"/>
          <w:szCs w:val="24"/>
        </w:rPr>
      </w:pPr>
      <w:r w:rsidRPr="00E17E1F">
        <w:rPr>
          <w:rFonts w:ascii="Arial" w:hAnsi="Arial" w:cs="Arial"/>
          <w:sz w:val="24"/>
          <w:szCs w:val="24"/>
        </w:rPr>
        <w:t>The molecule gets trapped inside living cells and gives out a strong green fluorescence. As dead cells lack active esterases, only live cells can be labelled.</w:t>
      </w:r>
    </w:p>
    <w:p w:rsidR="00387A07" w:rsidRPr="00E17E1F" w:rsidRDefault="00387A07" w:rsidP="00387A07">
      <w:pPr>
        <w:spacing w:after="0" w:line="360" w:lineRule="auto"/>
        <w:jc w:val="both"/>
        <w:rPr>
          <w:rFonts w:ascii="Arial" w:hAnsi="Arial" w:cs="Arial"/>
          <w:color w:val="000000"/>
          <w:sz w:val="24"/>
          <w:szCs w:val="24"/>
        </w:rPr>
      </w:pPr>
      <w:r w:rsidRPr="00E17E1F">
        <w:rPr>
          <w:rFonts w:ascii="Arial" w:hAnsi="Arial" w:cs="Arial"/>
          <w:color w:val="000000"/>
          <w:sz w:val="24"/>
          <w:szCs w:val="24"/>
        </w:rPr>
        <w:t>A431 human epithelial carcinoma cells were selected and cultured in DMEM supplemented with 10% foetal bovine serum and 1% antibiotic mixture.</w:t>
      </w:r>
    </w:p>
    <w:p w:rsidR="00387A07" w:rsidRPr="00E17E1F" w:rsidRDefault="00387A07" w:rsidP="00387A07">
      <w:pPr>
        <w:spacing w:after="0" w:line="360" w:lineRule="auto"/>
        <w:jc w:val="both"/>
        <w:rPr>
          <w:rFonts w:ascii="Arial" w:hAnsi="Arial" w:cs="Arial"/>
          <w:color w:val="000000"/>
          <w:sz w:val="24"/>
          <w:szCs w:val="24"/>
        </w:rPr>
      </w:pPr>
      <w:r w:rsidRPr="00E17E1F">
        <w:rPr>
          <w:rFonts w:ascii="Arial" w:hAnsi="Arial" w:cs="Arial"/>
          <w:color w:val="000000"/>
          <w:sz w:val="24"/>
          <w:szCs w:val="24"/>
        </w:rPr>
        <w:t xml:space="preserve">Cells were then incubated for 24 hours in the presence of nanoparticles at three different concentrations ( 2, 1 and 0.5 mg/ml). </w:t>
      </w:r>
    </w:p>
    <w:p w:rsidR="00387A07" w:rsidRPr="00E17E1F" w:rsidRDefault="00387A07" w:rsidP="00387A07">
      <w:pPr>
        <w:spacing w:after="0" w:line="360" w:lineRule="auto"/>
        <w:jc w:val="both"/>
        <w:rPr>
          <w:rFonts w:ascii="Arial" w:hAnsi="Arial" w:cs="Arial"/>
          <w:color w:val="000000"/>
          <w:sz w:val="24"/>
          <w:szCs w:val="24"/>
        </w:rPr>
      </w:pPr>
      <w:r w:rsidRPr="00E17E1F">
        <w:rPr>
          <w:rFonts w:ascii="Arial" w:hAnsi="Arial" w:cs="Arial"/>
          <w:color w:val="000000"/>
          <w:sz w:val="24"/>
          <w:szCs w:val="24"/>
        </w:rPr>
        <w:t xml:space="preserve">For cell viability assessment, cells were washed with sterile PBS and then incubated for 30 min at 37°C with a solution of 2.5 µM Calcein-am in PBS. Plates were read with a fluorescence reader (Infinite Pro200, Tecan, Wien, Austria) by using 485-nm excitation and 535-nm emission filters. </w:t>
      </w:r>
    </w:p>
    <w:p w:rsidR="00387A07" w:rsidRPr="00E17E1F" w:rsidRDefault="00387A07" w:rsidP="00387A07">
      <w:pPr>
        <w:spacing w:after="0" w:line="360" w:lineRule="auto"/>
        <w:jc w:val="both"/>
        <w:rPr>
          <w:rFonts w:ascii="Arial" w:hAnsi="Arial" w:cs="Arial"/>
          <w:b/>
          <w:i/>
          <w:sz w:val="24"/>
          <w:szCs w:val="24"/>
        </w:rPr>
      </w:pPr>
      <w:r w:rsidRPr="00E17E1F">
        <w:rPr>
          <w:rFonts w:ascii="Arial" w:hAnsi="Arial" w:cs="Arial"/>
          <w:color w:val="000000"/>
          <w:sz w:val="24"/>
          <w:szCs w:val="24"/>
        </w:rPr>
        <w:t>All experiments were run in triplicate and non treated cells were used as positive controls.</w:t>
      </w:r>
    </w:p>
    <w:p w:rsidR="00387A07" w:rsidRPr="00E17E1F" w:rsidRDefault="00387A07" w:rsidP="00387A07">
      <w:pPr>
        <w:spacing w:before="240" w:after="240" w:line="360" w:lineRule="auto"/>
        <w:jc w:val="both"/>
        <w:rPr>
          <w:rFonts w:ascii="Arial" w:hAnsi="Arial" w:cs="Arial"/>
          <w:b/>
          <w:sz w:val="24"/>
          <w:szCs w:val="24"/>
        </w:rPr>
      </w:pPr>
      <w:r w:rsidRPr="00E17E1F">
        <w:rPr>
          <w:rFonts w:ascii="Arial" w:hAnsi="Arial" w:cs="Arial"/>
          <w:b/>
          <w:sz w:val="24"/>
          <w:szCs w:val="24"/>
        </w:rPr>
        <w:t>2.2.9  In vitro cellular uptake.</w:t>
      </w:r>
    </w:p>
    <w:p w:rsidR="00387A07" w:rsidRPr="00E17E1F" w:rsidRDefault="00387A07" w:rsidP="00387A07">
      <w:pPr>
        <w:spacing w:after="0" w:line="360" w:lineRule="auto"/>
        <w:jc w:val="both"/>
        <w:rPr>
          <w:rFonts w:ascii="Arial" w:hAnsi="Arial" w:cs="Arial"/>
          <w:color w:val="000000"/>
          <w:sz w:val="24"/>
          <w:szCs w:val="24"/>
        </w:rPr>
      </w:pPr>
      <w:r w:rsidRPr="00E17E1F">
        <w:rPr>
          <w:rFonts w:ascii="Arial" w:hAnsi="Arial" w:cs="Arial"/>
          <w:color w:val="000000"/>
          <w:sz w:val="24"/>
          <w:szCs w:val="24"/>
        </w:rPr>
        <w:t xml:space="preserve">To assess the ability of nanoparticles to penetrate cells membrane, Rhodamine-loaded nanoparticles were prepared according to the protocol described in section 2.2.5.1, by adding the dye (0.5% w/w with respect to the polymer weight) to the polymer-acetone solution. </w:t>
      </w:r>
    </w:p>
    <w:p w:rsidR="00387A07" w:rsidRPr="00E17E1F" w:rsidRDefault="00387A07" w:rsidP="00387A07">
      <w:pPr>
        <w:spacing w:after="0" w:line="360" w:lineRule="auto"/>
        <w:jc w:val="both"/>
        <w:rPr>
          <w:rFonts w:ascii="Arial" w:hAnsi="Arial" w:cs="Arial"/>
          <w:color w:val="000000"/>
          <w:sz w:val="24"/>
          <w:szCs w:val="24"/>
        </w:rPr>
      </w:pPr>
      <w:r w:rsidRPr="00E17E1F">
        <w:rPr>
          <w:rFonts w:ascii="Arial" w:hAnsi="Arial" w:cs="Arial"/>
          <w:color w:val="000000"/>
          <w:sz w:val="24"/>
          <w:szCs w:val="24"/>
        </w:rPr>
        <w:t xml:space="preserve">Cells were cultured in 24-well plates until they reached 80% confluence. The medium was then removed and replaced with Rhodamine-loaded particles solution (1mg/ml) and cells </w:t>
      </w:r>
      <w:r w:rsidRPr="00E17E1F">
        <w:rPr>
          <w:rFonts w:ascii="Arial" w:hAnsi="Arial" w:cs="Arial"/>
          <w:color w:val="000000"/>
          <w:sz w:val="24"/>
          <w:szCs w:val="24"/>
        </w:rPr>
        <w:lastRenderedPageBreak/>
        <w:t>were incubated for 2 hours. After incubation, the NPs suspension was removed and cells were washed three times with sterile PBS to remove nanoparticles that were not internalized by the cells.</w:t>
      </w:r>
    </w:p>
    <w:p w:rsidR="00387A07" w:rsidRPr="00E17E1F" w:rsidRDefault="00387A07" w:rsidP="00387A07">
      <w:pPr>
        <w:spacing w:after="0" w:line="360" w:lineRule="auto"/>
        <w:jc w:val="both"/>
        <w:rPr>
          <w:rFonts w:ascii="Arial" w:hAnsi="Arial" w:cs="Arial"/>
          <w:color w:val="000000"/>
          <w:sz w:val="24"/>
          <w:szCs w:val="24"/>
        </w:rPr>
      </w:pPr>
      <w:r w:rsidRPr="00E17E1F">
        <w:rPr>
          <w:rFonts w:ascii="Arial" w:hAnsi="Arial" w:cs="Arial"/>
          <w:color w:val="000000"/>
          <w:sz w:val="24"/>
          <w:szCs w:val="24"/>
        </w:rPr>
        <w:t>Microplate reader was used to measure the fluorescence intensity from dye-loaded nanoparticles with an excitation wavelength of 485 nm and emission wavelength at 535 nm.</w:t>
      </w:r>
    </w:p>
    <w:p w:rsidR="00387A07" w:rsidRPr="00E17E1F" w:rsidRDefault="00387A07" w:rsidP="00387A07">
      <w:pPr>
        <w:spacing w:after="0" w:line="360" w:lineRule="auto"/>
        <w:jc w:val="both"/>
        <w:rPr>
          <w:rFonts w:ascii="Arial" w:hAnsi="Arial" w:cs="Arial"/>
          <w:color w:val="000000"/>
          <w:sz w:val="24"/>
          <w:szCs w:val="24"/>
        </w:rPr>
      </w:pPr>
      <w:r w:rsidRPr="00E17E1F">
        <w:rPr>
          <w:rFonts w:ascii="Arial" w:hAnsi="Arial" w:cs="Arial"/>
          <w:color w:val="000000"/>
          <w:sz w:val="24"/>
          <w:szCs w:val="24"/>
        </w:rPr>
        <w:t>The cellular uptake efficiency was expressed as the fluorescence of the test well divided by that of the positive control wells.</w:t>
      </w:r>
    </w:p>
    <w:p w:rsidR="00387A07" w:rsidRPr="00E17E1F" w:rsidRDefault="00387A07" w:rsidP="00387A07">
      <w:pPr>
        <w:spacing w:after="0" w:line="360" w:lineRule="auto"/>
        <w:jc w:val="both"/>
        <w:rPr>
          <w:rFonts w:ascii="Arial" w:hAnsi="Arial" w:cs="Arial"/>
          <w:color w:val="000000"/>
          <w:sz w:val="24"/>
          <w:szCs w:val="24"/>
        </w:rPr>
      </w:pPr>
      <w:r w:rsidRPr="00E17E1F">
        <w:rPr>
          <w:rFonts w:ascii="Arial" w:hAnsi="Arial" w:cs="Arial"/>
          <w:color w:val="000000"/>
          <w:sz w:val="24"/>
          <w:szCs w:val="24"/>
        </w:rPr>
        <w:t>For fluorescent microscopy, cells were cultured in 24-well plates at a cell density of 50000 cells/well and incubated for 2 hours with Rhodamin-loaded particles solution (1mg/ml).</w:t>
      </w:r>
    </w:p>
    <w:p w:rsidR="00387A07" w:rsidRPr="00E17E1F" w:rsidRDefault="00387A07" w:rsidP="00387A07">
      <w:pPr>
        <w:spacing w:after="0" w:line="360" w:lineRule="auto"/>
        <w:jc w:val="both"/>
        <w:rPr>
          <w:rFonts w:ascii="Arial" w:hAnsi="Arial" w:cs="Arial"/>
          <w:color w:val="000000"/>
          <w:sz w:val="24"/>
          <w:szCs w:val="24"/>
        </w:rPr>
      </w:pPr>
      <w:r w:rsidRPr="00E17E1F">
        <w:rPr>
          <w:rFonts w:ascii="Arial" w:hAnsi="Arial" w:cs="Arial"/>
          <w:color w:val="000000"/>
          <w:sz w:val="24"/>
          <w:szCs w:val="24"/>
        </w:rPr>
        <w:t xml:space="preserve">After incubation, the medium was removed, cells were washed thrice with sterile PBS and fixed with 3.7% paraformaldehyde, permeabilized with 0.1% Triton X-100. The nuclei were stained with </w:t>
      </w:r>
      <w:r w:rsidRPr="00E17E1F">
        <w:rPr>
          <w:rFonts w:ascii="Arial" w:hAnsi="Arial" w:cs="Arial"/>
          <w:sz w:val="24"/>
          <w:szCs w:val="24"/>
        </w:rPr>
        <w:t>Hoechst</w:t>
      </w:r>
      <w:r w:rsidRPr="00E17E1F">
        <w:rPr>
          <w:rFonts w:ascii="Arial" w:hAnsi="Arial" w:cs="Arial"/>
          <w:color w:val="000000"/>
          <w:sz w:val="24"/>
          <w:szCs w:val="24"/>
        </w:rPr>
        <w:t xml:space="preserve"> blue. Cells were observed with a Zeiss LSM 510 confocal system interfaced with a Zeiss Axiovert 100 M microscope (Zeiss, Oberkochen, Germany).</w:t>
      </w:r>
    </w:p>
    <w:p w:rsidR="00387A07" w:rsidRPr="00E17E1F" w:rsidRDefault="00387A07" w:rsidP="00387A07">
      <w:pPr>
        <w:spacing w:before="240" w:after="240" w:line="360" w:lineRule="auto"/>
        <w:jc w:val="both"/>
        <w:rPr>
          <w:rFonts w:ascii="Arial" w:hAnsi="Arial" w:cs="Arial"/>
          <w:b/>
          <w:sz w:val="28"/>
          <w:szCs w:val="28"/>
        </w:rPr>
      </w:pPr>
      <w:r w:rsidRPr="00E17E1F">
        <w:rPr>
          <w:rFonts w:ascii="Arial" w:hAnsi="Arial" w:cs="Arial"/>
          <w:b/>
          <w:sz w:val="28"/>
          <w:szCs w:val="28"/>
        </w:rPr>
        <w:t>2.3 Results &amp; Discussion</w:t>
      </w:r>
    </w:p>
    <w:p w:rsidR="00387A07" w:rsidRPr="00E17E1F" w:rsidRDefault="00387A07" w:rsidP="00387A07">
      <w:pPr>
        <w:spacing w:before="240" w:after="240" w:line="360" w:lineRule="auto"/>
        <w:jc w:val="both"/>
        <w:rPr>
          <w:rFonts w:ascii="Arial" w:hAnsi="Arial" w:cs="Arial"/>
          <w:b/>
          <w:sz w:val="24"/>
          <w:szCs w:val="24"/>
        </w:rPr>
      </w:pPr>
      <w:r w:rsidRPr="00E17E1F">
        <w:rPr>
          <w:rFonts w:ascii="Arial" w:hAnsi="Arial" w:cs="Arial"/>
          <w:b/>
          <w:sz w:val="24"/>
          <w:szCs w:val="24"/>
        </w:rPr>
        <w:t xml:space="preserve">2.3.1 Polymer synthesis and characterization </w:t>
      </w:r>
    </w:p>
    <w:p w:rsidR="00387A07" w:rsidRPr="00E17E1F" w:rsidRDefault="00387A07" w:rsidP="00387A07">
      <w:pPr>
        <w:spacing w:before="240" w:after="240" w:line="360" w:lineRule="auto"/>
        <w:jc w:val="both"/>
        <w:rPr>
          <w:rFonts w:ascii="Arial" w:hAnsi="Arial" w:cs="Arial"/>
          <w:b/>
          <w:i/>
          <w:sz w:val="24"/>
          <w:szCs w:val="24"/>
        </w:rPr>
      </w:pPr>
      <w:r w:rsidRPr="00E17E1F">
        <w:rPr>
          <w:rFonts w:ascii="Arial" w:hAnsi="Arial" w:cs="Arial"/>
          <w:b/>
          <w:i/>
          <w:sz w:val="24"/>
          <w:szCs w:val="24"/>
        </w:rPr>
        <w:t>2.3.1.1 ATR-FT-IR Analysis</w:t>
      </w:r>
    </w:p>
    <w:p w:rsidR="00387A07" w:rsidRPr="00E17E1F" w:rsidRDefault="00387A07" w:rsidP="00387A07">
      <w:pPr>
        <w:autoSpaceDE w:val="0"/>
        <w:autoSpaceDN w:val="0"/>
        <w:adjustRightInd w:val="0"/>
        <w:spacing w:after="120" w:line="360" w:lineRule="auto"/>
        <w:jc w:val="both"/>
        <w:rPr>
          <w:rFonts w:ascii="Arial" w:hAnsi="Arial" w:cs="Arial"/>
          <w:sz w:val="24"/>
          <w:szCs w:val="24"/>
          <w:lang w:val="en-US"/>
        </w:rPr>
      </w:pPr>
      <w:r w:rsidRPr="00E17E1F">
        <w:rPr>
          <w:rFonts w:ascii="Arial" w:hAnsi="Arial" w:cs="Arial"/>
          <w:bCs/>
          <w:sz w:val="24"/>
          <w:szCs w:val="24"/>
        </w:rPr>
        <w:t>A Polyurethane with the desired structure was successfully synthesized</w:t>
      </w:r>
      <w:r w:rsidRPr="00E17E1F">
        <w:rPr>
          <w:rFonts w:ascii="Arial" w:hAnsi="Arial" w:cs="Arial"/>
          <w:b/>
          <w:bCs/>
          <w:sz w:val="24"/>
          <w:szCs w:val="24"/>
        </w:rPr>
        <w:t xml:space="preserve"> </w:t>
      </w:r>
      <w:r w:rsidRPr="00E17E1F">
        <w:rPr>
          <w:rFonts w:ascii="Arial" w:hAnsi="Arial" w:cs="Arial"/>
          <w:bCs/>
          <w:sz w:val="24"/>
          <w:szCs w:val="24"/>
        </w:rPr>
        <w:t xml:space="preserve">as confirmed by </w:t>
      </w:r>
      <w:r w:rsidRPr="00E17E1F">
        <w:rPr>
          <w:rFonts w:ascii="Arial" w:hAnsi="Arial" w:cs="Arial"/>
          <w:sz w:val="24"/>
          <w:szCs w:val="24"/>
          <w:lang w:val="en-US"/>
        </w:rPr>
        <w:t>Attenuated Total Reflectance Fourier Transform Infrared Spectroscopy</w:t>
      </w:r>
      <w:r w:rsidRPr="00E17E1F">
        <w:rPr>
          <w:rFonts w:ascii="Arial" w:hAnsi="Arial" w:cs="Arial"/>
          <w:bCs/>
          <w:sz w:val="24"/>
          <w:szCs w:val="24"/>
        </w:rPr>
        <w:t xml:space="preserve"> (</w:t>
      </w:r>
      <w:r w:rsidRPr="00E17E1F">
        <w:rPr>
          <w:rFonts w:ascii="Arial" w:hAnsi="Arial" w:cs="Arial"/>
          <w:sz w:val="24"/>
          <w:szCs w:val="24"/>
          <w:lang w:val="en-US"/>
        </w:rPr>
        <w:t>ATR-FT-IR -Perkin Elmer Spectrum 100 UATR KRS5), reported in figure 2.1. ATR-FT-IR shows the presence of the characteristic peaks at 1720 cm</w:t>
      </w:r>
      <w:r w:rsidRPr="00E17E1F">
        <w:rPr>
          <w:rFonts w:ascii="Arial" w:hAnsi="Arial" w:cs="Arial"/>
          <w:sz w:val="24"/>
          <w:szCs w:val="24"/>
          <w:vertAlign w:val="superscript"/>
          <w:lang w:val="en-US"/>
        </w:rPr>
        <w:t>-1</w:t>
      </w:r>
      <w:r w:rsidRPr="00E17E1F">
        <w:rPr>
          <w:rFonts w:ascii="Arial" w:hAnsi="Arial" w:cs="Arial"/>
          <w:sz w:val="24"/>
          <w:szCs w:val="24"/>
          <w:lang w:val="en-US"/>
        </w:rPr>
        <w:t>, 3330 cm</w:t>
      </w:r>
      <w:r w:rsidRPr="00E17E1F">
        <w:rPr>
          <w:rFonts w:ascii="Arial" w:hAnsi="Arial" w:cs="Arial"/>
          <w:sz w:val="24"/>
          <w:szCs w:val="24"/>
          <w:vertAlign w:val="superscript"/>
          <w:lang w:val="en-US"/>
        </w:rPr>
        <w:t>-1</w:t>
      </w:r>
      <w:r w:rsidRPr="00E17E1F">
        <w:rPr>
          <w:rFonts w:ascii="Arial" w:hAnsi="Arial" w:cs="Arial"/>
          <w:sz w:val="24"/>
          <w:szCs w:val="24"/>
          <w:lang w:val="en-US"/>
        </w:rPr>
        <w:t>, 1680 cm</w:t>
      </w:r>
      <w:r w:rsidRPr="00E17E1F">
        <w:rPr>
          <w:rFonts w:ascii="Arial" w:hAnsi="Arial" w:cs="Arial"/>
          <w:sz w:val="24"/>
          <w:szCs w:val="24"/>
          <w:vertAlign w:val="superscript"/>
          <w:lang w:val="en-US"/>
        </w:rPr>
        <w:t>-1</w:t>
      </w:r>
      <w:r w:rsidRPr="00E17E1F">
        <w:rPr>
          <w:rFonts w:ascii="Arial" w:hAnsi="Arial" w:cs="Arial"/>
          <w:sz w:val="24"/>
          <w:szCs w:val="24"/>
          <w:lang w:val="en-US"/>
        </w:rPr>
        <w:t xml:space="preserve"> and 1530 cm</w:t>
      </w:r>
      <w:r w:rsidRPr="00E17E1F">
        <w:rPr>
          <w:rFonts w:ascii="Arial" w:hAnsi="Arial" w:cs="Arial"/>
          <w:sz w:val="24"/>
          <w:szCs w:val="24"/>
          <w:vertAlign w:val="superscript"/>
          <w:lang w:val="en-US"/>
        </w:rPr>
        <w:t>-1</w:t>
      </w:r>
      <w:r w:rsidRPr="00E17E1F">
        <w:rPr>
          <w:rFonts w:ascii="Arial" w:hAnsi="Arial" w:cs="Arial"/>
          <w:sz w:val="24"/>
          <w:szCs w:val="24"/>
          <w:lang w:val="en-US"/>
        </w:rPr>
        <w:t>, associated with the absorption of the carbonyl of the ester groups, the urethane group and amide I and II respectively. The absorbance at 1160 cm</w:t>
      </w:r>
      <w:r w:rsidRPr="00E17E1F">
        <w:rPr>
          <w:rFonts w:ascii="Arial" w:hAnsi="Arial" w:cs="Arial"/>
          <w:sz w:val="24"/>
          <w:szCs w:val="24"/>
          <w:vertAlign w:val="superscript"/>
          <w:lang w:val="en-US"/>
        </w:rPr>
        <w:t>-1</w:t>
      </w:r>
      <w:r w:rsidRPr="00E17E1F">
        <w:rPr>
          <w:rFonts w:ascii="Arial" w:hAnsi="Arial" w:cs="Arial"/>
          <w:sz w:val="24"/>
          <w:szCs w:val="24"/>
          <w:lang w:val="en-US"/>
        </w:rPr>
        <w:t xml:space="preserve"> was attributed to C-O stretching in PCL. The conversion of the isocyanate groups was quantitative as no peaks were detected at 2200 cm</w:t>
      </w:r>
      <w:r w:rsidRPr="00E17E1F">
        <w:rPr>
          <w:rFonts w:ascii="Arial" w:hAnsi="Arial" w:cs="Arial"/>
          <w:sz w:val="24"/>
          <w:szCs w:val="24"/>
          <w:vertAlign w:val="superscript"/>
          <w:lang w:val="en-US"/>
        </w:rPr>
        <w:t>-1</w:t>
      </w:r>
      <w:r w:rsidRPr="00E17E1F">
        <w:rPr>
          <w:rFonts w:ascii="Arial" w:hAnsi="Arial" w:cs="Arial"/>
          <w:sz w:val="24"/>
          <w:szCs w:val="24"/>
          <w:lang w:val="en-US"/>
        </w:rPr>
        <w:t xml:space="preserve">. </w:t>
      </w:r>
    </w:p>
    <w:p w:rsidR="00387A07" w:rsidRPr="00E17E1F" w:rsidRDefault="00387A07" w:rsidP="00387A07">
      <w:pPr>
        <w:spacing w:after="120" w:line="360" w:lineRule="auto"/>
        <w:jc w:val="both"/>
        <w:rPr>
          <w:rFonts w:ascii="Arial" w:hAnsi="Arial" w:cs="Arial"/>
          <w:b/>
          <w:sz w:val="24"/>
          <w:szCs w:val="24"/>
        </w:rPr>
      </w:pPr>
      <w:r w:rsidRPr="00E17E1F">
        <w:rPr>
          <w:rFonts w:ascii="Arial" w:hAnsi="Arial" w:cs="Arial"/>
          <w:b/>
          <w:noProof/>
          <w:sz w:val="24"/>
          <w:szCs w:val="24"/>
          <w:lang w:val="it-IT" w:eastAsia="it-IT"/>
        </w:rPr>
        <w:lastRenderedPageBreak/>
        <w:drawing>
          <wp:inline distT="0" distB="0" distL="0" distR="0">
            <wp:extent cx="5495925" cy="2914650"/>
            <wp:effectExtent l="0" t="0" r="0" b="0"/>
            <wp:docPr id="131" name="Immagine 20" descr="ftir cbc2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0" descr="ftir cbc2000.png"/>
                    <pic:cNvPicPr>
                      <a:picLocks noChangeAspect="1" noChangeArrowheads="1"/>
                    </pic:cNvPicPr>
                  </pic:nvPicPr>
                  <pic:blipFill>
                    <a:blip r:embed="rId25"/>
                    <a:srcRect/>
                    <a:stretch>
                      <a:fillRect/>
                    </a:stretch>
                  </pic:blipFill>
                  <pic:spPr bwMode="auto">
                    <a:xfrm>
                      <a:off x="0" y="0"/>
                      <a:ext cx="5495925" cy="2914650"/>
                    </a:xfrm>
                    <a:prstGeom prst="rect">
                      <a:avLst/>
                    </a:prstGeom>
                    <a:noFill/>
                    <a:ln w="9525">
                      <a:noFill/>
                      <a:miter lim="800000"/>
                      <a:headEnd/>
                      <a:tailEnd/>
                    </a:ln>
                  </pic:spPr>
                </pic:pic>
              </a:graphicData>
            </a:graphic>
          </wp:inline>
        </w:drawing>
      </w:r>
    </w:p>
    <w:p w:rsidR="00387A07" w:rsidRPr="00E17E1F" w:rsidRDefault="00387A07" w:rsidP="00387A07">
      <w:pPr>
        <w:pStyle w:val="Didascalia"/>
        <w:spacing w:after="240"/>
      </w:pPr>
      <w:r w:rsidRPr="00E17E1F">
        <w:t xml:space="preserve">Figure 2. 1 ATR-FT-IR Analysis of the polyurethane C-BC2000. The characteristic peaks identified are labelled in red. </w:t>
      </w:r>
    </w:p>
    <w:p w:rsidR="00387A07" w:rsidRPr="00E17E1F" w:rsidRDefault="00387A07" w:rsidP="00387A07">
      <w:pPr>
        <w:spacing w:before="240" w:after="240" w:line="360" w:lineRule="auto"/>
        <w:jc w:val="both"/>
        <w:rPr>
          <w:rFonts w:ascii="Arial" w:hAnsi="Arial" w:cs="Arial"/>
          <w:b/>
          <w:i/>
          <w:sz w:val="24"/>
          <w:szCs w:val="24"/>
        </w:rPr>
      </w:pPr>
      <w:r w:rsidRPr="00E17E1F">
        <w:rPr>
          <w:rFonts w:ascii="Arial" w:hAnsi="Arial" w:cs="Arial"/>
          <w:b/>
          <w:i/>
          <w:sz w:val="24"/>
          <w:szCs w:val="24"/>
        </w:rPr>
        <w:t>2.3.1.2 GPC analysis</w:t>
      </w:r>
    </w:p>
    <w:p w:rsidR="00387A07" w:rsidRPr="00E17E1F" w:rsidRDefault="00387A07" w:rsidP="00387A07">
      <w:pPr>
        <w:autoSpaceDE w:val="0"/>
        <w:autoSpaceDN w:val="0"/>
        <w:adjustRightInd w:val="0"/>
        <w:spacing w:after="0" w:line="360" w:lineRule="auto"/>
        <w:jc w:val="both"/>
        <w:rPr>
          <w:rFonts w:ascii="Arial" w:hAnsi="Arial" w:cs="Arial"/>
          <w:sz w:val="24"/>
          <w:szCs w:val="24"/>
          <w:lang w:val="en-US"/>
        </w:rPr>
      </w:pPr>
      <w:r w:rsidRPr="00E17E1F">
        <w:rPr>
          <w:rFonts w:ascii="Arial" w:hAnsi="Arial" w:cs="Arial"/>
          <w:sz w:val="24"/>
          <w:szCs w:val="24"/>
          <w:lang w:val="en-US"/>
        </w:rPr>
        <w:t>Polyurethane average number molecular weight (</w:t>
      </w:r>
      <m:oMath>
        <m:bar>
          <m:barPr>
            <m:pos m:val="top"/>
            <m:ctrlPr>
              <w:rPr>
                <w:rFonts w:ascii="Cambria Math" w:hAnsi="Cambria Math" w:cs="Arial"/>
                <w:i/>
                <w:sz w:val="24"/>
                <w:szCs w:val="24"/>
                <w:lang w:val="en-US"/>
              </w:rPr>
            </m:ctrlPr>
          </m:barPr>
          <m:e>
            <m:r>
              <w:rPr>
                <w:rFonts w:ascii="Cambria Math" w:hAnsi="Cambria Math" w:cs="Arial"/>
                <w:sz w:val="24"/>
                <w:szCs w:val="24"/>
                <w:lang w:val="en-US"/>
              </w:rPr>
              <m:t>M</m:t>
            </m:r>
          </m:e>
        </m:bar>
        <m:r>
          <w:rPr>
            <w:rFonts w:ascii="Cambria Math" w:hAnsi="Cambria Math" w:cs="Arial"/>
            <w:sz w:val="24"/>
            <w:szCs w:val="24"/>
            <w:vertAlign w:val="subscript"/>
            <w:lang w:val="en-US"/>
          </w:rPr>
          <m:t>n</m:t>
        </m:r>
      </m:oMath>
      <w:r w:rsidRPr="00E17E1F">
        <w:rPr>
          <w:rFonts w:ascii="Arial" w:hAnsi="Arial" w:cs="Arial"/>
          <w:sz w:val="24"/>
          <w:szCs w:val="24"/>
          <w:lang w:val="en-US"/>
        </w:rPr>
        <w:t>), assessed by SEC, is 10500 g/mol with a polidispersity (</w:t>
      </w:r>
      <m:oMath>
        <m:bar>
          <m:barPr>
            <m:pos m:val="top"/>
            <m:ctrlPr>
              <w:rPr>
                <w:rFonts w:ascii="Cambria Math" w:hAnsi="Cambria Math" w:cs="Arial"/>
                <w:i/>
                <w:sz w:val="24"/>
                <w:szCs w:val="24"/>
                <w:lang w:val="en-US"/>
              </w:rPr>
            </m:ctrlPr>
          </m:barPr>
          <m:e>
            <m:r>
              <w:rPr>
                <w:rFonts w:ascii="Cambria Math" w:hAnsi="Cambria Math" w:cs="Arial"/>
                <w:sz w:val="24"/>
                <w:szCs w:val="24"/>
                <w:lang w:val="en-US"/>
              </w:rPr>
              <m:t>M</m:t>
            </m:r>
          </m:e>
        </m:bar>
        <m:r>
          <w:rPr>
            <w:rFonts w:ascii="Cambria Math" w:hAnsi="Cambria Math" w:cs="Arial"/>
            <w:sz w:val="24"/>
            <w:szCs w:val="24"/>
            <w:vertAlign w:val="subscript"/>
            <w:lang w:val="en-US"/>
          </w:rPr>
          <m:t>w</m:t>
        </m:r>
        <m:r>
          <w:rPr>
            <w:rFonts w:ascii="Cambria Math" w:hAnsi="Cambria Math" w:cs="Arial"/>
            <w:sz w:val="24"/>
            <w:szCs w:val="24"/>
            <w:lang w:val="en-US"/>
          </w:rPr>
          <m:t>/</m:t>
        </m:r>
        <m:bar>
          <m:barPr>
            <m:pos m:val="top"/>
            <m:ctrlPr>
              <w:rPr>
                <w:rFonts w:ascii="Cambria Math" w:hAnsi="Cambria Math" w:cs="Arial"/>
                <w:i/>
                <w:sz w:val="24"/>
                <w:szCs w:val="24"/>
                <w:lang w:val="en-US"/>
              </w:rPr>
            </m:ctrlPr>
          </m:barPr>
          <m:e>
            <m:r>
              <w:rPr>
                <w:rFonts w:ascii="Cambria Math" w:hAnsi="Cambria Math" w:cs="Arial"/>
                <w:sz w:val="24"/>
                <w:szCs w:val="24"/>
                <w:lang w:val="en-US"/>
              </w:rPr>
              <m:t>M</m:t>
            </m:r>
          </m:e>
        </m:bar>
        <m:r>
          <w:rPr>
            <w:rFonts w:ascii="Cambria Math" w:hAnsi="Cambria Math" w:cs="Arial"/>
            <w:sz w:val="24"/>
            <w:szCs w:val="24"/>
            <w:vertAlign w:val="subscript"/>
            <w:lang w:val="en-US"/>
          </w:rPr>
          <m:t>n</m:t>
        </m:r>
      </m:oMath>
      <w:r w:rsidRPr="00E17E1F">
        <w:rPr>
          <w:rFonts w:ascii="Arial" w:hAnsi="Arial" w:cs="Arial"/>
          <w:sz w:val="24"/>
          <w:szCs w:val="24"/>
          <w:lang w:val="en-US"/>
        </w:rPr>
        <w:t>) of 1.6. The weight average molecular weight (</w:t>
      </w:r>
      <m:oMath>
        <m:bar>
          <m:barPr>
            <m:pos m:val="top"/>
            <m:ctrlPr>
              <w:rPr>
                <w:rFonts w:ascii="Cambria Math" w:hAnsi="Cambria Math" w:cs="Arial"/>
                <w:i/>
                <w:sz w:val="24"/>
                <w:szCs w:val="24"/>
                <w:lang w:val="en-US"/>
              </w:rPr>
            </m:ctrlPr>
          </m:barPr>
          <m:e>
            <m:r>
              <w:rPr>
                <w:rFonts w:ascii="Cambria Math" w:hAnsi="Cambria Math" w:cs="Arial"/>
                <w:sz w:val="24"/>
                <w:szCs w:val="24"/>
                <w:lang w:val="en-US"/>
              </w:rPr>
              <m:t>M</m:t>
            </m:r>
          </m:e>
        </m:bar>
        <m:r>
          <w:rPr>
            <w:rFonts w:ascii="Cambria Math" w:hAnsi="Cambria Math" w:cs="Arial"/>
            <w:sz w:val="24"/>
            <w:szCs w:val="24"/>
            <w:vertAlign w:val="subscript"/>
            <w:lang w:val="en-US"/>
          </w:rPr>
          <m:t>w</m:t>
        </m:r>
        <m:r>
          <w:rPr>
            <w:rFonts w:ascii="Cambria Math" w:hAnsi="Cambria Math" w:cs="Arial"/>
            <w:sz w:val="24"/>
            <w:szCs w:val="24"/>
            <w:lang w:val="en-US"/>
          </w:rPr>
          <m:t>)</m:t>
        </m:r>
      </m:oMath>
      <w:r w:rsidRPr="00E17E1F">
        <w:rPr>
          <w:rFonts w:ascii="Arial" w:hAnsi="Arial" w:cs="Arial"/>
          <w:sz w:val="24"/>
          <w:szCs w:val="24"/>
          <w:lang w:val="en-US"/>
        </w:rPr>
        <w:t xml:space="preserve"> is 17000 g/mol.</w:t>
      </w:r>
    </w:p>
    <w:p w:rsidR="00387A07" w:rsidRPr="00E17E1F" w:rsidRDefault="00387A07" w:rsidP="00387A07">
      <w:pPr>
        <w:autoSpaceDE w:val="0"/>
        <w:autoSpaceDN w:val="0"/>
        <w:adjustRightInd w:val="0"/>
        <w:spacing w:after="120" w:line="360" w:lineRule="auto"/>
        <w:jc w:val="both"/>
        <w:rPr>
          <w:rFonts w:ascii="Arial" w:hAnsi="Arial" w:cs="Arial"/>
          <w:sz w:val="24"/>
          <w:szCs w:val="24"/>
          <w:lang w:val="en-US"/>
        </w:rPr>
      </w:pPr>
      <w:r w:rsidRPr="00E17E1F">
        <w:rPr>
          <w:rFonts w:ascii="Arial" w:hAnsi="Arial" w:cs="Arial"/>
          <w:sz w:val="24"/>
          <w:szCs w:val="24"/>
          <w:lang w:val="en-US"/>
        </w:rPr>
        <w:t xml:space="preserve">Figure 2.2 shows the molecular weight distribution obtained for C-BC2000 </w:t>
      </w:r>
    </w:p>
    <w:p w:rsidR="00387A07" w:rsidRPr="00E17E1F" w:rsidRDefault="00387A07" w:rsidP="00387A07">
      <w:pPr>
        <w:spacing w:line="360" w:lineRule="auto"/>
        <w:jc w:val="center"/>
        <w:rPr>
          <w:rFonts w:ascii="Arial" w:hAnsi="Arial" w:cs="Arial"/>
          <w:b/>
          <w:i/>
          <w:sz w:val="24"/>
          <w:szCs w:val="24"/>
        </w:rPr>
      </w:pPr>
      <w:r w:rsidRPr="00E17E1F">
        <w:rPr>
          <w:rFonts w:ascii="Arial" w:hAnsi="Arial" w:cs="Arial"/>
          <w:b/>
          <w:i/>
          <w:noProof/>
          <w:sz w:val="24"/>
          <w:szCs w:val="24"/>
          <w:lang w:val="it-IT" w:eastAsia="it-IT"/>
        </w:rPr>
        <w:drawing>
          <wp:inline distT="0" distB="0" distL="0" distR="0">
            <wp:extent cx="2609850" cy="1695450"/>
            <wp:effectExtent l="19050" t="0" r="0" b="0"/>
            <wp:docPr id="132" name="Immagine 21" descr="GPC CB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1" descr="GPC CBC.png"/>
                    <pic:cNvPicPr>
                      <a:picLocks noChangeAspect="1" noChangeArrowheads="1"/>
                    </pic:cNvPicPr>
                  </pic:nvPicPr>
                  <pic:blipFill>
                    <a:blip r:embed="rId26"/>
                    <a:srcRect/>
                    <a:stretch>
                      <a:fillRect/>
                    </a:stretch>
                  </pic:blipFill>
                  <pic:spPr bwMode="auto">
                    <a:xfrm>
                      <a:off x="0" y="0"/>
                      <a:ext cx="2609850" cy="1695450"/>
                    </a:xfrm>
                    <a:prstGeom prst="rect">
                      <a:avLst/>
                    </a:prstGeom>
                    <a:noFill/>
                    <a:ln w="9525">
                      <a:noFill/>
                      <a:miter lim="800000"/>
                      <a:headEnd/>
                      <a:tailEnd/>
                    </a:ln>
                  </pic:spPr>
                </pic:pic>
              </a:graphicData>
            </a:graphic>
          </wp:inline>
        </w:drawing>
      </w:r>
    </w:p>
    <w:p w:rsidR="00387A07" w:rsidRPr="00E17E1F" w:rsidRDefault="00387A07" w:rsidP="00387A07">
      <w:pPr>
        <w:pStyle w:val="Didascalia"/>
        <w:spacing w:before="120"/>
        <w:rPr>
          <w:rFonts w:ascii="Arial" w:hAnsi="Arial" w:cs="Arial"/>
          <w:b w:val="0"/>
          <w:i/>
          <w:sz w:val="24"/>
          <w:szCs w:val="24"/>
        </w:rPr>
      </w:pPr>
      <w:r w:rsidRPr="00E17E1F">
        <w:t>Figure 2. 2  Molar mass distribution of C-BC2000.</w:t>
      </w:r>
    </w:p>
    <w:p w:rsidR="00387A07" w:rsidRPr="00E17E1F" w:rsidRDefault="00387A07" w:rsidP="00387A07">
      <w:pPr>
        <w:spacing w:before="240" w:after="240" w:line="360" w:lineRule="auto"/>
        <w:jc w:val="both"/>
        <w:rPr>
          <w:rFonts w:ascii="Arial" w:hAnsi="Arial" w:cs="Arial"/>
          <w:b/>
          <w:i/>
          <w:sz w:val="24"/>
          <w:szCs w:val="24"/>
        </w:rPr>
      </w:pPr>
      <w:r w:rsidRPr="00E17E1F">
        <w:rPr>
          <w:rFonts w:ascii="Arial" w:hAnsi="Arial" w:cs="Arial"/>
          <w:b/>
          <w:i/>
          <w:sz w:val="24"/>
          <w:szCs w:val="24"/>
        </w:rPr>
        <w:t>2.3.1.3 DSC and DMTA Analysis</w:t>
      </w:r>
    </w:p>
    <w:p w:rsidR="00387A07" w:rsidRPr="00E17E1F" w:rsidRDefault="00387A07" w:rsidP="00387A07">
      <w:pPr>
        <w:spacing w:after="120" w:line="360" w:lineRule="auto"/>
        <w:jc w:val="both"/>
        <w:outlineLvl w:val="0"/>
        <w:rPr>
          <w:rFonts w:ascii="Arial" w:hAnsi="Arial" w:cs="Arial"/>
          <w:sz w:val="24"/>
          <w:szCs w:val="24"/>
        </w:rPr>
      </w:pPr>
      <w:r w:rsidRPr="00E17E1F">
        <w:rPr>
          <w:rFonts w:ascii="Arial" w:hAnsi="Arial" w:cs="Arial"/>
          <w:sz w:val="24"/>
          <w:szCs w:val="24"/>
        </w:rPr>
        <w:t>Polymer thermal properties were studied by DSC and DMTA</w:t>
      </w:r>
      <w:r w:rsidRPr="00E17E1F">
        <w:rPr>
          <w:rFonts w:ascii="Arial" w:hAnsi="Arial" w:cs="Arial"/>
          <w:color w:val="FF0000"/>
          <w:sz w:val="24"/>
          <w:szCs w:val="24"/>
        </w:rPr>
        <w:t>.</w:t>
      </w:r>
      <w:r w:rsidRPr="00E17E1F">
        <w:rPr>
          <w:rFonts w:ascii="Arial" w:hAnsi="Arial" w:cs="Arial"/>
          <w:sz w:val="24"/>
          <w:szCs w:val="24"/>
        </w:rPr>
        <w:t xml:space="preserve"> Figure 2.3 shows the three cycles of the DSC thermograms for C-BC2000.</w:t>
      </w:r>
    </w:p>
    <w:p w:rsidR="00387A07" w:rsidRPr="00E17E1F" w:rsidRDefault="00387A07" w:rsidP="00387A07">
      <w:pPr>
        <w:spacing w:after="120" w:line="360" w:lineRule="auto"/>
        <w:jc w:val="center"/>
        <w:outlineLvl w:val="0"/>
        <w:rPr>
          <w:rFonts w:ascii="Arial" w:hAnsi="Arial" w:cs="Arial"/>
          <w:sz w:val="24"/>
          <w:szCs w:val="24"/>
        </w:rPr>
      </w:pPr>
      <w:r w:rsidRPr="00E17E1F">
        <w:rPr>
          <w:rFonts w:ascii="Arial" w:hAnsi="Arial" w:cs="Arial"/>
          <w:noProof/>
          <w:sz w:val="24"/>
          <w:szCs w:val="24"/>
          <w:lang w:val="it-IT" w:eastAsia="it-IT"/>
        </w:rPr>
        <w:lastRenderedPageBreak/>
        <w:drawing>
          <wp:inline distT="0" distB="0" distL="0" distR="0">
            <wp:extent cx="5019675" cy="3676650"/>
            <wp:effectExtent l="19050" t="0" r="9525" b="0"/>
            <wp:docPr id="133" name="Immagine 22" descr="DSC CB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2" descr="DSC CBC.png"/>
                    <pic:cNvPicPr>
                      <a:picLocks noChangeAspect="1" noChangeArrowheads="1"/>
                    </pic:cNvPicPr>
                  </pic:nvPicPr>
                  <pic:blipFill>
                    <a:blip r:embed="rId27"/>
                    <a:srcRect/>
                    <a:stretch>
                      <a:fillRect/>
                    </a:stretch>
                  </pic:blipFill>
                  <pic:spPr bwMode="auto">
                    <a:xfrm>
                      <a:off x="0" y="0"/>
                      <a:ext cx="5019675" cy="3676650"/>
                    </a:xfrm>
                    <a:prstGeom prst="rect">
                      <a:avLst/>
                    </a:prstGeom>
                    <a:noFill/>
                    <a:ln w="9525">
                      <a:noFill/>
                      <a:miter lim="800000"/>
                      <a:headEnd/>
                      <a:tailEnd/>
                    </a:ln>
                  </pic:spPr>
                </pic:pic>
              </a:graphicData>
            </a:graphic>
          </wp:inline>
        </w:drawing>
      </w:r>
    </w:p>
    <w:p w:rsidR="00387A07" w:rsidRPr="00E17E1F" w:rsidRDefault="00387A07" w:rsidP="00387A07">
      <w:pPr>
        <w:pStyle w:val="Didascalia"/>
        <w:spacing w:before="120"/>
      </w:pPr>
      <w:r w:rsidRPr="00E17E1F">
        <w:t>Figure 2. 3  DSC Thermogram of C-BC2000, showing 3 heating cycles.</w:t>
      </w:r>
    </w:p>
    <w:p w:rsidR="00387A07" w:rsidRPr="00E17E1F" w:rsidRDefault="00387A07" w:rsidP="00387A07">
      <w:pPr>
        <w:spacing w:after="0" w:line="360" w:lineRule="auto"/>
        <w:jc w:val="both"/>
        <w:outlineLvl w:val="0"/>
        <w:rPr>
          <w:rFonts w:ascii="Arial" w:hAnsi="Arial" w:cs="Arial"/>
          <w:sz w:val="24"/>
          <w:szCs w:val="24"/>
          <w:lang w:val="en-US"/>
        </w:rPr>
      </w:pPr>
      <w:r w:rsidRPr="00E17E1F">
        <w:rPr>
          <w:rStyle w:val="MacchinadascrivereHTML"/>
          <w:rFonts w:ascii="Arial" w:eastAsiaTheme="minorHAnsi" w:hAnsi="Arial" w:cs="Arial"/>
          <w:sz w:val="24"/>
          <w:szCs w:val="24"/>
          <w:lang w:val="en-US"/>
        </w:rPr>
        <w:t xml:space="preserve">A reduction of the enthalpy of fusion and consequently of the crystallinity can be observed by comparing the first and the second heating cycle. This behavior can be ascribed to the slow crystallization process typical of polyurethanes, which partially crystallize during the cooling cycle at 10°C/min. </w:t>
      </w:r>
    </w:p>
    <w:p w:rsidR="00387A07" w:rsidRPr="00E17E1F" w:rsidRDefault="00387A07" w:rsidP="00387A07">
      <w:pPr>
        <w:spacing w:after="120" w:line="360" w:lineRule="auto"/>
        <w:jc w:val="both"/>
        <w:outlineLvl w:val="0"/>
        <w:rPr>
          <w:rFonts w:ascii="Arial" w:hAnsi="Arial" w:cs="Arial"/>
          <w:sz w:val="24"/>
          <w:szCs w:val="24"/>
        </w:rPr>
      </w:pPr>
      <w:r w:rsidRPr="00E17E1F">
        <w:rPr>
          <w:rFonts w:ascii="Arial" w:hAnsi="Arial" w:cs="Arial"/>
          <w:sz w:val="24"/>
          <w:szCs w:val="24"/>
        </w:rPr>
        <w:t>All DSC and DMTA data, i.e. glass transition temperature (T</w:t>
      </w:r>
      <w:r w:rsidRPr="00E17E1F">
        <w:rPr>
          <w:rFonts w:ascii="Arial" w:hAnsi="Arial" w:cs="Arial"/>
          <w:sz w:val="24"/>
          <w:szCs w:val="24"/>
          <w:vertAlign w:val="subscript"/>
        </w:rPr>
        <w:t>g</w:t>
      </w:r>
      <w:r w:rsidRPr="00E17E1F">
        <w:rPr>
          <w:rFonts w:ascii="Arial" w:hAnsi="Arial" w:cs="Arial"/>
          <w:sz w:val="24"/>
          <w:szCs w:val="24"/>
        </w:rPr>
        <w:t>), melting temperature (T</w:t>
      </w:r>
      <w:r w:rsidRPr="00E17E1F">
        <w:rPr>
          <w:rFonts w:ascii="Arial" w:hAnsi="Arial" w:cs="Arial"/>
          <w:sz w:val="24"/>
          <w:szCs w:val="24"/>
          <w:vertAlign w:val="subscript"/>
        </w:rPr>
        <w:t>m</w:t>
      </w:r>
      <w:r w:rsidRPr="00E17E1F">
        <w:rPr>
          <w:rFonts w:ascii="Arial" w:hAnsi="Arial" w:cs="Arial"/>
          <w:sz w:val="24"/>
          <w:szCs w:val="24"/>
        </w:rPr>
        <w:t>), melting enthalpy (ΔH</w:t>
      </w:r>
      <w:r w:rsidRPr="00E17E1F">
        <w:rPr>
          <w:rFonts w:ascii="Arial" w:hAnsi="Arial" w:cs="Arial"/>
          <w:sz w:val="24"/>
          <w:szCs w:val="24"/>
          <w:vertAlign w:val="subscript"/>
        </w:rPr>
        <w:t>m</w:t>
      </w:r>
      <w:r w:rsidRPr="00E17E1F">
        <w:rPr>
          <w:rFonts w:ascii="Arial" w:hAnsi="Arial" w:cs="Arial"/>
          <w:sz w:val="24"/>
          <w:szCs w:val="24"/>
        </w:rPr>
        <w:t>) and cristallinity (X</w:t>
      </w:r>
      <w:r w:rsidRPr="00E17E1F">
        <w:rPr>
          <w:rFonts w:ascii="Arial" w:hAnsi="Arial" w:cs="Arial"/>
          <w:sz w:val="24"/>
          <w:szCs w:val="24"/>
          <w:vertAlign w:val="subscript"/>
        </w:rPr>
        <w:t>c</w:t>
      </w:r>
      <w:r w:rsidRPr="00E17E1F">
        <w:rPr>
          <w:rFonts w:ascii="Arial" w:hAnsi="Arial" w:cs="Arial"/>
          <w:sz w:val="24"/>
          <w:szCs w:val="24"/>
        </w:rPr>
        <w:t>%) are reported in table 2.1.</w:t>
      </w:r>
    </w:p>
    <w:tbl>
      <w:tblPr>
        <w:tblW w:w="0" w:type="auto"/>
        <w:jc w:val="center"/>
        <w:tblBorders>
          <w:top w:val="single" w:sz="4" w:space="0" w:color="auto"/>
          <w:bottom w:val="single" w:sz="4" w:space="0" w:color="auto"/>
          <w:insideV w:val="single" w:sz="4" w:space="0" w:color="auto"/>
        </w:tblBorders>
        <w:tblLook w:val="00A0"/>
      </w:tblPr>
      <w:tblGrid>
        <w:gridCol w:w="1384"/>
        <w:gridCol w:w="1418"/>
      </w:tblGrid>
      <w:tr w:rsidR="00387A07" w:rsidRPr="00E17E1F" w:rsidTr="00387A07">
        <w:trPr>
          <w:trHeight w:val="113"/>
          <w:jc w:val="center"/>
        </w:trPr>
        <w:tc>
          <w:tcPr>
            <w:tcW w:w="2802" w:type="dxa"/>
            <w:gridSpan w:val="2"/>
            <w:tcBorders>
              <w:top w:val="single" w:sz="4" w:space="0" w:color="auto"/>
              <w:left w:val="single" w:sz="4" w:space="0" w:color="auto"/>
              <w:bottom w:val="single" w:sz="4" w:space="0" w:color="auto"/>
              <w:right w:val="single" w:sz="4" w:space="0" w:color="auto"/>
            </w:tcBorders>
            <w:shd w:val="clear" w:color="auto" w:fill="EEECE1"/>
            <w:vAlign w:val="center"/>
          </w:tcPr>
          <w:p w:rsidR="00387A07" w:rsidRPr="00E17E1F" w:rsidRDefault="00387A07" w:rsidP="00387A07">
            <w:pPr>
              <w:spacing w:after="0"/>
              <w:jc w:val="center"/>
              <w:rPr>
                <w:rFonts w:cs="Calibri"/>
                <w:b/>
                <w:sz w:val="24"/>
                <w:szCs w:val="24"/>
                <w:lang w:val="en-US"/>
              </w:rPr>
            </w:pPr>
            <w:r w:rsidRPr="00E17E1F">
              <w:rPr>
                <w:rFonts w:cs="Calibri"/>
                <w:b/>
                <w:sz w:val="24"/>
                <w:szCs w:val="24"/>
              </w:rPr>
              <w:t>DSC analysis of C-BC2000</w:t>
            </w:r>
          </w:p>
        </w:tc>
      </w:tr>
      <w:tr w:rsidR="00387A07" w:rsidRPr="00E17E1F" w:rsidTr="00387A07">
        <w:trPr>
          <w:trHeight w:val="113"/>
          <w:jc w:val="center"/>
        </w:trPr>
        <w:tc>
          <w:tcPr>
            <w:tcW w:w="1384" w:type="dxa"/>
            <w:tcBorders>
              <w:top w:val="single" w:sz="4" w:space="0" w:color="auto"/>
              <w:left w:val="single" w:sz="4" w:space="0" w:color="auto"/>
              <w:bottom w:val="nil"/>
            </w:tcBorders>
            <w:shd w:val="clear" w:color="auto" w:fill="EEECE1"/>
            <w:vAlign w:val="center"/>
          </w:tcPr>
          <w:p w:rsidR="00387A07" w:rsidRPr="00E17E1F" w:rsidRDefault="00387A07" w:rsidP="00387A07">
            <w:pPr>
              <w:spacing w:after="0"/>
              <w:jc w:val="center"/>
              <w:rPr>
                <w:rFonts w:cs="Calibri"/>
                <w:sz w:val="24"/>
                <w:szCs w:val="24"/>
              </w:rPr>
            </w:pPr>
            <w:r w:rsidRPr="00E17E1F">
              <w:rPr>
                <w:rFonts w:cs="Calibri"/>
                <w:sz w:val="24"/>
                <w:szCs w:val="24"/>
              </w:rPr>
              <w:t>T</w:t>
            </w:r>
            <w:r w:rsidRPr="00E17E1F">
              <w:rPr>
                <w:rFonts w:cs="Calibri"/>
                <w:sz w:val="24"/>
                <w:szCs w:val="24"/>
                <w:vertAlign w:val="subscript"/>
              </w:rPr>
              <w:t xml:space="preserve">g </w:t>
            </w:r>
            <w:r w:rsidRPr="00E17E1F">
              <w:rPr>
                <w:rFonts w:cs="Calibri"/>
                <w:sz w:val="24"/>
                <w:szCs w:val="24"/>
              </w:rPr>
              <w:t>[°C</w:t>
            </w:r>
          </w:p>
        </w:tc>
        <w:tc>
          <w:tcPr>
            <w:tcW w:w="1418" w:type="dxa"/>
            <w:tcBorders>
              <w:top w:val="single" w:sz="4" w:space="0" w:color="auto"/>
              <w:bottom w:val="nil"/>
              <w:right w:val="single" w:sz="4" w:space="0" w:color="auto"/>
            </w:tcBorders>
            <w:shd w:val="clear" w:color="auto" w:fill="EEECE1"/>
            <w:vAlign w:val="center"/>
          </w:tcPr>
          <w:p w:rsidR="00387A07" w:rsidRPr="00E17E1F" w:rsidRDefault="00387A07" w:rsidP="00387A07">
            <w:pPr>
              <w:spacing w:after="0"/>
              <w:jc w:val="center"/>
              <w:rPr>
                <w:rFonts w:cs="Calibri"/>
                <w:sz w:val="24"/>
                <w:szCs w:val="24"/>
              </w:rPr>
            </w:pPr>
            <w:r w:rsidRPr="00E17E1F">
              <w:rPr>
                <w:rFonts w:cs="Calibri"/>
                <w:sz w:val="24"/>
                <w:szCs w:val="24"/>
              </w:rPr>
              <w:t>-34.2</w:t>
            </w:r>
          </w:p>
        </w:tc>
      </w:tr>
      <w:tr w:rsidR="00387A07" w:rsidRPr="00E17E1F" w:rsidTr="00387A07">
        <w:trPr>
          <w:trHeight w:val="113"/>
          <w:jc w:val="center"/>
        </w:trPr>
        <w:tc>
          <w:tcPr>
            <w:tcW w:w="1384" w:type="dxa"/>
            <w:tcBorders>
              <w:top w:val="nil"/>
              <w:left w:val="single" w:sz="4" w:space="0" w:color="auto"/>
              <w:bottom w:val="nil"/>
            </w:tcBorders>
            <w:shd w:val="clear" w:color="auto" w:fill="EEECE1"/>
            <w:vAlign w:val="center"/>
          </w:tcPr>
          <w:p w:rsidR="00387A07" w:rsidRPr="00E17E1F" w:rsidRDefault="00387A07" w:rsidP="00387A07">
            <w:pPr>
              <w:spacing w:after="0"/>
              <w:jc w:val="center"/>
              <w:rPr>
                <w:rFonts w:cs="Calibri"/>
                <w:sz w:val="24"/>
                <w:szCs w:val="24"/>
              </w:rPr>
            </w:pPr>
            <w:r w:rsidRPr="00E17E1F">
              <w:rPr>
                <w:rFonts w:cs="Calibri"/>
                <w:sz w:val="24"/>
                <w:szCs w:val="24"/>
              </w:rPr>
              <w:t>T</w:t>
            </w:r>
            <w:r w:rsidRPr="00E17E1F">
              <w:rPr>
                <w:rFonts w:cs="Calibri"/>
                <w:sz w:val="24"/>
                <w:szCs w:val="24"/>
                <w:vertAlign w:val="subscript"/>
              </w:rPr>
              <w:t xml:space="preserve">m  </w:t>
            </w:r>
            <w:r w:rsidRPr="00E17E1F">
              <w:rPr>
                <w:rFonts w:cs="Calibri"/>
                <w:sz w:val="24"/>
                <w:szCs w:val="24"/>
              </w:rPr>
              <w:t>[°C]</w:t>
            </w:r>
          </w:p>
        </w:tc>
        <w:tc>
          <w:tcPr>
            <w:tcW w:w="1418" w:type="dxa"/>
            <w:tcBorders>
              <w:top w:val="nil"/>
              <w:bottom w:val="nil"/>
              <w:right w:val="single" w:sz="4" w:space="0" w:color="auto"/>
            </w:tcBorders>
            <w:shd w:val="clear" w:color="auto" w:fill="EEECE1"/>
            <w:vAlign w:val="center"/>
          </w:tcPr>
          <w:p w:rsidR="00387A07" w:rsidRPr="00E17E1F" w:rsidRDefault="00387A07" w:rsidP="00387A07">
            <w:pPr>
              <w:spacing w:after="0"/>
              <w:jc w:val="center"/>
              <w:rPr>
                <w:rFonts w:cs="Calibri"/>
                <w:sz w:val="24"/>
                <w:szCs w:val="24"/>
              </w:rPr>
            </w:pPr>
            <w:r w:rsidRPr="00E17E1F">
              <w:rPr>
                <w:rFonts w:cs="Calibri"/>
                <w:sz w:val="24"/>
                <w:szCs w:val="24"/>
              </w:rPr>
              <w:t>44.1</w:t>
            </w:r>
          </w:p>
        </w:tc>
      </w:tr>
      <w:tr w:rsidR="00387A07" w:rsidRPr="00E17E1F" w:rsidTr="00387A07">
        <w:trPr>
          <w:trHeight w:val="113"/>
          <w:jc w:val="center"/>
        </w:trPr>
        <w:tc>
          <w:tcPr>
            <w:tcW w:w="1384" w:type="dxa"/>
            <w:tcBorders>
              <w:top w:val="nil"/>
              <w:left w:val="single" w:sz="4" w:space="0" w:color="auto"/>
              <w:bottom w:val="nil"/>
            </w:tcBorders>
            <w:shd w:val="clear" w:color="auto" w:fill="EEECE1"/>
            <w:vAlign w:val="center"/>
          </w:tcPr>
          <w:p w:rsidR="00387A07" w:rsidRPr="00E17E1F" w:rsidRDefault="00387A07" w:rsidP="00387A07">
            <w:pPr>
              <w:spacing w:after="0"/>
              <w:jc w:val="center"/>
              <w:rPr>
                <w:rFonts w:cs="Calibri"/>
                <w:sz w:val="24"/>
                <w:szCs w:val="24"/>
              </w:rPr>
            </w:pPr>
            <w:r w:rsidRPr="00E17E1F">
              <w:rPr>
                <w:rFonts w:cs="Calibri"/>
                <w:sz w:val="24"/>
                <w:szCs w:val="24"/>
              </w:rPr>
              <w:t>ΔH</w:t>
            </w:r>
            <w:r w:rsidRPr="00E17E1F">
              <w:rPr>
                <w:rFonts w:cs="Calibri"/>
                <w:sz w:val="24"/>
                <w:szCs w:val="24"/>
                <w:vertAlign w:val="subscript"/>
              </w:rPr>
              <w:t xml:space="preserve">m </w:t>
            </w:r>
            <w:r w:rsidRPr="00E17E1F">
              <w:rPr>
                <w:rFonts w:cs="Calibri"/>
                <w:sz w:val="24"/>
                <w:szCs w:val="24"/>
              </w:rPr>
              <w:t>[J/g]</w:t>
            </w:r>
          </w:p>
        </w:tc>
        <w:tc>
          <w:tcPr>
            <w:tcW w:w="1418" w:type="dxa"/>
            <w:tcBorders>
              <w:top w:val="nil"/>
              <w:bottom w:val="nil"/>
              <w:right w:val="single" w:sz="4" w:space="0" w:color="auto"/>
            </w:tcBorders>
            <w:shd w:val="clear" w:color="auto" w:fill="EEECE1"/>
            <w:vAlign w:val="center"/>
          </w:tcPr>
          <w:p w:rsidR="00387A07" w:rsidRPr="00E17E1F" w:rsidRDefault="00387A07" w:rsidP="00387A07">
            <w:pPr>
              <w:spacing w:after="0"/>
              <w:jc w:val="center"/>
              <w:rPr>
                <w:rFonts w:cs="Calibri"/>
                <w:sz w:val="24"/>
                <w:szCs w:val="24"/>
              </w:rPr>
            </w:pPr>
            <w:r w:rsidRPr="00E17E1F">
              <w:rPr>
                <w:rFonts w:cs="Calibri"/>
                <w:sz w:val="24"/>
                <w:szCs w:val="24"/>
              </w:rPr>
              <w:t>34.8</w:t>
            </w:r>
          </w:p>
        </w:tc>
      </w:tr>
      <w:tr w:rsidR="00387A07" w:rsidRPr="00E17E1F" w:rsidTr="00387A07">
        <w:trPr>
          <w:trHeight w:val="113"/>
          <w:jc w:val="center"/>
        </w:trPr>
        <w:tc>
          <w:tcPr>
            <w:tcW w:w="1384" w:type="dxa"/>
            <w:tcBorders>
              <w:top w:val="nil"/>
              <w:left w:val="single" w:sz="4" w:space="0" w:color="auto"/>
              <w:bottom w:val="single" w:sz="4" w:space="0" w:color="auto"/>
            </w:tcBorders>
            <w:shd w:val="clear" w:color="auto" w:fill="EEECE1"/>
            <w:vAlign w:val="center"/>
          </w:tcPr>
          <w:p w:rsidR="00387A07" w:rsidRPr="00E17E1F" w:rsidRDefault="00387A07" w:rsidP="00387A07">
            <w:pPr>
              <w:spacing w:after="0"/>
              <w:jc w:val="center"/>
              <w:rPr>
                <w:rFonts w:cs="Calibri"/>
                <w:sz w:val="24"/>
                <w:szCs w:val="24"/>
              </w:rPr>
            </w:pPr>
            <w:r w:rsidRPr="00E17E1F">
              <w:rPr>
                <w:rFonts w:cs="Calibri"/>
                <w:sz w:val="24"/>
                <w:szCs w:val="24"/>
              </w:rPr>
              <w:t>X</w:t>
            </w:r>
            <w:r w:rsidRPr="00E17E1F">
              <w:rPr>
                <w:rFonts w:cs="Calibri"/>
                <w:sz w:val="24"/>
                <w:szCs w:val="24"/>
                <w:vertAlign w:val="subscript"/>
              </w:rPr>
              <w:t>c</w:t>
            </w:r>
            <w:r w:rsidRPr="00E17E1F">
              <w:rPr>
                <w:rFonts w:cs="Calibri"/>
                <w:sz w:val="24"/>
                <w:szCs w:val="24"/>
              </w:rPr>
              <w:t xml:space="preserve">% </w:t>
            </w:r>
            <w:r w:rsidRPr="00E17E1F">
              <w:rPr>
                <w:rFonts w:cs="Calibri"/>
                <w:sz w:val="24"/>
                <w:szCs w:val="24"/>
                <w:vertAlign w:val="subscript"/>
              </w:rPr>
              <w:t xml:space="preserve"> </w:t>
            </w:r>
            <w:r w:rsidRPr="00E17E1F">
              <w:rPr>
                <w:rFonts w:cs="Calibri"/>
                <w:sz w:val="24"/>
                <w:szCs w:val="24"/>
              </w:rPr>
              <w:t>[%]</w:t>
            </w:r>
          </w:p>
        </w:tc>
        <w:tc>
          <w:tcPr>
            <w:tcW w:w="1418" w:type="dxa"/>
            <w:tcBorders>
              <w:top w:val="nil"/>
              <w:bottom w:val="single" w:sz="4" w:space="0" w:color="auto"/>
              <w:right w:val="single" w:sz="4" w:space="0" w:color="auto"/>
            </w:tcBorders>
            <w:shd w:val="clear" w:color="auto" w:fill="EEECE1"/>
            <w:vAlign w:val="center"/>
          </w:tcPr>
          <w:p w:rsidR="00387A07" w:rsidRPr="00E17E1F" w:rsidRDefault="00387A07" w:rsidP="00387A07">
            <w:pPr>
              <w:spacing w:after="0"/>
              <w:jc w:val="center"/>
              <w:rPr>
                <w:rFonts w:cs="Calibri"/>
                <w:sz w:val="24"/>
                <w:szCs w:val="24"/>
              </w:rPr>
            </w:pPr>
            <w:r w:rsidRPr="00E17E1F">
              <w:rPr>
                <w:rFonts w:cs="Calibri"/>
                <w:sz w:val="24"/>
                <w:szCs w:val="24"/>
              </w:rPr>
              <w:t>31.1</w:t>
            </w:r>
          </w:p>
        </w:tc>
      </w:tr>
    </w:tbl>
    <w:p w:rsidR="00387A07" w:rsidRPr="00E17E1F" w:rsidRDefault="00387A07" w:rsidP="00387A07">
      <w:pPr>
        <w:pStyle w:val="Didascalia"/>
        <w:spacing w:before="120"/>
        <w:rPr>
          <w:rStyle w:val="MacchinadascrivereHTML"/>
          <w:rFonts w:ascii="Arial" w:eastAsiaTheme="minorHAnsi" w:hAnsi="Arial" w:cs="Arial"/>
          <w:sz w:val="24"/>
          <w:szCs w:val="24"/>
        </w:rPr>
      </w:pPr>
      <w:r w:rsidRPr="00E17E1F">
        <w:t xml:space="preserve">Table 2. </w:t>
      </w:r>
      <w:fldSimple w:instr=" SEQ Table_2. \* ARABIC ">
        <w:r w:rsidRPr="00E17E1F">
          <w:rPr>
            <w:noProof/>
          </w:rPr>
          <w:t>1</w:t>
        </w:r>
      </w:fldSimple>
      <w:r w:rsidRPr="00E17E1F">
        <w:t xml:space="preserve"> Thermal properties of C-BC 20000</w:t>
      </w:r>
    </w:p>
    <w:p w:rsidR="00387A07" w:rsidRPr="00E17E1F" w:rsidRDefault="00387A07" w:rsidP="00387A07">
      <w:pPr>
        <w:spacing w:line="360" w:lineRule="auto"/>
        <w:jc w:val="both"/>
        <w:outlineLvl w:val="0"/>
        <w:rPr>
          <w:rFonts w:ascii="Arial" w:hAnsi="Arial" w:cs="Arial"/>
          <w:sz w:val="24"/>
          <w:szCs w:val="24"/>
          <w:lang w:val="en-US"/>
        </w:rPr>
      </w:pPr>
      <w:r w:rsidRPr="00E17E1F">
        <w:rPr>
          <w:rStyle w:val="MacchinadascrivereHTML"/>
          <w:rFonts w:ascii="Arial" w:eastAsiaTheme="minorHAnsi" w:hAnsi="Arial" w:cs="Arial"/>
          <w:sz w:val="24"/>
          <w:szCs w:val="24"/>
          <w:lang w:val="en-US"/>
        </w:rPr>
        <w:t>C-BC2000 shows a melting point above the physiological temperature (T</w:t>
      </w:r>
      <w:r w:rsidRPr="00E17E1F">
        <w:rPr>
          <w:rStyle w:val="MacchinadascrivereHTML"/>
          <w:rFonts w:ascii="Arial" w:eastAsiaTheme="minorHAnsi" w:hAnsi="Arial" w:cs="Arial"/>
          <w:sz w:val="24"/>
          <w:szCs w:val="24"/>
          <w:vertAlign w:val="subscript"/>
          <w:lang w:val="en-US"/>
        </w:rPr>
        <w:t>m</w:t>
      </w:r>
      <w:r w:rsidRPr="00E17E1F">
        <w:rPr>
          <w:rStyle w:val="MacchinadascrivereHTML"/>
          <w:rFonts w:ascii="Arial" w:eastAsiaTheme="minorHAnsi" w:hAnsi="Arial" w:cs="Arial"/>
          <w:sz w:val="24"/>
          <w:szCs w:val="24"/>
          <w:lang w:val="en-US"/>
        </w:rPr>
        <w:t xml:space="preserve"> 44°C) which makes it suitable for biological applications.</w:t>
      </w:r>
    </w:p>
    <w:p w:rsidR="00387A07" w:rsidRPr="00E17E1F" w:rsidRDefault="00387A07" w:rsidP="00387A07">
      <w:pPr>
        <w:spacing w:before="240" w:after="240" w:line="360" w:lineRule="auto"/>
        <w:jc w:val="both"/>
        <w:outlineLvl w:val="0"/>
        <w:rPr>
          <w:rFonts w:ascii="Arial" w:hAnsi="Arial" w:cs="Arial"/>
          <w:sz w:val="24"/>
          <w:szCs w:val="24"/>
          <w:lang w:val="en-US"/>
        </w:rPr>
      </w:pPr>
      <w:r w:rsidRPr="00E17E1F">
        <w:rPr>
          <w:rFonts w:ascii="Arial" w:hAnsi="Arial" w:cs="Arial"/>
          <w:b/>
          <w:sz w:val="24"/>
          <w:szCs w:val="24"/>
        </w:rPr>
        <w:t>2.3.2 Contact Angle Analysis</w:t>
      </w:r>
    </w:p>
    <w:p w:rsidR="00387A07" w:rsidRPr="00E17E1F" w:rsidRDefault="00387A07" w:rsidP="00387A07">
      <w:pPr>
        <w:spacing w:after="120" w:line="360" w:lineRule="auto"/>
        <w:jc w:val="both"/>
        <w:rPr>
          <w:rFonts w:ascii="Arial" w:hAnsi="Arial" w:cs="Arial"/>
          <w:sz w:val="24"/>
          <w:szCs w:val="24"/>
        </w:rPr>
      </w:pPr>
      <w:r w:rsidRPr="00E17E1F">
        <w:rPr>
          <w:rFonts w:ascii="Arial" w:hAnsi="Arial" w:cs="Arial"/>
          <w:sz w:val="24"/>
          <w:szCs w:val="24"/>
        </w:rPr>
        <w:t>Results from contact angle measurements are reported in table 2.2 and figure 2.4.</w:t>
      </w:r>
    </w:p>
    <w:p w:rsidR="00387A07" w:rsidRPr="00E17E1F" w:rsidRDefault="00387A07" w:rsidP="00387A07">
      <w:pPr>
        <w:spacing w:line="360" w:lineRule="auto"/>
        <w:jc w:val="center"/>
        <w:rPr>
          <w:rFonts w:ascii="Arial" w:hAnsi="Arial" w:cs="Arial"/>
          <w:b/>
          <w:sz w:val="24"/>
          <w:szCs w:val="24"/>
        </w:rPr>
      </w:pPr>
      <w:r w:rsidRPr="00E17E1F">
        <w:rPr>
          <w:rFonts w:ascii="Arial" w:hAnsi="Arial" w:cs="Arial"/>
          <w:b/>
          <w:noProof/>
          <w:sz w:val="24"/>
          <w:szCs w:val="24"/>
          <w:lang w:val="it-IT" w:eastAsia="it-IT"/>
        </w:rPr>
        <w:lastRenderedPageBreak/>
        <w:drawing>
          <wp:inline distT="0" distB="0" distL="0" distR="0">
            <wp:extent cx="3857625" cy="3521805"/>
            <wp:effectExtent l="19050" t="0" r="9525" b="0"/>
            <wp:docPr id="134" name="Immagine 23" descr="ANGOLO DI CONTAT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3" descr="ANGOLO DI CONTATTO.png"/>
                    <pic:cNvPicPr>
                      <a:picLocks noChangeAspect="1" noChangeArrowheads="1"/>
                    </pic:cNvPicPr>
                  </pic:nvPicPr>
                  <pic:blipFill>
                    <a:blip r:embed="rId28"/>
                    <a:srcRect/>
                    <a:stretch>
                      <a:fillRect/>
                    </a:stretch>
                  </pic:blipFill>
                  <pic:spPr bwMode="auto">
                    <a:xfrm>
                      <a:off x="0" y="0"/>
                      <a:ext cx="3862336" cy="3526106"/>
                    </a:xfrm>
                    <a:prstGeom prst="rect">
                      <a:avLst/>
                    </a:prstGeom>
                    <a:noFill/>
                    <a:ln w="9525">
                      <a:noFill/>
                      <a:miter lim="800000"/>
                      <a:headEnd/>
                      <a:tailEnd/>
                    </a:ln>
                  </pic:spPr>
                </pic:pic>
              </a:graphicData>
            </a:graphic>
          </wp:inline>
        </w:drawing>
      </w:r>
    </w:p>
    <w:p w:rsidR="00387A07" w:rsidRPr="00E17E1F" w:rsidRDefault="00387A07" w:rsidP="00387A07">
      <w:pPr>
        <w:pStyle w:val="Didascalia"/>
        <w:spacing w:before="120"/>
        <w:rPr>
          <w:rFonts w:ascii="Arial" w:hAnsi="Arial" w:cs="Arial"/>
          <w:b w:val="0"/>
          <w:sz w:val="24"/>
          <w:szCs w:val="24"/>
        </w:rPr>
      </w:pPr>
      <w:r w:rsidRPr="00E17E1F">
        <w:t>Figure 2. 4 Contact angle measurements after 1s (left) and 5s (right) for PCL (A and B), PLA (C and D) and C-BC2000 (E and F) films.</w:t>
      </w:r>
    </w:p>
    <w:tbl>
      <w:tblPr>
        <w:tblW w:w="0" w:type="auto"/>
        <w:jc w:val="center"/>
        <w:tblBorders>
          <w:top w:val="single" w:sz="4" w:space="0" w:color="auto"/>
          <w:left w:val="single" w:sz="4" w:space="0" w:color="auto"/>
          <w:bottom w:val="single" w:sz="4" w:space="0" w:color="auto"/>
          <w:right w:val="single" w:sz="4" w:space="0" w:color="auto"/>
        </w:tblBorders>
        <w:shd w:val="clear" w:color="auto" w:fill="D9D9D9" w:themeFill="background1" w:themeFillShade="D9"/>
        <w:tblLook w:val="00A0"/>
      </w:tblPr>
      <w:tblGrid>
        <w:gridCol w:w="1167"/>
        <w:gridCol w:w="2438"/>
      </w:tblGrid>
      <w:tr w:rsidR="00387A07" w:rsidRPr="00E17E1F" w:rsidTr="00387A07">
        <w:trPr>
          <w:trHeight w:val="283"/>
          <w:jc w:val="center"/>
        </w:trPr>
        <w:tc>
          <w:tcPr>
            <w:tcW w:w="1167" w:type="dxa"/>
            <w:tcBorders>
              <w:top w:val="single" w:sz="4" w:space="0" w:color="auto"/>
              <w:left w:val="nil"/>
              <w:bottom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b/>
              </w:rPr>
            </w:pPr>
            <w:r w:rsidRPr="00E17E1F">
              <w:rPr>
                <w:rFonts w:cs="Calibri"/>
                <w:b/>
              </w:rPr>
              <w:t>MATERIAL</w:t>
            </w:r>
          </w:p>
        </w:tc>
        <w:tc>
          <w:tcPr>
            <w:tcW w:w="2438" w:type="dxa"/>
            <w:tcBorders>
              <w:top w:val="single" w:sz="4" w:space="0" w:color="auto"/>
              <w:bottom w:val="single" w:sz="4" w:space="0" w:color="auto"/>
              <w:right w:val="nil"/>
            </w:tcBorders>
            <w:shd w:val="clear" w:color="auto" w:fill="D9D9D9" w:themeFill="background1" w:themeFillShade="D9"/>
            <w:vAlign w:val="center"/>
          </w:tcPr>
          <w:p w:rsidR="00387A07" w:rsidRPr="00E17E1F" w:rsidRDefault="00387A07" w:rsidP="00387A07">
            <w:pPr>
              <w:spacing w:after="0"/>
              <w:jc w:val="center"/>
              <w:rPr>
                <w:rFonts w:cs="Calibri"/>
                <w:b/>
              </w:rPr>
            </w:pPr>
            <w:r w:rsidRPr="00E17E1F">
              <w:rPr>
                <w:rFonts w:cs="Calibri"/>
                <w:b/>
              </w:rPr>
              <w:t xml:space="preserve">Contact Angle(°) </w:t>
            </w:r>
          </w:p>
        </w:tc>
      </w:tr>
      <w:tr w:rsidR="00387A07" w:rsidRPr="00E17E1F" w:rsidTr="00387A07">
        <w:trPr>
          <w:trHeight w:val="283"/>
          <w:jc w:val="center"/>
        </w:trPr>
        <w:tc>
          <w:tcPr>
            <w:tcW w:w="1167" w:type="dxa"/>
            <w:tcBorders>
              <w:top w:val="single" w:sz="4" w:space="0" w:color="auto"/>
              <w:left w:val="nil"/>
            </w:tcBorders>
            <w:shd w:val="clear" w:color="auto" w:fill="D9D9D9" w:themeFill="background1" w:themeFillShade="D9"/>
            <w:vAlign w:val="center"/>
          </w:tcPr>
          <w:p w:rsidR="00387A07" w:rsidRPr="00E17E1F" w:rsidRDefault="00387A07" w:rsidP="00387A07">
            <w:pPr>
              <w:spacing w:after="0"/>
              <w:jc w:val="center"/>
              <w:rPr>
                <w:rFonts w:cs="Calibri"/>
              </w:rPr>
            </w:pPr>
            <w:r w:rsidRPr="00E17E1F">
              <w:rPr>
                <w:rFonts w:cs="Calibri"/>
              </w:rPr>
              <w:t>PLA</w:t>
            </w:r>
          </w:p>
        </w:tc>
        <w:tc>
          <w:tcPr>
            <w:tcW w:w="2438" w:type="dxa"/>
            <w:tcBorders>
              <w:top w:val="single" w:sz="4" w:space="0" w:color="auto"/>
              <w:right w:val="nil"/>
            </w:tcBorders>
            <w:shd w:val="clear" w:color="auto" w:fill="D9D9D9" w:themeFill="background1" w:themeFillShade="D9"/>
            <w:vAlign w:val="center"/>
          </w:tcPr>
          <w:p w:rsidR="00387A07" w:rsidRPr="00E17E1F" w:rsidRDefault="00387A07" w:rsidP="00387A07">
            <w:pPr>
              <w:spacing w:after="0"/>
              <w:jc w:val="center"/>
              <w:rPr>
                <w:rFonts w:cs="Calibri"/>
              </w:rPr>
            </w:pPr>
            <w:r w:rsidRPr="00E17E1F">
              <w:rPr>
                <w:rFonts w:cs="Calibri"/>
              </w:rPr>
              <w:t>82.0 ± 0.7</w:t>
            </w:r>
          </w:p>
        </w:tc>
      </w:tr>
      <w:tr w:rsidR="00387A07" w:rsidRPr="00E17E1F" w:rsidTr="00387A07">
        <w:trPr>
          <w:trHeight w:val="283"/>
          <w:jc w:val="center"/>
        </w:trPr>
        <w:tc>
          <w:tcPr>
            <w:tcW w:w="1167" w:type="dxa"/>
            <w:tcBorders>
              <w:left w:val="nil"/>
            </w:tcBorders>
            <w:shd w:val="clear" w:color="auto" w:fill="D9D9D9" w:themeFill="background1" w:themeFillShade="D9"/>
            <w:vAlign w:val="center"/>
          </w:tcPr>
          <w:p w:rsidR="00387A07" w:rsidRPr="00E17E1F" w:rsidRDefault="00387A07" w:rsidP="00387A07">
            <w:pPr>
              <w:spacing w:after="0"/>
              <w:jc w:val="center"/>
              <w:rPr>
                <w:rFonts w:cs="Calibri"/>
              </w:rPr>
            </w:pPr>
            <w:r w:rsidRPr="00E17E1F">
              <w:rPr>
                <w:rFonts w:cs="Calibri"/>
              </w:rPr>
              <w:t>PCL</w:t>
            </w:r>
          </w:p>
        </w:tc>
        <w:tc>
          <w:tcPr>
            <w:tcW w:w="2438" w:type="dxa"/>
            <w:tcBorders>
              <w:right w:val="nil"/>
            </w:tcBorders>
            <w:shd w:val="clear" w:color="auto" w:fill="D9D9D9" w:themeFill="background1" w:themeFillShade="D9"/>
            <w:vAlign w:val="center"/>
          </w:tcPr>
          <w:p w:rsidR="00387A07" w:rsidRPr="00E17E1F" w:rsidRDefault="00387A07" w:rsidP="00387A07">
            <w:pPr>
              <w:spacing w:after="0"/>
              <w:jc w:val="center"/>
              <w:rPr>
                <w:rFonts w:cs="Calibri"/>
              </w:rPr>
            </w:pPr>
            <w:r w:rsidRPr="00E17E1F">
              <w:rPr>
                <w:rFonts w:cs="Calibri"/>
              </w:rPr>
              <w:t>86.0 ± 0.3</w:t>
            </w:r>
          </w:p>
        </w:tc>
      </w:tr>
      <w:tr w:rsidR="00387A07" w:rsidRPr="00E17E1F" w:rsidTr="00387A07">
        <w:trPr>
          <w:trHeight w:val="283"/>
          <w:jc w:val="center"/>
        </w:trPr>
        <w:tc>
          <w:tcPr>
            <w:tcW w:w="1167" w:type="dxa"/>
            <w:tcBorders>
              <w:left w:val="nil"/>
              <w:bottom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rPr>
            </w:pPr>
            <w:r w:rsidRPr="00E17E1F">
              <w:rPr>
                <w:rFonts w:cs="Calibri"/>
              </w:rPr>
              <w:t>C-BC2000</w:t>
            </w:r>
          </w:p>
        </w:tc>
        <w:tc>
          <w:tcPr>
            <w:tcW w:w="2438" w:type="dxa"/>
            <w:tcBorders>
              <w:bottom w:val="single" w:sz="4" w:space="0" w:color="auto"/>
              <w:right w:val="nil"/>
            </w:tcBorders>
            <w:shd w:val="clear" w:color="auto" w:fill="D9D9D9" w:themeFill="background1" w:themeFillShade="D9"/>
            <w:vAlign w:val="center"/>
          </w:tcPr>
          <w:p w:rsidR="00387A07" w:rsidRPr="00E17E1F" w:rsidRDefault="00387A07" w:rsidP="00387A07">
            <w:pPr>
              <w:spacing w:after="0"/>
              <w:jc w:val="center"/>
              <w:rPr>
                <w:rFonts w:cs="Calibri"/>
              </w:rPr>
            </w:pPr>
            <w:r w:rsidRPr="00E17E1F">
              <w:rPr>
                <w:rFonts w:cs="Calibri"/>
              </w:rPr>
              <w:t>90.5 ± 0.9</w:t>
            </w:r>
          </w:p>
        </w:tc>
      </w:tr>
    </w:tbl>
    <w:p w:rsidR="00387A07" w:rsidRPr="00E17E1F" w:rsidRDefault="00387A07" w:rsidP="00387A07">
      <w:pPr>
        <w:pStyle w:val="Didascalia"/>
        <w:spacing w:before="120"/>
        <w:rPr>
          <w:rFonts w:ascii="Arial" w:hAnsi="Arial" w:cs="Arial"/>
          <w:sz w:val="24"/>
          <w:szCs w:val="24"/>
        </w:rPr>
      </w:pPr>
      <w:r w:rsidRPr="00E17E1F">
        <w:t xml:space="preserve">Table 2. </w:t>
      </w:r>
      <w:fldSimple w:instr=" SEQ Table_2. \* ARABIC ">
        <w:r w:rsidRPr="00E17E1F">
          <w:rPr>
            <w:noProof/>
          </w:rPr>
          <w:t>2</w:t>
        </w:r>
      </w:fldSimple>
      <w:r w:rsidRPr="00E17E1F">
        <w:t xml:space="preserve"> Contact Angle measurements of the three materials. Results are expressed as mean </w:t>
      </w:r>
      <w:r w:rsidRPr="00E17E1F">
        <w:rPr>
          <w:rFonts w:cstheme="minorHAnsi"/>
        </w:rPr>
        <w:t>±</w:t>
      </w:r>
      <w:r w:rsidRPr="00E17E1F">
        <w:t xml:space="preserve"> SD</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 xml:space="preserve">As expected all the three polymers are hydrophobic, and are therefore suitable for the encapsulation of poorly water soluble drugs such as Paclitaxel. </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 xml:space="preserve">PLA shows the lowest contact angle, indicating a slightly higher affinity for water if compared to the other two polymers, PCL and C-BC2000, which show a contact angle of 86° and 90° respectively. </w:t>
      </w:r>
    </w:p>
    <w:p w:rsidR="00387A07" w:rsidRPr="00E17E1F" w:rsidRDefault="00387A07" w:rsidP="00387A07">
      <w:pPr>
        <w:spacing w:before="240" w:after="240" w:line="360" w:lineRule="auto"/>
        <w:jc w:val="both"/>
        <w:rPr>
          <w:rFonts w:ascii="Arial" w:hAnsi="Arial" w:cs="Arial"/>
          <w:b/>
          <w:sz w:val="24"/>
          <w:szCs w:val="24"/>
        </w:rPr>
      </w:pPr>
      <w:r w:rsidRPr="00E17E1F">
        <w:rPr>
          <w:rFonts w:ascii="Arial" w:hAnsi="Arial" w:cs="Arial"/>
          <w:b/>
          <w:sz w:val="24"/>
          <w:szCs w:val="24"/>
        </w:rPr>
        <w:t>2.3.3 Preparation &amp; characterization of Nanoparticles</w:t>
      </w:r>
    </w:p>
    <w:p w:rsidR="00387A07" w:rsidRPr="00E17E1F" w:rsidRDefault="00387A07" w:rsidP="00387A07">
      <w:pPr>
        <w:spacing w:before="240" w:after="240" w:line="360" w:lineRule="auto"/>
        <w:jc w:val="both"/>
        <w:rPr>
          <w:rFonts w:ascii="Arial" w:hAnsi="Arial" w:cs="Arial"/>
          <w:b/>
          <w:i/>
          <w:sz w:val="24"/>
          <w:szCs w:val="24"/>
        </w:rPr>
      </w:pPr>
      <w:r w:rsidRPr="00E17E1F">
        <w:rPr>
          <w:rFonts w:ascii="Arial" w:hAnsi="Arial" w:cs="Arial"/>
          <w:b/>
          <w:i/>
          <w:sz w:val="24"/>
          <w:szCs w:val="24"/>
        </w:rPr>
        <w:t xml:space="preserve">2.3.3.1 Optimization of the protocol  </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 xml:space="preserve">In order to optimize the protocol for the preparation of nanoparticles with an appropriate size range for passive targeting, the influence of polymer concentration and of the polymer/surfactant ratio on the mean particle’s size was analyzed. </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lastRenderedPageBreak/>
        <w:t xml:space="preserve">The concentration of the polymer in acetone is one important parameter affecting nanoparticles size [30]. For this reason this parameter was firstly optimized for the three polymers at a fixed polymer/surfactant ratio R=1. </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Results are reported in figure 2.5 and in table 2.3, which show that an increase in the concentration of the polymer solution leads to a linear increase in nanoparticles size, in agreement with results reported by other authors [31] [32].</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This result could be explained by the higher viscosity of the polymer solution which reduces the rate of solvent diffusion, thus leading to a slower precipitation and to larger diameters.</w:t>
      </w:r>
    </w:p>
    <w:p w:rsidR="00387A07" w:rsidRPr="00E17E1F" w:rsidRDefault="00387A07" w:rsidP="00387A07">
      <w:pPr>
        <w:spacing w:after="120" w:line="360" w:lineRule="auto"/>
        <w:jc w:val="both"/>
        <w:rPr>
          <w:rFonts w:ascii="Arial" w:hAnsi="Arial" w:cs="Arial"/>
          <w:sz w:val="24"/>
          <w:szCs w:val="24"/>
        </w:rPr>
      </w:pPr>
      <w:r w:rsidRPr="00E17E1F">
        <w:rPr>
          <w:rFonts w:ascii="Arial" w:hAnsi="Arial" w:cs="Arial"/>
          <w:sz w:val="24"/>
          <w:szCs w:val="24"/>
        </w:rPr>
        <w:t xml:space="preserve">At similar conditions, PLA nanoparticles exhibit smaller size when compared to nanoparticles prepared with the other two polymers. This behaviour could probably be ascribed to the lower molecular weight of this polymer [33]. </w:t>
      </w:r>
    </w:p>
    <w:p w:rsidR="00387A07" w:rsidRPr="00E17E1F" w:rsidRDefault="00387A07" w:rsidP="00387A07">
      <w:pPr>
        <w:spacing w:after="0" w:line="360" w:lineRule="auto"/>
        <w:jc w:val="center"/>
        <w:rPr>
          <w:rFonts w:ascii="Arial" w:hAnsi="Arial" w:cs="Arial"/>
          <w:sz w:val="24"/>
          <w:szCs w:val="24"/>
        </w:rPr>
      </w:pPr>
      <w:r w:rsidRPr="00E17E1F">
        <w:rPr>
          <w:rFonts w:ascii="Arial" w:hAnsi="Arial" w:cs="Arial"/>
          <w:noProof/>
          <w:sz w:val="24"/>
          <w:szCs w:val="24"/>
          <w:lang w:val="it-IT" w:eastAsia="it-IT"/>
        </w:rPr>
        <w:drawing>
          <wp:inline distT="0" distB="0" distL="0" distR="0">
            <wp:extent cx="4533900" cy="2752725"/>
            <wp:effectExtent l="0" t="0" r="0" b="0"/>
            <wp:docPr id="135" name="Immagine 24" descr="effect of polymer concent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4" descr="effect of polymer concentration.png"/>
                    <pic:cNvPicPr>
                      <a:picLocks noChangeAspect="1" noChangeArrowheads="1"/>
                    </pic:cNvPicPr>
                  </pic:nvPicPr>
                  <pic:blipFill>
                    <a:blip r:embed="rId29"/>
                    <a:srcRect/>
                    <a:stretch>
                      <a:fillRect/>
                    </a:stretch>
                  </pic:blipFill>
                  <pic:spPr bwMode="auto">
                    <a:xfrm>
                      <a:off x="0" y="0"/>
                      <a:ext cx="4533900" cy="2752725"/>
                    </a:xfrm>
                    <a:prstGeom prst="rect">
                      <a:avLst/>
                    </a:prstGeom>
                    <a:noFill/>
                    <a:ln w="9525">
                      <a:noFill/>
                      <a:miter lim="800000"/>
                      <a:headEnd/>
                      <a:tailEnd/>
                    </a:ln>
                  </pic:spPr>
                </pic:pic>
              </a:graphicData>
            </a:graphic>
          </wp:inline>
        </w:drawing>
      </w:r>
    </w:p>
    <w:p w:rsidR="00387A07" w:rsidRPr="00E17E1F" w:rsidRDefault="00387A07" w:rsidP="00387A07">
      <w:pPr>
        <w:pStyle w:val="Didascalia"/>
      </w:pPr>
      <w:r w:rsidRPr="00E17E1F">
        <w:t>Figure 2. 5 Effect of polymer concentration on Particles’ mean size.</w:t>
      </w:r>
    </w:p>
    <w:tbl>
      <w:tblPr>
        <w:tblW w:w="9370" w:type="dxa"/>
        <w:jc w:val="center"/>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ayout w:type="fixed"/>
        <w:tblLook w:val="0000"/>
      </w:tblPr>
      <w:tblGrid>
        <w:gridCol w:w="1570"/>
        <w:gridCol w:w="1298"/>
        <w:gridCol w:w="1304"/>
        <w:gridCol w:w="1298"/>
        <w:gridCol w:w="1302"/>
        <w:gridCol w:w="1298"/>
        <w:gridCol w:w="1300"/>
      </w:tblGrid>
      <w:tr w:rsidR="00387A07" w:rsidRPr="00E17E1F" w:rsidTr="00387A07">
        <w:trPr>
          <w:trHeight w:val="413"/>
          <w:jc w:val="center"/>
        </w:trPr>
        <w:tc>
          <w:tcPr>
            <w:tcW w:w="1570" w:type="dxa"/>
            <w:vMerge w:val="restart"/>
            <w:tcBorders>
              <w:left w:val="nil"/>
              <w:bottom w:val="nil"/>
              <w:right w:val="nil"/>
            </w:tcBorders>
            <w:shd w:val="clear" w:color="auto" w:fill="D9D9D9" w:themeFill="background1" w:themeFillShade="D9"/>
            <w:vAlign w:val="center"/>
          </w:tcPr>
          <w:p w:rsidR="00387A07" w:rsidRPr="00E17E1F" w:rsidRDefault="00387A07" w:rsidP="00387A07">
            <w:pPr>
              <w:spacing w:after="0" w:line="240" w:lineRule="auto"/>
              <w:jc w:val="center"/>
              <w:rPr>
                <w:rFonts w:cs="Calibri"/>
                <w:b/>
              </w:rPr>
            </w:pPr>
            <w:r w:rsidRPr="00E17E1F">
              <w:rPr>
                <w:rFonts w:cs="Calibri"/>
                <w:b/>
              </w:rPr>
              <w:t>Polymer concentration (w/V)</w:t>
            </w:r>
          </w:p>
        </w:tc>
        <w:tc>
          <w:tcPr>
            <w:tcW w:w="2599" w:type="dxa"/>
            <w:gridSpan w:val="2"/>
            <w:tcBorders>
              <w:left w:val="nil"/>
              <w:bottom w:val="single" w:sz="4" w:space="0" w:color="auto"/>
              <w:right w:val="nil"/>
            </w:tcBorders>
            <w:shd w:val="clear" w:color="auto" w:fill="D9D9D9" w:themeFill="background1" w:themeFillShade="D9"/>
          </w:tcPr>
          <w:p w:rsidR="00387A07" w:rsidRPr="00E17E1F" w:rsidRDefault="00387A07" w:rsidP="00387A07">
            <w:pPr>
              <w:spacing w:after="0" w:line="360" w:lineRule="auto"/>
              <w:jc w:val="center"/>
              <w:rPr>
                <w:rFonts w:cs="Calibri"/>
                <w:b/>
              </w:rPr>
            </w:pPr>
            <w:r w:rsidRPr="00E17E1F">
              <w:rPr>
                <w:rFonts w:cs="Calibri"/>
                <w:b/>
              </w:rPr>
              <w:t>PLA</w:t>
            </w:r>
          </w:p>
        </w:tc>
        <w:tc>
          <w:tcPr>
            <w:tcW w:w="2600" w:type="dxa"/>
            <w:gridSpan w:val="2"/>
            <w:tcBorders>
              <w:left w:val="nil"/>
              <w:bottom w:val="single" w:sz="4" w:space="0" w:color="auto"/>
              <w:right w:val="nil"/>
            </w:tcBorders>
            <w:shd w:val="clear" w:color="auto" w:fill="D9D9D9" w:themeFill="background1" w:themeFillShade="D9"/>
          </w:tcPr>
          <w:p w:rsidR="00387A07" w:rsidRPr="00E17E1F" w:rsidRDefault="00387A07" w:rsidP="00387A07">
            <w:pPr>
              <w:spacing w:after="0" w:line="360" w:lineRule="auto"/>
              <w:jc w:val="center"/>
              <w:rPr>
                <w:rFonts w:cs="Calibri"/>
                <w:b/>
              </w:rPr>
            </w:pPr>
            <w:r w:rsidRPr="00E17E1F">
              <w:rPr>
                <w:rFonts w:cs="Calibri"/>
                <w:b/>
              </w:rPr>
              <w:t>PCL</w:t>
            </w:r>
          </w:p>
        </w:tc>
        <w:tc>
          <w:tcPr>
            <w:tcW w:w="2598" w:type="dxa"/>
            <w:gridSpan w:val="2"/>
            <w:tcBorders>
              <w:left w:val="nil"/>
              <w:bottom w:val="single" w:sz="4" w:space="0" w:color="auto"/>
              <w:right w:val="nil"/>
            </w:tcBorders>
            <w:shd w:val="clear" w:color="auto" w:fill="D9D9D9" w:themeFill="background1" w:themeFillShade="D9"/>
          </w:tcPr>
          <w:p w:rsidR="00387A07" w:rsidRPr="00E17E1F" w:rsidRDefault="00387A07" w:rsidP="00387A07">
            <w:pPr>
              <w:spacing w:after="0" w:line="360" w:lineRule="auto"/>
              <w:jc w:val="center"/>
              <w:rPr>
                <w:rFonts w:cs="Calibri"/>
                <w:b/>
              </w:rPr>
            </w:pPr>
            <w:r w:rsidRPr="00E17E1F">
              <w:rPr>
                <w:rFonts w:cs="Calibri"/>
                <w:b/>
              </w:rPr>
              <w:t>C-BC2000</w:t>
            </w:r>
          </w:p>
        </w:tc>
      </w:tr>
      <w:tr w:rsidR="00387A07" w:rsidRPr="00E17E1F" w:rsidTr="00387A07">
        <w:trPr>
          <w:trHeight w:val="275"/>
          <w:jc w:val="center"/>
        </w:trPr>
        <w:tc>
          <w:tcPr>
            <w:tcW w:w="1570" w:type="dxa"/>
            <w:vMerge/>
            <w:tcBorders>
              <w:top w:val="nil"/>
              <w:left w:val="nil"/>
              <w:bottom w:val="single" w:sz="4" w:space="0" w:color="auto"/>
              <w:right w:val="nil"/>
            </w:tcBorders>
            <w:shd w:val="clear" w:color="auto" w:fill="D9D9D9" w:themeFill="background1" w:themeFillShade="D9"/>
          </w:tcPr>
          <w:p w:rsidR="00387A07" w:rsidRPr="00E17E1F" w:rsidRDefault="00387A07" w:rsidP="00387A07">
            <w:pPr>
              <w:spacing w:after="0" w:line="360" w:lineRule="auto"/>
              <w:jc w:val="center"/>
              <w:rPr>
                <w:rFonts w:cs="Calibri"/>
              </w:rPr>
            </w:pPr>
          </w:p>
        </w:tc>
        <w:tc>
          <w:tcPr>
            <w:tcW w:w="1298" w:type="dxa"/>
            <w:tcBorders>
              <w:top w:val="single" w:sz="4" w:space="0" w:color="auto"/>
              <w:left w:val="nil"/>
              <w:bottom w:val="single" w:sz="4" w:space="0" w:color="auto"/>
              <w:right w:val="nil"/>
            </w:tcBorders>
            <w:shd w:val="clear" w:color="auto" w:fill="D9D9D9" w:themeFill="background1" w:themeFillShade="D9"/>
          </w:tcPr>
          <w:p w:rsidR="00387A07" w:rsidRPr="00E17E1F" w:rsidRDefault="00387A07" w:rsidP="00387A07">
            <w:pPr>
              <w:spacing w:after="0" w:line="360" w:lineRule="auto"/>
              <w:rPr>
                <w:rFonts w:cs="Calibri"/>
                <w:b/>
              </w:rPr>
            </w:pPr>
            <w:r w:rsidRPr="00E17E1F">
              <w:rPr>
                <w:rFonts w:cs="Calibri"/>
                <w:b/>
              </w:rPr>
              <w:t>Size [nm]</w:t>
            </w:r>
          </w:p>
        </w:tc>
        <w:tc>
          <w:tcPr>
            <w:tcW w:w="1304" w:type="dxa"/>
            <w:tcBorders>
              <w:top w:val="single" w:sz="4" w:space="0" w:color="auto"/>
              <w:left w:val="nil"/>
              <w:bottom w:val="single" w:sz="4" w:space="0" w:color="auto"/>
              <w:right w:val="nil"/>
            </w:tcBorders>
            <w:shd w:val="clear" w:color="auto" w:fill="D9D9D9" w:themeFill="background1" w:themeFillShade="D9"/>
          </w:tcPr>
          <w:p w:rsidR="00387A07" w:rsidRPr="00E17E1F" w:rsidRDefault="00387A07" w:rsidP="00387A07">
            <w:pPr>
              <w:spacing w:after="0" w:line="360" w:lineRule="auto"/>
              <w:jc w:val="center"/>
              <w:rPr>
                <w:rFonts w:cs="Calibri"/>
                <w:b/>
              </w:rPr>
            </w:pPr>
            <w:r w:rsidRPr="00E17E1F">
              <w:rPr>
                <w:rFonts w:cs="Calibri"/>
                <w:b/>
              </w:rPr>
              <w:t xml:space="preserve">PDI </w:t>
            </w:r>
          </w:p>
        </w:tc>
        <w:tc>
          <w:tcPr>
            <w:tcW w:w="1298" w:type="dxa"/>
            <w:tcBorders>
              <w:top w:val="single" w:sz="4" w:space="0" w:color="auto"/>
              <w:left w:val="nil"/>
              <w:bottom w:val="single" w:sz="4" w:space="0" w:color="auto"/>
              <w:right w:val="nil"/>
            </w:tcBorders>
            <w:shd w:val="clear" w:color="auto" w:fill="D9D9D9" w:themeFill="background1" w:themeFillShade="D9"/>
          </w:tcPr>
          <w:p w:rsidR="00387A07" w:rsidRPr="00E17E1F" w:rsidRDefault="00387A07" w:rsidP="00387A07">
            <w:pPr>
              <w:spacing w:after="0" w:line="360" w:lineRule="auto"/>
              <w:rPr>
                <w:rFonts w:cs="Calibri"/>
                <w:b/>
              </w:rPr>
            </w:pPr>
            <w:r w:rsidRPr="00E17E1F">
              <w:rPr>
                <w:rFonts w:cs="Calibri"/>
                <w:b/>
              </w:rPr>
              <w:t>Size [nm]</w:t>
            </w:r>
          </w:p>
        </w:tc>
        <w:tc>
          <w:tcPr>
            <w:tcW w:w="1302" w:type="dxa"/>
            <w:tcBorders>
              <w:top w:val="single" w:sz="4" w:space="0" w:color="auto"/>
              <w:left w:val="nil"/>
              <w:bottom w:val="single" w:sz="4" w:space="0" w:color="auto"/>
              <w:right w:val="nil"/>
            </w:tcBorders>
            <w:shd w:val="clear" w:color="auto" w:fill="D9D9D9" w:themeFill="background1" w:themeFillShade="D9"/>
          </w:tcPr>
          <w:p w:rsidR="00387A07" w:rsidRPr="00E17E1F" w:rsidRDefault="00387A07" w:rsidP="00387A07">
            <w:pPr>
              <w:spacing w:after="0" w:line="360" w:lineRule="auto"/>
              <w:jc w:val="center"/>
              <w:rPr>
                <w:rFonts w:cs="Calibri"/>
                <w:b/>
              </w:rPr>
            </w:pPr>
            <w:r w:rsidRPr="00E17E1F">
              <w:rPr>
                <w:rFonts w:cs="Calibri"/>
                <w:b/>
              </w:rPr>
              <w:t xml:space="preserve">PDI </w:t>
            </w:r>
          </w:p>
        </w:tc>
        <w:tc>
          <w:tcPr>
            <w:tcW w:w="1298" w:type="dxa"/>
            <w:tcBorders>
              <w:top w:val="single" w:sz="4" w:space="0" w:color="auto"/>
              <w:left w:val="nil"/>
              <w:bottom w:val="single" w:sz="4" w:space="0" w:color="auto"/>
              <w:right w:val="nil"/>
            </w:tcBorders>
            <w:shd w:val="clear" w:color="auto" w:fill="D9D9D9" w:themeFill="background1" w:themeFillShade="D9"/>
          </w:tcPr>
          <w:p w:rsidR="00387A07" w:rsidRPr="00E17E1F" w:rsidRDefault="00387A07" w:rsidP="00387A07">
            <w:pPr>
              <w:spacing w:after="0" w:line="360" w:lineRule="auto"/>
              <w:rPr>
                <w:rFonts w:cs="Calibri"/>
                <w:b/>
              </w:rPr>
            </w:pPr>
            <w:r w:rsidRPr="00E17E1F">
              <w:rPr>
                <w:rFonts w:cs="Calibri"/>
                <w:b/>
              </w:rPr>
              <w:t>Size [nm]</w:t>
            </w:r>
          </w:p>
        </w:tc>
        <w:tc>
          <w:tcPr>
            <w:tcW w:w="1300" w:type="dxa"/>
            <w:tcBorders>
              <w:top w:val="single" w:sz="4" w:space="0" w:color="auto"/>
              <w:left w:val="nil"/>
              <w:bottom w:val="single" w:sz="4" w:space="0" w:color="auto"/>
              <w:right w:val="nil"/>
            </w:tcBorders>
            <w:shd w:val="clear" w:color="auto" w:fill="D9D9D9" w:themeFill="background1" w:themeFillShade="D9"/>
          </w:tcPr>
          <w:p w:rsidR="00387A07" w:rsidRPr="00E17E1F" w:rsidRDefault="00387A07" w:rsidP="00387A07">
            <w:pPr>
              <w:spacing w:after="0" w:line="360" w:lineRule="auto"/>
              <w:jc w:val="center"/>
              <w:rPr>
                <w:rFonts w:cs="Calibri"/>
                <w:b/>
              </w:rPr>
            </w:pPr>
            <w:r w:rsidRPr="00E17E1F">
              <w:rPr>
                <w:rFonts w:cs="Calibri"/>
                <w:b/>
              </w:rPr>
              <w:t xml:space="preserve">PDI </w:t>
            </w:r>
          </w:p>
        </w:tc>
      </w:tr>
      <w:tr w:rsidR="00387A07" w:rsidRPr="00E17E1F" w:rsidTr="00387A07">
        <w:trPr>
          <w:trHeight w:val="329"/>
          <w:jc w:val="center"/>
        </w:trPr>
        <w:tc>
          <w:tcPr>
            <w:tcW w:w="1570" w:type="dxa"/>
            <w:tcBorders>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bCs/>
                <w:color w:val="000000"/>
              </w:rPr>
            </w:pPr>
            <w:r w:rsidRPr="00E17E1F">
              <w:rPr>
                <w:rFonts w:cs="Calibri"/>
                <w:bCs/>
                <w:color w:val="000000"/>
              </w:rPr>
              <w:t>0,4</w:t>
            </w:r>
          </w:p>
        </w:tc>
        <w:tc>
          <w:tcPr>
            <w:tcW w:w="1298" w:type="dxa"/>
            <w:tcBorders>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148 ± 3</w:t>
            </w:r>
          </w:p>
        </w:tc>
        <w:tc>
          <w:tcPr>
            <w:tcW w:w="1304" w:type="dxa"/>
            <w:tcBorders>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0.11 ± 0.03</w:t>
            </w:r>
          </w:p>
        </w:tc>
        <w:tc>
          <w:tcPr>
            <w:tcW w:w="1298" w:type="dxa"/>
            <w:tcBorders>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217 ± 4</w:t>
            </w:r>
          </w:p>
        </w:tc>
        <w:tc>
          <w:tcPr>
            <w:tcW w:w="1302" w:type="dxa"/>
            <w:tcBorders>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0.15 ± 0.02</w:t>
            </w:r>
          </w:p>
        </w:tc>
        <w:tc>
          <w:tcPr>
            <w:tcW w:w="1298" w:type="dxa"/>
            <w:tcBorders>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203 ± 2</w:t>
            </w:r>
          </w:p>
        </w:tc>
        <w:tc>
          <w:tcPr>
            <w:tcW w:w="1300" w:type="dxa"/>
            <w:tcBorders>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0.19 ± 0.04</w:t>
            </w:r>
          </w:p>
        </w:tc>
      </w:tr>
      <w:tr w:rsidR="00387A07" w:rsidRPr="00E17E1F" w:rsidTr="00387A07">
        <w:trPr>
          <w:trHeight w:val="329"/>
          <w:jc w:val="center"/>
        </w:trPr>
        <w:tc>
          <w:tcPr>
            <w:tcW w:w="1570"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bCs/>
                <w:color w:val="000000"/>
              </w:rPr>
            </w:pPr>
            <w:r w:rsidRPr="00E17E1F">
              <w:rPr>
                <w:rFonts w:cs="Calibri"/>
                <w:bCs/>
                <w:color w:val="000000"/>
              </w:rPr>
              <w:t>0,6</w:t>
            </w:r>
          </w:p>
        </w:tc>
        <w:tc>
          <w:tcPr>
            <w:tcW w:w="1298"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213 ± 28</w:t>
            </w:r>
          </w:p>
        </w:tc>
        <w:tc>
          <w:tcPr>
            <w:tcW w:w="1304"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lang w:val="en-US"/>
              </w:rPr>
              <w:t>0.09 ± 0.02</w:t>
            </w:r>
          </w:p>
        </w:tc>
        <w:tc>
          <w:tcPr>
            <w:tcW w:w="1298"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211 ± 36</w:t>
            </w:r>
          </w:p>
        </w:tc>
        <w:tc>
          <w:tcPr>
            <w:tcW w:w="1302"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lang w:val="en-US"/>
              </w:rPr>
              <w:t>0.12 ± 0.06</w:t>
            </w:r>
          </w:p>
        </w:tc>
        <w:tc>
          <w:tcPr>
            <w:tcW w:w="1298"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226 ± 13</w:t>
            </w:r>
          </w:p>
        </w:tc>
        <w:tc>
          <w:tcPr>
            <w:tcW w:w="1300"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lang w:val="en-US"/>
              </w:rPr>
              <w:t>0.1 ± 0.01</w:t>
            </w:r>
          </w:p>
        </w:tc>
      </w:tr>
      <w:tr w:rsidR="00387A07" w:rsidRPr="00E17E1F" w:rsidTr="00387A07">
        <w:trPr>
          <w:trHeight w:val="329"/>
          <w:jc w:val="center"/>
        </w:trPr>
        <w:tc>
          <w:tcPr>
            <w:tcW w:w="1570"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bCs/>
                <w:color w:val="000000"/>
              </w:rPr>
            </w:pPr>
            <w:r w:rsidRPr="00E17E1F">
              <w:rPr>
                <w:rFonts w:cs="Calibri"/>
                <w:bCs/>
                <w:color w:val="000000"/>
              </w:rPr>
              <w:t>0,9</w:t>
            </w:r>
          </w:p>
        </w:tc>
        <w:tc>
          <w:tcPr>
            <w:tcW w:w="1298"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229 ± 15</w:t>
            </w:r>
          </w:p>
        </w:tc>
        <w:tc>
          <w:tcPr>
            <w:tcW w:w="1304"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0.14 ± 0.03</w:t>
            </w:r>
          </w:p>
        </w:tc>
        <w:tc>
          <w:tcPr>
            <w:tcW w:w="1298"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281 ± 8</w:t>
            </w:r>
          </w:p>
        </w:tc>
        <w:tc>
          <w:tcPr>
            <w:tcW w:w="1302"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0.21 ± 0.01</w:t>
            </w:r>
          </w:p>
        </w:tc>
        <w:tc>
          <w:tcPr>
            <w:tcW w:w="1298"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300 ± 15</w:t>
            </w:r>
          </w:p>
        </w:tc>
        <w:tc>
          <w:tcPr>
            <w:tcW w:w="1300" w:type="dxa"/>
            <w:tcBorders>
              <w:top w:val="nil"/>
              <w:left w:val="nil"/>
              <w:bottom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0.13 ± 0.01</w:t>
            </w:r>
          </w:p>
        </w:tc>
      </w:tr>
      <w:tr w:rsidR="00387A07" w:rsidRPr="00E17E1F" w:rsidTr="00387A07">
        <w:trPr>
          <w:trHeight w:val="329"/>
          <w:jc w:val="center"/>
        </w:trPr>
        <w:tc>
          <w:tcPr>
            <w:tcW w:w="1570" w:type="dxa"/>
            <w:tcBorders>
              <w:top w:val="nil"/>
              <w:left w:val="nil"/>
              <w:right w:val="nil"/>
            </w:tcBorders>
            <w:shd w:val="clear" w:color="auto" w:fill="D9D9D9" w:themeFill="background1" w:themeFillShade="D9"/>
            <w:vAlign w:val="bottom"/>
          </w:tcPr>
          <w:p w:rsidR="00387A07" w:rsidRPr="00E17E1F" w:rsidRDefault="00387A07" w:rsidP="00387A07">
            <w:pPr>
              <w:spacing w:after="0"/>
              <w:jc w:val="center"/>
              <w:rPr>
                <w:rFonts w:cs="Calibri"/>
                <w:bCs/>
                <w:color w:val="000000"/>
              </w:rPr>
            </w:pPr>
            <w:r w:rsidRPr="00E17E1F">
              <w:rPr>
                <w:rFonts w:cs="Calibri"/>
                <w:bCs/>
                <w:color w:val="000000"/>
              </w:rPr>
              <w:t>1,2</w:t>
            </w:r>
          </w:p>
        </w:tc>
        <w:tc>
          <w:tcPr>
            <w:tcW w:w="1298" w:type="dxa"/>
            <w:tcBorders>
              <w:top w:val="nil"/>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272 ± 11</w:t>
            </w:r>
          </w:p>
        </w:tc>
        <w:tc>
          <w:tcPr>
            <w:tcW w:w="1304" w:type="dxa"/>
            <w:tcBorders>
              <w:top w:val="nil"/>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0.12 ± 0.01</w:t>
            </w:r>
          </w:p>
        </w:tc>
        <w:tc>
          <w:tcPr>
            <w:tcW w:w="1298" w:type="dxa"/>
            <w:tcBorders>
              <w:top w:val="nil"/>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320 ± 7</w:t>
            </w:r>
          </w:p>
        </w:tc>
        <w:tc>
          <w:tcPr>
            <w:tcW w:w="1302" w:type="dxa"/>
            <w:tcBorders>
              <w:top w:val="nil"/>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0.11 ± 0.04</w:t>
            </w:r>
          </w:p>
        </w:tc>
        <w:tc>
          <w:tcPr>
            <w:tcW w:w="1298" w:type="dxa"/>
            <w:tcBorders>
              <w:top w:val="nil"/>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320 ± 32</w:t>
            </w:r>
          </w:p>
        </w:tc>
        <w:tc>
          <w:tcPr>
            <w:tcW w:w="1300" w:type="dxa"/>
            <w:tcBorders>
              <w:top w:val="nil"/>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rPr>
            </w:pPr>
            <w:r w:rsidRPr="00E17E1F">
              <w:rPr>
                <w:rFonts w:cs="Calibri"/>
                <w:color w:val="000000"/>
              </w:rPr>
              <w:t>0.21 ± 0.03</w:t>
            </w:r>
          </w:p>
        </w:tc>
      </w:tr>
    </w:tbl>
    <w:p w:rsidR="00387A07" w:rsidRPr="00E17E1F" w:rsidRDefault="00387A07" w:rsidP="00387A07">
      <w:pPr>
        <w:pStyle w:val="Didascalia"/>
        <w:spacing w:before="120"/>
        <w:rPr>
          <w:rFonts w:ascii="Arial" w:hAnsi="Arial" w:cs="Arial"/>
          <w:sz w:val="24"/>
          <w:szCs w:val="24"/>
        </w:rPr>
      </w:pPr>
      <w:r w:rsidRPr="00E17E1F">
        <w:t xml:space="preserve">Table 2. </w:t>
      </w:r>
      <w:fldSimple w:instr=" SEQ Table_2. \* ARABIC ">
        <w:r w:rsidRPr="00E17E1F">
          <w:rPr>
            <w:noProof/>
          </w:rPr>
          <w:t>3</w:t>
        </w:r>
      </w:fldSimple>
      <w:r w:rsidRPr="00E17E1F">
        <w:t xml:space="preserve"> Size and PDI  of nanoparticles prepared with different polymer concentrations. Results are reported as mean ± standard deviation (n=5).</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 xml:space="preserve">Based on these results, a polymer concentration of 0.6% w/v was selected as optimal concentration since it leads to similar nanoparticles size for all the three polymers, ranging </w:t>
      </w:r>
      <w:r w:rsidRPr="00E17E1F">
        <w:rPr>
          <w:rFonts w:ascii="Arial" w:hAnsi="Arial" w:cs="Arial"/>
          <w:sz w:val="24"/>
          <w:szCs w:val="24"/>
        </w:rPr>
        <w:lastRenderedPageBreak/>
        <w:t>from 213nm for PLA nanoparticles to 226nm for C-BC2000 ones. The size range obtained is in all cases lower than 250nm, leading to possible cellular internalization through the EPR effect.</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At the optimal polymer concentration of 0.6%w/v, the effect of the polymer/surfactant ratio (R) was assessed. In particular the ratio R was reduced to 0.5.</w:t>
      </w:r>
    </w:p>
    <w:p w:rsidR="00387A07" w:rsidRPr="00E17E1F" w:rsidRDefault="00387A07" w:rsidP="00387A07">
      <w:pPr>
        <w:spacing w:after="120" w:line="360" w:lineRule="auto"/>
        <w:jc w:val="both"/>
        <w:rPr>
          <w:rFonts w:ascii="Arial" w:hAnsi="Arial" w:cs="Arial"/>
          <w:sz w:val="24"/>
          <w:szCs w:val="24"/>
        </w:rPr>
      </w:pPr>
      <w:r w:rsidRPr="00E17E1F">
        <w:rPr>
          <w:rFonts w:ascii="Arial" w:hAnsi="Arial" w:cs="Arial"/>
          <w:sz w:val="24"/>
          <w:szCs w:val="24"/>
        </w:rPr>
        <w:t>Results, reported in figure 2.6 and in table 2.4, clearly show that a decrease in the amount of surfactant with respect to the amount of polymer leads to an evident increase in particles’ size for both PCL and C-BC2000 nanoparticles, while a decrease in diameter is observed for PLA nanoparticles. This different behaviour is due to the different molecular weight and cristallinity of the polymers [34]: PLA is easily soluble in acetone and is therefore more likely to form less viscous solutions in which the tendency of the particles to form aggregates is reduced even at low surfactant concentrations. A similar behaviour is not observed for PCL and C-BC2000 which form more viscous solutions thus needing a higher amount of surfactant to avoid aggregation.</w:t>
      </w:r>
    </w:p>
    <w:p w:rsidR="00387A07" w:rsidRPr="00E17E1F" w:rsidRDefault="00387A07" w:rsidP="00387A07">
      <w:pPr>
        <w:spacing w:after="0" w:line="360" w:lineRule="auto"/>
        <w:jc w:val="center"/>
        <w:rPr>
          <w:rFonts w:ascii="Arial" w:hAnsi="Arial" w:cs="Arial"/>
          <w:sz w:val="24"/>
          <w:szCs w:val="24"/>
        </w:rPr>
      </w:pPr>
      <w:r w:rsidRPr="00E17E1F">
        <w:rPr>
          <w:rFonts w:ascii="Arial" w:hAnsi="Arial" w:cs="Arial"/>
          <w:noProof/>
          <w:sz w:val="24"/>
          <w:szCs w:val="24"/>
          <w:lang w:val="it-IT" w:eastAsia="it-IT"/>
        </w:rPr>
        <w:drawing>
          <wp:inline distT="0" distB="0" distL="0" distR="0">
            <wp:extent cx="3762375" cy="2257425"/>
            <wp:effectExtent l="0" t="0" r="0" b="0"/>
            <wp:docPr id="136" name="Immagine 25" descr="effect of polymer-surfactant rat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5" descr="effect of polymer-surfactant ratio.png"/>
                    <pic:cNvPicPr>
                      <a:picLocks noChangeAspect="1" noChangeArrowheads="1"/>
                    </pic:cNvPicPr>
                  </pic:nvPicPr>
                  <pic:blipFill>
                    <a:blip r:embed="rId30"/>
                    <a:srcRect/>
                    <a:stretch>
                      <a:fillRect/>
                    </a:stretch>
                  </pic:blipFill>
                  <pic:spPr bwMode="auto">
                    <a:xfrm>
                      <a:off x="0" y="0"/>
                      <a:ext cx="3762375" cy="2257425"/>
                    </a:xfrm>
                    <a:prstGeom prst="rect">
                      <a:avLst/>
                    </a:prstGeom>
                    <a:noFill/>
                    <a:ln w="9525">
                      <a:noFill/>
                      <a:miter lim="800000"/>
                      <a:headEnd/>
                      <a:tailEnd/>
                    </a:ln>
                  </pic:spPr>
                </pic:pic>
              </a:graphicData>
            </a:graphic>
          </wp:inline>
        </w:drawing>
      </w:r>
    </w:p>
    <w:p w:rsidR="00387A07" w:rsidRPr="00E17E1F" w:rsidRDefault="00387A07" w:rsidP="00387A07">
      <w:pPr>
        <w:pStyle w:val="Didascalia"/>
        <w:spacing w:after="0"/>
      </w:pPr>
      <w:r w:rsidRPr="00E17E1F">
        <w:t>Figure 2. 6 Effect of Polymer/surfactant ratio (R) on the mean particles’ size.</w:t>
      </w:r>
    </w:p>
    <w:p w:rsidR="00387A07" w:rsidRPr="00E17E1F" w:rsidRDefault="00387A07" w:rsidP="00387A07"/>
    <w:tbl>
      <w:tblPr>
        <w:tblpPr w:leftFromText="141" w:rightFromText="141" w:vertAnchor="text" w:horzAnchor="margin" w:tblpXSpec="center" w:tblpY="-32"/>
        <w:tblW w:w="0" w:type="auto"/>
        <w:tblBorders>
          <w:top w:val="single" w:sz="4" w:space="0" w:color="auto"/>
          <w:left w:val="single" w:sz="4" w:space="0" w:color="auto"/>
          <w:bottom w:val="single" w:sz="4" w:space="0" w:color="auto"/>
          <w:right w:val="single" w:sz="4" w:space="0" w:color="auto"/>
        </w:tblBorders>
        <w:shd w:val="clear" w:color="auto" w:fill="D9D9D9" w:themeFill="background1" w:themeFillShade="D9"/>
        <w:tblLayout w:type="fixed"/>
        <w:tblLook w:val="0000"/>
      </w:tblPr>
      <w:tblGrid>
        <w:gridCol w:w="820"/>
        <w:gridCol w:w="1134"/>
        <w:gridCol w:w="1304"/>
        <w:gridCol w:w="1134"/>
        <w:gridCol w:w="1304"/>
        <w:gridCol w:w="1134"/>
        <w:gridCol w:w="1304"/>
      </w:tblGrid>
      <w:tr w:rsidR="00387A07" w:rsidRPr="00E17E1F" w:rsidTr="00387A07">
        <w:trPr>
          <w:trHeight w:val="397"/>
        </w:trPr>
        <w:tc>
          <w:tcPr>
            <w:tcW w:w="820" w:type="dxa"/>
            <w:vMerge w:val="restart"/>
            <w:tcBorders>
              <w:top w:val="single" w:sz="4" w:space="0" w:color="auto"/>
              <w:left w:val="nil"/>
            </w:tcBorders>
            <w:shd w:val="clear" w:color="auto" w:fill="D9D9D9" w:themeFill="background1" w:themeFillShade="D9"/>
            <w:vAlign w:val="center"/>
          </w:tcPr>
          <w:p w:rsidR="00387A07" w:rsidRPr="00E17E1F" w:rsidRDefault="00387A07" w:rsidP="00387A07">
            <w:pPr>
              <w:spacing w:after="0" w:line="360" w:lineRule="auto"/>
              <w:jc w:val="center"/>
              <w:rPr>
                <w:rFonts w:cs="Calibri"/>
                <w:b/>
              </w:rPr>
            </w:pPr>
            <w:r w:rsidRPr="00E17E1F">
              <w:rPr>
                <w:rFonts w:cs="Calibri"/>
                <w:b/>
              </w:rPr>
              <w:t>R</w:t>
            </w:r>
          </w:p>
        </w:tc>
        <w:tc>
          <w:tcPr>
            <w:tcW w:w="2438" w:type="dxa"/>
            <w:gridSpan w:val="2"/>
            <w:tcBorders>
              <w:top w:val="single" w:sz="4" w:space="0" w:color="auto"/>
              <w:bottom w:val="single" w:sz="4" w:space="0" w:color="auto"/>
            </w:tcBorders>
            <w:shd w:val="clear" w:color="auto" w:fill="D9D9D9" w:themeFill="background1" w:themeFillShade="D9"/>
            <w:vAlign w:val="center"/>
          </w:tcPr>
          <w:p w:rsidR="00387A07" w:rsidRPr="00E17E1F" w:rsidRDefault="00387A07" w:rsidP="00387A07">
            <w:pPr>
              <w:spacing w:after="0" w:line="360" w:lineRule="auto"/>
              <w:jc w:val="center"/>
              <w:rPr>
                <w:rFonts w:cs="Calibri"/>
                <w:b/>
              </w:rPr>
            </w:pPr>
            <w:r w:rsidRPr="00E17E1F">
              <w:rPr>
                <w:rFonts w:cs="Calibri"/>
                <w:b/>
              </w:rPr>
              <w:t>PLA</w:t>
            </w:r>
          </w:p>
        </w:tc>
        <w:tc>
          <w:tcPr>
            <w:tcW w:w="2438" w:type="dxa"/>
            <w:gridSpan w:val="2"/>
            <w:tcBorders>
              <w:top w:val="single" w:sz="4" w:space="0" w:color="auto"/>
              <w:bottom w:val="single" w:sz="4" w:space="0" w:color="auto"/>
            </w:tcBorders>
            <w:shd w:val="clear" w:color="auto" w:fill="D9D9D9" w:themeFill="background1" w:themeFillShade="D9"/>
            <w:vAlign w:val="center"/>
          </w:tcPr>
          <w:p w:rsidR="00387A07" w:rsidRPr="00E17E1F" w:rsidRDefault="00387A07" w:rsidP="00387A07">
            <w:pPr>
              <w:spacing w:after="0" w:line="360" w:lineRule="auto"/>
              <w:jc w:val="center"/>
              <w:rPr>
                <w:rFonts w:cs="Calibri"/>
                <w:b/>
              </w:rPr>
            </w:pPr>
            <w:r w:rsidRPr="00E17E1F">
              <w:rPr>
                <w:rFonts w:cs="Calibri"/>
                <w:b/>
              </w:rPr>
              <w:t>PCL</w:t>
            </w:r>
          </w:p>
        </w:tc>
        <w:tc>
          <w:tcPr>
            <w:tcW w:w="2438" w:type="dxa"/>
            <w:gridSpan w:val="2"/>
            <w:tcBorders>
              <w:top w:val="single" w:sz="4" w:space="0" w:color="auto"/>
              <w:bottom w:val="single" w:sz="4" w:space="0" w:color="auto"/>
              <w:right w:val="nil"/>
            </w:tcBorders>
            <w:shd w:val="clear" w:color="auto" w:fill="D9D9D9" w:themeFill="background1" w:themeFillShade="D9"/>
            <w:vAlign w:val="center"/>
          </w:tcPr>
          <w:p w:rsidR="00387A07" w:rsidRPr="00E17E1F" w:rsidRDefault="00387A07" w:rsidP="00387A07">
            <w:pPr>
              <w:spacing w:after="0" w:line="360" w:lineRule="auto"/>
              <w:jc w:val="center"/>
              <w:rPr>
                <w:rFonts w:cs="Calibri"/>
                <w:b/>
              </w:rPr>
            </w:pPr>
            <w:r w:rsidRPr="00E17E1F">
              <w:rPr>
                <w:rFonts w:cs="Calibri"/>
                <w:b/>
              </w:rPr>
              <w:t>C-BC2000</w:t>
            </w:r>
          </w:p>
        </w:tc>
      </w:tr>
      <w:tr w:rsidR="00387A07" w:rsidRPr="00E17E1F" w:rsidTr="00387A07">
        <w:trPr>
          <w:trHeight w:val="283"/>
        </w:trPr>
        <w:tc>
          <w:tcPr>
            <w:tcW w:w="820" w:type="dxa"/>
            <w:vMerge/>
            <w:tcBorders>
              <w:left w:val="nil"/>
              <w:bottom w:val="single" w:sz="4" w:space="0" w:color="auto"/>
            </w:tcBorders>
            <w:shd w:val="clear" w:color="auto" w:fill="D9D9D9" w:themeFill="background1" w:themeFillShade="D9"/>
            <w:vAlign w:val="center"/>
          </w:tcPr>
          <w:p w:rsidR="00387A07" w:rsidRPr="00E17E1F" w:rsidRDefault="00387A07" w:rsidP="00387A07">
            <w:pPr>
              <w:spacing w:after="0" w:line="360" w:lineRule="auto"/>
              <w:jc w:val="center"/>
              <w:rPr>
                <w:rFonts w:cs="Calibri"/>
              </w:rPr>
            </w:pPr>
          </w:p>
        </w:tc>
        <w:tc>
          <w:tcPr>
            <w:tcW w:w="1134" w:type="dxa"/>
            <w:tcBorders>
              <w:top w:val="single" w:sz="4" w:space="0" w:color="auto"/>
              <w:bottom w:val="single" w:sz="4" w:space="0" w:color="auto"/>
            </w:tcBorders>
            <w:shd w:val="clear" w:color="auto" w:fill="D9D9D9" w:themeFill="background1" w:themeFillShade="D9"/>
            <w:vAlign w:val="center"/>
          </w:tcPr>
          <w:p w:rsidR="00387A07" w:rsidRPr="00E17E1F" w:rsidRDefault="00387A07" w:rsidP="00387A07">
            <w:pPr>
              <w:spacing w:after="0" w:line="360" w:lineRule="auto"/>
              <w:jc w:val="center"/>
              <w:rPr>
                <w:rFonts w:cs="Calibri"/>
                <w:b/>
              </w:rPr>
            </w:pPr>
            <w:r w:rsidRPr="00E17E1F">
              <w:rPr>
                <w:rFonts w:cs="Calibri"/>
                <w:b/>
              </w:rPr>
              <w:t>Size [nm]</w:t>
            </w:r>
          </w:p>
        </w:tc>
        <w:tc>
          <w:tcPr>
            <w:tcW w:w="1304" w:type="dxa"/>
            <w:tcBorders>
              <w:top w:val="single" w:sz="4" w:space="0" w:color="auto"/>
              <w:bottom w:val="single" w:sz="4" w:space="0" w:color="auto"/>
            </w:tcBorders>
            <w:shd w:val="clear" w:color="auto" w:fill="D9D9D9" w:themeFill="background1" w:themeFillShade="D9"/>
            <w:vAlign w:val="center"/>
          </w:tcPr>
          <w:p w:rsidR="00387A07" w:rsidRPr="00E17E1F" w:rsidRDefault="00387A07" w:rsidP="00387A07">
            <w:pPr>
              <w:spacing w:after="0" w:line="360" w:lineRule="auto"/>
              <w:jc w:val="center"/>
              <w:rPr>
                <w:rFonts w:cs="Calibri"/>
                <w:b/>
              </w:rPr>
            </w:pPr>
            <w:r w:rsidRPr="00E17E1F">
              <w:rPr>
                <w:rFonts w:cs="Calibri"/>
                <w:b/>
              </w:rPr>
              <w:t>PDI</w:t>
            </w:r>
          </w:p>
        </w:tc>
        <w:tc>
          <w:tcPr>
            <w:tcW w:w="1134" w:type="dxa"/>
            <w:tcBorders>
              <w:top w:val="single" w:sz="4" w:space="0" w:color="auto"/>
              <w:bottom w:val="single" w:sz="4" w:space="0" w:color="auto"/>
            </w:tcBorders>
            <w:shd w:val="clear" w:color="auto" w:fill="D9D9D9" w:themeFill="background1" w:themeFillShade="D9"/>
            <w:vAlign w:val="center"/>
          </w:tcPr>
          <w:p w:rsidR="00387A07" w:rsidRPr="00E17E1F" w:rsidRDefault="00387A07" w:rsidP="00387A07">
            <w:pPr>
              <w:spacing w:after="0" w:line="360" w:lineRule="auto"/>
              <w:jc w:val="center"/>
              <w:rPr>
                <w:rFonts w:cs="Calibri"/>
                <w:b/>
              </w:rPr>
            </w:pPr>
            <w:r w:rsidRPr="00E17E1F">
              <w:rPr>
                <w:rFonts w:cs="Calibri"/>
                <w:b/>
              </w:rPr>
              <w:t>Size [nm]</w:t>
            </w:r>
          </w:p>
        </w:tc>
        <w:tc>
          <w:tcPr>
            <w:tcW w:w="1304" w:type="dxa"/>
            <w:tcBorders>
              <w:top w:val="single" w:sz="4" w:space="0" w:color="auto"/>
              <w:bottom w:val="single" w:sz="4" w:space="0" w:color="auto"/>
            </w:tcBorders>
            <w:shd w:val="clear" w:color="auto" w:fill="D9D9D9" w:themeFill="background1" w:themeFillShade="D9"/>
            <w:vAlign w:val="center"/>
          </w:tcPr>
          <w:p w:rsidR="00387A07" w:rsidRPr="00E17E1F" w:rsidRDefault="00387A07" w:rsidP="00387A07">
            <w:pPr>
              <w:spacing w:after="0" w:line="360" w:lineRule="auto"/>
              <w:jc w:val="center"/>
              <w:rPr>
                <w:rFonts w:cs="Calibri"/>
                <w:b/>
              </w:rPr>
            </w:pPr>
            <w:r w:rsidRPr="00E17E1F">
              <w:rPr>
                <w:rFonts w:cs="Calibri"/>
                <w:b/>
              </w:rPr>
              <w:t>PDI</w:t>
            </w:r>
          </w:p>
        </w:tc>
        <w:tc>
          <w:tcPr>
            <w:tcW w:w="1134" w:type="dxa"/>
            <w:tcBorders>
              <w:top w:val="single" w:sz="4" w:space="0" w:color="auto"/>
              <w:bottom w:val="single" w:sz="4" w:space="0" w:color="auto"/>
            </w:tcBorders>
            <w:shd w:val="clear" w:color="auto" w:fill="D9D9D9" w:themeFill="background1" w:themeFillShade="D9"/>
            <w:vAlign w:val="center"/>
          </w:tcPr>
          <w:p w:rsidR="00387A07" w:rsidRPr="00E17E1F" w:rsidRDefault="00387A07" w:rsidP="00387A07">
            <w:pPr>
              <w:spacing w:after="0" w:line="360" w:lineRule="auto"/>
              <w:jc w:val="center"/>
              <w:rPr>
                <w:rFonts w:cs="Calibri"/>
                <w:b/>
              </w:rPr>
            </w:pPr>
            <w:r w:rsidRPr="00E17E1F">
              <w:rPr>
                <w:rFonts w:cs="Calibri"/>
                <w:b/>
              </w:rPr>
              <w:t>Size [nm]</w:t>
            </w:r>
          </w:p>
        </w:tc>
        <w:tc>
          <w:tcPr>
            <w:tcW w:w="1304" w:type="dxa"/>
            <w:tcBorders>
              <w:top w:val="single" w:sz="4" w:space="0" w:color="auto"/>
              <w:bottom w:val="single" w:sz="4" w:space="0" w:color="auto"/>
              <w:right w:val="nil"/>
            </w:tcBorders>
            <w:shd w:val="clear" w:color="auto" w:fill="D9D9D9" w:themeFill="background1" w:themeFillShade="D9"/>
            <w:vAlign w:val="center"/>
          </w:tcPr>
          <w:p w:rsidR="00387A07" w:rsidRPr="00E17E1F" w:rsidRDefault="00387A07" w:rsidP="00387A07">
            <w:pPr>
              <w:spacing w:after="0" w:line="360" w:lineRule="auto"/>
              <w:jc w:val="center"/>
              <w:rPr>
                <w:rFonts w:cs="Calibri"/>
                <w:b/>
              </w:rPr>
            </w:pPr>
            <w:r w:rsidRPr="00E17E1F">
              <w:rPr>
                <w:rFonts w:cs="Calibri"/>
                <w:b/>
              </w:rPr>
              <w:t>PDI</w:t>
            </w:r>
          </w:p>
        </w:tc>
      </w:tr>
      <w:tr w:rsidR="00387A07" w:rsidRPr="00E17E1F" w:rsidTr="00387A07">
        <w:trPr>
          <w:trHeight w:val="329"/>
        </w:trPr>
        <w:tc>
          <w:tcPr>
            <w:tcW w:w="820" w:type="dxa"/>
            <w:tcBorders>
              <w:top w:val="single" w:sz="4" w:space="0" w:color="auto"/>
              <w:left w:val="nil"/>
            </w:tcBorders>
            <w:shd w:val="clear" w:color="auto" w:fill="D9D9D9" w:themeFill="background1" w:themeFillShade="D9"/>
            <w:vAlign w:val="center"/>
          </w:tcPr>
          <w:p w:rsidR="00387A07" w:rsidRPr="00E17E1F" w:rsidRDefault="00387A07" w:rsidP="00387A07">
            <w:pPr>
              <w:spacing w:after="0"/>
              <w:jc w:val="center"/>
              <w:rPr>
                <w:rFonts w:cs="Calibri"/>
                <w:bCs/>
                <w:color w:val="000000"/>
              </w:rPr>
            </w:pPr>
            <w:r w:rsidRPr="00E17E1F">
              <w:rPr>
                <w:rFonts w:cs="Calibri"/>
                <w:bCs/>
                <w:color w:val="000000"/>
              </w:rPr>
              <w:t>0,5</w:t>
            </w:r>
          </w:p>
        </w:tc>
        <w:tc>
          <w:tcPr>
            <w:tcW w:w="1134" w:type="dxa"/>
            <w:tcBorders>
              <w:top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color w:val="000000"/>
              </w:rPr>
            </w:pPr>
            <w:r w:rsidRPr="00E17E1F">
              <w:rPr>
                <w:rFonts w:cs="Calibri"/>
                <w:color w:val="000000"/>
              </w:rPr>
              <w:t>151 ± 1</w:t>
            </w:r>
          </w:p>
        </w:tc>
        <w:tc>
          <w:tcPr>
            <w:tcW w:w="1304" w:type="dxa"/>
            <w:tcBorders>
              <w:top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color w:val="000000"/>
              </w:rPr>
            </w:pPr>
            <w:r w:rsidRPr="00E17E1F">
              <w:rPr>
                <w:rFonts w:cs="Calibri"/>
                <w:color w:val="000000"/>
              </w:rPr>
              <w:t>0.15 ± 0.03</w:t>
            </w:r>
          </w:p>
        </w:tc>
        <w:tc>
          <w:tcPr>
            <w:tcW w:w="1134" w:type="dxa"/>
            <w:tcBorders>
              <w:top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color w:val="000000"/>
              </w:rPr>
            </w:pPr>
            <w:r w:rsidRPr="00E17E1F">
              <w:rPr>
                <w:rFonts w:cs="Calibri"/>
                <w:color w:val="000000"/>
              </w:rPr>
              <w:t>310 ± 3</w:t>
            </w:r>
          </w:p>
        </w:tc>
        <w:tc>
          <w:tcPr>
            <w:tcW w:w="1304" w:type="dxa"/>
            <w:tcBorders>
              <w:top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color w:val="000000"/>
              </w:rPr>
            </w:pPr>
            <w:r w:rsidRPr="00E17E1F">
              <w:rPr>
                <w:rFonts w:cs="Calibri"/>
                <w:color w:val="000000"/>
              </w:rPr>
              <w:t>0.05 ± 0.03</w:t>
            </w:r>
          </w:p>
        </w:tc>
        <w:tc>
          <w:tcPr>
            <w:tcW w:w="1134" w:type="dxa"/>
            <w:tcBorders>
              <w:top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color w:val="000000"/>
              </w:rPr>
            </w:pPr>
            <w:r w:rsidRPr="00E17E1F">
              <w:rPr>
                <w:rFonts w:cs="Calibri"/>
                <w:color w:val="000000"/>
              </w:rPr>
              <w:t>315 ± 6</w:t>
            </w:r>
          </w:p>
        </w:tc>
        <w:tc>
          <w:tcPr>
            <w:tcW w:w="1304" w:type="dxa"/>
            <w:tcBorders>
              <w:top w:val="single" w:sz="4" w:space="0" w:color="auto"/>
              <w:right w:val="nil"/>
            </w:tcBorders>
            <w:shd w:val="clear" w:color="auto" w:fill="D9D9D9" w:themeFill="background1" w:themeFillShade="D9"/>
            <w:vAlign w:val="center"/>
          </w:tcPr>
          <w:p w:rsidR="00387A07" w:rsidRPr="00E17E1F" w:rsidRDefault="00387A07" w:rsidP="00387A07">
            <w:pPr>
              <w:spacing w:after="0"/>
              <w:jc w:val="center"/>
              <w:rPr>
                <w:rFonts w:cs="Calibri"/>
                <w:color w:val="000000"/>
              </w:rPr>
            </w:pPr>
            <w:r w:rsidRPr="00E17E1F">
              <w:rPr>
                <w:rFonts w:cs="Calibri"/>
                <w:color w:val="000000"/>
              </w:rPr>
              <w:t>0.23 ± 0.03</w:t>
            </w:r>
          </w:p>
        </w:tc>
      </w:tr>
      <w:tr w:rsidR="00387A07" w:rsidRPr="00E17E1F" w:rsidTr="00387A07">
        <w:trPr>
          <w:trHeight w:val="329"/>
        </w:trPr>
        <w:tc>
          <w:tcPr>
            <w:tcW w:w="820" w:type="dxa"/>
            <w:tcBorders>
              <w:left w:val="nil"/>
              <w:bottom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bCs/>
                <w:color w:val="000000"/>
              </w:rPr>
            </w:pPr>
            <w:r w:rsidRPr="00E17E1F">
              <w:rPr>
                <w:rFonts w:cs="Calibri"/>
                <w:bCs/>
                <w:color w:val="000000"/>
              </w:rPr>
              <w:t>1</w:t>
            </w:r>
          </w:p>
        </w:tc>
        <w:tc>
          <w:tcPr>
            <w:tcW w:w="1134" w:type="dxa"/>
            <w:shd w:val="clear" w:color="auto" w:fill="D9D9D9" w:themeFill="background1" w:themeFillShade="D9"/>
            <w:vAlign w:val="center"/>
          </w:tcPr>
          <w:p w:rsidR="00387A07" w:rsidRPr="00E17E1F" w:rsidRDefault="00387A07" w:rsidP="00387A07">
            <w:pPr>
              <w:spacing w:after="0"/>
              <w:jc w:val="center"/>
              <w:rPr>
                <w:rFonts w:cs="Calibri"/>
                <w:color w:val="000000"/>
              </w:rPr>
            </w:pPr>
            <w:r w:rsidRPr="00E17E1F">
              <w:rPr>
                <w:rFonts w:cs="Calibri"/>
                <w:color w:val="000000"/>
              </w:rPr>
              <w:t>213 ± 28</w:t>
            </w:r>
          </w:p>
        </w:tc>
        <w:tc>
          <w:tcPr>
            <w:tcW w:w="1304" w:type="dxa"/>
            <w:shd w:val="clear" w:color="auto" w:fill="D9D9D9" w:themeFill="background1" w:themeFillShade="D9"/>
            <w:vAlign w:val="center"/>
          </w:tcPr>
          <w:p w:rsidR="00387A07" w:rsidRPr="00E17E1F" w:rsidRDefault="00387A07" w:rsidP="00387A07">
            <w:pPr>
              <w:spacing w:after="0"/>
              <w:jc w:val="center"/>
              <w:rPr>
                <w:rFonts w:cs="Calibri"/>
                <w:color w:val="000000"/>
              </w:rPr>
            </w:pPr>
            <w:r w:rsidRPr="00E17E1F">
              <w:rPr>
                <w:rFonts w:cs="Calibri"/>
                <w:lang w:val="en-US"/>
              </w:rPr>
              <w:t>0.09 ± 0.02</w:t>
            </w:r>
          </w:p>
        </w:tc>
        <w:tc>
          <w:tcPr>
            <w:tcW w:w="1134" w:type="dxa"/>
            <w:shd w:val="clear" w:color="auto" w:fill="D9D9D9" w:themeFill="background1" w:themeFillShade="D9"/>
            <w:vAlign w:val="center"/>
          </w:tcPr>
          <w:p w:rsidR="00387A07" w:rsidRPr="00E17E1F" w:rsidRDefault="00387A07" w:rsidP="00387A07">
            <w:pPr>
              <w:spacing w:after="0"/>
              <w:jc w:val="center"/>
              <w:rPr>
                <w:rFonts w:cs="Calibri"/>
                <w:color w:val="000000"/>
              </w:rPr>
            </w:pPr>
            <w:r w:rsidRPr="00E17E1F">
              <w:rPr>
                <w:rFonts w:cs="Calibri"/>
                <w:color w:val="000000"/>
              </w:rPr>
              <w:t>211 ± 36</w:t>
            </w:r>
          </w:p>
        </w:tc>
        <w:tc>
          <w:tcPr>
            <w:tcW w:w="1304" w:type="dxa"/>
            <w:shd w:val="clear" w:color="auto" w:fill="D9D9D9" w:themeFill="background1" w:themeFillShade="D9"/>
            <w:vAlign w:val="center"/>
          </w:tcPr>
          <w:p w:rsidR="00387A07" w:rsidRPr="00E17E1F" w:rsidRDefault="00387A07" w:rsidP="00387A07">
            <w:pPr>
              <w:spacing w:after="0"/>
              <w:jc w:val="center"/>
              <w:rPr>
                <w:rFonts w:cs="Calibri"/>
                <w:color w:val="000000"/>
              </w:rPr>
            </w:pPr>
            <w:r w:rsidRPr="00E17E1F">
              <w:rPr>
                <w:rFonts w:cs="Calibri"/>
                <w:lang w:val="en-US"/>
              </w:rPr>
              <w:t>0.12 ± 0.06</w:t>
            </w:r>
          </w:p>
        </w:tc>
        <w:tc>
          <w:tcPr>
            <w:tcW w:w="1134" w:type="dxa"/>
            <w:tcBorders>
              <w:bottom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color w:val="000000"/>
              </w:rPr>
            </w:pPr>
            <w:r w:rsidRPr="00E17E1F">
              <w:rPr>
                <w:rFonts w:cs="Calibri"/>
                <w:color w:val="000000"/>
              </w:rPr>
              <w:t>226 ± 13</w:t>
            </w:r>
          </w:p>
        </w:tc>
        <w:tc>
          <w:tcPr>
            <w:tcW w:w="1304" w:type="dxa"/>
            <w:tcBorders>
              <w:bottom w:val="single" w:sz="4" w:space="0" w:color="auto"/>
              <w:right w:val="nil"/>
            </w:tcBorders>
            <w:shd w:val="clear" w:color="auto" w:fill="D9D9D9" w:themeFill="background1" w:themeFillShade="D9"/>
            <w:vAlign w:val="center"/>
          </w:tcPr>
          <w:p w:rsidR="00387A07" w:rsidRPr="00E17E1F" w:rsidRDefault="00387A07" w:rsidP="00387A07">
            <w:pPr>
              <w:spacing w:after="0"/>
              <w:jc w:val="center"/>
              <w:rPr>
                <w:rFonts w:cs="Calibri"/>
                <w:color w:val="000000"/>
              </w:rPr>
            </w:pPr>
            <w:r w:rsidRPr="00E17E1F">
              <w:rPr>
                <w:rFonts w:cs="Calibri"/>
                <w:lang w:val="en-US"/>
              </w:rPr>
              <w:t>0.10 ± 0.01</w:t>
            </w:r>
          </w:p>
        </w:tc>
      </w:tr>
    </w:tbl>
    <w:p w:rsidR="00387A07" w:rsidRPr="00E17E1F" w:rsidRDefault="00387A07" w:rsidP="00387A07"/>
    <w:p w:rsidR="00387A07" w:rsidRPr="00E17E1F" w:rsidRDefault="00387A07" w:rsidP="00387A07"/>
    <w:p w:rsidR="00387A07" w:rsidRPr="00E17E1F" w:rsidRDefault="00387A07" w:rsidP="00387A07"/>
    <w:p w:rsidR="00387A07" w:rsidRPr="00E17E1F" w:rsidRDefault="00387A07" w:rsidP="00387A07">
      <w:pPr>
        <w:pStyle w:val="Didascalia"/>
        <w:spacing w:before="120"/>
        <w:rPr>
          <w:rFonts w:ascii="Arial" w:hAnsi="Arial" w:cs="Arial"/>
          <w:bCs w:val="0"/>
          <w:sz w:val="24"/>
          <w:szCs w:val="24"/>
        </w:rPr>
      </w:pPr>
      <w:r w:rsidRPr="00E17E1F">
        <w:t xml:space="preserve">Table 2. </w:t>
      </w:r>
      <w:fldSimple w:instr=" SEQ Table_2. \* ARABIC ">
        <w:r w:rsidRPr="00E17E1F">
          <w:rPr>
            <w:noProof/>
          </w:rPr>
          <w:t>4</w:t>
        </w:r>
      </w:fldSimple>
      <w:r w:rsidRPr="00E17E1F">
        <w:t xml:space="preserve"> Size and PDI of nanoparticles prepared at different polymer/surfactant ratio. Results are reported as mean ± standard deviation (n=5).</w:t>
      </w:r>
    </w:p>
    <w:p w:rsidR="00387A07" w:rsidRDefault="00387A07" w:rsidP="00387A07">
      <w:pPr>
        <w:spacing w:after="0" w:line="360" w:lineRule="auto"/>
        <w:jc w:val="both"/>
        <w:rPr>
          <w:rFonts w:ascii="Arial" w:hAnsi="Arial" w:cs="Arial"/>
          <w:bCs/>
          <w:sz w:val="24"/>
          <w:szCs w:val="24"/>
        </w:rPr>
      </w:pPr>
      <w:r w:rsidRPr="00E17E1F">
        <w:rPr>
          <w:rFonts w:ascii="Arial" w:hAnsi="Arial" w:cs="Arial"/>
          <w:bCs/>
          <w:sz w:val="24"/>
          <w:szCs w:val="24"/>
        </w:rPr>
        <w:t>A polymer/surfactant ratio of 1 was selected for Paclitaxel encapsulation and for cellular tests, since it leads to a similar size distribution for all the three polymers.</w:t>
      </w:r>
    </w:p>
    <w:p w:rsidR="005F30E0" w:rsidRPr="00B03900" w:rsidRDefault="005F30E0" w:rsidP="00387A07">
      <w:pPr>
        <w:spacing w:after="0" w:line="360" w:lineRule="auto"/>
        <w:jc w:val="both"/>
        <w:rPr>
          <w:rFonts w:ascii="Arial" w:hAnsi="Arial" w:cs="Arial"/>
          <w:bCs/>
          <w:sz w:val="24"/>
          <w:szCs w:val="24"/>
        </w:rPr>
      </w:pPr>
    </w:p>
    <w:p w:rsidR="00387A07" w:rsidRPr="00E17E1F" w:rsidRDefault="00387A07" w:rsidP="00387A07">
      <w:pPr>
        <w:spacing w:before="240" w:after="240" w:line="360" w:lineRule="auto"/>
        <w:jc w:val="both"/>
        <w:rPr>
          <w:rFonts w:ascii="Arial" w:hAnsi="Arial" w:cs="Arial"/>
          <w:b/>
          <w:bCs/>
          <w:i/>
          <w:sz w:val="24"/>
          <w:szCs w:val="24"/>
        </w:rPr>
      </w:pPr>
      <w:r w:rsidRPr="00E17E1F">
        <w:rPr>
          <w:rFonts w:ascii="Arial" w:hAnsi="Arial" w:cs="Arial"/>
          <w:b/>
          <w:bCs/>
          <w:i/>
          <w:sz w:val="24"/>
          <w:szCs w:val="24"/>
        </w:rPr>
        <w:lastRenderedPageBreak/>
        <w:t>2.3.3.2 Preparation &amp; characterization of Paclitaxel-loaded Nanoparticles.</w:t>
      </w:r>
    </w:p>
    <w:p w:rsidR="00387A07" w:rsidRPr="00E17E1F" w:rsidRDefault="00387A07" w:rsidP="00387A07">
      <w:pPr>
        <w:spacing w:after="0" w:line="360" w:lineRule="auto"/>
        <w:jc w:val="both"/>
        <w:rPr>
          <w:rFonts w:ascii="Arial" w:hAnsi="Arial" w:cs="Arial"/>
          <w:bCs/>
          <w:sz w:val="24"/>
          <w:szCs w:val="24"/>
        </w:rPr>
      </w:pPr>
      <w:r w:rsidRPr="00E17E1F">
        <w:rPr>
          <w:rFonts w:ascii="Arial" w:hAnsi="Arial" w:cs="Arial"/>
          <w:bCs/>
          <w:sz w:val="24"/>
          <w:szCs w:val="24"/>
        </w:rPr>
        <w:t xml:space="preserve">As stated in the previous section, the optimal conditions for all the three polymers are achieved when a polymer/surfactant ratio R=1 and a polymer concentration of 0.6% w/v are selected. </w:t>
      </w:r>
    </w:p>
    <w:p w:rsidR="00387A07" w:rsidRPr="00E17E1F" w:rsidRDefault="00387A07" w:rsidP="00387A07">
      <w:pPr>
        <w:spacing w:after="0" w:line="360" w:lineRule="auto"/>
        <w:jc w:val="both"/>
        <w:rPr>
          <w:rFonts w:ascii="Arial" w:hAnsi="Arial" w:cs="Arial"/>
          <w:bCs/>
          <w:sz w:val="24"/>
          <w:szCs w:val="24"/>
        </w:rPr>
      </w:pPr>
      <w:r w:rsidRPr="00E17E1F">
        <w:rPr>
          <w:rFonts w:ascii="Arial" w:hAnsi="Arial" w:cs="Arial"/>
          <w:bCs/>
          <w:sz w:val="24"/>
          <w:szCs w:val="24"/>
        </w:rPr>
        <w:t>In these conditions, Paclitaxel loaded nanoparticles were prepared at a theoretical drug/polymer ratio of 3% w/w.</w:t>
      </w:r>
    </w:p>
    <w:p w:rsidR="00550A30" w:rsidRPr="00E17E1F" w:rsidRDefault="00387A07" w:rsidP="00387A07">
      <w:pPr>
        <w:spacing w:after="120" w:line="360" w:lineRule="auto"/>
        <w:jc w:val="both"/>
        <w:rPr>
          <w:rFonts w:ascii="Arial" w:hAnsi="Arial" w:cs="Arial"/>
          <w:bCs/>
          <w:sz w:val="24"/>
          <w:szCs w:val="24"/>
        </w:rPr>
      </w:pPr>
      <w:r w:rsidRPr="00E17E1F">
        <w:rPr>
          <w:rFonts w:ascii="Arial" w:hAnsi="Arial" w:cs="Arial"/>
          <w:bCs/>
          <w:sz w:val="24"/>
          <w:szCs w:val="24"/>
        </w:rPr>
        <w:t>The mean particles size, Polydispersity index (PDI) and Zeta potential of nanoparticles were measured on plain as well as on drug loaded particles. These results are summarized in table 2.5 as mean ± standard deviation, calculated as the average of five runs.</w:t>
      </w:r>
    </w:p>
    <w:tbl>
      <w:tblPr>
        <w:tblpPr w:leftFromText="141" w:rightFromText="141" w:vertAnchor="text" w:horzAnchor="margin" w:tblpXSpec="center" w:tblpY="179"/>
        <w:tblW w:w="0" w:type="auto"/>
        <w:tblBorders>
          <w:top w:val="single" w:sz="4" w:space="0" w:color="000000"/>
          <w:left w:val="single" w:sz="4" w:space="0" w:color="000000"/>
          <w:bottom w:val="single" w:sz="4" w:space="0" w:color="000000"/>
          <w:right w:val="single" w:sz="4" w:space="0" w:color="000000"/>
          <w:insideV w:val="single" w:sz="4" w:space="0" w:color="000000"/>
        </w:tblBorders>
        <w:shd w:val="clear" w:color="auto" w:fill="D9D9D9" w:themeFill="background1" w:themeFillShade="D9"/>
        <w:tblLook w:val="00A0"/>
      </w:tblPr>
      <w:tblGrid>
        <w:gridCol w:w="1390"/>
        <w:gridCol w:w="1191"/>
        <w:gridCol w:w="1502"/>
        <w:gridCol w:w="1304"/>
        <w:gridCol w:w="1191"/>
        <w:gridCol w:w="1502"/>
        <w:gridCol w:w="1304"/>
      </w:tblGrid>
      <w:tr w:rsidR="00387A07" w:rsidRPr="00E17E1F" w:rsidTr="00387A07">
        <w:trPr>
          <w:trHeight w:val="135"/>
        </w:trPr>
        <w:tc>
          <w:tcPr>
            <w:tcW w:w="1390" w:type="dxa"/>
            <w:vMerge w:val="restart"/>
            <w:tcBorders>
              <w:top w:val="single" w:sz="4" w:space="0" w:color="000000"/>
              <w:left w:val="nil"/>
              <w:right w:val="nil"/>
            </w:tcBorders>
            <w:shd w:val="clear" w:color="auto" w:fill="D9D9D9" w:themeFill="background1" w:themeFillShade="D9"/>
            <w:vAlign w:val="center"/>
          </w:tcPr>
          <w:p w:rsidR="00387A07" w:rsidRPr="00E17E1F" w:rsidRDefault="00387A07" w:rsidP="00387A07">
            <w:pPr>
              <w:spacing w:after="0"/>
              <w:jc w:val="center"/>
              <w:rPr>
                <w:rFonts w:cs="Calibri"/>
                <w:b/>
                <w:lang w:val="en-US"/>
              </w:rPr>
            </w:pPr>
            <w:r w:rsidRPr="00E17E1F">
              <w:rPr>
                <w:rFonts w:cs="Calibri"/>
                <w:b/>
                <w:lang w:val="en-US"/>
              </w:rPr>
              <w:t>Material</w:t>
            </w:r>
          </w:p>
        </w:tc>
        <w:tc>
          <w:tcPr>
            <w:tcW w:w="3997" w:type="dxa"/>
            <w:gridSpan w:val="3"/>
            <w:tcBorders>
              <w:top w:val="single" w:sz="4" w:space="0" w:color="000000"/>
              <w:left w:val="nil"/>
              <w:bottom w:val="single" w:sz="4" w:space="0" w:color="auto"/>
              <w:right w:val="nil"/>
            </w:tcBorders>
            <w:shd w:val="clear" w:color="auto" w:fill="D9D9D9" w:themeFill="background1" w:themeFillShade="D9"/>
          </w:tcPr>
          <w:p w:rsidR="00387A07" w:rsidRPr="00E17E1F" w:rsidRDefault="00387A07" w:rsidP="00387A07">
            <w:pPr>
              <w:spacing w:after="0"/>
              <w:jc w:val="center"/>
              <w:rPr>
                <w:rFonts w:cs="Calibri"/>
                <w:b/>
                <w:lang w:val="en-US"/>
              </w:rPr>
            </w:pPr>
            <w:r w:rsidRPr="00E17E1F">
              <w:rPr>
                <w:rFonts w:cs="Calibri"/>
                <w:b/>
                <w:lang w:val="en-US"/>
              </w:rPr>
              <w:t>PLAIN PARTICLES</w:t>
            </w:r>
          </w:p>
        </w:tc>
        <w:tc>
          <w:tcPr>
            <w:tcW w:w="3997" w:type="dxa"/>
            <w:gridSpan w:val="3"/>
            <w:tcBorders>
              <w:top w:val="single" w:sz="4" w:space="0" w:color="000000"/>
              <w:left w:val="nil"/>
              <w:bottom w:val="single" w:sz="4" w:space="0" w:color="auto"/>
              <w:right w:val="nil"/>
            </w:tcBorders>
            <w:shd w:val="clear" w:color="auto" w:fill="D9D9D9" w:themeFill="background1" w:themeFillShade="D9"/>
          </w:tcPr>
          <w:p w:rsidR="00387A07" w:rsidRPr="00E17E1F" w:rsidRDefault="00387A07" w:rsidP="00387A07">
            <w:pPr>
              <w:spacing w:after="0"/>
              <w:jc w:val="center"/>
              <w:rPr>
                <w:rFonts w:cs="Calibri"/>
                <w:b/>
                <w:lang w:val="en-US"/>
              </w:rPr>
            </w:pPr>
            <w:r w:rsidRPr="00E17E1F">
              <w:rPr>
                <w:rFonts w:cs="Calibri"/>
                <w:b/>
                <w:lang w:val="en-US"/>
              </w:rPr>
              <w:t>PX-LOADED PARTICLES</w:t>
            </w:r>
          </w:p>
        </w:tc>
      </w:tr>
      <w:tr w:rsidR="00387A07" w:rsidRPr="00E17E1F" w:rsidTr="00387A07">
        <w:trPr>
          <w:trHeight w:val="135"/>
        </w:trPr>
        <w:tc>
          <w:tcPr>
            <w:tcW w:w="1390" w:type="dxa"/>
            <w:vMerge/>
            <w:tcBorders>
              <w:left w:val="nil"/>
              <w:bottom w:val="single" w:sz="4" w:space="0" w:color="auto"/>
              <w:right w:val="nil"/>
            </w:tcBorders>
            <w:shd w:val="clear" w:color="auto" w:fill="D9D9D9" w:themeFill="background1" w:themeFillShade="D9"/>
          </w:tcPr>
          <w:p w:rsidR="00387A07" w:rsidRPr="00E17E1F" w:rsidRDefault="00387A07" w:rsidP="00387A07">
            <w:pPr>
              <w:spacing w:after="0"/>
              <w:rPr>
                <w:rFonts w:cs="Calibri"/>
                <w:b/>
                <w:lang w:val="en-US"/>
              </w:rPr>
            </w:pPr>
          </w:p>
        </w:tc>
        <w:tc>
          <w:tcPr>
            <w:tcW w:w="1191" w:type="dxa"/>
            <w:tcBorders>
              <w:top w:val="single" w:sz="4" w:space="0" w:color="auto"/>
              <w:left w:val="nil"/>
              <w:bottom w:val="single" w:sz="4" w:space="0" w:color="auto"/>
              <w:right w:val="nil"/>
            </w:tcBorders>
            <w:shd w:val="clear" w:color="auto" w:fill="D9D9D9" w:themeFill="background1" w:themeFillShade="D9"/>
          </w:tcPr>
          <w:p w:rsidR="00387A07" w:rsidRPr="00E17E1F" w:rsidRDefault="00387A07" w:rsidP="00387A07">
            <w:pPr>
              <w:spacing w:after="0"/>
              <w:jc w:val="center"/>
              <w:rPr>
                <w:rFonts w:cs="Calibri"/>
                <w:b/>
                <w:lang w:val="en-US"/>
              </w:rPr>
            </w:pPr>
            <w:r w:rsidRPr="00E17E1F">
              <w:rPr>
                <w:rFonts w:cs="Calibri"/>
                <w:b/>
                <w:lang w:val="en-US"/>
              </w:rPr>
              <w:t>Size (nm)</w:t>
            </w:r>
          </w:p>
        </w:tc>
        <w:tc>
          <w:tcPr>
            <w:tcW w:w="1502" w:type="dxa"/>
            <w:tcBorders>
              <w:top w:val="single" w:sz="4" w:space="0" w:color="auto"/>
              <w:left w:val="nil"/>
              <w:bottom w:val="single" w:sz="4" w:space="0" w:color="auto"/>
              <w:right w:val="nil"/>
            </w:tcBorders>
            <w:shd w:val="clear" w:color="auto" w:fill="D9D9D9" w:themeFill="background1" w:themeFillShade="D9"/>
          </w:tcPr>
          <w:p w:rsidR="00387A07" w:rsidRPr="00E17E1F" w:rsidRDefault="00387A07" w:rsidP="00387A07">
            <w:pPr>
              <w:spacing w:after="0"/>
              <w:jc w:val="center"/>
              <w:rPr>
                <w:rFonts w:cs="Calibri"/>
                <w:b/>
                <w:lang w:val="en-US"/>
              </w:rPr>
            </w:pPr>
            <w:r w:rsidRPr="00E17E1F">
              <w:rPr>
                <w:rFonts w:cs="Calibri"/>
                <w:b/>
                <w:lang w:val="en-US"/>
              </w:rPr>
              <w:t>Zeta Potential</w:t>
            </w:r>
          </w:p>
        </w:tc>
        <w:tc>
          <w:tcPr>
            <w:tcW w:w="1304" w:type="dxa"/>
            <w:tcBorders>
              <w:top w:val="single" w:sz="4" w:space="0" w:color="auto"/>
              <w:left w:val="nil"/>
              <w:bottom w:val="single" w:sz="4" w:space="0" w:color="auto"/>
              <w:right w:val="nil"/>
            </w:tcBorders>
            <w:shd w:val="clear" w:color="auto" w:fill="D9D9D9" w:themeFill="background1" w:themeFillShade="D9"/>
          </w:tcPr>
          <w:p w:rsidR="00387A07" w:rsidRPr="00E17E1F" w:rsidRDefault="00387A07" w:rsidP="00387A07">
            <w:pPr>
              <w:spacing w:after="0"/>
              <w:jc w:val="center"/>
              <w:rPr>
                <w:rFonts w:cs="Calibri"/>
                <w:b/>
                <w:lang w:val="en-US"/>
              </w:rPr>
            </w:pPr>
            <w:r w:rsidRPr="00E17E1F">
              <w:rPr>
                <w:rFonts w:cs="Calibri"/>
                <w:b/>
                <w:lang w:val="en-US"/>
              </w:rPr>
              <w:t>PDI</w:t>
            </w:r>
          </w:p>
        </w:tc>
        <w:tc>
          <w:tcPr>
            <w:tcW w:w="1191" w:type="dxa"/>
            <w:tcBorders>
              <w:top w:val="single" w:sz="4" w:space="0" w:color="auto"/>
              <w:left w:val="nil"/>
              <w:bottom w:val="single" w:sz="4" w:space="0" w:color="auto"/>
              <w:right w:val="nil"/>
            </w:tcBorders>
            <w:shd w:val="clear" w:color="auto" w:fill="D9D9D9" w:themeFill="background1" w:themeFillShade="D9"/>
          </w:tcPr>
          <w:p w:rsidR="00387A07" w:rsidRPr="00E17E1F" w:rsidRDefault="00387A07" w:rsidP="00387A07">
            <w:pPr>
              <w:spacing w:after="0"/>
              <w:jc w:val="center"/>
              <w:rPr>
                <w:rFonts w:cs="Calibri"/>
                <w:b/>
                <w:lang w:val="en-US"/>
              </w:rPr>
            </w:pPr>
            <w:r w:rsidRPr="00E17E1F">
              <w:rPr>
                <w:rFonts w:cs="Calibri"/>
                <w:b/>
                <w:lang w:val="en-US"/>
              </w:rPr>
              <w:t>Size (nm)</w:t>
            </w:r>
          </w:p>
        </w:tc>
        <w:tc>
          <w:tcPr>
            <w:tcW w:w="1502" w:type="dxa"/>
            <w:tcBorders>
              <w:top w:val="single" w:sz="4" w:space="0" w:color="auto"/>
              <w:left w:val="nil"/>
              <w:bottom w:val="single" w:sz="4" w:space="0" w:color="auto"/>
              <w:right w:val="nil"/>
            </w:tcBorders>
            <w:shd w:val="clear" w:color="auto" w:fill="D9D9D9" w:themeFill="background1" w:themeFillShade="D9"/>
          </w:tcPr>
          <w:p w:rsidR="00387A07" w:rsidRPr="00E17E1F" w:rsidRDefault="00387A07" w:rsidP="00387A07">
            <w:pPr>
              <w:spacing w:after="0"/>
              <w:jc w:val="center"/>
              <w:rPr>
                <w:rFonts w:cs="Calibri"/>
                <w:b/>
                <w:lang w:val="en-US"/>
              </w:rPr>
            </w:pPr>
            <w:r w:rsidRPr="00E17E1F">
              <w:rPr>
                <w:rFonts w:cs="Calibri"/>
                <w:b/>
                <w:lang w:val="en-US"/>
              </w:rPr>
              <w:t>Zeta Potential</w:t>
            </w:r>
          </w:p>
        </w:tc>
        <w:tc>
          <w:tcPr>
            <w:tcW w:w="1304" w:type="dxa"/>
            <w:tcBorders>
              <w:top w:val="single" w:sz="4" w:space="0" w:color="auto"/>
              <w:left w:val="nil"/>
              <w:bottom w:val="single" w:sz="4" w:space="0" w:color="auto"/>
              <w:right w:val="nil"/>
            </w:tcBorders>
            <w:shd w:val="clear" w:color="auto" w:fill="D9D9D9" w:themeFill="background1" w:themeFillShade="D9"/>
          </w:tcPr>
          <w:p w:rsidR="00387A07" w:rsidRPr="00E17E1F" w:rsidRDefault="00387A07" w:rsidP="00387A07">
            <w:pPr>
              <w:spacing w:after="0"/>
              <w:jc w:val="center"/>
              <w:rPr>
                <w:rFonts w:cs="Calibri"/>
                <w:b/>
                <w:lang w:val="en-US"/>
              </w:rPr>
            </w:pPr>
            <w:r w:rsidRPr="00E17E1F">
              <w:rPr>
                <w:rFonts w:cs="Calibri"/>
                <w:b/>
                <w:lang w:val="en-US"/>
              </w:rPr>
              <w:t>PDI</w:t>
            </w:r>
          </w:p>
        </w:tc>
      </w:tr>
      <w:tr w:rsidR="00387A07" w:rsidRPr="00E17E1F" w:rsidTr="00387A07">
        <w:tc>
          <w:tcPr>
            <w:tcW w:w="1390" w:type="dxa"/>
            <w:tcBorders>
              <w:top w:val="single" w:sz="4" w:space="0" w:color="auto"/>
              <w:left w:val="nil"/>
              <w:right w:val="nil"/>
            </w:tcBorders>
            <w:shd w:val="clear" w:color="auto" w:fill="D9D9D9" w:themeFill="background1" w:themeFillShade="D9"/>
          </w:tcPr>
          <w:p w:rsidR="00387A07" w:rsidRPr="00E17E1F" w:rsidRDefault="00387A07" w:rsidP="00387A07">
            <w:pPr>
              <w:spacing w:after="0"/>
              <w:jc w:val="center"/>
              <w:rPr>
                <w:rFonts w:cs="Calibri"/>
                <w:lang w:val="en-US"/>
              </w:rPr>
            </w:pPr>
            <w:r w:rsidRPr="00E17E1F">
              <w:rPr>
                <w:rFonts w:cs="Calibri"/>
                <w:lang w:val="en-US"/>
              </w:rPr>
              <w:t>PCL</w:t>
            </w:r>
          </w:p>
        </w:tc>
        <w:tc>
          <w:tcPr>
            <w:tcW w:w="1191" w:type="dxa"/>
            <w:tcBorders>
              <w:top w:val="single" w:sz="4" w:space="0" w:color="auto"/>
              <w:left w:val="nil"/>
              <w:bottom w:val="nil"/>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211 ± 36</w:t>
            </w:r>
          </w:p>
        </w:tc>
        <w:tc>
          <w:tcPr>
            <w:tcW w:w="1502" w:type="dxa"/>
            <w:tcBorders>
              <w:top w:val="single" w:sz="4" w:space="0" w:color="auto"/>
              <w:left w:val="nil"/>
              <w:bottom w:val="nil"/>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-28.6 ± 0.50</w:t>
            </w:r>
          </w:p>
        </w:tc>
        <w:tc>
          <w:tcPr>
            <w:tcW w:w="1304" w:type="dxa"/>
            <w:tcBorders>
              <w:top w:val="single" w:sz="4" w:space="0" w:color="auto"/>
              <w:left w:val="nil"/>
              <w:bottom w:val="nil"/>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0.12 ± 0.06</w:t>
            </w:r>
          </w:p>
        </w:tc>
        <w:tc>
          <w:tcPr>
            <w:tcW w:w="1191" w:type="dxa"/>
            <w:tcBorders>
              <w:top w:val="single" w:sz="4" w:space="0" w:color="auto"/>
              <w:left w:val="nil"/>
              <w:bottom w:val="nil"/>
              <w:right w:val="nil"/>
            </w:tcBorders>
            <w:shd w:val="clear" w:color="auto" w:fill="D9D9D9" w:themeFill="background1" w:themeFillShade="D9"/>
          </w:tcPr>
          <w:p w:rsidR="00387A07" w:rsidRPr="00E17E1F" w:rsidRDefault="00387A07" w:rsidP="00387A07">
            <w:pPr>
              <w:spacing w:after="0"/>
              <w:rPr>
                <w:rFonts w:cs="Calibri"/>
                <w:color w:val="FF0000"/>
                <w:lang w:val="en-US"/>
              </w:rPr>
            </w:pPr>
            <w:r w:rsidRPr="00E17E1F">
              <w:rPr>
                <w:rFonts w:cs="Calibri"/>
              </w:rPr>
              <w:t>233 ± 2</w:t>
            </w:r>
          </w:p>
        </w:tc>
        <w:tc>
          <w:tcPr>
            <w:tcW w:w="1502" w:type="dxa"/>
            <w:tcBorders>
              <w:top w:val="single" w:sz="4" w:space="0" w:color="auto"/>
              <w:left w:val="nil"/>
              <w:bottom w:val="nil"/>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-21.2 ± 1.1</w:t>
            </w:r>
          </w:p>
        </w:tc>
        <w:tc>
          <w:tcPr>
            <w:tcW w:w="1304" w:type="dxa"/>
            <w:tcBorders>
              <w:top w:val="single" w:sz="4" w:space="0" w:color="auto"/>
              <w:left w:val="nil"/>
              <w:bottom w:val="nil"/>
              <w:right w:val="nil"/>
            </w:tcBorders>
            <w:shd w:val="clear" w:color="auto" w:fill="D9D9D9" w:themeFill="background1" w:themeFillShade="D9"/>
          </w:tcPr>
          <w:p w:rsidR="00387A07" w:rsidRPr="00E17E1F" w:rsidRDefault="00387A07" w:rsidP="00387A07">
            <w:pPr>
              <w:spacing w:after="0"/>
              <w:rPr>
                <w:rFonts w:cs="Calibri"/>
                <w:color w:val="FF0000"/>
                <w:lang w:val="en-US"/>
              </w:rPr>
            </w:pPr>
            <w:r w:rsidRPr="00E17E1F">
              <w:rPr>
                <w:rFonts w:cs="Calibri"/>
              </w:rPr>
              <w:t>0.25 ± 0.01</w:t>
            </w:r>
          </w:p>
        </w:tc>
      </w:tr>
      <w:tr w:rsidR="00387A07" w:rsidRPr="00E17E1F" w:rsidTr="00387A07">
        <w:tc>
          <w:tcPr>
            <w:tcW w:w="1390" w:type="dxa"/>
            <w:tcBorders>
              <w:left w:val="nil"/>
              <w:right w:val="nil"/>
            </w:tcBorders>
            <w:shd w:val="clear" w:color="auto" w:fill="D9D9D9" w:themeFill="background1" w:themeFillShade="D9"/>
          </w:tcPr>
          <w:p w:rsidR="00387A07" w:rsidRPr="00E17E1F" w:rsidRDefault="00387A07" w:rsidP="00387A07">
            <w:pPr>
              <w:spacing w:after="0"/>
              <w:jc w:val="center"/>
              <w:rPr>
                <w:rFonts w:cs="Calibri"/>
                <w:lang w:val="en-US"/>
              </w:rPr>
            </w:pPr>
            <w:r w:rsidRPr="00E17E1F">
              <w:rPr>
                <w:rFonts w:cs="Calibri"/>
                <w:lang w:val="en-US"/>
              </w:rPr>
              <w:t>PLA</w:t>
            </w:r>
          </w:p>
        </w:tc>
        <w:tc>
          <w:tcPr>
            <w:tcW w:w="1191" w:type="dxa"/>
            <w:tcBorders>
              <w:top w:val="nil"/>
              <w:left w:val="nil"/>
              <w:bottom w:val="nil"/>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213 ± 28</w:t>
            </w:r>
          </w:p>
        </w:tc>
        <w:tc>
          <w:tcPr>
            <w:tcW w:w="1502" w:type="dxa"/>
            <w:tcBorders>
              <w:top w:val="nil"/>
              <w:left w:val="nil"/>
              <w:bottom w:val="nil"/>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-28.7 ± 0.88</w:t>
            </w:r>
          </w:p>
        </w:tc>
        <w:tc>
          <w:tcPr>
            <w:tcW w:w="1304" w:type="dxa"/>
            <w:tcBorders>
              <w:top w:val="nil"/>
              <w:left w:val="nil"/>
              <w:bottom w:val="nil"/>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0.09 ± 0.02</w:t>
            </w:r>
          </w:p>
        </w:tc>
        <w:tc>
          <w:tcPr>
            <w:tcW w:w="1191" w:type="dxa"/>
            <w:tcBorders>
              <w:top w:val="nil"/>
              <w:left w:val="nil"/>
              <w:bottom w:val="nil"/>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218 ± 12</w:t>
            </w:r>
          </w:p>
        </w:tc>
        <w:tc>
          <w:tcPr>
            <w:tcW w:w="1502" w:type="dxa"/>
            <w:tcBorders>
              <w:top w:val="nil"/>
              <w:left w:val="nil"/>
              <w:bottom w:val="nil"/>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-19.8 ± 3.2</w:t>
            </w:r>
          </w:p>
        </w:tc>
        <w:tc>
          <w:tcPr>
            <w:tcW w:w="1304" w:type="dxa"/>
            <w:tcBorders>
              <w:top w:val="nil"/>
              <w:left w:val="nil"/>
              <w:bottom w:val="nil"/>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0.12 ± 0.04</w:t>
            </w:r>
          </w:p>
        </w:tc>
      </w:tr>
      <w:tr w:rsidR="00387A07" w:rsidRPr="00E17E1F" w:rsidTr="00387A07">
        <w:tc>
          <w:tcPr>
            <w:tcW w:w="1390" w:type="dxa"/>
            <w:tcBorders>
              <w:left w:val="nil"/>
              <w:bottom w:val="single" w:sz="4" w:space="0" w:color="000000"/>
              <w:right w:val="nil"/>
            </w:tcBorders>
            <w:shd w:val="clear" w:color="auto" w:fill="D9D9D9" w:themeFill="background1" w:themeFillShade="D9"/>
          </w:tcPr>
          <w:p w:rsidR="00387A07" w:rsidRPr="00E17E1F" w:rsidRDefault="00387A07" w:rsidP="00387A07">
            <w:pPr>
              <w:spacing w:after="0"/>
              <w:jc w:val="center"/>
              <w:rPr>
                <w:rFonts w:cs="Calibri"/>
                <w:lang w:val="en-US"/>
              </w:rPr>
            </w:pPr>
            <w:r w:rsidRPr="00E17E1F">
              <w:rPr>
                <w:rFonts w:cs="Calibri"/>
                <w:lang w:val="en-US"/>
              </w:rPr>
              <w:t>C-BC2000</w:t>
            </w:r>
          </w:p>
        </w:tc>
        <w:tc>
          <w:tcPr>
            <w:tcW w:w="1191" w:type="dxa"/>
            <w:tcBorders>
              <w:top w:val="nil"/>
              <w:left w:val="nil"/>
              <w:bottom w:val="single" w:sz="4" w:space="0" w:color="000000"/>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226 ± 13</w:t>
            </w:r>
          </w:p>
        </w:tc>
        <w:tc>
          <w:tcPr>
            <w:tcW w:w="1502" w:type="dxa"/>
            <w:tcBorders>
              <w:top w:val="nil"/>
              <w:left w:val="nil"/>
              <w:bottom w:val="single" w:sz="4" w:space="0" w:color="000000"/>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-28.9 ± 0.33</w:t>
            </w:r>
          </w:p>
        </w:tc>
        <w:tc>
          <w:tcPr>
            <w:tcW w:w="1304" w:type="dxa"/>
            <w:tcBorders>
              <w:top w:val="nil"/>
              <w:left w:val="nil"/>
              <w:bottom w:val="single" w:sz="4" w:space="0" w:color="000000"/>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0.10 ± 0.01</w:t>
            </w:r>
          </w:p>
        </w:tc>
        <w:tc>
          <w:tcPr>
            <w:tcW w:w="1191" w:type="dxa"/>
            <w:tcBorders>
              <w:top w:val="nil"/>
              <w:left w:val="nil"/>
              <w:bottom w:val="single" w:sz="4" w:space="0" w:color="000000"/>
              <w:right w:val="nil"/>
            </w:tcBorders>
            <w:shd w:val="clear" w:color="auto" w:fill="D9D9D9" w:themeFill="background1" w:themeFillShade="D9"/>
          </w:tcPr>
          <w:p w:rsidR="00387A07" w:rsidRPr="00E17E1F" w:rsidRDefault="00387A07" w:rsidP="00387A07">
            <w:pPr>
              <w:spacing w:after="0"/>
              <w:rPr>
                <w:rFonts w:cs="Calibri"/>
                <w:color w:val="FF0000"/>
                <w:lang w:val="en-US"/>
              </w:rPr>
            </w:pPr>
            <w:r w:rsidRPr="00E17E1F">
              <w:rPr>
                <w:rFonts w:cs="Calibri"/>
              </w:rPr>
              <w:t>162 ± 4</w:t>
            </w:r>
          </w:p>
        </w:tc>
        <w:tc>
          <w:tcPr>
            <w:tcW w:w="1502" w:type="dxa"/>
            <w:tcBorders>
              <w:top w:val="nil"/>
              <w:left w:val="nil"/>
              <w:bottom w:val="single" w:sz="4" w:space="0" w:color="000000"/>
              <w:right w:val="nil"/>
            </w:tcBorders>
            <w:shd w:val="clear" w:color="auto" w:fill="D9D9D9" w:themeFill="background1" w:themeFillShade="D9"/>
          </w:tcPr>
          <w:p w:rsidR="00387A07" w:rsidRPr="00E17E1F" w:rsidRDefault="00387A07" w:rsidP="00387A07">
            <w:pPr>
              <w:spacing w:after="0"/>
              <w:rPr>
                <w:rFonts w:cs="Calibri"/>
                <w:lang w:val="en-US"/>
              </w:rPr>
            </w:pPr>
            <w:r w:rsidRPr="00E17E1F">
              <w:rPr>
                <w:rFonts w:cs="Calibri"/>
                <w:lang w:val="en-US"/>
              </w:rPr>
              <w:t>-21.3 ± 1.5</w:t>
            </w:r>
          </w:p>
        </w:tc>
        <w:tc>
          <w:tcPr>
            <w:tcW w:w="1304" w:type="dxa"/>
            <w:tcBorders>
              <w:top w:val="nil"/>
              <w:left w:val="nil"/>
              <w:bottom w:val="single" w:sz="4" w:space="0" w:color="000000"/>
              <w:right w:val="nil"/>
            </w:tcBorders>
            <w:shd w:val="clear" w:color="auto" w:fill="D9D9D9" w:themeFill="background1" w:themeFillShade="D9"/>
          </w:tcPr>
          <w:p w:rsidR="00387A07" w:rsidRPr="00E17E1F" w:rsidRDefault="00387A07" w:rsidP="00387A07">
            <w:pPr>
              <w:spacing w:after="0"/>
              <w:rPr>
                <w:rFonts w:cs="Calibri"/>
                <w:color w:val="FF0000"/>
                <w:lang w:val="en-US"/>
              </w:rPr>
            </w:pPr>
            <w:r w:rsidRPr="00E17E1F">
              <w:rPr>
                <w:rFonts w:cs="Calibri"/>
              </w:rPr>
              <w:t>0.15 ± 0.01</w:t>
            </w:r>
          </w:p>
        </w:tc>
      </w:tr>
    </w:tbl>
    <w:p w:rsidR="00387A07" w:rsidRPr="00E17E1F" w:rsidRDefault="00387A07" w:rsidP="00387A07">
      <w:pPr>
        <w:pStyle w:val="Didascalia"/>
        <w:spacing w:before="120"/>
      </w:pPr>
      <w:r w:rsidRPr="00E17E1F">
        <w:t xml:space="preserve">Table 2. </w:t>
      </w:r>
      <w:fldSimple w:instr=" SEQ Table_2. \* ARABIC ">
        <w:r w:rsidRPr="00E17E1F">
          <w:rPr>
            <w:noProof/>
          </w:rPr>
          <w:t>5</w:t>
        </w:r>
      </w:fldSimple>
      <w:r w:rsidRPr="00E17E1F">
        <w:t xml:space="preserve"> Mean size, zeta potential and PDI of nanoparticles prepared with different polymers, before and after drug loading.</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 xml:space="preserve">The encapsulation of the drug did not affect the mean size or the size distribution of nanoparticles. </w:t>
      </w:r>
    </w:p>
    <w:p w:rsidR="00387A07" w:rsidRPr="00E17E1F" w:rsidRDefault="00387A07" w:rsidP="00387A07">
      <w:pPr>
        <w:spacing w:after="0" w:line="360" w:lineRule="auto"/>
        <w:jc w:val="both"/>
        <w:rPr>
          <w:rFonts w:ascii="Arial" w:hAnsi="Arial" w:cs="Arial"/>
          <w:bCs/>
          <w:sz w:val="24"/>
          <w:szCs w:val="24"/>
        </w:rPr>
      </w:pPr>
      <w:r w:rsidRPr="00E17E1F">
        <w:rPr>
          <w:rFonts w:ascii="Arial" w:hAnsi="Arial" w:cs="Arial"/>
          <w:sz w:val="24"/>
          <w:szCs w:val="24"/>
        </w:rPr>
        <w:t>All particles exhibit</w:t>
      </w:r>
      <w:r w:rsidRPr="00E17E1F">
        <w:rPr>
          <w:rFonts w:ascii="Arial" w:hAnsi="Arial" w:cs="Arial"/>
          <w:bCs/>
          <w:sz w:val="24"/>
          <w:szCs w:val="24"/>
        </w:rPr>
        <w:t xml:space="preserve"> a low polydispersity index</w:t>
      </w:r>
      <w:r w:rsidRPr="00E17E1F">
        <w:rPr>
          <w:rFonts w:ascii="Arial" w:hAnsi="Arial" w:cs="Arial"/>
          <w:sz w:val="24"/>
          <w:szCs w:val="24"/>
        </w:rPr>
        <w:t xml:space="preserve"> and a highly negative surface charge, which </w:t>
      </w:r>
      <w:r w:rsidRPr="00E17E1F">
        <w:rPr>
          <w:rFonts w:ascii="Arial" w:hAnsi="Arial" w:cs="Arial"/>
          <w:color w:val="000000"/>
          <w:sz w:val="24"/>
          <w:szCs w:val="24"/>
          <w:lang w:val="en-US"/>
        </w:rPr>
        <w:t>provides extra stability in water</w:t>
      </w:r>
      <w:r w:rsidRPr="00E17E1F">
        <w:rPr>
          <w:rFonts w:ascii="Arial" w:hAnsi="Arial" w:cs="Arial"/>
          <w:sz w:val="24"/>
          <w:szCs w:val="24"/>
        </w:rPr>
        <w:t xml:space="preserve"> by preventing aggregation.</w:t>
      </w:r>
      <w:r w:rsidRPr="00E17E1F">
        <w:rPr>
          <w:rFonts w:ascii="Arial" w:hAnsi="Arial" w:cs="Arial"/>
          <w:bCs/>
          <w:sz w:val="24"/>
          <w:szCs w:val="24"/>
        </w:rPr>
        <w:t xml:space="preserve"> </w:t>
      </w:r>
    </w:p>
    <w:p w:rsidR="00387A07" w:rsidRPr="00E17E1F" w:rsidRDefault="00387A07" w:rsidP="00387A07">
      <w:pPr>
        <w:spacing w:after="0" w:line="360" w:lineRule="auto"/>
        <w:jc w:val="both"/>
        <w:rPr>
          <w:rFonts w:ascii="Arial" w:hAnsi="Arial" w:cs="Arial"/>
          <w:bCs/>
          <w:sz w:val="24"/>
          <w:szCs w:val="24"/>
        </w:rPr>
      </w:pPr>
      <w:r w:rsidRPr="00E17E1F">
        <w:rPr>
          <w:rFonts w:ascii="Arial" w:hAnsi="Arial" w:cs="Arial"/>
          <w:bCs/>
          <w:sz w:val="24"/>
          <w:szCs w:val="24"/>
        </w:rPr>
        <w:t xml:space="preserve">Results from SEM analysis on plain and Paclitaxel-loaded nanoparticles are reported in figure 2.7.2. </w:t>
      </w:r>
    </w:p>
    <w:p w:rsidR="00387A07" w:rsidRPr="00E17E1F" w:rsidRDefault="00387A07" w:rsidP="00387A07">
      <w:pPr>
        <w:spacing w:after="0" w:line="360" w:lineRule="auto"/>
        <w:jc w:val="both"/>
        <w:rPr>
          <w:rFonts w:ascii="Arial" w:hAnsi="Arial" w:cs="Arial"/>
          <w:bCs/>
          <w:sz w:val="24"/>
          <w:szCs w:val="24"/>
        </w:rPr>
      </w:pPr>
      <w:r w:rsidRPr="00E17E1F">
        <w:rPr>
          <w:noProof/>
          <w:lang w:val="en-US" w:eastAsia="it-IT"/>
        </w:rPr>
        <w:t xml:space="preserve"> </w:t>
      </w:r>
      <w:r w:rsidRPr="00E17E1F">
        <w:rPr>
          <w:rFonts w:ascii="Arial" w:hAnsi="Arial" w:cs="Arial"/>
          <w:bCs/>
          <w:sz w:val="24"/>
          <w:szCs w:val="24"/>
        </w:rPr>
        <w:t xml:space="preserve">Nanoparticles with regular spherical morphology were successfully obtained with the Solvent Displacement Method with both commercial polyesters and the new Polyestherurethane C-BC2000. </w:t>
      </w:r>
    </w:p>
    <w:p w:rsidR="00387A07" w:rsidRPr="00E17E1F" w:rsidRDefault="00387A07" w:rsidP="00387A07">
      <w:pPr>
        <w:spacing w:after="0" w:line="360" w:lineRule="auto"/>
        <w:jc w:val="both"/>
        <w:rPr>
          <w:rFonts w:ascii="Arial" w:hAnsi="Arial" w:cs="Arial"/>
          <w:bCs/>
          <w:sz w:val="24"/>
          <w:szCs w:val="24"/>
        </w:rPr>
      </w:pPr>
      <w:r w:rsidRPr="00E17E1F">
        <w:rPr>
          <w:rFonts w:ascii="Arial" w:hAnsi="Arial" w:cs="Arial"/>
          <w:bCs/>
          <w:sz w:val="24"/>
          <w:szCs w:val="24"/>
        </w:rPr>
        <w:t>SEM micrographs confirm the results from particles size analysis, in fact all particles exhibit nanosized dimensions with a distinct and well-defined spherical shape. Little or none coalescence is observed in any case.</w:t>
      </w:r>
    </w:p>
    <w:p w:rsidR="00387A07" w:rsidRPr="00E17E1F" w:rsidRDefault="00387A07" w:rsidP="00387A07">
      <w:pPr>
        <w:spacing w:after="120" w:line="360" w:lineRule="auto"/>
        <w:jc w:val="both"/>
        <w:rPr>
          <w:rFonts w:ascii="Arial" w:hAnsi="Arial" w:cs="Arial"/>
          <w:bCs/>
          <w:sz w:val="24"/>
          <w:szCs w:val="24"/>
        </w:rPr>
      </w:pPr>
      <w:r w:rsidRPr="00E17E1F">
        <w:rPr>
          <w:rFonts w:ascii="Arial" w:hAnsi="Arial" w:cs="Arial"/>
          <w:bCs/>
          <w:sz w:val="24"/>
          <w:szCs w:val="24"/>
        </w:rPr>
        <w:t>AFM analysis, performed on plain nanoparticles, further confirms these results, as reported in figure 2.7.1</w:t>
      </w:r>
    </w:p>
    <w:p w:rsidR="00387A07" w:rsidRPr="00E17E1F" w:rsidRDefault="00387A07" w:rsidP="00387A07">
      <w:pPr>
        <w:spacing w:after="120" w:line="360" w:lineRule="auto"/>
        <w:jc w:val="both"/>
        <w:rPr>
          <w:rFonts w:ascii="Arial" w:hAnsi="Arial" w:cs="Arial"/>
          <w:bCs/>
          <w:sz w:val="24"/>
          <w:szCs w:val="24"/>
        </w:rPr>
      </w:pPr>
      <w:r w:rsidRPr="00E17E1F">
        <w:rPr>
          <w:rFonts w:ascii="Arial" w:hAnsi="Arial" w:cs="Arial"/>
          <w:bCs/>
          <w:noProof/>
          <w:sz w:val="24"/>
          <w:szCs w:val="24"/>
          <w:lang w:val="it-IT" w:eastAsia="it-IT"/>
        </w:rPr>
        <w:lastRenderedPageBreak/>
        <w:drawing>
          <wp:inline distT="0" distB="0" distL="0" distR="0">
            <wp:extent cx="6120765" cy="1873250"/>
            <wp:effectExtent l="19050" t="0" r="0" b="0"/>
            <wp:docPr id="128" name="Immagine 62" descr="AFM CAP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M CAP 2.png"/>
                    <pic:cNvPicPr/>
                  </pic:nvPicPr>
                  <pic:blipFill>
                    <a:blip r:embed="rId31" cstate="print"/>
                    <a:stretch>
                      <a:fillRect/>
                    </a:stretch>
                  </pic:blipFill>
                  <pic:spPr>
                    <a:xfrm>
                      <a:off x="0" y="0"/>
                      <a:ext cx="6120765" cy="1873250"/>
                    </a:xfrm>
                    <a:prstGeom prst="rect">
                      <a:avLst/>
                    </a:prstGeom>
                  </pic:spPr>
                </pic:pic>
              </a:graphicData>
            </a:graphic>
          </wp:inline>
        </w:drawing>
      </w:r>
    </w:p>
    <w:p w:rsidR="00387A07" w:rsidRPr="00E17E1F" w:rsidRDefault="00387A07" w:rsidP="00387A07">
      <w:pPr>
        <w:pStyle w:val="Didascalia"/>
        <w:rPr>
          <w:rFonts w:ascii="Arial" w:hAnsi="Arial" w:cs="Arial"/>
          <w:bCs w:val="0"/>
          <w:sz w:val="24"/>
          <w:szCs w:val="24"/>
        </w:rPr>
      </w:pPr>
      <w:r w:rsidRPr="00E17E1F">
        <w:t xml:space="preserve">figure 3.7. </w:t>
      </w:r>
      <w:fldSimple w:instr=" SEQ figure_3.7. \* ARABIC ">
        <w:r w:rsidRPr="00E17E1F">
          <w:rPr>
            <w:noProof/>
          </w:rPr>
          <w:t>1</w:t>
        </w:r>
      </w:fldSimple>
      <w:r w:rsidRPr="00E17E1F">
        <w:t xml:space="preserve"> AFM images of PCL (left), C-BC2000 (middle) and PLA (right) nanoparticles.</w:t>
      </w:r>
    </w:p>
    <w:p w:rsidR="00387A07" w:rsidRPr="00E17E1F" w:rsidRDefault="00387A07" w:rsidP="00387A07">
      <w:pPr>
        <w:spacing w:before="120" w:after="0" w:line="360" w:lineRule="auto"/>
        <w:jc w:val="center"/>
        <w:rPr>
          <w:rFonts w:ascii="Arial" w:hAnsi="Arial" w:cs="Arial"/>
          <w:bCs/>
          <w:sz w:val="24"/>
          <w:szCs w:val="24"/>
        </w:rPr>
      </w:pPr>
      <w:r w:rsidRPr="00E17E1F">
        <w:rPr>
          <w:rFonts w:ascii="Arial" w:hAnsi="Arial" w:cs="Arial"/>
          <w:bCs/>
          <w:noProof/>
          <w:sz w:val="24"/>
          <w:szCs w:val="24"/>
          <w:lang w:val="it-IT" w:eastAsia="it-IT"/>
        </w:rPr>
        <w:drawing>
          <wp:inline distT="0" distB="0" distL="0" distR="0">
            <wp:extent cx="4114800" cy="4641693"/>
            <wp:effectExtent l="19050" t="0" r="0" b="0"/>
            <wp:docPr id="62" name="Immagine 61" descr="sem cap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 cap 2.png"/>
                    <pic:cNvPicPr/>
                  </pic:nvPicPr>
                  <pic:blipFill>
                    <a:blip r:embed="rId32"/>
                    <a:stretch>
                      <a:fillRect/>
                    </a:stretch>
                  </pic:blipFill>
                  <pic:spPr>
                    <a:xfrm>
                      <a:off x="0" y="0"/>
                      <a:ext cx="4118875" cy="4646290"/>
                    </a:xfrm>
                    <a:prstGeom prst="rect">
                      <a:avLst/>
                    </a:prstGeom>
                  </pic:spPr>
                </pic:pic>
              </a:graphicData>
            </a:graphic>
          </wp:inline>
        </w:drawing>
      </w:r>
    </w:p>
    <w:p w:rsidR="00387A07" w:rsidRPr="00E17E1F" w:rsidRDefault="00387A07" w:rsidP="00387A07">
      <w:pPr>
        <w:pStyle w:val="Didascalia"/>
      </w:pPr>
      <w:r w:rsidRPr="00E17E1F">
        <w:t>Figure 2. 7.2 SEM micrographs of plain (left) and Paclitaxel-loaded (right) nanoparticles prepared with different polymers: PCL (A and B), PLA (C and D) and C-BC2000 (E and F).</w:t>
      </w:r>
    </w:p>
    <w:p w:rsidR="00387A07" w:rsidRPr="00E17E1F" w:rsidRDefault="00387A07" w:rsidP="00387A07">
      <w:pPr>
        <w:spacing w:after="0" w:line="360" w:lineRule="auto"/>
        <w:jc w:val="both"/>
        <w:rPr>
          <w:rFonts w:ascii="Arial" w:hAnsi="Arial" w:cs="Arial"/>
          <w:bCs/>
          <w:sz w:val="24"/>
          <w:szCs w:val="24"/>
        </w:rPr>
      </w:pPr>
      <w:r w:rsidRPr="00E17E1F">
        <w:rPr>
          <w:rFonts w:ascii="Arial" w:hAnsi="Arial" w:cs="Arial"/>
          <w:bCs/>
          <w:sz w:val="24"/>
          <w:szCs w:val="24"/>
        </w:rPr>
        <w:t>Drug encapsulation efficiency was calculated in triplicate according to equation 2.1 for all particles. Results are reported in table 2.6 expressed as mean ± standard deviation.</w:t>
      </w:r>
    </w:p>
    <w:p w:rsidR="00387A07" w:rsidRPr="00E17E1F" w:rsidRDefault="00387A07" w:rsidP="00387A07">
      <w:pPr>
        <w:spacing w:after="120" w:line="360" w:lineRule="auto"/>
        <w:jc w:val="both"/>
        <w:rPr>
          <w:rFonts w:ascii="Arial" w:hAnsi="Arial" w:cs="Arial"/>
          <w:bCs/>
          <w:sz w:val="24"/>
          <w:szCs w:val="24"/>
        </w:rPr>
      </w:pPr>
      <w:r w:rsidRPr="00E17E1F">
        <w:rPr>
          <w:rFonts w:ascii="Arial" w:hAnsi="Arial" w:cs="Arial"/>
          <w:bCs/>
          <w:sz w:val="24"/>
          <w:szCs w:val="24"/>
        </w:rPr>
        <w:t xml:space="preserve">The polyurethane C-BC2000 shows a significantly higher drug loading efficiency (89%) when compared to the two commercial polyesters </w:t>
      </w:r>
      <w:r w:rsidRPr="00E17E1F">
        <w:rPr>
          <w:rFonts w:ascii="Arial" w:hAnsi="Arial" w:cs="Arial"/>
          <w:sz w:val="24"/>
          <w:szCs w:val="24"/>
        </w:rPr>
        <w:t>(18% and 24% for PCL and PLA respectively)</w:t>
      </w:r>
      <w:r w:rsidRPr="00E17E1F">
        <w:rPr>
          <w:rFonts w:ascii="Arial" w:hAnsi="Arial" w:cs="Arial"/>
          <w:bCs/>
          <w:sz w:val="24"/>
          <w:szCs w:val="24"/>
        </w:rPr>
        <w:t xml:space="preserve">. </w:t>
      </w:r>
    </w:p>
    <w:tbl>
      <w:tblPr>
        <w:tblW w:w="4593" w:type="dxa"/>
        <w:jc w:val="center"/>
        <w:tblInd w:w="1929" w:type="dxa"/>
        <w:tblBorders>
          <w:top w:val="single" w:sz="4" w:space="0" w:color="auto"/>
          <w:bottom w:val="single" w:sz="4" w:space="0" w:color="000000"/>
        </w:tblBorders>
        <w:shd w:val="clear" w:color="auto" w:fill="D9D9D9" w:themeFill="background1" w:themeFillShade="D9"/>
        <w:tblLook w:val="00A0"/>
      </w:tblPr>
      <w:tblGrid>
        <w:gridCol w:w="1304"/>
        <w:gridCol w:w="1247"/>
        <w:gridCol w:w="2042"/>
      </w:tblGrid>
      <w:tr w:rsidR="00387A07" w:rsidRPr="00E17E1F" w:rsidTr="00387A07">
        <w:trPr>
          <w:trHeight w:val="170"/>
          <w:jc w:val="center"/>
        </w:trPr>
        <w:tc>
          <w:tcPr>
            <w:tcW w:w="1304" w:type="dxa"/>
            <w:tcBorders>
              <w:top w:val="single" w:sz="4" w:space="0" w:color="auto"/>
              <w:bottom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b/>
              </w:rPr>
            </w:pPr>
            <w:r w:rsidRPr="00E17E1F">
              <w:rPr>
                <w:rFonts w:cs="Calibri"/>
                <w:b/>
              </w:rPr>
              <w:lastRenderedPageBreak/>
              <w:t>Material</w:t>
            </w:r>
          </w:p>
        </w:tc>
        <w:tc>
          <w:tcPr>
            <w:tcW w:w="1247" w:type="dxa"/>
            <w:tcBorders>
              <w:top w:val="single" w:sz="4" w:space="0" w:color="auto"/>
              <w:bottom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b/>
              </w:rPr>
            </w:pPr>
            <w:r w:rsidRPr="00E17E1F">
              <w:rPr>
                <w:rFonts w:cs="Calibri"/>
                <w:b/>
              </w:rPr>
              <w:t>EE (%)</w:t>
            </w:r>
          </w:p>
        </w:tc>
        <w:tc>
          <w:tcPr>
            <w:tcW w:w="2042" w:type="dxa"/>
            <w:tcBorders>
              <w:top w:val="single" w:sz="4" w:space="0" w:color="auto"/>
              <w:bottom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b/>
              </w:rPr>
            </w:pPr>
            <w:r w:rsidRPr="00E17E1F">
              <w:rPr>
                <w:rFonts w:cs="Calibri"/>
                <w:b/>
              </w:rPr>
              <w:t>Encapsulated drug (µg)</w:t>
            </w:r>
          </w:p>
        </w:tc>
      </w:tr>
      <w:tr w:rsidR="00387A07" w:rsidRPr="00E17E1F" w:rsidTr="00387A07">
        <w:trPr>
          <w:trHeight w:val="270"/>
          <w:jc w:val="center"/>
        </w:trPr>
        <w:tc>
          <w:tcPr>
            <w:tcW w:w="1304" w:type="dxa"/>
            <w:tcBorders>
              <w:top w:val="single" w:sz="4" w:space="0" w:color="auto"/>
            </w:tcBorders>
            <w:shd w:val="clear" w:color="auto" w:fill="D9D9D9" w:themeFill="background1" w:themeFillShade="D9"/>
          </w:tcPr>
          <w:p w:rsidR="00387A07" w:rsidRPr="00E17E1F" w:rsidRDefault="00387A07" w:rsidP="00387A07">
            <w:pPr>
              <w:spacing w:after="0"/>
              <w:jc w:val="center"/>
              <w:rPr>
                <w:rFonts w:cs="Calibri"/>
              </w:rPr>
            </w:pPr>
            <w:r w:rsidRPr="00E17E1F">
              <w:rPr>
                <w:rFonts w:cs="Calibri"/>
              </w:rPr>
              <w:t>PCL</w:t>
            </w:r>
          </w:p>
        </w:tc>
        <w:tc>
          <w:tcPr>
            <w:tcW w:w="1247" w:type="dxa"/>
            <w:tcBorders>
              <w:top w:val="single" w:sz="4" w:space="0" w:color="auto"/>
            </w:tcBorders>
            <w:shd w:val="clear" w:color="auto" w:fill="D9D9D9" w:themeFill="background1" w:themeFillShade="D9"/>
          </w:tcPr>
          <w:p w:rsidR="00387A07" w:rsidRPr="00E17E1F" w:rsidRDefault="00387A07" w:rsidP="00387A07">
            <w:pPr>
              <w:spacing w:after="0"/>
              <w:jc w:val="center"/>
              <w:rPr>
                <w:rFonts w:cs="Calibri"/>
              </w:rPr>
            </w:pPr>
            <w:r w:rsidRPr="00E17E1F">
              <w:rPr>
                <w:rFonts w:cs="Calibri"/>
              </w:rPr>
              <w:t>18 ± 8</w:t>
            </w:r>
          </w:p>
        </w:tc>
        <w:tc>
          <w:tcPr>
            <w:tcW w:w="2042" w:type="dxa"/>
            <w:tcBorders>
              <w:top w:val="single" w:sz="4" w:space="0" w:color="auto"/>
            </w:tcBorders>
            <w:shd w:val="clear" w:color="auto" w:fill="D9D9D9" w:themeFill="background1" w:themeFillShade="D9"/>
          </w:tcPr>
          <w:p w:rsidR="00387A07" w:rsidRPr="00E17E1F" w:rsidRDefault="00387A07" w:rsidP="00387A07">
            <w:pPr>
              <w:spacing w:after="0"/>
              <w:jc w:val="center"/>
              <w:rPr>
                <w:rFonts w:cs="Calibri"/>
                <w:color w:val="000000"/>
              </w:rPr>
            </w:pPr>
            <w:r w:rsidRPr="00E17E1F">
              <w:rPr>
                <w:rFonts w:cs="Calibri"/>
                <w:color w:val="000000"/>
              </w:rPr>
              <w:t>53.3 ± 25.2</w:t>
            </w:r>
          </w:p>
        </w:tc>
      </w:tr>
      <w:tr w:rsidR="00387A07" w:rsidRPr="00E17E1F" w:rsidTr="00387A07">
        <w:trPr>
          <w:trHeight w:val="253"/>
          <w:jc w:val="center"/>
        </w:trPr>
        <w:tc>
          <w:tcPr>
            <w:tcW w:w="1304" w:type="dxa"/>
            <w:shd w:val="clear" w:color="auto" w:fill="D9D9D9" w:themeFill="background1" w:themeFillShade="D9"/>
          </w:tcPr>
          <w:p w:rsidR="00387A07" w:rsidRPr="00E17E1F" w:rsidRDefault="00387A07" w:rsidP="00387A07">
            <w:pPr>
              <w:spacing w:after="0"/>
              <w:jc w:val="center"/>
              <w:rPr>
                <w:rFonts w:cs="Calibri"/>
              </w:rPr>
            </w:pPr>
            <w:r w:rsidRPr="00E17E1F">
              <w:rPr>
                <w:rFonts w:cs="Calibri"/>
              </w:rPr>
              <w:t>PLA</w:t>
            </w:r>
          </w:p>
        </w:tc>
        <w:tc>
          <w:tcPr>
            <w:tcW w:w="1247" w:type="dxa"/>
            <w:shd w:val="clear" w:color="auto" w:fill="D9D9D9" w:themeFill="background1" w:themeFillShade="D9"/>
          </w:tcPr>
          <w:p w:rsidR="00387A07" w:rsidRPr="00E17E1F" w:rsidRDefault="00387A07" w:rsidP="00387A07">
            <w:pPr>
              <w:spacing w:after="0"/>
              <w:jc w:val="center"/>
              <w:rPr>
                <w:rFonts w:cs="Calibri"/>
              </w:rPr>
            </w:pPr>
            <w:r w:rsidRPr="00E17E1F">
              <w:rPr>
                <w:rFonts w:cs="Calibri"/>
              </w:rPr>
              <w:t>24 ± 7</w:t>
            </w:r>
          </w:p>
        </w:tc>
        <w:tc>
          <w:tcPr>
            <w:tcW w:w="2042" w:type="dxa"/>
            <w:shd w:val="clear" w:color="auto" w:fill="D9D9D9" w:themeFill="background1" w:themeFillShade="D9"/>
          </w:tcPr>
          <w:p w:rsidR="00387A07" w:rsidRPr="00E17E1F" w:rsidRDefault="00387A07" w:rsidP="00387A07">
            <w:pPr>
              <w:spacing w:after="0"/>
              <w:jc w:val="center"/>
              <w:rPr>
                <w:rFonts w:cs="Calibri"/>
                <w:color w:val="000000"/>
              </w:rPr>
            </w:pPr>
            <w:r w:rsidRPr="00E17E1F">
              <w:rPr>
                <w:rFonts w:cs="Calibri"/>
                <w:color w:val="000000"/>
              </w:rPr>
              <w:t>73.3 ± 20.8</w:t>
            </w:r>
          </w:p>
        </w:tc>
      </w:tr>
      <w:tr w:rsidR="00387A07" w:rsidRPr="00E17E1F" w:rsidTr="00387A07">
        <w:trPr>
          <w:trHeight w:val="253"/>
          <w:jc w:val="center"/>
        </w:trPr>
        <w:tc>
          <w:tcPr>
            <w:tcW w:w="1304" w:type="dxa"/>
            <w:shd w:val="clear" w:color="auto" w:fill="D9D9D9" w:themeFill="background1" w:themeFillShade="D9"/>
          </w:tcPr>
          <w:p w:rsidR="00387A07" w:rsidRPr="00E17E1F" w:rsidRDefault="00387A07" w:rsidP="00387A07">
            <w:pPr>
              <w:spacing w:after="0"/>
              <w:jc w:val="center"/>
              <w:rPr>
                <w:rFonts w:cs="Calibri"/>
              </w:rPr>
            </w:pPr>
            <w:r w:rsidRPr="00E17E1F">
              <w:rPr>
                <w:rFonts w:cs="Calibri"/>
              </w:rPr>
              <w:t>C-BC2000</w:t>
            </w:r>
          </w:p>
        </w:tc>
        <w:tc>
          <w:tcPr>
            <w:tcW w:w="1247" w:type="dxa"/>
            <w:shd w:val="clear" w:color="auto" w:fill="D9D9D9" w:themeFill="background1" w:themeFillShade="D9"/>
          </w:tcPr>
          <w:p w:rsidR="00387A07" w:rsidRPr="00E17E1F" w:rsidRDefault="00387A07" w:rsidP="00387A07">
            <w:pPr>
              <w:spacing w:after="0"/>
              <w:jc w:val="center"/>
              <w:rPr>
                <w:rFonts w:cs="Calibri"/>
              </w:rPr>
            </w:pPr>
            <w:r w:rsidRPr="00E17E1F">
              <w:rPr>
                <w:rFonts w:cs="Calibri"/>
              </w:rPr>
              <w:t>89 ± 2</w:t>
            </w:r>
          </w:p>
        </w:tc>
        <w:tc>
          <w:tcPr>
            <w:tcW w:w="2042" w:type="dxa"/>
            <w:shd w:val="clear" w:color="auto" w:fill="D9D9D9" w:themeFill="background1" w:themeFillShade="D9"/>
          </w:tcPr>
          <w:p w:rsidR="00387A07" w:rsidRPr="00E17E1F" w:rsidRDefault="00387A07" w:rsidP="00387A07">
            <w:pPr>
              <w:spacing w:after="0"/>
              <w:jc w:val="center"/>
              <w:rPr>
                <w:rFonts w:cs="Calibri"/>
                <w:color w:val="000000"/>
              </w:rPr>
            </w:pPr>
            <w:r w:rsidRPr="00E17E1F">
              <w:rPr>
                <w:rFonts w:cs="Calibri"/>
                <w:color w:val="000000"/>
              </w:rPr>
              <w:t>266.7 ± 5.8</w:t>
            </w:r>
          </w:p>
        </w:tc>
      </w:tr>
    </w:tbl>
    <w:p w:rsidR="00387A07" w:rsidRPr="00E17E1F" w:rsidRDefault="00387A07" w:rsidP="00387A07">
      <w:pPr>
        <w:pStyle w:val="Didascalia"/>
        <w:spacing w:before="120"/>
        <w:rPr>
          <w:rFonts w:ascii="Arial" w:hAnsi="Arial" w:cs="Arial"/>
          <w:bCs w:val="0"/>
          <w:sz w:val="24"/>
          <w:szCs w:val="24"/>
        </w:rPr>
      </w:pPr>
      <w:r w:rsidRPr="00E17E1F">
        <w:t xml:space="preserve">Table 2. </w:t>
      </w:r>
      <w:fldSimple w:instr=" SEQ Table_2. \* ARABIC ">
        <w:r w:rsidRPr="00E17E1F">
          <w:rPr>
            <w:noProof/>
          </w:rPr>
          <w:t>6</w:t>
        </w:r>
      </w:fldSimple>
      <w:r w:rsidRPr="00E17E1F">
        <w:t xml:space="preserve"> Drug loading efficiency and amount of encapsulated drug </w:t>
      </w:r>
    </w:p>
    <w:p w:rsidR="00387A07" w:rsidRPr="00E17E1F" w:rsidRDefault="00387A07" w:rsidP="00387A07">
      <w:pPr>
        <w:spacing w:after="0" w:line="360" w:lineRule="auto"/>
        <w:jc w:val="both"/>
        <w:rPr>
          <w:rFonts w:ascii="Arial" w:hAnsi="Arial" w:cs="Arial"/>
          <w:bCs/>
          <w:sz w:val="24"/>
          <w:szCs w:val="24"/>
        </w:rPr>
      </w:pPr>
      <w:r w:rsidRPr="00E17E1F">
        <w:rPr>
          <w:rFonts w:ascii="Arial" w:hAnsi="Arial" w:cs="Arial"/>
          <w:bCs/>
          <w:sz w:val="24"/>
          <w:szCs w:val="24"/>
        </w:rPr>
        <w:t>Figure 2.8 represents the release profile of the encapsulated drug over a period of five days expressed as percent of the encapsulated drug and as the quantity of Paclitaxel released at each time-point. The quantity of drug release, expressed as mean ± standard deviation, is also indicated in table 2.7.</w:t>
      </w:r>
    </w:p>
    <w:p w:rsidR="00387A07" w:rsidRPr="00E17E1F" w:rsidRDefault="00387A07" w:rsidP="00387A07">
      <w:pPr>
        <w:spacing w:after="120" w:line="360" w:lineRule="auto"/>
        <w:jc w:val="both"/>
        <w:rPr>
          <w:rFonts w:ascii="Arial" w:hAnsi="Arial" w:cs="Arial"/>
          <w:bCs/>
          <w:sz w:val="24"/>
          <w:szCs w:val="24"/>
        </w:rPr>
      </w:pPr>
      <w:r w:rsidRPr="00E17E1F">
        <w:rPr>
          <w:rFonts w:ascii="Arial" w:hAnsi="Arial" w:cs="Arial"/>
          <w:sz w:val="24"/>
          <w:szCs w:val="24"/>
        </w:rPr>
        <w:t>C-BC2000 nanoparticles are able to sustain drug release for a prolonged period of time, since only 30% of the encapsulated Paclitaxel is released after 5 days. On the other hand, release from PCL and PLA nanoparticles is completed within the first 2-3 days,</w:t>
      </w:r>
      <w:r w:rsidRPr="00E17E1F">
        <w:rPr>
          <w:rFonts w:ascii="Arial" w:hAnsi="Arial" w:cs="Arial"/>
          <w:bCs/>
          <w:sz w:val="24"/>
          <w:szCs w:val="24"/>
        </w:rPr>
        <w:t xml:space="preserve"> according to the results presented by other authors [35][36]. </w:t>
      </w:r>
    </w:p>
    <w:p w:rsidR="00387A07" w:rsidRPr="00E17E1F" w:rsidRDefault="00387A07" w:rsidP="00387A07">
      <w:pPr>
        <w:spacing w:line="360" w:lineRule="auto"/>
        <w:jc w:val="center"/>
        <w:rPr>
          <w:rFonts w:ascii="Arial" w:hAnsi="Arial" w:cs="Arial"/>
          <w:bCs/>
          <w:sz w:val="24"/>
          <w:szCs w:val="24"/>
        </w:rPr>
      </w:pPr>
      <w:r w:rsidRPr="00E17E1F">
        <w:rPr>
          <w:rFonts w:ascii="Arial" w:hAnsi="Arial" w:cs="Arial"/>
          <w:noProof/>
          <w:sz w:val="24"/>
          <w:szCs w:val="24"/>
          <w:lang w:val="it-IT" w:eastAsia="it-IT"/>
        </w:rPr>
        <w:drawing>
          <wp:inline distT="0" distB="0" distL="0" distR="0">
            <wp:extent cx="3962400" cy="2495550"/>
            <wp:effectExtent l="0" t="0" r="0" b="0"/>
            <wp:docPr id="138" name="Immagine 32" descr="rilascio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2" descr="rilascio 1.png"/>
                    <pic:cNvPicPr>
                      <a:picLocks noChangeAspect="1" noChangeArrowheads="1"/>
                    </pic:cNvPicPr>
                  </pic:nvPicPr>
                  <pic:blipFill>
                    <a:blip r:embed="rId33"/>
                    <a:srcRect/>
                    <a:stretch>
                      <a:fillRect/>
                    </a:stretch>
                  </pic:blipFill>
                  <pic:spPr bwMode="auto">
                    <a:xfrm>
                      <a:off x="0" y="0"/>
                      <a:ext cx="3962400" cy="2495550"/>
                    </a:xfrm>
                    <a:prstGeom prst="rect">
                      <a:avLst/>
                    </a:prstGeom>
                    <a:noFill/>
                    <a:ln w="9525">
                      <a:noFill/>
                      <a:miter lim="800000"/>
                      <a:headEnd/>
                      <a:tailEnd/>
                    </a:ln>
                  </pic:spPr>
                </pic:pic>
              </a:graphicData>
            </a:graphic>
          </wp:inline>
        </w:drawing>
      </w:r>
    </w:p>
    <w:p w:rsidR="00387A07" w:rsidRPr="00E17E1F" w:rsidRDefault="00387A07" w:rsidP="00387A07">
      <w:pPr>
        <w:spacing w:line="360" w:lineRule="auto"/>
        <w:jc w:val="center"/>
        <w:rPr>
          <w:rFonts w:ascii="Arial" w:hAnsi="Arial" w:cs="Arial"/>
          <w:bCs/>
          <w:sz w:val="24"/>
          <w:szCs w:val="24"/>
        </w:rPr>
      </w:pPr>
    </w:p>
    <w:p w:rsidR="00387A07" w:rsidRPr="00E17E1F" w:rsidRDefault="00387A07" w:rsidP="00387A07">
      <w:pPr>
        <w:spacing w:line="360" w:lineRule="auto"/>
        <w:jc w:val="center"/>
        <w:rPr>
          <w:rFonts w:ascii="Arial" w:hAnsi="Arial" w:cs="Arial"/>
          <w:bCs/>
          <w:sz w:val="24"/>
          <w:szCs w:val="24"/>
        </w:rPr>
      </w:pPr>
    </w:p>
    <w:p w:rsidR="00387A07" w:rsidRPr="00E17E1F" w:rsidRDefault="00387A07" w:rsidP="00387A07">
      <w:pPr>
        <w:spacing w:after="0" w:line="360" w:lineRule="auto"/>
        <w:jc w:val="center"/>
        <w:rPr>
          <w:rFonts w:ascii="Arial" w:hAnsi="Arial" w:cs="Arial"/>
          <w:bCs/>
          <w:sz w:val="24"/>
          <w:szCs w:val="24"/>
        </w:rPr>
      </w:pPr>
      <w:r w:rsidRPr="00E17E1F">
        <w:rPr>
          <w:rFonts w:ascii="Arial" w:hAnsi="Arial" w:cs="Arial"/>
          <w:noProof/>
          <w:sz w:val="24"/>
          <w:szCs w:val="24"/>
          <w:lang w:val="it-IT" w:eastAsia="it-IT"/>
        </w:rPr>
        <w:lastRenderedPageBreak/>
        <w:drawing>
          <wp:inline distT="0" distB="0" distL="0" distR="0">
            <wp:extent cx="3686175" cy="2333625"/>
            <wp:effectExtent l="0" t="0" r="0" b="0"/>
            <wp:docPr id="139" name="Immagine 33" descr="rilasci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3" descr="rilascio 2.png"/>
                    <pic:cNvPicPr>
                      <a:picLocks noChangeAspect="1" noChangeArrowheads="1"/>
                    </pic:cNvPicPr>
                  </pic:nvPicPr>
                  <pic:blipFill>
                    <a:blip r:embed="rId34"/>
                    <a:srcRect/>
                    <a:stretch>
                      <a:fillRect/>
                    </a:stretch>
                  </pic:blipFill>
                  <pic:spPr bwMode="auto">
                    <a:xfrm>
                      <a:off x="0" y="0"/>
                      <a:ext cx="3686175" cy="2333625"/>
                    </a:xfrm>
                    <a:prstGeom prst="rect">
                      <a:avLst/>
                    </a:prstGeom>
                    <a:noFill/>
                    <a:ln w="9525">
                      <a:noFill/>
                      <a:miter lim="800000"/>
                      <a:headEnd/>
                      <a:tailEnd/>
                    </a:ln>
                  </pic:spPr>
                </pic:pic>
              </a:graphicData>
            </a:graphic>
          </wp:inline>
        </w:drawing>
      </w:r>
    </w:p>
    <w:p w:rsidR="00550A30" w:rsidRDefault="00387A07" w:rsidP="00387A07">
      <w:pPr>
        <w:pStyle w:val="Didascalia"/>
      </w:pPr>
      <w:r w:rsidRPr="00E17E1F">
        <w:t>Figure 2. 8 Release profiles of Paclitaxel from different nanoparticles, expressed as percent of the encapsulated drug (A) and as the quantity (µg) of drug released (B).</w:t>
      </w:r>
    </w:p>
    <w:p w:rsidR="00387A07" w:rsidRPr="00E17E1F" w:rsidRDefault="00387A07" w:rsidP="00387A07">
      <w:pPr>
        <w:pStyle w:val="Didascalia"/>
      </w:pPr>
      <w:r w:rsidRPr="00E17E1F">
        <w:t xml:space="preserve"> </w:t>
      </w:r>
    </w:p>
    <w:tbl>
      <w:tblPr>
        <w:tblW w:w="8698" w:type="dxa"/>
        <w:jc w:val="center"/>
        <w:tblBorders>
          <w:top w:val="single" w:sz="4" w:space="0" w:color="000000"/>
          <w:left w:val="single" w:sz="4" w:space="0" w:color="000000"/>
          <w:bottom w:val="single" w:sz="4" w:space="0" w:color="000000"/>
          <w:right w:val="single" w:sz="4" w:space="0" w:color="000000"/>
        </w:tblBorders>
        <w:shd w:val="clear" w:color="auto" w:fill="D9D9D9" w:themeFill="background1" w:themeFillShade="D9"/>
        <w:tblLook w:val="00A0"/>
      </w:tblPr>
      <w:tblGrid>
        <w:gridCol w:w="874"/>
        <w:gridCol w:w="1304"/>
        <w:gridCol w:w="1304"/>
        <w:gridCol w:w="1304"/>
        <w:gridCol w:w="1304"/>
        <w:gridCol w:w="1304"/>
        <w:gridCol w:w="1304"/>
      </w:tblGrid>
      <w:tr w:rsidR="00387A07" w:rsidRPr="00E17E1F" w:rsidTr="00387A07">
        <w:trPr>
          <w:trHeight w:val="300"/>
          <w:jc w:val="center"/>
        </w:trPr>
        <w:tc>
          <w:tcPr>
            <w:tcW w:w="4786" w:type="dxa"/>
            <w:gridSpan w:val="4"/>
            <w:tcBorders>
              <w:top w:val="single" w:sz="4" w:space="0" w:color="000000"/>
              <w:left w:val="nil"/>
              <w:bottom w:val="single" w:sz="4" w:space="0" w:color="auto"/>
              <w:right w:val="single" w:sz="4" w:space="0" w:color="auto"/>
            </w:tcBorders>
            <w:shd w:val="clear" w:color="auto" w:fill="D9D9D9" w:themeFill="background1" w:themeFillShade="D9"/>
            <w:noWrap/>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Released drug (</w:t>
            </w:r>
            <w:r w:rsidRPr="00E17E1F">
              <w:rPr>
                <w:rFonts w:cstheme="minorHAnsi"/>
                <w:b/>
                <w:color w:val="000000"/>
                <w:lang w:val="it-IT" w:eastAsia="it-IT"/>
              </w:rPr>
              <w:t>µ</w:t>
            </w:r>
            <w:r w:rsidRPr="00E17E1F">
              <w:rPr>
                <w:rFonts w:cs="Calibri"/>
                <w:b/>
                <w:color w:val="000000"/>
                <w:lang w:val="it-IT" w:eastAsia="it-IT"/>
              </w:rPr>
              <w:t>g)</w:t>
            </w:r>
          </w:p>
        </w:tc>
        <w:tc>
          <w:tcPr>
            <w:tcW w:w="3912" w:type="dxa"/>
            <w:gridSpan w:val="3"/>
            <w:tcBorders>
              <w:top w:val="single" w:sz="4" w:space="0" w:color="000000"/>
              <w:left w:val="single" w:sz="4" w:space="0" w:color="auto"/>
              <w:bottom w:val="single" w:sz="4" w:space="0" w:color="auto"/>
              <w:right w:val="nil"/>
            </w:tcBorders>
            <w:shd w:val="clear" w:color="auto" w:fill="D9D9D9" w:themeFill="background1" w:themeFillShade="D9"/>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Released drug (</w:t>
            </w:r>
            <w:r w:rsidRPr="00E17E1F">
              <w:rPr>
                <w:rFonts w:cstheme="minorHAnsi"/>
                <w:b/>
                <w:color w:val="000000"/>
                <w:lang w:val="it-IT" w:eastAsia="it-IT"/>
              </w:rPr>
              <w:t>%</w:t>
            </w:r>
            <w:r w:rsidRPr="00E17E1F">
              <w:rPr>
                <w:rFonts w:cs="Calibri"/>
                <w:b/>
                <w:color w:val="000000"/>
                <w:lang w:val="it-IT" w:eastAsia="it-IT"/>
              </w:rPr>
              <w:t>)</w:t>
            </w:r>
          </w:p>
        </w:tc>
      </w:tr>
      <w:tr w:rsidR="00387A07" w:rsidRPr="00E17E1F" w:rsidTr="00387A07">
        <w:trPr>
          <w:trHeight w:val="300"/>
          <w:jc w:val="center"/>
        </w:trPr>
        <w:tc>
          <w:tcPr>
            <w:tcW w:w="874" w:type="dxa"/>
            <w:tcBorders>
              <w:top w:val="single" w:sz="4" w:space="0" w:color="000000"/>
              <w:left w:val="nil"/>
              <w:bottom w:val="single" w:sz="4" w:space="0" w:color="auto"/>
              <w:right w:val="nil"/>
            </w:tcBorders>
            <w:shd w:val="clear" w:color="auto" w:fill="D9D9D9" w:themeFill="background1" w:themeFillShade="D9"/>
            <w:noWrap/>
          </w:tcPr>
          <w:p w:rsidR="00387A07" w:rsidRPr="00E17E1F" w:rsidRDefault="00387A07" w:rsidP="00387A07">
            <w:pPr>
              <w:spacing w:after="0" w:line="240" w:lineRule="auto"/>
              <w:jc w:val="center"/>
              <w:rPr>
                <w:rFonts w:cs="Calibri"/>
                <w:b/>
                <w:color w:val="000000"/>
                <w:lang w:val="en-US" w:eastAsia="it-IT"/>
              </w:rPr>
            </w:pPr>
            <w:r w:rsidRPr="00E17E1F">
              <w:rPr>
                <w:rFonts w:cs="Calibri"/>
                <w:b/>
                <w:color w:val="000000"/>
                <w:lang w:val="en-US" w:eastAsia="it-IT"/>
              </w:rPr>
              <w:t>Time (hours)</w:t>
            </w:r>
          </w:p>
        </w:tc>
        <w:tc>
          <w:tcPr>
            <w:tcW w:w="1304" w:type="dxa"/>
            <w:tcBorders>
              <w:top w:val="single" w:sz="4" w:space="0" w:color="000000"/>
              <w:left w:val="nil"/>
              <w:bottom w:val="single" w:sz="4" w:space="0" w:color="auto"/>
              <w:right w:val="nil"/>
            </w:tcBorders>
            <w:shd w:val="clear" w:color="auto" w:fill="D9D9D9" w:themeFill="background1" w:themeFillShade="D9"/>
            <w:noWrap/>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PCL</w:t>
            </w:r>
          </w:p>
        </w:tc>
        <w:tc>
          <w:tcPr>
            <w:tcW w:w="1304" w:type="dxa"/>
            <w:tcBorders>
              <w:top w:val="single" w:sz="4" w:space="0" w:color="000000"/>
              <w:left w:val="nil"/>
              <w:bottom w:val="single" w:sz="4" w:space="0" w:color="auto"/>
              <w:right w:val="nil"/>
            </w:tcBorders>
            <w:shd w:val="clear" w:color="auto" w:fill="D9D9D9" w:themeFill="background1" w:themeFillShade="D9"/>
            <w:noWrap/>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PLA</w:t>
            </w:r>
          </w:p>
        </w:tc>
        <w:tc>
          <w:tcPr>
            <w:tcW w:w="1304" w:type="dxa"/>
            <w:tcBorders>
              <w:top w:val="single" w:sz="4" w:space="0" w:color="000000"/>
              <w:left w:val="nil"/>
              <w:bottom w:val="single" w:sz="4" w:space="0" w:color="auto"/>
              <w:right w:val="single" w:sz="4" w:space="0" w:color="auto"/>
            </w:tcBorders>
            <w:shd w:val="clear" w:color="auto" w:fill="D9D9D9" w:themeFill="background1" w:themeFillShade="D9"/>
            <w:noWrap/>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C-BC2000</w:t>
            </w:r>
          </w:p>
        </w:tc>
        <w:tc>
          <w:tcPr>
            <w:tcW w:w="1304" w:type="dxa"/>
            <w:tcBorders>
              <w:top w:val="single" w:sz="4" w:space="0" w:color="000000"/>
              <w:left w:val="single" w:sz="4" w:space="0" w:color="auto"/>
              <w:bottom w:val="single" w:sz="4" w:space="0" w:color="auto"/>
              <w:right w:val="nil"/>
            </w:tcBorders>
            <w:shd w:val="clear" w:color="auto" w:fill="D9D9D9" w:themeFill="background1" w:themeFillShade="D9"/>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PCL</w:t>
            </w:r>
          </w:p>
        </w:tc>
        <w:tc>
          <w:tcPr>
            <w:tcW w:w="1304" w:type="dxa"/>
            <w:tcBorders>
              <w:top w:val="single" w:sz="4" w:space="0" w:color="000000"/>
              <w:left w:val="nil"/>
              <w:bottom w:val="single" w:sz="4" w:space="0" w:color="auto"/>
              <w:right w:val="nil"/>
            </w:tcBorders>
            <w:shd w:val="clear" w:color="auto" w:fill="D9D9D9" w:themeFill="background1" w:themeFillShade="D9"/>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PLA</w:t>
            </w:r>
          </w:p>
        </w:tc>
        <w:tc>
          <w:tcPr>
            <w:tcW w:w="1304" w:type="dxa"/>
            <w:tcBorders>
              <w:top w:val="single" w:sz="4" w:space="0" w:color="000000"/>
              <w:left w:val="nil"/>
              <w:bottom w:val="single" w:sz="4" w:space="0" w:color="auto"/>
              <w:right w:val="nil"/>
            </w:tcBorders>
            <w:shd w:val="clear" w:color="auto" w:fill="D9D9D9" w:themeFill="background1" w:themeFillShade="D9"/>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C-BC2000</w:t>
            </w:r>
          </w:p>
        </w:tc>
      </w:tr>
      <w:tr w:rsidR="00387A07" w:rsidRPr="00E17E1F" w:rsidTr="00387A07">
        <w:trPr>
          <w:trHeight w:val="300"/>
          <w:jc w:val="center"/>
        </w:trPr>
        <w:tc>
          <w:tcPr>
            <w:tcW w:w="874" w:type="dxa"/>
            <w:tcBorders>
              <w:top w:val="single" w:sz="4" w:space="0" w:color="auto"/>
              <w:left w:val="nil"/>
            </w:tcBorders>
            <w:shd w:val="clear" w:color="auto" w:fill="D9D9D9" w:themeFill="background1" w:themeFillShade="D9"/>
            <w:noWrap/>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1</w:t>
            </w:r>
          </w:p>
        </w:tc>
        <w:tc>
          <w:tcPr>
            <w:tcW w:w="1304" w:type="dxa"/>
            <w:tcBorders>
              <w:top w:val="single" w:sz="4" w:space="0" w:color="auto"/>
            </w:tcBorders>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17.8 ±  1.0</w:t>
            </w:r>
          </w:p>
        </w:tc>
        <w:tc>
          <w:tcPr>
            <w:tcW w:w="1304" w:type="dxa"/>
            <w:tcBorders>
              <w:top w:val="single" w:sz="4" w:space="0" w:color="auto"/>
            </w:tcBorders>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17.0 ± 1.4</w:t>
            </w:r>
          </w:p>
        </w:tc>
        <w:tc>
          <w:tcPr>
            <w:tcW w:w="1304" w:type="dxa"/>
            <w:tcBorders>
              <w:top w:val="single" w:sz="4" w:space="0" w:color="auto"/>
              <w:right w:val="single" w:sz="4" w:space="0" w:color="auto"/>
            </w:tcBorders>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18.0 ±  1.5</w:t>
            </w:r>
          </w:p>
        </w:tc>
        <w:tc>
          <w:tcPr>
            <w:tcW w:w="1304" w:type="dxa"/>
            <w:tcBorders>
              <w:top w:val="single" w:sz="4" w:space="0" w:color="auto"/>
              <w:left w:val="single" w:sz="4" w:space="0" w:color="auto"/>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33.3 </w:t>
            </w:r>
            <w:r w:rsidRPr="00E17E1F">
              <w:rPr>
                <w:rFonts w:cstheme="minorHAnsi"/>
                <w:color w:val="000000"/>
                <w:lang w:val="it-IT" w:eastAsia="it-IT"/>
              </w:rPr>
              <w:t>± 1.9</w:t>
            </w:r>
          </w:p>
        </w:tc>
        <w:tc>
          <w:tcPr>
            <w:tcW w:w="1304" w:type="dxa"/>
            <w:tcBorders>
              <w:top w:val="single" w:sz="4" w:space="0" w:color="auto"/>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23.2 </w:t>
            </w:r>
            <w:r w:rsidRPr="00E17E1F">
              <w:rPr>
                <w:rFonts w:cstheme="minorHAnsi"/>
                <w:color w:val="000000"/>
                <w:lang w:val="it-IT" w:eastAsia="it-IT"/>
              </w:rPr>
              <w:t>± 1.9</w:t>
            </w:r>
          </w:p>
        </w:tc>
        <w:tc>
          <w:tcPr>
            <w:tcW w:w="1304" w:type="dxa"/>
            <w:tcBorders>
              <w:top w:val="single" w:sz="4" w:space="0" w:color="auto"/>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6.8 </w:t>
            </w:r>
            <w:r w:rsidRPr="00E17E1F">
              <w:rPr>
                <w:rFonts w:cstheme="minorHAnsi"/>
                <w:color w:val="000000"/>
                <w:lang w:val="it-IT" w:eastAsia="it-IT"/>
              </w:rPr>
              <w:t>± 0.6</w:t>
            </w:r>
          </w:p>
        </w:tc>
      </w:tr>
      <w:tr w:rsidR="00387A07" w:rsidRPr="00E17E1F" w:rsidTr="00387A07">
        <w:trPr>
          <w:trHeight w:val="300"/>
          <w:jc w:val="center"/>
        </w:trPr>
        <w:tc>
          <w:tcPr>
            <w:tcW w:w="874" w:type="dxa"/>
            <w:tcBorders>
              <w:left w:val="nil"/>
            </w:tcBorders>
            <w:shd w:val="clear" w:color="auto" w:fill="D9D9D9" w:themeFill="background1" w:themeFillShade="D9"/>
            <w:noWrap/>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3</w:t>
            </w:r>
          </w:p>
        </w:tc>
        <w:tc>
          <w:tcPr>
            <w:tcW w:w="1304" w:type="dxa"/>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23.3 ±  1.8</w:t>
            </w:r>
          </w:p>
        </w:tc>
        <w:tc>
          <w:tcPr>
            <w:tcW w:w="1304" w:type="dxa"/>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34.2 ± 10.3</w:t>
            </w:r>
          </w:p>
        </w:tc>
        <w:tc>
          <w:tcPr>
            <w:tcW w:w="1304" w:type="dxa"/>
            <w:tcBorders>
              <w:right w:val="single" w:sz="4" w:space="0" w:color="auto"/>
            </w:tcBorders>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22.8 ± 5.1</w:t>
            </w:r>
          </w:p>
        </w:tc>
        <w:tc>
          <w:tcPr>
            <w:tcW w:w="1304" w:type="dxa"/>
            <w:tcBorders>
              <w:left w:val="single" w:sz="4" w:space="0" w:color="auto"/>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43.7 </w:t>
            </w:r>
            <w:r w:rsidRPr="00E17E1F">
              <w:rPr>
                <w:rFonts w:cstheme="minorHAnsi"/>
                <w:color w:val="000000"/>
                <w:lang w:val="it-IT" w:eastAsia="it-IT"/>
              </w:rPr>
              <w:t>± 3.4</w:t>
            </w:r>
          </w:p>
        </w:tc>
        <w:tc>
          <w:tcPr>
            <w:tcW w:w="1304" w:type="dxa"/>
            <w:tcBorders>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46.6 </w:t>
            </w:r>
            <w:r w:rsidRPr="00E17E1F">
              <w:rPr>
                <w:rFonts w:cstheme="minorHAnsi"/>
                <w:color w:val="000000"/>
                <w:lang w:val="it-IT" w:eastAsia="it-IT"/>
              </w:rPr>
              <w:t>± 14.0</w:t>
            </w:r>
          </w:p>
        </w:tc>
        <w:tc>
          <w:tcPr>
            <w:tcW w:w="1304" w:type="dxa"/>
            <w:tcBorders>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8.6 </w:t>
            </w:r>
            <w:r w:rsidRPr="00E17E1F">
              <w:rPr>
                <w:rFonts w:cstheme="minorHAnsi"/>
                <w:color w:val="000000"/>
                <w:lang w:val="it-IT" w:eastAsia="it-IT"/>
              </w:rPr>
              <w:t>± 1.9</w:t>
            </w:r>
          </w:p>
        </w:tc>
      </w:tr>
      <w:tr w:rsidR="00387A07" w:rsidRPr="00E17E1F" w:rsidTr="00387A07">
        <w:trPr>
          <w:trHeight w:val="300"/>
          <w:jc w:val="center"/>
        </w:trPr>
        <w:tc>
          <w:tcPr>
            <w:tcW w:w="874" w:type="dxa"/>
            <w:tcBorders>
              <w:left w:val="nil"/>
            </w:tcBorders>
            <w:shd w:val="clear" w:color="auto" w:fill="D9D9D9" w:themeFill="background1" w:themeFillShade="D9"/>
            <w:noWrap/>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24</w:t>
            </w:r>
          </w:p>
        </w:tc>
        <w:tc>
          <w:tcPr>
            <w:tcW w:w="1304" w:type="dxa"/>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35.0 ±  4.3</w:t>
            </w:r>
          </w:p>
        </w:tc>
        <w:tc>
          <w:tcPr>
            <w:tcW w:w="1304" w:type="dxa"/>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54.8 ± 20.2</w:t>
            </w:r>
          </w:p>
        </w:tc>
        <w:tc>
          <w:tcPr>
            <w:tcW w:w="1304" w:type="dxa"/>
            <w:tcBorders>
              <w:right w:val="single" w:sz="4" w:space="0" w:color="auto"/>
            </w:tcBorders>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58.9 ± 10.5</w:t>
            </w:r>
          </w:p>
        </w:tc>
        <w:tc>
          <w:tcPr>
            <w:tcW w:w="1304" w:type="dxa"/>
            <w:tcBorders>
              <w:left w:val="single" w:sz="4" w:space="0" w:color="auto"/>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65.6 </w:t>
            </w:r>
            <w:r w:rsidRPr="00E17E1F">
              <w:rPr>
                <w:rFonts w:cstheme="minorHAnsi"/>
                <w:color w:val="000000"/>
                <w:lang w:val="it-IT" w:eastAsia="it-IT"/>
              </w:rPr>
              <w:t>± 8.1</w:t>
            </w:r>
          </w:p>
        </w:tc>
        <w:tc>
          <w:tcPr>
            <w:tcW w:w="1304" w:type="dxa"/>
            <w:tcBorders>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74.7 </w:t>
            </w:r>
            <w:r w:rsidRPr="00E17E1F">
              <w:rPr>
                <w:rFonts w:cstheme="minorHAnsi"/>
                <w:color w:val="000000"/>
                <w:lang w:val="it-IT" w:eastAsia="it-IT"/>
              </w:rPr>
              <w:t>± 24.2</w:t>
            </w:r>
          </w:p>
        </w:tc>
        <w:tc>
          <w:tcPr>
            <w:tcW w:w="1304" w:type="dxa"/>
            <w:tcBorders>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22.1 </w:t>
            </w:r>
            <w:r w:rsidRPr="00E17E1F">
              <w:rPr>
                <w:rFonts w:cstheme="minorHAnsi"/>
                <w:color w:val="000000"/>
                <w:lang w:val="it-IT" w:eastAsia="it-IT"/>
              </w:rPr>
              <w:t>± 3.9</w:t>
            </w:r>
          </w:p>
        </w:tc>
      </w:tr>
      <w:tr w:rsidR="00387A07" w:rsidRPr="00E17E1F" w:rsidTr="00387A07">
        <w:trPr>
          <w:trHeight w:val="300"/>
          <w:jc w:val="center"/>
        </w:trPr>
        <w:tc>
          <w:tcPr>
            <w:tcW w:w="874" w:type="dxa"/>
            <w:tcBorders>
              <w:left w:val="nil"/>
            </w:tcBorders>
            <w:shd w:val="clear" w:color="auto" w:fill="D9D9D9" w:themeFill="background1" w:themeFillShade="D9"/>
            <w:noWrap/>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48</w:t>
            </w:r>
          </w:p>
        </w:tc>
        <w:tc>
          <w:tcPr>
            <w:tcW w:w="1304" w:type="dxa"/>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47.3 ± 11.2</w:t>
            </w:r>
          </w:p>
        </w:tc>
        <w:tc>
          <w:tcPr>
            <w:tcW w:w="1304" w:type="dxa"/>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62.5 ± 21.3</w:t>
            </w:r>
          </w:p>
        </w:tc>
        <w:tc>
          <w:tcPr>
            <w:tcW w:w="1304" w:type="dxa"/>
            <w:tcBorders>
              <w:right w:val="single" w:sz="4" w:space="0" w:color="auto"/>
            </w:tcBorders>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75.5 ± 19.7</w:t>
            </w:r>
          </w:p>
        </w:tc>
        <w:tc>
          <w:tcPr>
            <w:tcW w:w="1304" w:type="dxa"/>
            <w:tcBorders>
              <w:left w:val="single" w:sz="4" w:space="0" w:color="auto"/>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88.7 </w:t>
            </w:r>
            <w:r w:rsidRPr="00E17E1F">
              <w:rPr>
                <w:rFonts w:cstheme="minorHAnsi"/>
                <w:color w:val="000000"/>
                <w:lang w:val="it-IT" w:eastAsia="it-IT"/>
              </w:rPr>
              <w:t>± 21.0</w:t>
            </w:r>
          </w:p>
        </w:tc>
        <w:tc>
          <w:tcPr>
            <w:tcW w:w="1304" w:type="dxa"/>
            <w:tcBorders>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85.2 </w:t>
            </w:r>
            <w:r w:rsidRPr="00E17E1F">
              <w:rPr>
                <w:rFonts w:cstheme="minorHAnsi"/>
                <w:color w:val="000000"/>
                <w:lang w:val="it-IT" w:eastAsia="it-IT"/>
              </w:rPr>
              <w:t>± 30.2</w:t>
            </w:r>
          </w:p>
        </w:tc>
        <w:tc>
          <w:tcPr>
            <w:tcW w:w="1304" w:type="dxa"/>
            <w:tcBorders>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28.3 </w:t>
            </w:r>
            <w:r w:rsidRPr="00E17E1F">
              <w:rPr>
                <w:rFonts w:cstheme="minorHAnsi"/>
                <w:color w:val="000000"/>
                <w:lang w:val="it-IT" w:eastAsia="it-IT"/>
              </w:rPr>
              <w:t>± 7.4</w:t>
            </w:r>
          </w:p>
        </w:tc>
      </w:tr>
      <w:tr w:rsidR="00387A07" w:rsidRPr="00E17E1F" w:rsidTr="00387A07">
        <w:trPr>
          <w:trHeight w:val="300"/>
          <w:jc w:val="center"/>
        </w:trPr>
        <w:tc>
          <w:tcPr>
            <w:tcW w:w="874" w:type="dxa"/>
            <w:tcBorders>
              <w:left w:val="nil"/>
            </w:tcBorders>
            <w:shd w:val="clear" w:color="auto" w:fill="D9D9D9" w:themeFill="background1" w:themeFillShade="D9"/>
            <w:noWrap/>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96</w:t>
            </w:r>
          </w:p>
        </w:tc>
        <w:tc>
          <w:tcPr>
            <w:tcW w:w="1304" w:type="dxa"/>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50.0 ± 12.6</w:t>
            </w:r>
          </w:p>
        </w:tc>
        <w:tc>
          <w:tcPr>
            <w:tcW w:w="1304" w:type="dxa"/>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65.8 ± 22.7</w:t>
            </w:r>
          </w:p>
        </w:tc>
        <w:tc>
          <w:tcPr>
            <w:tcW w:w="1304" w:type="dxa"/>
            <w:tcBorders>
              <w:right w:val="single" w:sz="4" w:space="0" w:color="auto"/>
            </w:tcBorders>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80.0 ± 21.8</w:t>
            </w:r>
          </w:p>
        </w:tc>
        <w:tc>
          <w:tcPr>
            <w:tcW w:w="1304" w:type="dxa"/>
            <w:tcBorders>
              <w:left w:val="single" w:sz="4" w:space="0" w:color="auto"/>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93.7 </w:t>
            </w:r>
            <w:r w:rsidRPr="00E17E1F">
              <w:rPr>
                <w:rFonts w:cstheme="minorHAnsi"/>
                <w:color w:val="000000"/>
                <w:lang w:val="it-IT" w:eastAsia="it-IT"/>
              </w:rPr>
              <w:t>± 23.6</w:t>
            </w:r>
          </w:p>
        </w:tc>
        <w:tc>
          <w:tcPr>
            <w:tcW w:w="1304" w:type="dxa"/>
            <w:tcBorders>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89.8 </w:t>
            </w:r>
            <w:r w:rsidRPr="00E17E1F">
              <w:rPr>
                <w:rFonts w:cstheme="minorHAnsi"/>
                <w:color w:val="000000"/>
                <w:lang w:val="it-IT" w:eastAsia="it-IT"/>
              </w:rPr>
              <w:t>± 32.3</w:t>
            </w:r>
          </w:p>
        </w:tc>
        <w:tc>
          <w:tcPr>
            <w:tcW w:w="1304" w:type="dxa"/>
            <w:tcBorders>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30.0 </w:t>
            </w:r>
            <w:r w:rsidRPr="00E17E1F">
              <w:rPr>
                <w:rFonts w:cstheme="minorHAnsi"/>
                <w:color w:val="000000"/>
                <w:lang w:val="it-IT" w:eastAsia="it-IT"/>
              </w:rPr>
              <w:t>± 8.2</w:t>
            </w:r>
          </w:p>
        </w:tc>
      </w:tr>
      <w:tr w:rsidR="00387A07" w:rsidRPr="00E17E1F" w:rsidTr="00387A07">
        <w:trPr>
          <w:trHeight w:val="300"/>
          <w:jc w:val="center"/>
        </w:trPr>
        <w:tc>
          <w:tcPr>
            <w:tcW w:w="874" w:type="dxa"/>
            <w:tcBorders>
              <w:left w:val="nil"/>
              <w:bottom w:val="single" w:sz="4" w:space="0" w:color="000000"/>
            </w:tcBorders>
            <w:shd w:val="clear" w:color="auto" w:fill="D9D9D9" w:themeFill="background1" w:themeFillShade="D9"/>
            <w:noWrap/>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120</w:t>
            </w:r>
          </w:p>
        </w:tc>
        <w:tc>
          <w:tcPr>
            <w:tcW w:w="1304" w:type="dxa"/>
            <w:tcBorders>
              <w:bottom w:val="single" w:sz="4" w:space="0" w:color="000000"/>
            </w:tcBorders>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50.0 ± 12.6</w:t>
            </w:r>
          </w:p>
        </w:tc>
        <w:tc>
          <w:tcPr>
            <w:tcW w:w="1304" w:type="dxa"/>
            <w:tcBorders>
              <w:bottom w:val="single" w:sz="4" w:space="0" w:color="000000"/>
            </w:tcBorders>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65.8 ± 22.7</w:t>
            </w:r>
          </w:p>
        </w:tc>
        <w:tc>
          <w:tcPr>
            <w:tcW w:w="1304" w:type="dxa"/>
            <w:tcBorders>
              <w:bottom w:val="single" w:sz="4" w:space="0" w:color="000000"/>
              <w:right w:val="single" w:sz="4" w:space="0" w:color="auto"/>
            </w:tcBorders>
            <w:shd w:val="clear" w:color="auto" w:fill="D9D9D9" w:themeFill="background1" w:themeFillShade="D9"/>
            <w:noWrap/>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90.0 ± 22.3</w:t>
            </w:r>
          </w:p>
        </w:tc>
        <w:tc>
          <w:tcPr>
            <w:tcW w:w="1304" w:type="dxa"/>
            <w:tcBorders>
              <w:left w:val="single" w:sz="4" w:space="0" w:color="auto"/>
              <w:bottom w:val="single" w:sz="4" w:space="0" w:color="000000"/>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93.7 </w:t>
            </w:r>
            <w:r w:rsidRPr="00E17E1F">
              <w:rPr>
                <w:rFonts w:cstheme="minorHAnsi"/>
                <w:color w:val="000000"/>
                <w:lang w:val="it-IT" w:eastAsia="it-IT"/>
              </w:rPr>
              <w:t>± 23.6</w:t>
            </w:r>
          </w:p>
        </w:tc>
        <w:tc>
          <w:tcPr>
            <w:tcW w:w="1304" w:type="dxa"/>
            <w:tcBorders>
              <w:bottom w:val="single" w:sz="4" w:space="0" w:color="000000"/>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90.0 </w:t>
            </w:r>
            <w:r w:rsidRPr="00E17E1F">
              <w:rPr>
                <w:rFonts w:cstheme="minorHAnsi"/>
                <w:color w:val="000000"/>
                <w:lang w:val="it-IT" w:eastAsia="it-IT"/>
              </w:rPr>
              <w:t>± 32.3</w:t>
            </w:r>
          </w:p>
        </w:tc>
        <w:tc>
          <w:tcPr>
            <w:tcW w:w="1304" w:type="dxa"/>
            <w:tcBorders>
              <w:bottom w:val="single" w:sz="4" w:space="0" w:color="000000"/>
              <w:right w:val="nil"/>
            </w:tcBorders>
            <w:shd w:val="clear" w:color="auto" w:fill="D9D9D9" w:themeFill="background1" w:themeFillShade="D9"/>
          </w:tcPr>
          <w:p w:rsidR="00387A07" w:rsidRPr="00E17E1F" w:rsidRDefault="00387A07" w:rsidP="00387A07">
            <w:pPr>
              <w:spacing w:after="0" w:line="240" w:lineRule="auto"/>
              <w:jc w:val="center"/>
              <w:rPr>
                <w:rFonts w:cs="Calibri"/>
                <w:color w:val="000000"/>
                <w:lang w:val="it-IT" w:eastAsia="it-IT"/>
              </w:rPr>
            </w:pPr>
            <w:r w:rsidRPr="00E17E1F">
              <w:rPr>
                <w:rFonts w:cs="Calibri"/>
                <w:color w:val="000000"/>
                <w:lang w:val="it-IT" w:eastAsia="it-IT"/>
              </w:rPr>
              <w:t xml:space="preserve">33.7 </w:t>
            </w:r>
            <w:r w:rsidRPr="00E17E1F">
              <w:rPr>
                <w:rFonts w:cstheme="minorHAnsi"/>
                <w:color w:val="000000"/>
                <w:lang w:val="it-IT" w:eastAsia="it-IT"/>
              </w:rPr>
              <w:t>± 8.3</w:t>
            </w:r>
          </w:p>
        </w:tc>
      </w:tr>
    </w:tbl>
    <w:p w:rsidR="00387A07" w:rsidRPr="00E17E1F" w:rsidRDefault="00387A07" w:rsidP="00387A07">
      <w:pPr>
        <w:pStyle w:val="Didascalia"/>
        <w:spacing w:before="120"/>
      </w:pPr>
      <w:r w:rsidRPr="00E17E1F">
        <w:t xml:space="preserve">Table 2. </w:t>
      </w:r>
      <w:fldSimple w:instr=" SEQ Table_2. \* ARABIC ">
        <w:r w:rsidRPr="00E17E1F">
          <w:rPr>
            <w:noProof/>
          </w:rPr>
          <w:t>7</w:t>
        </w:r>
      </w:fldSimple>
      <w:r w:rsidRPr="00E17E1F">
        <w:t xml:space="preserve">  Amount of drug released (</w:t>
      </w:r>
      <w:r w:rsidRPr="00E17E1F">
        <w:rPr>
          <w:rFonts w:cstheme="minorHAnsi"/>
          <w:lang w:val="en-US" w:eastAsia="it-IT"/>
        </w:rPr>
        <w:t>µ</w:t>
      </w:r>
      <w:r w:rsidRPr="00E17E1F">
        <w:rPr>
          <w:rFonts w:cs="Calibri"/>
          <w:lang w:val="en-US" w:eastAsia="it-IT"/>
        </w:rPr>
        <w:t>g and %</w:t>
      </w:r>
      <w:r w:rsidRPr="00E17E1F">
        <w:t xml:space="preserve">) expressed as mean </w:t>
      </w:r>
      <w:r w:rsidRPr="00E17E1F">
        <w:rPr>
          <w:rFonts w:cs="Calibri"/>
        </w:rPr>
        <w:t>±</w:t>
      </w:r>
      <w:r w:rsidRPr="00E17E1F">
        <w:t xml:space="preserve"> SD (n=3)</w:t>
      </w:r>
    </w:p>
    <w:p w:rsidR="00387A07" w:rsidRPr="00E17E1F" w:rsidRDefault="00387A07" w:rsidP="00387A07">
      <w:pPr>
        <w:spacing w:after="0" w:line="360" w:lineRule="auto"/>
        <w:jc w:val="both"/>
        <w:rPr>
          <w:rFonts w:ascii="Arial" w:hAnsi="Arial" w:cs="Arial"/>
          <w:bCs/>
          <w:sz w:val="24"/>
          <w:szCs w:val="24"/>
        </w:rPr>
      </w:pPr>
      <w:r w:rsidRPr="00E17E1F">
        <w:rPr>
          <w:rFonts w:ascii="Arial" w:hAnsi="Arial" w:cs="Arial"/>
          <w:sz w:val="24"/>
          <w:szCs w:val="24"/>
        </w:rPr>
        <w:t xml:space="preserve">Particles prepared with the two commercial polyesters have a similar release pattern with an initial burst effect in the first hour, followed by a liner tract for the first two days, when all the encapsulated drug is released.  </w:t>
      </w:r>
    </w:p>
    <w:p w:rsidR="00387A07" w:rsidRPr="00E17E1F" w:rsidRDefault="00387A07" w:rsidP="00387A07">
      <w:pPr>
        <w:spacing w:after="0" w:line="360" w:lineRule="auto"/>
        <w:jc w:val="both"/>
        <w:rPr>
          <w:rFonts w:ascii="Arial" w:hAnsi="Arial" w:cs="Arial"/>
          <w:bCs/>
          <w:sz w:val="24"/>
          <w:szCs w:val="24"/>
        </w:rPr>
      </w:pPr>
      <w:r w:rsidRPr="00E17E1F">
        <w:rPr>
          <w:rFonts w:ascii="Arial" w:hAnsi="Arial" w:cs="Arial"/>
          <w:bCs/>
          <w:sz w:val="24"/>
          <w:szCs w:val="24"/>
        </w:rPr>
        <w:t>Moreover, C-BC2000 nanoparticles exhibit the lowest burst effect during the first 6 hours of incubation.</w:t>
      </w:r>
    </w:p>
    <w:p w:rsidR="00387A07" w:rsidRPr="00E17E1F" w:rsidRDefault="00387A07" w:rsidP="00387A07">
      <w:pPr>
        <w:spacing w:after="0" w:line="360" w:lineRule="auto"/>
        <w:jc w:val="both"/>
        <w:rPr>
          <w:rFonts w:ascii="Arial" w:hAnsi="Arial" w:cs="Arial"/>
          <w:bCs/>
          <w:sz w:val="24"/>
          <w:szCs w:val="24"/>
        </w:rPr>
      </w:pPr>
      <w:r w:rsidRPr="00E17E1F">
        <w:rPr>
          <w:rFonts w:ascii="Arial" w:hAnsi="Arial" w:cs="Arial"/>
          <w:bCs/>
          <w:sz w:val="24"/>
          <w:szCs w:val="24"/>
        </w:rPr>
        <w:t xml:space="preserve">Interestingly after this time point the amount of drug released from polyesterurethane nanoparticles is always higher compared to the other polymers. </w:t>
      </w:r>
    </w:p>
    <w:p w:rsidR="00387A07" w:rsidRPr="00E17E1F" w:rsidRDefault="00387A07" w:rsidP="00387A07">
      <w:pPr>
        <w:spacing w:after="0" w:line="360" w:lineRule="auto"/>
        <w:jc w:val="both"/>
        <w:rPr>
          <w:rFonts w:ascii="Arial" w:hAnsi="Arial" w:cs="Arial"/>
          <w:bCs/>
          <w:sz w:val="24"/>
          <w:szCs w:val="24"/>
        </w:rPr>
      </w:pPr>
      <w:r w:rsidRPr="00E17E1F">
        <w:rPr>
          <w:rFonts w:ascii="Arial" w:hAnsi="Arial" w:cs="Arial"/>
          <w:bCs/>
          <w:sz w:val="24"/>
          <w:szCs w:val="24"/>
        </w:rPr>
        <w:t xml:space="preserve">The release pattern is similar for all particles within the first 4 days. After this time point, no further release can be observed from both PLA and PCL nanoparticles, while C-BC2000 nanoparticles are able to sustain a more prolonged release of Paclitaxel. </w:t>
      </w:r>
    </w:p>
    <w:p w:rsidR="00387A07" w:rsidRPr="00550A30" w:rsidRDefault="00387A07" w:rsidP="00550A30">
      <w:pPr>
        <w:spacing w:after="0" w:line="360" w:lineRule="auto"/>
        <w:jc w:val="both"/>
        <w:rPr>
          <w:rFonts w:ascii="Arial" w:hAnsi="Arial" w:cs="Arial"/>
          <w:sz w:val="24"/>
          <w:szCs w:val="24"/>
        </w:rPr>
      </w:pPr>
      <w:r w:rsidRPr="00E17E1F">
        <w:rPr>
          <w:rFonts w:ascii="Arial" w:hAnsi="Arial" w:cs="Arial"/>
          <w:sz w:val="24"/>
          <w:szCs w:val="24"/>
        </w:rPr>
        <w:t>C-BC2000 nanoparticles, show the highest drug loading capacity and the lowest burst effect, indicating that nanoparticles with optimal release properties, such as high drug loading capacity, low initial burst and prolonged release over extended periods of time can be obtained with this new polymer.</w:t>
      </w:r>
    </w:p>
    <w:p w:rsidR="00387A07" w:rsidRPr="00E17E1F" w:rsidRDefault="00387A07" w:rsidP="00387A07">
      <w:pPr>
        <w:spacing w:before="240" w:after="240" w:line="360" w:lineRule="auto"/>
        <w:jc w:val="both"/>
        <w:rPr>
          <w:rFonts w:ascii="Arial" w:hAnsi="Arial" w:cs="Arial"/>
          <w:b/>
          <w:bCs/>
          <w:sz w:val="24"/>
          <w:szCs w:val="24"/>
        </w:rPr>
      </w:pPr>
      <w:r w:rsidRPr="00E17E1F">
        <w:rPr>
          <w:rFonts w:ascii="Arial" w:hAnsi="Arial" w:cs="Arial"/>
          <w:b/>
          <w:bCs/>
          <w:sz w:val="24"/>
          <w:szCs w:val="24"/>
        </w:rPr>
        <w:lastRenderedPageBreak/>
        <w:t xml:space="preserve">2.3.4 Hydrolytic degradation studies  </w:t>
      </w:r>
    </w:p>
    <w:p w:rsidR="00387A07" w:rsidRPr="00E17E1F" w:rsidRDefault="00387A07" w:rsidP="00387A07">
      <w:pPr>
        <w:spacing w:after="0" w:line="360" w:lineRule="auto"/>
        <w:jc w:val="both"/>
        <w:rPr>
          <w:rFonts w:ascii="Arial" w:hAnsi="Arial" w:cs="Arial"/>
          <w:sz w:val="24"/>
          <w:szCs w:val="24"/>
          <w:lang w:val="en-US"/>
        </w:rPr>
      </w:pPr>
      <w:r w:rsidRPr="00E17E1F">
        <w:rPr>
          <w:rFonts w:ascii="Arial" w:hAnsi="Arial" w:cs="Arial"/>
          <w:bCs/>
          <w:sz w:val="24"/>
          <w:szCs w:val="24"/>
        </w:rPr>
        <w:t xml:space="preserve">Degradation of polyesters occurs by hydrolysis of the ester bonds, preferentially </w:t>
      </w:r>
      <w:r w:rsidRPr="00E17E1F">
        <w:rPr>
          <w:rFonts w:ascii="Arial" w:hAnsi="Arial" w:cs="Arial"/>
          <w:sz w:val="24"/>
          <w:szCs w:val="24"/>
          <w:lang w:val="en-US"/>
        </w:rPr>
        <w:t>in the polymers amorphous regions, where lose structural packaging makes these groups more exposed to attack from water molecules.</w:t>
      </w:r>
    </w:p>
    <w:p w:rsidR="00387A07" w:rsidRPr="00E17E1F" w:rsidRDefault="00387A07" w:rsidP="00387A07">
      <w:pPr>
        <w:spacing w:after="0" w:line="360" w:lineRule="auto"/>
        <w:jc w:val="both"/>
        <w:rPr>
          <w:lang w:val="en-US"/>
        </w:rPr>
      </w:pPr>
      <w:r w:rsidRPr="00E17E1F">
        <w:rPr>
          <w:rFonts w:ascii="Arial" w:hAnsi="Arial" w:cs="Arial"/>
          <w:sz w:val="24"/>
          <w:szCs w:val="24"/>
          <w:lang w:val="en-US"/>
        </w:rPr>
        <w:t xml:space="preserve">The cleavage of the ester bonds results in the production of carboxylic acids which are known to auto-catalyze further hydrolysis [37].   </w:t>
      </w:r>
    </w:p>
    <w:p w:rsidR="00550A30" w:rsidRPr="00E17E1F" w:rsidRDefault="00387A07" w:rsidP="00387A07">
      <w:pPr>
        <w:spacing w:after="120" w:line="360" w:lineRule="auto"/>
        <w:jc w:val="both"/>
        <w:rPr>
          <w:rFonts w:ascii="Arial" w:hAnsi="Arial" w:cs="Arial"/>
          <w:bCs/>
          <w:sz w:val="24"/>
          <w:szCs w:val="24"/>
        </w:rPr>
      </w:pPr>
      <w:r w:rsidRPr="00E17E1F">
        <w:rPr>
          <w:rFonts w:ascii="Arial" w:hAnsi="Arial" w:cs="Arial"/>
          <w:bCs/>
          <w:sz w:val="24"/>
          <w:szCs w:val="24"/>
        </w:rPr>
        <w:t>Changes in the average number molecular weight of the polymers in the form of nanoparticles and films are summarized in table 2.8 and in figure 2.9.</w:t>
      </w:r>
    </w:p>
    <w:tbl>
      <w:tblPr>
        <w:tblW w:w="8202" w:type="dxa"/>
        <w:jc w:val="center"/>
        <w:tblInd w:w="55" w:type="dxa"/>
        <w:shd w:val="clear" w:color="auto" w:fill="D9D9D9" w:themeFill="background1" w:themeFillShade="D9"/>
        <w:tblCellMar>
          <w:left w:w="70" w:type="dxa"/>
          <w:right w:w="70" w:type="dxa"/>
        </w:tblCellMar>
        <w:tblLook w:val="00A0"/>
      </w:tblPr>
      <w:tblGrid>
        <w:gridCol w:w="1274"/>
        <w:gridCol w:w="1162"/>
        <w:gridCol w:w="1162"/>
        <w:gridCol w:w="1162"/>
        <w:gridCol w:w="1162"/>
        <w:gridCol w:w="1162"/>
        <w:gridCol w:w="1162"/>
      </w:tblGrid>
      <w:tr w:rsidR="00387A07" w:rsidRPr="00E17E1F" w:rsidTr="00387A07">
        <w:trPr>
          <w:trHeight w:val="340"/>
          <w:jc w:val="center"/>
        </w:trPr>
        <w:tc>
          <w:tcPr>
            <w:tcW w:w="8202" w:type="dxa"/>
            <w:gridSpan w:val="7"/>
            <w:tcBorders>
              <w:top w:val="single" w:sz="4" w:space="0" w:color="auto"/>
            </w:tcBorders>
            <w:shd w:val="clear" w:color="auto" w:fill="D9D9D9" w:themeFill="background1" w:themeFillShade="D9"/>
            <w:vAlign w:val="center"/>
          </w:tcPr>
          <w:p w:rsidR="00387A07" w:rsidRPr="00E17E1F" w:rsidRDefault="00387A07" w:rsidP="00387A07">
            <w:pPr>
              <w:spacing w:after="0"/>
              <w:jc w:val="center"/>
              <w:rPr>
                <w:rFonts w:cs="Calibri"/>
                <w:b/>
                <w:i/>
                <w:color w:val="000000"/>
                <w:lang w:val="en-US" w:eastAsia="it-IT"/>
              </w:rPr>
            </w:pPr>
            <w:r w:rsidRPr="00E17E1F">
              <w:rPr>
                <w:rFonts w:cs="Calibri"/>
                <w:b/>
                <w:i/>
                <w:color w:val="000000"/>
                <w:lang w:val="en-US" w:eastAsia="it-IT"/>
              </w:rPr>
              <w:t>Hydrolytic degradation (-ΔMn %)</w:t>
            </w:r>
          </w:p>
        </w:tc>
      </w:tr>
      <w:tr w:rsidR="00387A07" w:rsidRPr="00E17E1F" w:rsidTr="00387A07">
        <w:trPr>
          <w:trHeight w:val="283"/>
          <w:jc w:val="center"/>
        </w:trPr>
        <w:tc>
          <w:tcPr>
            <w:tcW w:w="1230" w:type="dxa"/>
            <w:vMerge w:val="restart"/>
            <w:tcBorders>
              <w:top w:val="single" w:sz="4" w:space="0" w:color="auto"/>
            </w:tcBorders>
            <w:shd w:val="clear" w:color="auto" w:fill="D9D9D9" w:themeFill="background1" w:themeFillShade="D9"/>
            <w:vAlign w:val="center"/>
          </w:tcPr>
          <w:p w:rsidR="00387A07" w:rsidRPr="00E17E1F" w:rsidRDefault="00387A07" w:rsidP="00387A07">
            <w:pPr>
              <w:spacing w:after="0" w:line="240" w:lineRule="auto"/>
              <w:jc w:val="center"/>
              <w:rPr>
                <w:rFonts w:cs="Calibri"/>
                <w:b/>
                <w:color w:val="000000"/>
                <w:lang w:eastAsia="it-IT"/>
              </w:rPr>
            </w:pPr>
            <w:r w:rsidRPr="00E17E1F">
              <w:rPr>
                <w:rFonts w:cs="Calibri"/>
                <w:b/>
                <w:color w:val="000000"/>
                <w:lang w:eastAsia="it-IT"/>
              </w:rPr>
              <w:t>Degradation time (weeks)</w:t>
            </w:r>
          </w:p>
        </w:tc>
        <w:tc>
          <w:tcPr>
            <w:tcW w:w="3486" w:type="dxa"/>
            <w:gridSpan w:val="3"/>
            <w:tcBorders>
              <w:top w:val="single" w:sz="4" w:space="0" w:color="auto"/>
              <w:left w:val="nil"/>
              <w:bottom w:val="single" w:sz="4" w:space="0" w:color="auto"/>
              <w:right w:val="single" w:sz="4" w:space="0" w:color="auto"/>
            </w:tcBorders>
            <w:shd w:val="clear" w:color="auto" w:fill="D9D9D9" w:themeFill="background1" w:themeFillShade="D9"/>
            <w:noWrap/>
            <w:vAlign w:val="bottom"/>
          </w:tcPr>
          <w:p w:rsidR="00387A07" w:rsidRPr="00E17E1F" w:rsidRDefault="00387A07" w:rsidP="00387A07">
            <w:pPr>
              <w:spacing w:after="0"/>
              <w:jc w:val="center"/>
              <w:rPr>
                <w:rFonts w:cs="Calibri"/>
                <w:b/>
                <w:color w:val="000000"/>
                <w:lang w:val="it-IT" w:eastAsia="it-IT"/>
              </w:rPr>
            </w:pPr>
            <w:r w:rsidRPr="00E17E1F">
              <w:rPr>
                <w:rFonts w:cs="Calibri"/>
                <w:b/>
                <w:color w:val="000000"/>
                <w:lang w:val="it-IT" w:eastAsia="it-IT"/>
              </w:rPr>
              <w:t>FILM</w:t>
            </w:r>
          </w:p>
        </w:tc>
        <w:tc>
          <w:tcPr>
            <w:tcW w:w="3486" w:type="dxa"/>
            <w:gridSpan w:val="3"/>
            <w:tcBorders>
              <w:top w:val="single" w:sz="4" w:space="0" w:color="auto"/>
              <w:left w:val="single" w:sz="4" w:space="0" w:color="auto"/>
              <w:bottom w:val="single" w:sz="4" w:space="0" w:color="auto"/>
            </w:tcBorders>
            <w:shd w:val="clear" w:color="auto" w:fill="D9D9D9" w:themeFill="background1" w:themeFillShade="D9"/>
            <w:noWrap/>
            <w:vAlign w:val="bottom"/>
          </w:tcPr>
          <w:p w:rsidR="00387A07" w:rsidRPr="00E17E1F" w:rsidRDefault="00387A07" w:rsidP="00387A07">
            <w:pPr>
              <w:spacing w:after="0"/>
              <w:jc w:val="center"/>
              <w:rPr>
                <w:rFonts w:cs="Calibri"/>
                <w:b/>
                <w:color w:val="000000"/>
                <w:lang w:val="it-IT" w:eastAsia="it-IT"/>
              </w:rPr>
            </w:pPr>
            <w:r w:rsidRPr="00E17E1F">
              <w:rPr>
                <w:rFonts w:cs="Calibri"/>
                <w:b/>
                <w:color w:val="000000"/>
                <w:lang w:val="it-IT" w:eastAsia="it-IT"/>
              </w:rPr>
              <w:t>NANOPARTICLES</w:t>
            </w:r>
          </w:p>
        </w:tc>
      </w:tr>
      <w:tr w:rsidR="00387A07" w:rsidRPr="00E17E1F" w:rsidTr="00387A07">
        <w:trPr>
          <w:trHeight w:val="283"/>
          <w:jc w:val="center"/>
        </w:trPr>
        <w:tc>
          <w:tcPr>
            <w:tcW w:w="1230" w:type="dxa"/>
            <w:vMerge/>
            <w:tcBorders>
              <w:bottom w:val="single" w:sz="4" w:space="0" w:color="auto"/>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p>
        </w:tc>
        <w:tc>
          <w:tcPr>
            <w:tcW w:w="1162" w:type="dxa"/>
            <w:tcBorders>
              <w:top w:val="single" w:sz="4" w:space="0" w:color="auto"/>
              <w:left w:val="nil"/>
              <w:bottom w:val="single" w:sz="4" w:space="0" w:color="auto"/>
            </w:tcBorders>
            <w:shd w:val="clear" w:color="auto" w:fill="D9D9D9" w:themeFill="background1" w:themeFillShade="D9"/>
            <w:noWrap/>
            <w:vAlign w:val="center"/>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PCL</w:t>
            </w:r>
          </w:p>
        </w:tc>
        <w:tc>
          <w:tcPr>
            <w:tcW w:w="1162" w:type="dxa"/>
            <w:tcBorders>
              <w:top w:val="single" w:sz="4" w:space="0" w:color="auto"/>
              <w:bottom w:val="single" w:sz="4" w:space="0" w:color="auto"/>
            </w:tcBorders>
            <w:shd w:val="clear" w:color="auto" w:fill="D9D9D9" w:themeFill="background1" w:themeFillShade="D9"/>
            <w:noWrap/>
            <w:vAlign w:val="center"/>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PLA</w:t>
            </w:r>
          </w:p>
        </w:tc>
        <w:tc>
          <w:tcPr>
            <w:tcW w:w="1162" w:type="dxa"/>
            <w:tcBorders>
              <w:top w:val="single" w:sz="4" w:space="0" w:color="auto"/>
              <w:bottom w:val="single" w:sz="4" w:space="0" w:color="auto"/>
              <w:right w:val="single" w:sz="4" w:space="0" w:color="auto"/>
            </w:tcBorders>
            <w:shd w:val="clear" w:color="auto" w:fill="D9D9D9" w:themeFill="background1" w:themeFillShade="D9"/>
            <w:noWrap/>
            <w:vAlign w:val="center"/>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C-BC2000</w:t>
            </w:r>
          </w:p>
        </w:tc>
        <w:tc>
          <w:tcPr>
            <w:tcW w:w="1162" w:type="dxa"/>
            <w:tcBorders>
              <w:top w:val="single" w:sz="4" w:space="0" w:color="auto"/>
              <w:left w:val="single" w:sz="4" w:space="0" w:color="auto"/>
              <w:bottom w:val="single" w:sz="4" w:space="0" w:color="auto"/>
            </w:tcBorders>
            <w:shd w:val="clear" w:color="auto" w:fill="D9D9D9" w:themeFill="background1" w:themeFillShade="D9"/>
            <w:noWrap/>
            <w:vAlign w:val="center"/>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PCL</w:t>
            </w:r>
          </w:p>
        </w:tc>
        <w:tc>
          <w:tcPr>
            <w:tcW w:w="1162" w:type="dxa"/>
            <w:tcBorders>
              <w:top w:val="single" w:sz="4" w:space="0" w:color="auto"/>
              <w:bottom w:val="single" w:sz="4" w:space="0" w:color="auto"/>
            </w:tcBorders>
            <w:shd w:val="clear" w:color="auto" w:fill="D9D9D9" w:themeFill="background1" w:themeFillShade="D9"/>
            <w:noWrap/>
            <w:vAlign w:val="center"/>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PLA</w:t>
            </w:r>
          </w:p>
        </w:tc>
        <w:tc>
          <w:tcPr>
            <w:tcW w:w="1162" w:type="dxa"/>
            <w:tcBorders>
              <w:top w:val="single" w:sz="4" w:space="0" w:color="auto"/>
              <w:bottom w:val="single" w:sz="4" w:space="0" w:color="auto"/>
            </w:tcBorders>
            <w:shd w:val="clear" w:color="auto" w:fill="D9D9D9" w:themeFill="background1" w:themeFillShade="D9"/>
            <w:noWrap/>
            <w:vAlign w:val="center"/>
          </w:tcPr>
          <w:p w:rsidR="00387A07" w:rsidRPr="00E17E1F" w:rsidRDefault="00387A07" w:rsidP="00387A07">
            <w:pPr>
              <w:spacing w:after="0" w:line="240" w:lineRule="auto"/>
              <w:jc w:val="center"/>
              <w:rPr>
                <w:rFonts w:cs="Calibri"/>
                <w:b/>
                <w:color w:val="000000"/>
                <w:lang w:val="it-IT" w:eastAsia="it-IT"/>
              </w:rPr>
            </w:pPr>
            <w:r w:rsidRPr="00E17E1F">
              <w:rPr>
                <w:rFonts w:cs="Calibri"/>
                <w:b/>
                <w:color w:val="000000"/>
                <w:lang w:val="it-IT" w:eastAsia="it-IT"/>
              </w:rPr>
              <w:t>C-BC2000</w:t>
            </w:r>
          </w:p>
        </w:tc>
      </w:tr>
      <w:tr w:rsidR="00387A07" w:rsidRPr="00E17E1F" w:rsidTr="00387A07">
        <w:trPr>
          <w:trHeight w:val="315"/>
          <w:jc w:val="center"/>
        </w:trPr>
        <w:tc>
          <w:tcPr>
            <w:tcW w:w="1230" w:type="dxa"/>
            <w:tcBorders>
              <w:top w:val="single" w:sz="4" w:space="0" w:color="auto"/>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1</w:t>
            </w:r>
          </w:p>
        </w:tc>
        <w:tc>
          <w:tcPr>
            <w:tcW w:w="1162" w:type="dxa"/>
            <w:tcBorders>
              <w:top w:val="single" w:sz="4" w:space="0" w:color="auto"/>
              <w:left w:val="nil"/>
              <w:right w:val="nil"/>
            </w:tcBorders>
            <w:shd w:val="clear" w:color="auto" w:fill="D9D9D9" w:themeFill="background1" w:themeFillShade="D9"/>
            <w:noWrap/>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-10.8 ± 0.2</w:t>
            </w:r>
          </w:p>
        </w:tc>
        <w:tc>
          <w:tcPr>
            <w:tcW w:w="1162" w:type="dxa"/>
            <w:tcBorders>
              <w:top w:val="single" w:sz="4" w:space="0" w:color="auto"/>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-27.4 ± 0.3</w:t>
            </w:r>
          </w:p>
        </w:tc>
        <w:tc>
          <w:tcPr>
            <w:tcW w:w="1162" w:type="dxa"/>
            <w:tcBorders>
              <w:top w:val="single" w:sz="4" w:space="0" w:color="auto"/>
              <w:left w:val="nil"/>
              <w:right w:val="single" w:sz="4" w:space="0" w:color="auto"/>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+2.7 ± 0.6</w:t>
            </w:r>
          </w:p>
        </w:tc>
        <w:tc>
          <w:tcPr>
            <w:tcW w:w="1162" w:type="dxa"/>
            <w:tcBorders>
              <w:top w:val="single" w:sz="4" w:space="0" w:color="auto"/>
              <w:left w:val="single" w:sz="4" w:space="0" w:color="auto"/>
              <w:right w:val="nil"/>
            </w:tcBorders>
            <w:shd w:val="clear" w:color="auto" w:fill="D9D9D9" w:themeFill="background1" w:themeFillShade="D9"/>
            <w:noWrap/>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-15.1 ± 0.2</w:t>
            </w:r>
          </w:p>
        </w:tc>
        <w:tc>
          <w:tcPr>
            <w:tcW w:w="1162" w:type="dxa"/>
            <w:tcBorders>
              <w:top w:val="single" w:sz="4" w:space="0" w:color="auto"/>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eastAsia="it-IT"/>
              </w:rPr>
              <w:t xml:space="preserve">-12.5 </w:t>
            </w:r>
            <w:r w:rsidRPr="00E17E1F">
              <w:rPr>
                <w:rFonts w:cs="Calibri"/>
                <w:color w:val="000000"/>
                <w:lang w:val="it-IT" w:eastAsia="it-IT"/>
              </w:rPr>
              <w:t>± 0.1</w:t>
            </w:r>
          </w:p>
        </w:tc>
        <w:tc>
          <w:tcPr>
            <w:tcW w:w="1162" w:type="dxa"/>
            <w:tcBorders>
              <w:top w:val="single" w:sz="4" w:space="0" w:color="auto"/>
              <w:left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-17.5 ± 0.5</w:t>
            </w:r>
          </w:p>
        </w:tc>
      </w:tr>
      <w:tr w:rsidR="00387A07" w:rsidRPr="00E17E1F" w:rsidTr="00387A07">
        <w:trPr>
          <w:trHeight w:val="315"/>
          <w:jc w:val="center"/>
        </w:trPr>
        <w:tc>
          <w:tcPr>
            <w:tcW w:w="1230" w:type="dxa"/>
            <w:tcBorders>
              <w:top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2</w:t>
            </w:r>
          </w:p>
        </w:tc>
        <w:tc>
          <w:tcPr>
            <w:tcW w:w="1162" w:type="dxa"/>
            <w:tcBorders>
              <w:top w:val="nil"/>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-11.5 ± 0.2</w:t>
            </w:r>
          </w:p>
        </w:tc>
        <w:tc>
          <w:tcPr>
            <w:tcW w:w="1162" w:type="dxa"/>
            <w:tcBorders>
              <w:top w:val="nil"/>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-31.2 ± 1.3</w:t>
            </w:r>
          </w:p>
        </w:tc>
        <w:tc>
          <w:tcPr>
            <w:tcW w:w="1162" w:type="dxa"/>
            <w:tcBorders>
              <w:top w:val="nil"/>
              <w:left w:val="nil"/>
              <w:right w:val="single" w:sz="4" w:space="0" w:color="auto"/>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+11.2 ± 0.6</w:t>
            </w:r>
          </w:p>
        </w:tc>
        <w:tc>
          <w:tcPr>
            <w:tcW w:w="1162" w:type="dxa"/>
            <w:tcBorders>
              <w:top w:val="nil"/>
              <w:left w:val="single" w:sz="4" w:space="0" w:color="auto"/>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-17.5 ± 0.1</w:t>
            </w:r>
          </w:p>
        </w:tc>
        <w:tc>
          <w:tcPr>
            <w:tcW w:w="1162" w:type="dxa"/>
            <w:tcBorders>
              <w:top w:val="nil"/>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eastAsia="it-IT"/>
              </w:rPr>
              <w:t xml:space="preserve">-16.2 </w:t>
            </w:r>
            <w:r w:rsidRPr="00E17E1F">
              <w:rPr>
                <w:rFonts w:cs="Calibri"/>
                <w:color w:val="000000"/>
                <w:lang w:val="it-IT" w:eastAsia="it-IT"/>
              </w:rPr>
              <w:t>± 0.6</w:t>
            </w:r>
          </w:p>
        </w:tc>
        <w:tc>
          <w:tcPr>
            <w:tcW w:w="1162" w:type="dxa"/>
            <w:tcBorders>
              <w:top w:val="nil"/>
              <w:left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 xml:space="preserve">-22.9 ± 0.2 </w:t>
            </w:r>
          </w:p>
        </w:tc>
      </w:tr>
      <w:tr w:rsidR="00387A07" w:rsidRPr="00E17E1F" w:rsidTr="00387A07">
        <w:trPr>
          <w:trHeight w:val="315"/>
          <w:jc w:val="center"/>
        </w:trPr>
        <w:tc>
          <w:tcPr>
            <w:tcW w:w="1230" w:type="dxa"/>
            <w:tcBorders>
              <w:top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3</w:t>
            </w:r>
          </w:p>
        </w:tc>
        <w:tc>
          <w:tcPr>
            <w:tcW w:w="1162" w:type="dxa"/>
            <w:tcBorders>
              <w:top w:val="nil"/>
              <w:left w:val="nil"/>
              <w:right w:val="nil"/>
            </w:tcBorders>
            <w:shd w:val="clear" w:color="auto" w:fill="D9D9D9" w:themeFill="background1" w:themeFillShade="D9"/>
            <w:noWrap/>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 xml:space="preserve">-13.3 ± 0.1 </w:t>
            </w:r>
          </w:p>
        </w:tc>
        <w:tc>
          <w:tcPr>
            <w:tcW w:w="1162" w:type="dxa"/>
            <w:tcBorders>
              <w:top w:val="nil"/>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-31.2 ± 0.5</w:t>
            </w:r>
          </w:p>
        </w:tc>
        <w:tc>
          <w:tcPr>
            <w:tcW w:w="1162" w:type="dxa"/>
            <w:tcBorders>
              <w:top w:val="nil"/>
              <w:left w:val="nil"/>
              <w:right w:val="single" w:sz="4" w:space="0" w:color="auto"/>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+6.6 ± 0.9</w:t>
            </w:r>
          </w:p>
        </w:tc>
        <w:tc>
          <w:tcPr>
            <w:tcW w:w="1162" w:type="dxa"/>
            <w:tcBorders>
              <w:top w:val="nil"/>
              <w:left w:val="single" w:sz="4" w:space="0" w:color="auto"/>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-19.4 ± 0.9</w:t>
            </w:r>
          </w:p>
        </w:tc>
        <w:tc>
          <w:tcPr>
            <w:tcW w:w="1162" w:type="dxa"/>
            <w:tcBorders>
              <w:top w:val="nil"/>
              <w:left w:val="nil"/>
              <w:right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eastAsia="it-IT"/>
              </w:rPr>
              <w:t xml:space="preserve">-25.3 </w:t>
            </w:r>
            <w:r w:rsidRPr="00E17E1F">
              <w:rPr>
                <w:rFonts w:cs="Calibri"/>
                <w:color w:val="000000"/>
                <w:lang w:val="it-IT" w:eastAsia="it-IT"/>
              </w:rPr>
              <w:t>± 0.5</w:t>
            </w:r>
          </w:p>
        </w:tc>
        <w:tc>
          <w:tcPr>
            <w:tcW w:w="1162" w:type="dxa"/>
            <w:tcBorders>
              <w:top w:val="nil"/>
              <w:left w:val="nil"/>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-29.1 ± 0.1</w:t>
            </w:r>
          </w:p>
        </w:tc>
      </w:tr>
      <w:tr w:rsidR="00387A07" w:rsidRPr="00E17E1F" w:rsidTr="00387A07">
        <w:trPr>
          <w:trHeight w:val="315"/>
          <w:jc w:val="center"/>
        </w:trPr>
        <w:tc>
          <w:tcPr>
            <w:tcW w:w="1230" w:type="dxa"/>
            <w:tcBorders>
              <w:top w:val="nil"/>
              <w:bottom w:val="single" w:sz="4" w:space="0" w:color="auto"/>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4</w:t>
            </w:r>
          </w:p>
        </w:tc>
        <w:tc>
          <w:tcPr>
            <w:tcW w:w="1162" w:type="dxa"/>
            <w:tcBorders>
              <w:top w:val="nil"/>
              <w:left w:val="nil"/>
              <w:bottom w:val="single" w:sz="4" w:space="0" w:color="auto"/>
            </w:tcBorders>
            <w:shd w:val="clear" w:color="auto" w:fill="D9D9D9" w:themeFill="background1" w:themeFillShade="D9"/>
            <w:noWrap/>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-19.4 ± 1.2</w:t>
            </w:r>
          </w:p>
        </w:tc>
        <w:tc>
          <w:tcPr>
            <w:tcW w:w="1162" w:type="dxa"/>
            <w:tcBorders>
              <w:top w:val="nil"/>
              <w:bottom w:val="single" w:sz="4" w:space="0" w:color="auto"/>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-31.3 ± 1.2</w:t>
            </w:r>
          </w:p>
        </w:tc>
        <w:tc>
          <w:tcPr>
            <w:tcW w:w="1162" w:type="dxa"/>
            <w:tcBorders>
              <w:top w:val="nil"/>
              <w:bottom w:val="single" w:sz="4" w:space="0" w:color="auto"/>
              <w:right w:val="single" w:sz="4" w:space="0" w:color="auto"/>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+13.9 ± 1.1</w:t>
            </w:r>
          </w:p>
        </w:tc>
        <w:tc>
          <w:tcPr>
            <w:tcW w:w="1162" w:type="dxa"/>
            <w:tcBorders>
              <w:top w:val="nil"/>
              <w:left w:val="single" w:sz="4" w:space="0" w:color="auto"/>
              <w:bottom w:val="single" w:sz="4" w:space="0" w:color="auto"/>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-20.9 ± 0.1</w:t>
            </w:r>
          </w:p>
        </w:tc>
        <w:tc>
          <w:tcPr>
            <w:tcW w:w="1162" w:type="dxa"/>
            <w:tcBorders>
              <w:top w:val="nil"/>
              <w:bottom w:val="single" w:sz="4" w:space="0" w:color="auto"/>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eastAsia="it-IT"/>
              </w:rPr>
              <w:t xml:space="preserve">-28.7 </w:t>
            </w:r>
            <w:r w:rsidRPr="00E17E1F">
              <w:rPr>
                <w:rFonts w:cs="Calibri"/>
                <w:color w:val="000000"/>
                <w:lang w:val="it-IT" w:eastAsia="it-IT"/>
              </w:rPr>
              <w:t>± 0.1</w:t>
            </w:r>
          </w:p>
        </w:tc>
        <w:tc>
          <w:tcPr>
            <w:tcW w:w="1162" w:type="dxa"/>
            <w:tcBorders>
              <w:top w:val="nil"/>
              <w:bottom w:val="single" w:sz="4" w:space="0" w:color="auto"/>
            </w:tcBorders>
            <w:shd w:val="clear" w:color="auto" w:fill="D9D9D9" w:themeFill="background1" w:themeFillShade="D9"/>
            <w:vAlign w:val="bottom"/>
          </w:tcPr>
          <w:p w:rsidR="00387A07" w:rsidRPr="00E17E1F" w:rsidRDefault="00387A07" w:rsidP="00387A07">
            <w:pPr>
              <w:spacing w:after="0"/>
              <w:jc w:val="center"/>
              <w:rPr>
                <w:rFonts w:cs="Calibri"/>
                <w:color w:val="000000"/>
                <w:lang w:val="it-IT" w:eastAsia="it-IT"/>
              </w:rPr>
            </w:pPr>
            <w:r w:rsidRPr="00E17E1F">
              <w:rPr>
                <w:rFonts w:cs="Calibri"/>
                <w:color w:val="000000"/>
                <w:lang w:val="it-IT" w:eastAsia="it-IT"/>
              </w:rPr>
              <w:t>-30.4 ± 0.2</w:t>
            </w:r>
          </w:p>
        </w:tc>
      </w:tr>
    </w:tbl>
    <w:p w:rsidR="00387A07" w:rsidRPr="00E17E1F" w:rsidRDefault="00387A07" w:rsidP="00387A07">
      <w:pPr>
        <w:pStyle w:val="Didascalia"/>
        <w:spacing w:before="120"/>
        <w:jc w:val="center"/>
      </w:pPr>
      <w:r w:rsidRPr="00E17E1F">
        <w:t>Table 2. 8 Comparison of changes in the molecular weight of different samples after hydrolytic degradation in PBS</w:t>
      </w:r>
    </w:p>
    <w:p w:rsidR="00387A07" w:rsidRPr="00E17E1F" w:rsidRDefault="00387A07" w:rsidP="00387A07">
      <w:pPr>
        <w:spacing w:after="0" w:line="360" w:lineRule="auto"/>
        <w:jc w:val="both"/>
        <w:rPr>
          <w:rFonts w:ascii="Arial" w:hAnsi="Arial" w:cs="Arial"/>
          <w:bCs/>
          <w:sz w:val="24"/>
          <w:szCs w:val="24"/>
        </w:rPr>
      </w:pPr>
      <w:r w:rsidRPr="00E17E1F">
        <w:rPr>
          <w:rFonts w:ascii="Arial" w:hAnsi="Arial" w:cs="Arial"/>
          <w:bCs/>
          <w:sz w:val="24"/>
          <w:szCs w:val="24"/>
        </w:rPr>
        <w:t>The two commercial polyesters showed a similar degradation pattern, in which the molecular weight decreases linearly with increasing soaking time in PBS.</w:t>
      </w:r>
    </w:p>
    <w:p w:rsidR="00387A07" w:rsidRPr="00E17E1F" w:rsidRDefault="00387A07" w:rsidP="00387A07">
      <w:pPr>
        <w:spacing w:after="0" w:line="360" w:lineRule="auto"/>
        <w:jc w:val="both"/>
        <w:rPr>
          <w:rFonts w:ascii="Arial" w:eastAsia="AdvTimes" w:hAnsi="Arial" w:cs="Arial"/>
          <w:sz w:val="24"/>
          <w:szCs w:val="24"/>
          <w:lang w:val="en-US"/>
        </w:rPr>
      </w:pPr>
      <w:r w:rsidRPr="00E17E1F">
        <w:rPr>
          <w:rFonts w:ascii="Arial" w:eastAsia="AdvTimes" w:hAnsi="Arial" w:cs="Arial"/>
          <w:sz w:val="24"/>
          <w:szCs w:val="24"/>
          <w:lang w:val="en-US"/>
        </w:rPr>
        <w:t>No significant difference can be noticed by comparing the degradation rate of PCL nanoparticles and films, in agreement with the results reported by other authors [38].</w:t>
      </w:r>
    </w:p>
    <w:p w:rsidR="00387A07" w:rsidRPr="00E17E1F" w:rsidRDefault="00387A07" w:rsidP="00387A07">
      <w:pPr>
        <w:autoSpaceDE w:val="0"/>
        <w:autoSpaceDN w:val="0"/>
        <w:adjustRightInd w:val="0"/>
        <w:spacing w:after="0" w:line="360" w:lineRule="auto"/>
        <w:jc w:val="both"/>
        <w:rPr>
          <w:rFonts w:ascii="Arial" w:eastAsia="AdvTimes" w:hAnsi="Arial" w:cs="Arial"/>
          <w:sz w:val="24"/>
          <w:szCs w:val="24"/>
          <w:lang w:val="en-US"/>
        </w:rPr>
      </w:pPr>
      <w:r w:rsidRPr="00E17E1F">
        <w:rPr>
          <w:rFonts w:ascii="Arial" w:eastAsia="AdvTimes" w:hAnsi="Arial" w:cs="Arial"/>
          <w:sz w:val="24"/>
          <w:szCs w:val="24"/>
          <w:lang w:val="en-US"/>
        </w:rPr>
        <w:t xml:space="preserve">PLA seems to degrade much faster, compared to PCL, due to its lower molecular weight and poor cristallinity. </w:t>
      </w:r>
      <w:r w:rsidRPr="00E17E1F">
        <w:rPr>
          <w:rFonts w:ascii="Arial" w:hAnsi="Arial" w:cs="Arial"/>
          <w:color w:val="141314"/>
          <w:sz w:val="24"/>
          <w:szCs w:val="24"/>
          <w:lang w:val="en-US"/>
        </w:rPr>
        <w:t>Several reports showed that the crystalline part of the</w:t>
      </w:r>
      <w:r w:rsidRPr="00E17E1F">
        <w:rPr>
          <w:rFonts w:ascii="Arial" w:eastAsia="AdvTimes" w:hAnsi="Arial" w:cs="Arial"/>
          <w:sz w:val="24"/>
          <w:szCs w:val="24"/>
          <w:lang w:val="en-US"/>
        </w:rPr>
        <w:t xml:space="preserve"> </w:t>
      </w:r>
      <w:r w:rsidRPr="00E17E1F">
        <w:rPr>
          <w:rFonts w:ascii="Arial" w:hAnsi="Arial" w:cs="Arial"/>
          <w:color w:val="141314"/>
          <w:sz w:val="24"/>
          <w:szCs w:val="24"/>
          <w:lang w:val="en-US"/>
        </w:rPr>
        <w:t>PLA is more resistant to degradation than the amorphous part, and that the rate of degradation decreases with an</w:t>
      </w:r>
      <w:r w:rsidRPr="00E17E1F">
        <w:rPr>
          <w:rFonts w:ascii="Arial" w:eastAsia="AdvTimes" w:hAnsi="Arial" w:cs="Arial"/>
          <w:sz w:val="24"/>
          <w:szCs w:val="24"/>
          <w:lang w:val="en-US"/>
        </w:rPr>
        <w:t xml:space="preserve"> </w:t>
      </w:r>
      <w:r w:rsidRPr="00E17E1F">
        <w:rPr>
          <w:rFonts w:ascii="Arial" w:hAnsi="Arial" w:cs="Arial"/>
          <w:color w:val="141314"/>
          <w:sz w:val="24"/>
          <w:szCs w:val="24"/>
          <w:lang w:val="en-US"/>
        </w:rPr>
        <w:t>increase in cristallinity [39,40].</w:t>
      </w:r>
      <w:r w:rsidRPr="00E17E1F">
        <w:rPr>
          <w:rFonts w:ascii="Arial" w:eastAsia="AdvTimes" w:hAnsi="Arial" w:cs="Arial"/>
          <w:sz w:val="24"/>
          <w:szCs w:val="24"/>
          <w:lang w:val="en-US"/>
        </w:rPr>
        <w:t xml:space="preserve"> </w:t>
      </w:r>
    </w:p>
    <w:p w:rsidR="00387A07" w:rsidRPr="00E17E1F" w:rsidRDefault="00387A07" w:rsidP="00387A07">
      <w:pPr>
        <w:autoSpaceDE w:val="0"/>
        <w:autoSpaceDN w:val="0"/>
        <w:adjustRightInd w:val="0"/>
        <w:spacing w:after="0" w:line="360" w:lineRule="auto"/>
        <w:jc w:val="both"/>
        <w:rPr>
          <w:rFonts w:ascii="Arial" w:eastAsia="AdvTimes" w:hAnsi="Arial" w:cs="Arial"/>
          <w:sz w:val="24"/>
          <w:szCs w:val="24"/>
          <w:lang w:val="en-US"/>
        </w:rPr>
      </w:pPr>
      <w:r w:rsidRPr="00E17E1F">
        <w:rPr>
          <w:rFonts w:ascii="Arial" w:eastAsia="AdvTimes" w:hAnsi="Arial" w:cs="Arial"/>
          <w:sz w:val="24"/>
          <w:szCs w:val="24"/>
          <w:lang w:val="en-US"/>
        </w:rPr>
        <w:t>Moreover, PLA nanoparticles appear to be less sensitive to hydrolytic degradation compared to films</w:t>
      </w:r>
      <w:r w:rsidRPr="00E17E1F">
        <w:rPr>
          <w:rFonts w:ascii="Arial" w:hAnsi="Arial" w:cs="Arial"/>
          <w:color w:val="141314"/>
          <w:sz w:val="24"/>
          <w:szCs w:val="24"/>
          <w:lang w:val="en-US"/>
        </w:rPr>
        <w:t xml:space="preserve">, confirming that </w:t>
      </w:r>
      <w:r w:rsidRPr="00E17E1F">
        <w:rPr>
          <w:rFonts w:ascii="Arial" w:eastAsia="AdvTimes" w:hAnsi="Arial" w:cs="Arial"/>
          <w:sz w:val="24"/>
          <w:szCs w:val="24"/>
          <w:lang w:val="en-US"/>
        </w:rPr>
        <w:t xml:space="preserve">this polymer undergoes a size-dependent degradation, as reported by many authors [41]. </w:t>
      </w:r>
    </w:p>
    <w:p w:rsidR="00387A07" w:rsidRPr="00E17E1F" w:rsidRDefault="00387A07" w:rsidP="00387A07">
      <w:pPr>
        <w:autoSpaceDE w:val="0"/>
        <w:autoSpaceDN w:val="0"/>
        <w:adjustRightInd w:val="0"/>
        <w:spacing w:after="0" w:line="360" w:lineRule="auto"/>
        <w:jc w:val="both"/>
        <w:rPr>
          <w:rFonts w:ascii="Arial" w:hAnsi="Arial" w:cs="Arial"/>
          <w:sz w:val="24"/>
          <w:szCs w:val="24"/>
          <w:lang w:val="en-US"/>
        </w:rPr>
      </w:pPr>
      <w:r w:rsidRPr="00E17E1F">
        <w:rPr>
          <w:rFonts w:ascii="Arial" w:hAnsi="Arial" w:cs="Arial"/>
          <w:sz w:val="24"/>
          <w:szCs w:val="24"/>
          <w:lang w:val="en-US"/>
        </w:rPr>
        <w:t xml:space="preserve">In particular large size devices degrade faster, with the inner part undergoing rapid degradation, due to a larger contribution to autocatalysis given by the higher amount of free carboxylic groups in the bulk compared to the surface [42]. Briefly, </w:t>
      </w:r>
      <w:r w:rsidRPr="00E17E1F">
        <w:rPr>
          <w:rFonts w:ascii="Arial" w:hAnsi="Arial" w:cs="Arial"/>
          <w:color w:val="000000"/>
          <w:sz w:val="24"/>
          <w:szCs w:val="24"/>
          <w:lang w:val="en-US"/>
        </w:rPr>
        <w:t xml:space="preserve">degradation causes an increase in the number of carboxylic acid chain ends which are known to autocatalyse ester hydrolysis. As degradation goes on, soluble oligomers which are </w:t>
      </w:r>
      <w:r w:rsidRPr="00E17E1F">
        <w:rPr>
          <w:rFonts w:ascii="Arial" w:hAnsi="Arial" w:cs="Arial"/>
          <w:color w:val="000000"/>
          <w:sz w:val="24"/>
          <w:szCs w:val="24"/>
          <w:lang w:val="en-US"/>
        </w:rPr>
        <w:lastRenderedPageBreak/>
        <w:t>located in the core of the matrix remain entrapped, enhancing bulk degradation and leading to the formation of a skin composed of less degraded polymer [43].</w:t>
      </w:r>
    </w:p>
    <w:p w:rsidR="00387A07" w:rsidRPr="00E17E1F" w:rsidRDefault="00387A07" w:rsidP="00387A07">
      <w:pPr>
        <w:spacing w:after="120" w:line="360" w:lineRule="auto"/>
        <w:jc w:val="both"/>
        <w:rPr>
          <w:rFonts w:ascii="Arial" w:eastAsia="AdvTimes" w:hAnsi="Arial" w:cs="Arial"/>
          <w:sz w:val="24"/>
          <w:szCs w:val="24"/>
          <w:lang w:val="en-US"/>
        </w:rPr>
      </w:pPr>
      <w:r w:rsidRPr="00E17E1F">
        <w:rPr>
          <w:rFonts w:ascii="Arial" w:eastAsia="AdvTimes" w:hAnsi="Arial" w:cs="Arial"/>
          <w:sz w:val="24"/>
          <w:szCs w:val="24"/>
          <w:lang w:val="en-US"/>
        </w:rPr>
        <w:t>For what concerns the polyesterurethane C-BC2000, a completely different behavior between samples in the form of nanoparticles and films was highlighted. While the film displays a slight increase in the average number molecular weight with increasing soaking time, as observed by other authors [44][45], C-BC2000 nanoparticles undergo hydrolytic degradation accompanied by an evident loss in molecular weight similarly to what observed for the two commercial polyesters.</w:t>
      </w:r>
    </w:p>
    <w:p w:rsidR="00387A07" w:rsidRPr="00E17E1F" w:rsidRDefault="00387A07" w:rsidP="00387A07">
      <w:pPr>
        <w:spacing w:after="0" w:line="360" w:lineRule="auto"/>
        <w:jc w:val="center"/>
        <w:rPr>
          <w:rFonts w:ascii="Arial" w:hAnsi="Arial" w:cs="Arial"/>
          <w:sz w:val="24"/>
          <w:szCs w:val="24"/>
        </w:rPr>
      </w:pPr>
      <w:r w:rsidRPr="00E17E1F">
        <w:rPr>
          <w:rFonts w:ascii="Arial" w:hAnsi="Arial" w:cs="Arial"/>
          <w:noProof/>
          <w:sz w:val="24"/>
          <w:szCs w:val="24"/>
          <w:lang w:val="it-IT" w:eastAsia="it-IT"/>
        </w:rPr>
        <w:drawing>
          <wp:inline distT="0" distB="0" distL="0" distR="0">
            <wp:extent cx="2714625" cy="4876800"/>
            <wp:effectExtent l="0" t="0" r="9525" b="0"/>
            <wp:docPr id="140" name="Immagine 18" descr="degradazioni idrolitich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8" descr="degradazioni idrolitiche.png"/>
                    <pic:cNvPicPr>
                      <a:picLocks noChangeAspect="1" noChangeArrowheads="1"/>
                    </pic:cNvPicPr>
                  </pic:nvPicPr>
                  <pic:blipFill>
                    <a:blip r:embed="rId35"/>
                    <a:srcRect/>
                    <a:stretch>
                      <a:fillRect/>
                    </a:stretch>
                  </pic:blipFill>
                  <pic:spPr bwMode="auto">
                    <a:xfrm>
                      <a:off x="0" y="0"/>
                      <a:ext cx="2714625" cy="4876800"/>
                    </a:xfrm>
                    <a:prstGeom prst="rect">
                      <a:avLst/>
                    </a:prstGeom>
                    <a:noFill/>
                    <a:ln w="9525">
                      <a:noFill/>
                      <a:miter lim="800000"/>
                      <a:headEnd/>
                      <a:tailEnd/>
                    </a:ln>
                  </pic:spPr>
                </pic:pic>
              </a:graphicData>
            </a:graphic>
          </wp:inline>
        </w:drawing>
      </w:r>
    </w:p>
    <w:p w:rsidR="00387A07" w:rsidRPr="00E17E1F" w:rsidRDefault="00387A07" w:rsidP="00387A07">
      <w:pPr>
        <w:pStyle w:val="Didascalia"/>
        <w:rPr>
          <w:rFonts w:ascii="Arial" w:hAnsi="Arial" w:cs="Arial"/>
          <w:sz w:val="24"/>
          <w:szCs w:val="24"/>
        </w:rPr>
      </w:pPr>
      <w:r w:rsidRPr="00E17E1F">
        <w:t>Figure 2. 9 Hydrolytic degradation of PCL, PLA and C-BC2000 films and nanoparticle samples.</w:t>
      </w:r>
    </w:p>
    <w:p w:rsidR="00387A07" w:rsidRPr="00E17E1F" w:rsidRDefault="00387A07" w:rsidP="00387A07">
      <w:pPr>
        <w:spacing w:before="240" w:after="240" w:line="360" w:lineRule="auto"/>
        <w:jc w:val="both"/>
        <w:rPr>
          <w:rFonts w:ascii="Arial" w:hAnsi="Arial" w:cs="Arial"/>
          <w:b/>
          <w:sz w:val="24"/>
          <w:szCs w:val="24"/>
        </w:rPr>
      </w:pPr>
      <w:r w:rsidRPr="00E17E1F">
        <w:rPr>
          <w:rFonts w:ascii="Arial" w:hAnsi="Arial" w:cs="Arial"/>
          <w:b/>
          <w:sz w:val="24"/>
          <w:szCs w:val="24"/>
        </w:rPr>
        <w:t xml:space="preserve">2.3.5 Toxicity studies </w:t>
      </w:r>
    </w:p>
    <w:p w:rsidR="00387A07" w:rsidRPr="00E17E1F" w:rsidRDefault="00387A07" w:rsidP="00387A07">
      <w:pPr>
        <w:spacing w:line="360" w:lineRule="auto"/>
        <w:jc w:val="both"/>
        <w:rPr>
          <w:rFonts w:ascii="Arial" w:hAnsi="Arial" w:cs="Arial"/>
          <w:sz w:val="24"/>
          <w:szCs w:val="24"/>
        </w:rPr>
      </w:pPr>
      <w:r w:rsidRPr="00E17E1F">
        <w:rPr>
          <w:rFonts w:ascii="Arial" w:hAnsi="Arial" w:cs="Arial"/>
          <w:sz w:val="24"/>
          <w:szCs w:val="24"/>
        </w:rPr>
        <w:t xml:space="preserve">Figure 2.10 shows cell viability results after incubation in the presence of different concentrations of nanoparticles. The Calcein-am assay showed similar patterns for nanoparticles prepared with different materials regardless of their concentrations. </w:t>
      </w:r>
    </w:p>
    <w:p w:rsidR="00387A07" w:rsidRPr="00E17E1F" w:rsidRDefault="00387A07" w:rsidP="00387A07">
      <w:pPr>
        <w:spacing w:after="0" w:line="360" w:lineRule="auto"/>
        <w:jc w:val="center"/>
        <w:rPr>
          <w:rFonts w:ascii="Arial" w:hAnsi="Arial" w:cs="Arial"/>
          <w:sz w:val="24"/>
          <w:szCs w:val="24"/>
        </w:rPr>
      </w:pPr>
      <w:r w:rsidRPr="00E17E1F">
        <w:rPr>
          <w:rFonts w:ascii="Arial" w:hAnsi="Arial" w:cs="Arial"/>
          <w:noProof/>
          <w:sz w:val="24"/>
          <w:szCs w:val="24"/>
          <w:lang w:val="it-IT" w:eastAsia="it-IT"/>
        </w:rPr>
        <w:lastRenderedPageBreak/>
        <w:drawing>
          <wp:inline distT="0" distB="0" distL="0" distR="0">
            <wp:extent cx="3619500" cy="2171700"/>
            <wp:effectExtent l="0" t="0" r="0" b="0"/>
            <wp:docPr id="141" name="Immagine 141" descr="calcein am assa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calcein am assay.png"/>
                    <pic:cNvPicPr>
                      <a:picLocks noChangeAspect="1" noChangeArrowheads="1"/>
                    </pic:cNvPicPr>
                  </pic:nvPicPr>
                  <pic:blipFill>
                    <a:blip r:embed="rId36"/>
                    <a:srcRect/>
                    <a:stretch>
                      <a:fillRect/>
                    </a:stretch>
                  </pic:blipFill>
                  <pic:spPr bwMode="auto">
                    <a:xfrm>
                      <a:off x="0" y="0"/>
                      <a:ext cx="3619500" cy="2171700"/>
                    </a:xfrm>
                    <a:prstGeom prst="rect">
                      <a:avLst/>
                    </a:prstGeom>
                    <a:noFill/>
                    <a:ln w="9525">
                      <a:noFill/>
                      <a:miter lim="800000"/>
                      <a:headEnd/>
                      <a:tailEnd/>
                    </a:ln>
                  </pic:spPr>
                </pic:pic>
              </a:graphicData>
            </a:graphic>
          </wp:inline>
        </w:drawing>
      </w:r>
    </w:p>
    <w:p w:rsidR="00387A07" w:rsidRPr="00E17E1F" w:rsidRDefault="00387A07" w:rsidP="00387A07">
      <w:pPr>
        <w:pStyle w:val="Didascalia"/>
        <w:rPr>
          <w:rFonts w:ascii="Arial" w:hAnsi="Arial" w:cs="Arial"/>
          <w:sz w:val="24"/>
          <w:szCs w:val="24"/>
        </w:rPr>
      </w:pPr>
      <w:r w:rsidRPr="00E17E1F">
        <w:t xml:space="preserve">Figure 2. 10 Cell viability after incubation with nanoparticles at different concentrations. </w:t>
      </w:r>
    </w:p>
    <w:p w:rsidR="00387A07" w:rsidRPr="00E17E1F" w:rsidRDefault="00387A07" w:rsidP="00387A07">
      <w:pPr>
        <w:spacing w:line="360" w:lineRule="auto"/>
        <w:jc w:val="both"/>
        <w:rPr>
          <w:rFonts w:ascii="Arial" w:hAnsi="Arial" w:cs="Arial"/>
          <w:sz w:val="24"/>
          <w:szCs w:val="24"/>
        </w:rPr>
      </w:pPr>
      <w:r w:rsidRPr="00E17E1F">
        <w:rPr>
          <w:rFonts w:ascii="Arial" w:hAnsi="Arial" w:cs="Arial"/>
          <w:sz w:val="24"/>
          <w:szCs w:val="24"/>
        </w:rPr>
        <w:t xml:space="preserve">No evident signs of toxicity were detected in any case, cells are almost completely vital after 24hours of incubation in the presence of nanoparticles at different concentrations. A slightly higher cellular death can be observed after exposure to 2mg/ml solution of both PLA and C-BC2000 nanoparticles. 1mg/ml was therefore considered a suitable concentration for further quantitative and qualitative uptake studies.  </w:t>
      </w:r>
    </w:p>
    <w:p w:rsidR="00387A07" w:rsidRPr="00E17E1F" w:rsidRDefault="00387A07" w:rsidP="00387A07">
      <w:pPr>
        <w:spacing w:before="240" w:after="240" w:line="360" w:lineRule="auto"/>
        <w:jc w:val="both"/>
        <w:rPr>
          <w:rFonts w:ascii="Arial" w:hAnsi="Arial" w:cs="Arial"/>
          <w:b/>
          <w:sz w:val="24"/>
          <w:szCs w:val="24"/>
        </w:rPr>
      </w:pPr>
      <w:r w:rsidRPr="00E17E1F">
        <w:rPr>
          <w:rFonts w:ascii="Arial" w:hAnsi="Arial" w:cs="Arial"/>
          <w:b/>
          <w:sz w:val="24"/>
          <w:szCs w:val="24"/>
        </w:rPr>
        <w:t>2.3.6 Cellular uptake studies</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Results from cellular uptake studies are summarised in figure 2.11 and 2.12.</w:t>
      </w:r>
    </w:p>
    <w:p w:rsidR="00387A07" w:rsidRPr="00E17E1F" w:rsidRDefault="00387A07" w:rsidP="00387A07">
      <w:pPr>
        <w:spacing w:after="120" w:line="360" w:lineRule="auto"/>
        <w:jc w:val="both"/>
        <w:rPr>
          <w:rFonts w:ascii="Arial" w:hAnsi="Arial" w:cs="Arial"/>
          <w:sz w:val="24"/>
          <w:szCs w:val="24"/>
        </w:rPr>
      </w:pPr>
      <w:r w:rsidRPr="00E17E1F">
        <w:rPr>
          <w:rFonts w:ascii="Arial" w:hAnsi="Arial" w:cs="Arial"/>
          <w:sz w:val="24"/>
          <w:szCs w:val="24"/>
        </w:rPr>
        <w:t xml:space="preserve">Figure 2.11 shows quantitave uptake of rhodamine-loaded nanoparticles after 2hours of incubation by A431 cells. All materials show a similar behaviour, with a slightly higher internalization observed for C-BC2000 nanoparticles. </w:t>
      </w:r>
    </w:p>
    <w:p w:rsidR="00387A07" w:rsidRPr="00E17E1F" w:rsidRDefault="00387A07" w:rsidP="00387A07">
      <w:pPr>
        <w:spacing w:after="120" w:line="360" w:lineRule="auto"/>
        <w:jc w:val="center"/>
        <w:rPr>
          <w:rFonts w:ascii="Arial" w:hAnsi="Arial" w:cs="Arial"/>
          <w:sz w:val="24"/>
          <w:szCs w:val="24"/>
        </w:rPr>
      </w:pPr>
      <w:r w:rsidRPr="00E17E1F">
        <w:rPr>
          <w:rFonts w:ascii="Arial" w:hAnsi="Arial" w:cs="Arial"/>
          <w:noProof/>
          <w:sz w:val="24"/>
          <w:szCs w:val="24"/>
          <w:lang w:val="it-IT" w:eastAsia="it-IT"/>
        </w:rPr>
        <w:drawing>
          <wp:inline distT="0" distB="0" distL="0" distR="0">
            <wp:extent cx="3413179" cy="1917954"/>
            <wp:effectExtent l="12192" t="6096" r="3629" b="0"/>
            <wp:docPr id="142" name="Gra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387A07" w:rsidRPr="00E17E1F" w:rsidRDefault="00387A07" w:rsidP="00387A07">
      <w:pPr>
        <w:pStyle w:val="Didascalia"/>
        <w:spacing w:after="240"/>
        <w:rPr>
          <w:lang w:val="en-US"/>
        </w:rPr>
      </w:pPr>
      <w:r w:rsidRPr="00E17E1F">
        <w:rPr>
          <w:lang w:val="en-US"/>
        </w:rPr>
        <w:t>Figure 2.  11 Quantitative cellular uptake of nanoparticles prepared with different polymers.</w:t>
      </w:r>
    </w:p>
    <w:p w:rsidR="00387A07" w:rsidRPr="00E17E1F" w:rsidRDefault="00387A07" w:rsidP="00387A07">
      <w:pPr>
        <w:spacing w:line="360" w:lineRule="auto"/>
        <w:jc w:val="both"/>
        <w:rPr>
          <w:rFonts w:ascii="Arial" w:hAnsi="Arial" w:cs="Arial"/>
          <w:sz w:val="24"/>
          <w:szCs w:val="24"/>
          <w:lang w:val="en-US"/>
        </w:rPr>
      </w:pPr>
      <w:r w:rsidRPr="00E17E1F">
        <w:rPr>
          <w:rFonts w:ascii="Arial" w:hAnsi="Arial" w:cs="Arial"/>
          <w:sz w:val="24"/>
          <w:szCs w:val="24"/>
          <w:lang w:val="en-US"/>
        </w:rPr>
        <w:t>Qualitative uptake results were performed by confocal analysis on both living and fixed cells.</w:t>
      </w:r>
    </w:p>
    <w:p w:rsidR="00387A07" w:rsidRPr="00E17E1F" w:rsidRDefault="00387A07" w:rsidP="00387A07">
      <w:pPr>
        <w:spacing w:after="0" w:line="360" w:lineRule="auto"/>
        <w:jc w:val="both"/>
        <w:rPr>
          <w:rFonts w:ascii="Arial" w:hAnsi="Arial" w:cs="Arial"/>
          <w:b/>
          <w:sz w:val="24"/>
          <w:szCs w:val="24"/>
        </w:rPr>
      </w:pPr>
    </w:p>
    <w:p w:rsidR="00387A07" w:rsidRPr="00E17E1F" w:rsidRDefault="00387A07" w:rsidP="00387A07">
      <w:pPr>
        <w:spacing w:after="0" w:line="360" w:lineRule="auto"/>
        <w:jc w:val="both"/>
        <w:rPr>
          <w:rFonts w:ascii="Arial" w:hAnsi="Arial" w:cs="Arial"/>
          <w:b/>
          <w:sz w:val="24"/>
          <w:szCs w:val="24"/>
        </w:rPr>
      </w:pPr>
      <w:r w:rsidRPr="00E17E1F">
        <w:rPr>
          <w:rFonts w:ascii="Arial" w:hAnsi="Arial" w:cs="Arial"/>
          <w:b/>
          <w:noProof/>
          <w:sz w:val="24"/>
          <w:szCs w:val="24"/>
          <w:lang w:val="it-IT" w:eastAsia="it-IT"/>
        </w:rPr>
        <w:lastRenderedPageBreak/>
        <w:drawing>
          <wp:inline distT="0" distB="0" distL="0" distR="0">
            <wp:extent cx="6120130" cy="2685415"/>
            <wp:effectExtent l="19050" t="0" r="0" b="0"/>
            <wp:docPr id="45" name="Immagine 44" descr="confocale alive_cap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focale alive_cap 2.png"/>
                    <pic:cNvPicPr/>
                  </pic:nvPicPr>
                  <pic:blipFill>
                    <a:blip r:embed="rId38" cstate="print"/>
                    <a:stretch>
                      <a:fillRect/>
                    </a:stretch>
                  </pic:blipFill>
                  <pic:spPr>
                    <a:xfrm>
                      <a:off x="0" y="0"/>
                      <a:ext cx="6120130" cy="2685415"/>
                    </a:xfrm>
                    <a:prstGeom prst="rect">
                      <a:avLst/>
                    </a:prstGeom>
                  </pic:spPr>
                </pic:pic>
              </a:graphicData>
            </a:graphic>
          </wp:inline>
        </w:drawing>
      </w:r>
    </w:p>
    <w:p w:rsidR="00387A07" w:rsidRPr="00E17E1F" w:rsidRDefault="00387A07" w:rsidP="00387A07">
      <w:pPr>
        <w:pStyle w:val="Didascalia"/>
      </w:pPr>
      <w:r w:rsidRPr="00E17E1F">
        <w:t xml:space="preserve">Figure 2. 12 Confocal images of living (first row) and fixed (second row) cells after incubation with rhodamine-containing nanoparticles.: A) Controls, B) PCL nanoparticles, C) PLA nanoparticles and D) C-BC2000 nanoparticles. </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lang w:val="en-US"/>
        </w:rPr>
        <w:t>Confocal images, reported in figure 2.11,</w:t>
      </w:r>
      <w:r w:rsidRPr="00E17E1F">
        <w:rPr>
          <w:rFonts w:ascii="Arial" w:hAnsi="Arial" w:cs="Arial"/>
          <w:sz w:val="24"/>
          <w:szCs w:val="24"/>
        </w:rPr>
        <w:t xml:space="preserve"> reveal that nanoparticles were internalized by cells and localized almost totally in the cytoplasm, as evidenced by the fluorescence of Rhodamine-loaded nanoparticles.</w:t>
      </w:r>
    </w:p>
    <w:p w:rsidR="00387A07" w:rsidRPr="00E17E1F" w:rsidRDefault="009558D0" w:rsidP="00387A07">
      <w:pPr>
        <w:spacing w:before="240" w:after="240" w:line="360" w:lineRule="auto"/>
        <w:jc w:val="both"/>
        <w:rPr>
          <w:rFonts w:ascii="Arial" w:hAnsi="Arial" w:cs="Arial"/>
          <w:b/>
          <w:sz w:val="28"/>
          <w:szCs w:val="28"/>
        </w:rPr>
      </w:pPr>
      <w:r>
        <w:rPr>
          <w:rFonts w:ascii="Arial" w:hAnsi="Arial" w:cs="Arial"/>
          <w:b/>
          <w:sz w:val="28"/>
          <w:szCs w:val="28"/>
        </w:rPr>
        <w:t>2.4</w:t>
      </w:r>
      <w:r w:rsidR="00387A07" w:rsidRPr="00E17E1F">
        <w:rPr>
          <w:rFonts w:ascii="Arial" w:hAnsi="Arial" w:cs="Arial"/>
          <w:b/>
          <w:sz w:val="28"/>
          <w:szCs w:val="28"/>
        </w:rPr>
        <w:t xml:space="preserve"> Conclusions</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In this work biodegradable nanoparticles prepared with commercial polyesters or a novel poly(ε-caprolactone)-based polyesterurethane (C-BC2000) were proposed for the controlled and targeted release of Paclitaxel.</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 xml:space="preserve">Polyurethanes have been successfully employed as biomaterials for several decades in a variety of applications, because of their tuneable mechanical properties and good biocompatibility [14]; nevertheless their use as nanoparticles for controlled drug release has received little attention in literature [15]. </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The solvent Displacement method was adopted for nanoparticles preparation, because  it is known to produce small and uniformly distributed particles without employing toxic solvents.</w:t>
      </w:r>
    </w:p>
    <w:p w:rsidR="00387A07" w:rsidRPr="00E17E1F" w:rsidRDefault="00387A07" w:rsidP="00387A07">
      <w:pPr>
        <w:autoSpaceDE w:val="0"/>
        <w:autoSpaceDN w:val="0"/>
        <w:adjustRightInd w:val="0"/>
        <w:spacing w:after="0" w:line="360" w:lineRule="auto"/>
        <w:jc w:val="both"/>
        <w:rPr>
          <w:rFonts w:ascii="Arial" w:hAnsi="Arial" w:cs="Arial"/>
          <w:color w:val="000000"/>
          <w:sz w:val="24"/>
          <w:szCs w:val="24"/>
          <w:lang w:val="en-US"/>
        </w:rPr>
      </w:pPr>
      <w:r w:rsidRPr="00E17E1F">
        <w:rPr>
          <w:rFonts w:ascii="Arial" w:hAnsi="Arial" w:cs="Arial"/>
          <w:color w:val="000000"/>
          <w:sz w:val="24"/>
          <w:szCs w:val="24"/>
          <w:lang w:val="en-US"/>
        </w:rPr>
        <w:t xml:space="preserve">The polymers commonly used with this method belong to the biodegradable polyesters family, especially poly(ε-caprolactone) (PCL), poly(lactide) (PLA) and poly(lactide-co-glicolide) (PLGA). Poly(alkylcyanoacrylate) (PACA) or PEG copolymers have also been used to prepare nanoparticles with this method [6,10-12]. </w:t>
      </w:r>
    </w:p>
    <w:p w:rsidR="00387A07" w:rsidRPr="00E17E1F" w:rsidRDefault="00387A07" w:rsidP="00387A07">
      <w:pPr>
        <w:autoSpaceDE w:val="0"/>
        <w:autoSpaceDN w:val="0"/>
        <w:adjustRightInd w:val="0"/>
        <w:spacing w:after="0" w:line="360" w:lineRule="auto"/>
        <w:jc w:val="both"/>
        <w:rPr>
          <w:rFonts w:ascii="Arial" w:hAnsi="Arial" w:cs="Arial"/>
          <w:sz w:val="24"/>
          <w:szCs w:val="24"/>
        </w:rPr>
      </w:pPr>
      <w:r w:rsidRPr="00E17E1F">
        <w:rPr>
          <w:rFonts w:ascii="Arial" w:hAnsi="Arial" w:cs="Arial"/>
          <w:color w:val="000000"/>
          <w:sz w:val="24"/>
          <w:szCs w:val="24"/>
          <w:lang w:val="en-US"/>
        </w:rPr>
        <w:lastRenderedPageBreak/>
        <w:t>T</w:t>
      </w:r>
      <w:r w:rsidRPr="00E17E1F">
        <w:rPr>
          <w:rFonts w:ascii="Arial" w:hAnsi="Arial" w:cs="Arial"/>
          <w:sz w:val="24"/>
          <w:szCs w:val="24"/>
        </w:rPr>
        <w:t>he possibility of introducing a novel biodegradable material, belonging to the polyesterurethanes family, for nanoparticles preparation by the Solvent Displacement Method</w:t>
      </w:r>
      <w:r w:rsidRPr="00E17E1F">
        <w:rPr>
          <w:rFonts w:ascii="Arial" w:hAnsi="Arial" w:cs="Arial"/>
          <w:color w:val="000000"/>
          <w:sz w:val="24"/>
          <w:szCs w:val="24"/>
          <w:lang w:val="en-US"/>
        </w:rPr>
        <w:t xml:space="preserve"> was successfully demonstrated</w:t>
      </w:r>
      <w:r w:rsidRPr="00E17E1F">
        <w:rPr>
          <w:rFonts w:ascii="Arial" w:hAnsi="Arial" w:cs="Arial"/>
          <w:sz w:val="24"/>
          <w:szCs w:val="24"/>
        </w:rPr>
        <w:t xml:space="preserve">. </w:t>
      </w:r>
    </w:p>
    <w:p w:rsidR="00387A07" w:rsidRPr="00E17E1F" w:rsidRDefault="00387A07" w:rsidP="00387A07">
      <w:pPr>
        <w:autoSpaceDE w:val="0"/>
        <w:autoSpaceDN w:val="0"/>
        <w:adjustRightInd w:val="0"/>
        <w:spacing w:after="0" w:line="360" w:lineRule="auto"/>
        <w:jc w:val="both"/>
        <w:rPr>
          <w:rFonts w:ascii="Arial" w:hAnsi="Arial" w:cs="Arial"/>
          <w:sz w:val="24"/>
          <w:szCs w:val="24"/>
        </w:rPr>
      </w:pPr>
      <w:r w:rsidRPr="00E17E1F">
        <w:rPr>
          <w:rFonts w:ascii="Arial" w:hAnsi="Arial" w:cs="Arial"/>
          <w:color w:val="000000"/>
          <w:sz w:val="24"/>
          <w:szCs w:val="24"/>
        </w:rPr>
        <w:t xml:space="preserve">Compared to the results obtained for </w:t>
      </w:r>
      <w:r w:rsidRPr="00E17E1F">
        <w:rPr>
          <w:rFonts w:ascii="Arial" w:hAnsi="Arial" w:cs="Arial"/>
          <w:color w:val="000000"/>
          <w:sz w:val="24"/>
          <w:szCs w:val="24"/>
          <w:lang w:val="en-US"/>
        </w:rPr>
        <w:t>Poly(ε-caprolactone) and Poly (D,L-Lactide), C-BC2000 n</w:t>
      </w:r>
      <w:r w:rsidRPr="00E17E1F">
        <w:rPr>
          <w:rFonts w:ascii="Arial" w:hAnsi="Arial" w:cs="Arial"/>
          <w:sz w:val="24"/>
          <w:szCs w:val="24"/>
        </w:rPr>
        <w:t xml:space="preserve">anoparticles exhibit similar spherical morphology, size distribution and zeta potential. </w:t>
      </w:r>
    </w:p>
    <w:p w:rsidR="00387A07" w:rsidRPr="00E17E1F" w:rsidRDefault="00387A07" w:rsidP="00387A07">
      <w:pPr>
        <w:autoSpaceDE w:val="0"/>
        <w:autoSpaceDN w:val="0"/>
        <w:adjustRightInd w:val="0"/>
        <w:spacing w:after="0" w:line="360" w:lineRule="auto"/>
        <w:jc w:val="both"/>
        <w:rPr>
          <w:rFonts w:ascii="Arial" w:hAnsi="Arial" w:cs="Arial"/>
          <w:sz w:val="24"/>
          <w:szCs w:val="24"/>
        </w:rPr>
      </w:pPr>
      <w:r w:rsidRPr="00E17E1F">
        <w:rPr>
          <w:rFonts w:ascii="Arial" w:hAnsi="Arial" w:cs="Arial"/>
          <w:sz w:val="24"/>
          <w:szCs w:val="24"/>
        </w:rPr>
        <w:t xml:space="preserve">The size, assessed by Dynamic Light Scattering, makes the particles optimal candidates for passive targeting of tumours through the EPR effect, as shown by cellular tests. All nanoparticles are easily internalized by tumour cells after 2h of incubation, with C-BC2000 showing the highest cellular uptake. </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Release profiles of PX were similar for nanoparticles prepared with the two commercial polyesters with an initial burst release followed by a linear tract. Almost all the encapsulated drug was released after 48 hours. On the other hand, C-BC2000 nanoparticles exhibited optimal release properties, with the highest drug loading capacity, the lowest burst effect and a prolonged release over time.</w:t>
      </w:r>
    </w:p>
    <w:p w:rsidR="00387A07" w:rsidRPr="00E17E1F" w:rsidRDefault="00387A07" w:rsidP="00387A07">
      <w:pPr>
        <w:spacing w:after="0" w:line="360" w:lineRule="auto"/>
        <w:jc w:val="both"/>
        <w:rPr>
          <w:rFonts w:ascii="Arial" w:hAnsi="Arial" w:cs="Arial"/>
          <w:sz w:val="24"/>
          <w:szCs w:val="24"/>
        </w:rPr>
      </w:pPr>
      <w:r w:rsidRPr="00E17E1F">
        <w:rPr>
          <w:rFonts w:ascii="Arial" w:hAnsi="Arial" w:cs="Arial"/>
          <w:sz w:val="24"/>
          <w:szCs w:val="24"/>
        </w:rPr>
        <w:t>This study highlighted the possibility to successfully employ novel biomaterials as particles for controlled drug release and to modulate their release profiles and encapsulation properties by selecting the suitable soft segments of the polyurethanes.</w:t>
      </w:r>
    </w:p>
    <w:p w:rsidR="00387A07" w:rsidRPr="00E17E1F" w:rsidRDefault="00387A07" w:rsidP="00387A07">
      <w:pPr>
        <w:spacing w:before="240" w:after="240" w:line="360" w:lineRule="auto"/>
        <w:jc w:val="both"/>
        <w:rPr>
          <w:rFonts w:ascii="Arial" w:hAnsi="Arial" w:cs="Arial"/>
          <w:b/>
          <w:sz w:val="28"/>
          <w:szCs w:val="28"/>
        </w:rPr>
      </w:pPr>
      <w:r w:rsidRPr="00E17E1F">
        <w:rPr>
          <w:rFonts w:ascii="Arial" w:hAnsi="Arial" w:cs="Arial"/>
          <w:b/>
          <w:sz w:val="28"/>
          <w:szCs w:val="28"/>
        </w:rPr>
        <w:t>References</w:t>
      </w:r>
    </w:p>
    <w:p w:rsidR="00387A07" w:rsidRPr="00E17E1F" w:rsidRDefault="00387A07" w:rsidP="00387A07">
      <w:pPr>
        <w:spacing w:after="0" w:line="360" w:lineRule="auto"/>
        <w:jc w:val="both"/>
        <w:rPr>
          <w:rFonts w:ascii="Arial" w:hAnsi="Arial" w:cs="Arial"/>
          <w:sz w:val="26"/>
          <w:szCs w:val="26"/>
        </w:rPr>
      </w:pPr>
      <w:r w:rsidRPr="00E17E1F">
        <w:rPr>
          <w:rFonts w:ascii="Arial" w:hAnsi="Arial" w:cs="Arial"/>
          <w:sz w:val="26"/>
          <w:szCs w:val="26"/>
        </w:rPr>
        <w:t xml:space="preserve">[1] </w:t>
      </w:r>
      <w:r w:rsidRPr="00E17E1F">
        <w:rPr>
          <w:rFonts w:ascii="Arial" w:hAnsi="Arial" w:cs="Arial"/>
          <w:sz w:val="26"/>
          <w:szCs w:val="26"/>
          <w:lang w:val="en-US"/>
        </w:rPr>
        <w:t xml:space="preserve">Kumari A. et Al. </w:t>
      </w:r>
      <w:r w:rsidRPr="00E17E1F">
        <w:rPr>
          <w:rFonts w:ascii="Arial" w:hAnsi="Arial" w:cs="Arial"/>
          <w:b/>
          <w:sz w:val="26"/>
          <w:szCs w:val="26"/>
          <w:lang w:val="en-US"/>
        </w:rPr>
        <w:t>2010</w:t>
      </w:r>
      <w:r w:rsidRPr="00E17E1F">
        <w:rPr>
          <w:rFonts w:ascii="Arial" w:hAnsi="Arial" w:cs="Arial"/>
          <w:sz w:val="26"/>
          <w:szCs w:val="26"/>
          <w:lang w:val="en-US"/>
        </w:rPr>
        <w:t xml:space="preserve"> </w:t>
      </w:r>
      <w:r w:rsidRPr="00E17E1F">
        <w:rPr>
          <w:rFonts w:ascii="Arial" w:hAnsi="Arial" w:cs="Arial"/>
          <w:sz w:val="26"/>
          <w:szCs w:val="26"/>
        </w:rPr>
        <w:t>Colloids and Surfaces B: Biointerfaces 75: 1</w:t>
      </w:r>
    </w:p>
    <w:p w:rsidR="00387A07" w:rsidRPr="00E17E1F" w:rsidRDefault="00387A07" w:rsidP="00387A07">
      <w:pPr>
        <w:autoSpaceDE w:val="0"/>
        <w:autoSpaceDN w:val="0"/>
        <w:adjustRightInd w:val="0"/>
        <w:spacing w:after="0" w:line="360" w:lineRule="auto"/>
        <w:rPr>
          <w:rFonts w:ascii="Arial" w:hAnsi="Arial" w:cs="Arial"/>
          <w:sz w:val="26"/>
          <w:szCs w:val="26"/>
          <w:lang w:val="en-US"/>
        </w:rPr>
      </w:pPr>
      <w:r w:rsidRPr="00E17E1F">
        <w:rPr>
          <w:rFonts w:ascii="Arial" w:hAnsi="Arial" w:cs="Arial"/>
          <w:sz w:val="26"/>
          <w:szCs w:val="26"/>
          <w:lang w:val="it-IT"/>
        </w:rPr>
        <w:t xml:space="preserve">[2] Mu L. et Al. </w:t>
      </w:r>
      <w:r w:rsidRPr="00E17E1F">
        <w:rPr>
          <w:rFonts w:ascii="Arial" w:hAnsi="Arial" w:cs="Arial"/>
          <w:b/>
          <w:sz w:val="26"/>
          <w:szCs w:val="26"/>
          <w:lang w:val="it-IT"/>
        </w:rPr>
        <w:t>2003</w:t>
      </w:r>
      <w:r w:rsidRPr="00E17E1F">
        <w:rPr>
          <w:rFonts w:ascii="Arial" w:hAnsi="Arial" w:cs="Arial"/>
          <w:sz w:val="26"/>
          <w:szCs w:val="26"/>
          <w:lang w:val="it-IT"/>
        </w:rPr>
        <w:t xml:space="preserve"> J. Control. </w:t>
      </w:r>
      <w:r w:rsidRPr="00E17E1F">
        <w:rPr>
          <w:rFonts w:ascii="Arial" w:hAnsi="Arial" w:cs="Arial"/>
          <w:sz w:val="26"/>
          <w:szCs w:val="26"/>
          <w:lang w:val="en-US"/>
        </w:rPr>
        <w:t>Release 86 (1): 33</w:t>
      </w:r>
    </w:p>
    <w:p w:rsidR="00387A07" w:rsidRPr="00E17E1F" w:rsidRDefault="00387A07" w:rsidP="00387A07">
      <w:pPr>
        <w:spacing w:after="0" w:line="360" w:lineRule="auto"/>
        <w:jc w:val="both"/>
        <w:rPr>
          <w:rFonts w:ascii="Arial" w:hAnsi="Arial" w:cs="Arial"/>
          <w:sz w:val="26"/>
          <w:szCs w:val="26"/>
          <w:lang w:val="en-US"/>
        </w:rPr>
      </w:pPr>
      <w:r w:rsidRPr="00E17E1F">
        <w:rPr>
          <w:rFonts w:ascii="Arial" w:hAnsi="Arial" w:cs="Arial"/>
          <w:sz w:val="26"/>
          <w:szCs w:val="26"/>
        </w:rPr>
        <w:t xml:space="preserve">[3] </w:t>
      </w:r>
      <w:r w:rsidRPr="00E17E1F">
        <w:rPr>
          <w:rFonts w:ascii="Arial" w:hAnsi="Arial" w:cs="Arial"/>
          <w:sz w:val="26"/>
          <w:szCs w:val="26"/>
          <w:lang w:val="en-US"/>
        </w:rPr>
        <w:t xml:space="preserve">Cheng Q. </w:t>
      </w:r>
      <w:r w:rsidRPr="00E17E1F">
        <w:rPr>
          <w:rFonts w:ascii="Arial" w:hAnsi="Arial" w:cs="Arial"/>
          <w:b/>
          <w:sz w:val="26"/>
          <w:szCs w:val="26"/>
          <w:lang w:val="en-US"/>
        </w:rPr>
        <w:t>2008</w:t>
      </w:r>
      <w:r w:rsidRPr="00E17E1F">
        <w:rPr>
          <w:rFonts w:ascii="Arial" w:hAnsi="Arial" w:cs="Arial"/>
          <w:sz w:val="26"/>
          <w:szCs w:val="26"/>
          <w:lang w:val="en-US"/>
        </w:rPr>
        <w:t xml:space="preserve"> et al. Biopharm. Drug Disposition 29: 431</w:t>
      </w:r>
    </w:p>
    <w:p w:rsidR="00387A07" w:rsidRPr="00E17E1F" w:rsidRDefault="00387A07" w:rsidP="00387A07">
      <w:pPr>
        <w:spacing w:after="0" w:line="360" w:lineRule="auto"/>
        <w:jc w:val="both"/>
        <w:rPr>
          <w:rFonts w:ascii="Arial" w:hAnsi="Arial" w:cs="Arial"/>
          <w:sz w:val="26"/>
          <w:szCs w:val="26"/>
          <w:lang w:val="en-US"/>
        </w:rPr>
      </w:pPr>
      <w:r w:rsidRPr="00E17E1F">
        <w:rPr>
          <w:rFonts w:ascii="Arial" w:hAnsi="Arial" w:cs="Arial"/>
          <w:sz w:val="26"/>
          <w:szCs w:val="26"/>
          <w:lang w:val="en-US"/>
        </w:rPr>
        <w:t xml:space="preserve">[4] Singh J. et Al.  </w:t>
      </w:r>
      <w:r w:rsidRPr="00E17E1F">
        <w:rPr>
          <w:rFonts w:ascii="Arial" w:hAnsi="Arial" w:cs="Arial"/>
          <w:b/>
          <w:sz w:val="26"/>
          <w:szCs w:val="26"/>
          <w:lang w:val="en-US"/>
        </w:rPr>
        <w:t>2006</w:t>
      </w:r>
      <w:r w:rsidRPr="00E17E1F">
        <w:rPr>
          <w:rFonts w:ascii="Arial" w:hAnsi="Arial" w:cs="Arial"/>
          <w:sz w:val="26"/>
          <w:szCs w:val="26"/>
          <w:lang w:val="en-US"/>
        </w:rPr>
        <w:t xml:space="preserve"> Methods 38: 96</w:t>
      </w:r>
    </w:p>
    <w:p w:rsidR="00387A07" w:rsidRPr="00E17E1F" w:rsidRDefault="00387A07" w:rsidP="00387A07">
      <w:pPr>
        <w:autoSpaceDE w:val="0"/>
        <w:autoSpaceDN w:val="0"/>
        <w:adjustRightInd w:val="0"/>
        <w:spacing w:after="0" w:line="360" w:lineRule="auto"/>
        <w:rPr>
          <w:rFonts w:ascii="Arial" w:hAnsi="Arial" w:cs="Arial"/>
          <w:color w:val="000000"/>
          <w:sz w:val="26"/>
          <w:szCs w:val="26"/>
          <w:lang w:val="en-US"/>
        </w:rPr>
      </w:pPr>
      <w:r w:rsidRPr="00E17E1F">
        <w:rPr>
          <w:rFonts w:ascii="Arial" w:hAnsi="Arial" w:cs="Arial"/>
          <w:color w:val="000000"/>
          <w:sz w:val="26"/>
          <w:szCs w:val="26"/>
          <w:lang w:val="en-US"/>
        </w:rPr>
        <w:t xml:space="preserve">[5] Ge H. et Al.  </w:t>
      </w:r>
      <w:r w:rsidRPr="00E17E1F">
        <w:rPr>
          <w:rFonts w:ascii="Arial" w:hAnsi="Arial" w:cs="Arial"/>
          <w:b/>
          <w:color w:val="000000"/>
          <w:sz w:val="26"/>
          <w:szCs w:val="26"/>
          <w:lang w:val="en-US"/>
        </w:rPr>
        <w:t>2000</w:t>
      </w:r>
      <w:r w:rsidRPr="00E17E1F">
        <w:rPr>
          <w:rFonts w:ascii="Arial" w:hAnsi="Arial" w:cs="Arial"/>
          <w:color w:val="000000"/>
          <w:sz w:val="26"/>
          <w:szCs w:val="26"/>
          <w:lang w:val="en-US"/>
        </w:rPr>
        <w:t xml:space="preserve">  J. Appl. Polym. Sci. 75: 874</w:t>
      </w:r>
    </w:p>
    <w:p w:rsidR="00387A07" w:rsidRPr="00E17E1F" w:rsidRDefault="00387A07" w:rsidP="00387A07">
      <w:pPr>
        <w:spacing w:after="0" w:line="360" w:lineRule="auto"/>
        <w:jc w:val="both"/>
        <w:rPr>
          <w:rFonts w:ascii="Arial" w:eastAsia="AdvTimes" w:hAnsi="Arial" w:cs="Arial"/>
          <w:sz w:val="26"/>
          <w:szCs w:val="26"/>
          <w:lang w:val="en-US"/>
        </w:rPr>
      </w:pPr>
      <w:r w:rsidRPr="00E17E1F">
        <w:rPr>
          <w:rFonts w:ascii="Arial" w:hAnsi="Arial" w:cs="Arial"/>
          <w:sz w:val="26"/>
          <w:szCs w:val="26"/>
          <w:lang w:val="en-US"/>
        </w:rPr>
        <w:t xml:space="preserve">[6] Ribeiro H. S. et Al. </w:t>
      </w:r>
      <w:r w:rsidRPr="00E17E1F">
        <w:rPr>
          <w:rFonts w:ascii="Arial" w:eastAsia="AdvTimes" w:hAnsi="Arial" w:cs="Arial"/>
          <w:b/>
          <w:sz w:val="26"/>
          <w:szCs w:val="26"/>
          <w:lang w:val="en-US"/>
        </w:rPr>
        <w:t>2008</w:t>
      </w:r>
      <w:r w:rsidRPr="00E17E1F">
        <w:rPr>
          <w:rFonts w:ascii="Arial" w:eastAsia="AdvTimes" w:hAnsi="Arial" w:cs="Arial"/>
          <w:sz w:val="26"/>
          <w:szCs w:val="26"/>
          <w:lang w:val="en-US"/>
        </w:rPr>
        <w:t xml:space="preserve"> Food Hydrocolloids 22: 12</w:t>
      </w:r>
    </w:p>
    <w:p w:rsidR="00387A07" w:rsidRPr="00E17E1F" w:rsidRDefault="00387A07" w:rsidP="00387A07">
      <w:pPr>
        <w:spacing w:after="0" w:line="360" w:lineRule="auto"/>
        <w:jc w:val="both"/>
        <w:rPr>
          <w:rFonts w:ascii="Arial" w:eastAsia="AdvTimes" w:hAnsi="Arial" w:cs="Arial"/>
          <w:sz w:val="26"/>
          <w:szCs w:val="26"/>
          <w:lang w:val="en-US"/>
        </w:rPr>
      </w:pPr>
      <w:r w:rsidRPr="00E17E1F">
        <w:rPr>
          <w:rFonts w:ascii="Arial" w:eastAsia="AdvTimes" w:hAnsi="Arial" w:cs="Arial"/>
          <w:sz w:val="26"/>
          <w:szCs w:val="26"/>
          <w:lang w:val="en-US"/>
        </w:rPr>
        <w:t xml:space="preserve">[7] Zhang Z. et Al. </w:t>
      </w:r>
      <w:r w:rsidRPr="00E17E1F">
        <w:rPr>
          <w:rFonts w:ascii="Arial" w:eastAsia="AdvTimes" w:hAnsi="Arial" w:cs="Arial"/>
          <w:b/>
          <w:sz w:val="26"/>
          <w:szCs w:val="26"/>
          <w:lang w:val="en-US"/>
        </w:rPr>
        <w:t>2006</w:t>
      </w:r>
      <w:r w:rsidRPr="00E17E1F">
        <w:rPr>
          <w:rFonts w:ascii="Arial" w:eastAsia="AdvTimes" w:hAnsi="Arial" w:cs="Arial"/>
          <w:sz w:val="26"/>
          <w:szCs w:val="26"/>
          <w:lang w:val="en-US"/>
        </w:rPr>
        <w:t xml:space="preserve"> Biomaterials 27: 262</w:t>
      </w:r>
    </w:p>
    <w:p w:rsidR="00387A07" w:rsidRPr="00E17E1F" w:rsidRDefault="00387A07" w:rsidP="00387A07">
      <w:pPr>
        <w:spacing w:after="0" w:line="360" w:lineRule="auto"/>
        <w:jc w:val="both"/>
        <w:rPr>
          <w:rFonts w:ascii="Arial" w:hAnsi="Arial" w:cs="Arial"/>
          <w:sz w:val="26"/>
          <w:szCs w:val="26"/>
          <w:lang w:val="en-US"/>
        </w:rPr>
      </w:pPr>
      <w:r w:rsidRPr="00E17E1F">
        <w:rPr>
          <w:rFonts w:ascii="Arial" w:eastAsia="AdvTimes" w:hAnsi="Arial" w:cs="Arial"/>
          <w:sz w:val="26"/>
          <w:szCs w:val="26"/>
          <w:lang w:val="en-US"/>
        </w:rPr>
        <w:t xml:space="preserve">[8] Zili Z. et Al. </w:t>
      </w:r>
      <w:r w:rsidRPr="00E17E1F">
        <w:rPr>
          <w:rFonts w:ascii="Arial" w:hAnsi="Arial" w:cs="Arial"/>
          <w:b/>
          <w:sz w:val="26"/>
          <w:szCs w:val="26"/>
          <w:lang w:val="en-US"/>
        </w:rPr>
        <w:t>2005</w:t>
      </w:r>
      <w:r w:rsidRPr="00E17E1F">
        <w:rPr>
          <w:rFonts w:ascii="Arial" w:eastAsia="AdvTimes" w:hAnsi="Arial" w:cs="Arial"/>
          <w:sz w:val="26"/>
          <w:szCs w:val="26"/>
          <w:lang w:val="en-US"/>
        </w:rPr>
        <w:t xml:space="preserve"> </w:t>
      </w:r>
      <w:r w:rsidRPr="00E17E1F">
        <w:rPr>
          <w:rFonts w:ascii="Arial" w:hAnsi="Arial" w:cs="Arial"/>
          <w:sz w:val="26"/>
          <w:szCs w:val="26"/>
          <w:lang w:val="en-US"/>
        </w:rPr>
        <w:t>International Journal of Pharmaceutics 294: 261</w:t>
      </w:r>
    </w:p>
    <w:p w:rsidR="00387A07" w:rsidRPr="00E17E1F" w:rsidRDefault="00387A07" w:rsidP="00387A07">
      <w:pPr>
        <w:spacing w:after="0" w:line="360" w:lineRule="auto"/>
        <w:jc w:val="both"/>
        <w:rPr>
          <w:rFonts w:ascii="Arial" w:eastAsia="AdvTimes" w:hAnsi="Arial" w:cs="Arial"/>
          <w:sz w:val="26"/>
          <w:szCs w:val="26"/>
          <w:lang w:val="en-US"/>
        </w:rPr>
      </w:pPr>
      <w:r w:rsidRPr="00E17E1F">
        <w:rPr>
          <w:rFonts w:ascii="Arial" w:hAnsi="Arial" w:cs="Arial"/>
          <w:sz w:val="26"/>
          <w:szCs w:val="26"/>
          <w:lang w:val="en-US"/>
        </w:rPr>
        <w:t xml:space="preserve">[9] Kim D. et Al. </w:t>
      </w:r>
      <w:r w:rsidRPr="00E17E1F">
        <w:rPr>
          <w:rFonts w:ascii="Arial" w:hAnsi="Arial" w:cs="Arial"/>
          <w:b/>
          <w:sz w:val="26"/>
          <w:szCs w:val="26"/>
          <w:lang w:val="en-US"/>
        </w:rPr>
        <w:t>2006</w:t>
      </w:r>
      <w:r w:rsidRPr="00E17E1F">
        <w:rPr>
          <w:rFonts w:ascii="Arial" w:hAnsi="Arial" w:cs="Arial"/>
          <w:sz w:val="26"/>
          <w:szCs w:val="26"/>
          <w:lang w:val="en-US"/>
        </w:rPr>
        <w:t xml:space="preserve"> </w:t>
      </w:r>
      <w:r w:rsidRPr="00E17E1F">
        <w:rPr>
          <w:rFonts w:ascii="Arial" w:eastAsia="AdvTimes" w:hAnsi="Arial" w:cs="Arial"/>
          <w:sz w:val="26"/>
          <w:szCs w:val="26"/>
          <w:lang w:val="en-US"/>
        </w:rPr>
        <w:t>Biomaterials 27: 3031</w:t>
      </w:r>
    </w:p>
    <w:p w:rsidR="00387A07" w:rsidRPr="00E17E1F" w:rsidRDefault="00387A07" w:rsidP="00387A07">
      <w:pPr>
        <w:spacing w:after="0" w:line="360" w:lineRule="auto"/>
        <w:jc w:val="both"/>
        <w:rPr>
          <w:rFonts w:ascii="Arial" w:hAnsi="Arial" w:cs="Arial"/>
          <w:sz w:val="26"/>
          <w:szCs w:val="26"/>
          <w:lang w:val="en-US"/>
        </w:rPr>
      </w:pPr>
      <w:r w:rsidRPr="00E17E1F">
        <w:rPr>
          <w:rFonts w:ascii="Arial" w:eastAsia="AdvTimes" w:hAnsi="Arial" w:cs="Arial"/>
          <w:sz w:val="26"/>
          <w:szCs w:val="26"/>
          <w:lang w:val="en-US"/>
        </w:rPr>
        <w:t>[10]</w:t>
      </w:r>
      <w:r w:rsidRPr="00E17E1F">
        <w:rPr>
          <w:rFonts w:ascii="Arial" w:hAnsi="Arial" w:cs="Arial"/>
          <w:sz w:val="26"/>
          <w:szCs w:val="26"/>
          <w:lang w:val="en-US"/>
        </w:rPr>
        <w:t xml:space="preserve"> Fessi H. et Al. </w:t>
      </w:r>
      <w:r w:rsidRPr="00E17E1F">
        <w:rPr>
          <w:rFonts w:ascii="Arial" w:hAnsi="Arial" w:cs="Arial"/>
          <w:b/>
          <w:sz w:val="26"/>
          <w:szCs w:val="26"/>
          <w:lang w:val="en-US"/>
        </w:rPr>
        <w:t>1989</w:t>
      </w:r>
      <w:r w:rsidRPr="00E17E1F">
        <w:rPr>
          <w:rFonts w:ascii="Arial" w:hAnsi="Arial" w:cs="Arial"/>
          <w:sz w:val="26"/>
          <w:szCs w:val="26"/>
          <w:lang w:val="en-US"/>
        </w:rPr>
        <w:t xml:space="preserve"> Int. J. Pharm. 55: 25</w:t>
      </w:r>
    </w:p>
    <w:p w:rsidR="00387A07" w:rsidRPr="00E17E1F" w:rsidRDefault="00387A07" w:rsidP="00387A07">
      <w:pPr>
        <w:spacing w:after="0" w:line="360" w:lineRule="auto"/>
        <w:jc w:val="both"/>
        <w:rPr>
          <w:rFonts w:ascii="Arial" w:hAnsi="Arial" w:cs="Arial"/>
          <w:color w:val="131413"/>
          <w:sz w:val="26"/>
          <w:szCs w:val="26"/>
          <w:lang w:val="en-US"/>
        </w:rPr>
      </w:pPr>
      <w:r w:rsidRPr="00E17E1F">
        <w:rPr>
          <w:rFonts w:ascii="Arial" w:hAnsi="Arial" w:cs="Arial"/>
          <w:sz w:val="26"/>
          <w:szCs w:val="26"/>
          <w:lang w:val="en-US"/>
        </w:rPr>
        <w:t xml:space="preserve">[11] </w:t>
      </w:r>
      <w:r w:rsidRPr="00E17E1F">
        <w:rPr>
          <w:rFonts w:ascii="Arial" w:hAnsi="Arial" w:cs="Arial"/>
          <w:color w:val="131413"/>
          <w:sz w:val="26"/>
          <w:szCs w:val="26"/>
          <w:lang w:val="en-US"/>
        </w:rPr>
        <w:t xml:space="preserve">Deshpande D. et Al. </w:t>
      </w:r>
      <w:r w:rsidRPr="00E17E1F">
        <w:rPr>
          <w:rFonts w:ascii="Arial" w:hAnsi="Arial" w:cs="Arial"/>
          <w:b/>
          <w:color w:val="131413"/>
          <w:sz w:val="26"/>
          <w:szCs w:val="26"/>
          <w:lang w:val="en-US"/>
        </w:rPr>
        <w:t>2008</w:t>
      </w:r>
      <w:r w:rsidRPr="00E17E1F">
        <w:rPr>
          <w:rFonts w:ascii="Arial" w:hAnsi="Arial" w:cs="Arial"/>
          <w:color w:val="131413"/>
          <w:sz w:val="26"/>
          <w:szCs w:val="26"/>
          <w:lang w:val="en-US"/>
        </w:rPr>
        <w:t xml:space="preserve">  Pharmaceutical Research 25: 1936</w:t>
      </w:r>
    </w:p>
    <w:p w:rsidR="00387A07" w:rsidRPr="00E17E1F" w:rsidRDefault="00387A07" w:rsidP="00387A07">
      <w:pPr>
        <w:spacing w:after="0" w:line="360" w:lineRule="auto"/>
        <w:jc w:val="both"/>
        <w:rPr>
          <w:rFonts w:ascii="Arial" w:hAnsi="Arial" w:cs="Arial"/>
          <w:color w:val="131413"/>
          <w:sz w:val="26"/>
          <w:szCs w:val="26"/>
          <w:lang w:val="en-US"/>
        </w:rPr>
      </w:pPr>
      <w:r w:rsidRPr="00E17E1F">
        <w:rPr>
          <w:rFonts w:ascii="Arial" w:hAnsi="Arial" w:cs="Arial"/>
          <w:color w:val="131413"/>
          <w:sz w:val="26"/>
          <w:szCs w:val="26"/>
          <w:lang w:val="en-US"/>
        </w:rPr>
        <w:t xml:space="preserve">[12] Chawla J.S. et Al. </w:t>
      </w:r>
      <w:r w:rsidRPr="00E17E1F">
        <w:rPr>
          <w:rFonts w:ascii="Arial" w:hAnsi="Arial" w:cs="Arial"/>
          <w:b/>
          <w:color w:val="131413"/>
          <w:sz w:val="26"/>
          <w:szCs w:val="26"/>
          <w:lang w:val="en-US"/>
        </w:rPr>
        <w:t>2002</w:t>
      </w:r>
      <w:r w:rsidRPr="00E17E1F">
        <w:rPr>
          <w:rFonts w:ascii="Arial" w:hAnsi="Arial" w:cs="Arial"/>
          <w:color w:val="131413"/>
          <w:sz w:val="26"/>
          <w:szCs w:val="26"/>
          <w:lang w:val="en-US"/>
        </w:rPr>
        <w:t xml:space="preserve"> </w:t>
      </w:r>
      <w:r w:rsidRPr="00E17E1F">
        <w:rPr>
          <w:rFonts w:ascii="Arial" w:hAnsi="Arial" w:cs="Arial"/>
          <w:color w:val="000000"/>
          <w:sz w:val="26"/>
          <w:szCs w:val="26"/>
          <w:lang w:val="en-US"/>
        </w:rPr>
        <w:t>Int. J. Pharm. 249: 127</w:t>
      </w:r>
    </w:p>
    <w:p w:rsidR="00387A07" w:rsidRPr="00E17E1F" w:rsidRDefault="00387A07" w:rsidP="00387A07">
      <w:pPr>
        <w:spacing w:after="0" w:line="360" w:lineRule="auto"/>
        <w:jc w:val="both"/>
        <w:rPr>
          <w:rFonts w:ascii="Arial" w:hAnsi="Arial" w:cs="Arial"/>
          <w:sz w:val="26"/>
          <w:szCs w:val="26"/>
          <w:lang w:val="it-IT"/>
        </w:rPr>
      </w:pPr>
      <w:r w:rsidRPr="00E17E1F">
        <w:rPr>
          <w:rFonts w:ascii="Arial" w:hAnsi="Arial" w:cs="Arial"/>
          <w:color w:val="131413"/>
          <w:sz w:val="26"/>
          <w:szCs w:val="26"/>
          <w:lang w:val="en-US"/>
        </w:rPr>
        <w:lastRenderedPageBreak/>
        <w:t xml:space="preserve">[13] Leo E. et Al. </w:t>
      </w:r>
      <w:r w:rsidRPr="00E17E1F">
        <w:rPr>
          <w:rFonts w:ascii="Arial" w:hAnsi="Arial" w:cs="Arial"/>
          <w:b/>
          <w:color w:val="131413"/>
          <w:sz w:val="26"/>
          <w:szCs w:val="26"/>
          <w:lang w:val="en-US"/>
        </w:rPr>
        <w:t>2004</w:t>
      </w:r>
      <w:r w:rsidRPr="00E17E1F">
        <w:rPr>
          <w:rFonts w:ascii="Arial" w:hAnsi="Arial" w:cs="Arial"/>
          <w:color w:val="131413"/>
          <w:sz w:val="26"/>
          <w:szCs w:val="26"/>
          <w:lang w:val="en-US"/>
        </w:rPr>
        <w:t xml:space="preserve"> </w:t>
      </w:r>
      <w:r w:rsidRPr="00E17E1F">
        <w:rPr>
          <w:rFonts w:ascii="Arial" w:hAnsi="Arial" w:cs="Arial"/>
          <w:sz w:val="26"/>
          <w:szCs w:val="26"/>
          <w:lang w:val="en-US"/>
        </w:rPr>
        <w:t xml:space="preserve">Int. J. Pharm. </w:t>
      </w:r>
      <w:r w:rsidRPr="00E17E1F">
        <w:rPr>
          <w:rFonts w:ascii="Arial" w:hAnsi="Arial" w:cs="Arial"/>
          <w:sz w:val="26"/>
          <w:szCs w:val="26"/>
          <w:lang w:val="it-IT"/>
        </w:rPr>
        <w:t>278: 133</w:t>
      </w:r>
    </w:p>
    <w:p w:rsidR="00387A07" w:rsidRPr="00E17E1F" w:rsidRDefault="00387A07" w:rsidP="00387A07">
      <w:pPr>
        <w:pStyle w:val="NormaleWeb"/>
        <w:spacing w:before="0" w:beforeAutospacing="0" w:after="0" w:afterAutospacing="0" w:line="360" w:lineRule="auto"/>
        <w:jc w:val="both"/>
        <w:rPr>
          <w:rFonts w:ascii="Arial" w:hAnsi="Arial" w:cs="Arial"/>
          <w:sz w:val="26"/>
          <w:szCs w:val="26"/>
        </w:rPr>
      </w:pPr>
      <w:r w:rsidRPr="00E17E1F">
        <w:rPr>
          <w:rFonts w:ascii="Arial" w:hAnsi="Arial" w:cs="Arial"/>
          <w:sz w:val="26"/>
          <w:szCs w:val="26"/>
        </w:rPr>
        <w:t xml:space="preserve">[14] Vozzi G. et Al. </w:t>
      </w:r>
      <w:r w:rsidRPr="00E17E1F">
        <w:rPr>
          <w:rFonts w:ascii="Arial" w:hAnsi="Arial" w:cs="Arial"/>
          <w:b/>
          <w:sz w:val="26"/>
          <w:szCs w:val="26"/>
        </w:rPr>
        <w:t>2008</w:t>
      </w:r>
      <w:r w:rsidRPr="00E17E1F">
        <w:rPr>
          <w:rFonts w:ascii="Arial" w:hAnsi="Arial" w:cs="Arial"/>
          <w:sz w:val="26"/>
          <w:szCs w:val="26"/>
        </w:rPr>
        <w:t xml:space="preserve"> Macromol. Biosci. 8:60</w:t>
      </w:r>
    </w:p>
    <w:p w:rsidR="00387A07" w:rsidRPr="00E17E1F" w:rsidRDefault="00387A07" w:rsidP="00387A07">
      <w:pPr>
        <w:pStyle w:val="NormaleWeb"/>
        <w:spacing w:before="0" w:beforeAutospacing="0" w:after="0" w:afterAutospacing="0" w:line="360" w:lineRule="auto"/>
        <w:jc w:val="both"/>
        <w:rPr>
          <w:rFonts w:ascii="Arial" w:hAnsi="Arial" w:cs="Arial"/>
        </w:rPr>
      </w:pPr>
      <w:r w:rsidRPr="00E17E1F">
        <w:rPr>
          <w:rFonts w:ascii="Arial" w:hAnsi="Arial" w:cs="Arial"/>
        </w:rPr>
        <w:t xml:space="preserve">[15] Zanetti-Ramos B. et al </w:t>
      </w:r>
      <w:r w:rsidRPr="00E17E1F">
        <w:rPr>
          <w:rFonts w:ascii="Arial" w:hAnsi="Arial" w:cs="Arial"/>
          <w:b/>
        </w:rPr>
        <w:t>2006</w:t>
      </w:r>
      <w:r w:rsidRPr="00E17E1F">
        <w:rPr>
          <w:rFonts w:ascii="Arial" w:hAnsi="Arial" w:cs="Arial"/>
        </w:rPr>
        <w:t xml:space="preserve"> polymer 47:8080</w:t>
      </w:r>
    </w:p>
    <w:p w:rsidR="00387A07" w:rsidRPr="00E17E1F" w:rsidRDefault="00387A07" w:rsidP="00387A07">
      <w:pPr>
        <w:pStyle w:val="NormaleWeb"/>
        <w:spacing w:before="0" w:beforeAutospacing="0" w:after="0" w:afterAutospacing="0" w:line="360" w:lineRule="auto"/>
        <w:jc w:val="both"/>
        <w:rPr>
          <w:rFonts w:ascii="Arial" w:hAnsi="Arial" w:cs="Arial"/>
          <w:sz w:val="26"/>
          <w:szCs w:val="26"/>
        </w:rPr>
      </w:pPr>
      <w:r w:rsidRPr="00E17E1F">
        <w:rPr>
          <w:rFonts w:ascii="Arial" w:hAnsi="Arial" w:cs="Arial"/>
        </w:rPr>
        <w:t xml:space="preserve">[16] Zanetti-Ramos B. et al </w:t>
      </w:r>
      <w:r w:rsidRPr="00E17E1F">
        <w:rPr>
          <w:rFonts w:ascii="Arial" w:hAnsi="Arial" w:cs="Arial"/>
          <w:b/>
        </w:rPr>
        <w:t>2008</w:t>
      </w:r>
      <w:r w:rsidRPr="00E17E1F">
        <w:rPr>
          <w:rFonts w:ascii="Arial" w:hAnsi="Arial" w:cs="Arial"/>
        </w:rPr>
        <w:t xml:space="preserve"> Mat Sci Eng 28:526</w:t>
      </w:r>
    </w:p>
    <w:p w:rsidR="00387A07" w:rsidRPr="00E17E1F" w:rsidRDefault="00387A07" w:rsidP="00387A07">
      <w:pPr>
        <w:spacing w:after="0" w:line="360" w:lineRule="auto"/>
        <w:jc w:val="both"/>
        <w:rPr>
          <w:rFonts w:ascii="Arial" w:hAnsi="Arial" w:cs="Arial"/>
          <w:sz w:val="26"/>
          <w:szCs w:val="26"/>
          <w:lang w:val="en-US"/>
        </w:rPr>
      </w:pPr>
      <w:r w:rsidRPr="00E17E1F">
        <w:rPr>
          <w:rFonts w:ascii="Arial" w:hAnsi="Arial" w:cs="Arial"/>
          <w:sz w:val="26"/>
          <w:szCs w:val="26"/>
          <w:lang w:val="en-US"/>
        </w:rPr>
        <w:t>[17]</w:t>
      </w:r>
      <w:r w:rsidRPr="00E17E1F">
        <w:rPr>
          <w:rFonts w:ascii="TimesNRMT" w:hAnsi="TimesNRMT" w:cs="TimesNRMT"/>
          <w:sz w:val="24"/>
          <w:szCs w:val="24"/>
          <w:lang w:val="en-US"/>
        </w:rPr>
        <w:t xml:space="preserve"> </w:t>
      </w:r>
      <w:r w:rsidRPr="00E17E1F">
        <w:rPr>
          <w:rFonts w:ascii="Arial" w:hAnsi="Arial" w:cs="Arial"/>
          <w:sz w:val="26"/>
          <w:szCs w:val="26"/>
          <w:lang w:val="en-US"/>
        </w:rPr>
        <w:t xml:space="preserve">Panchagnula R. </w:t>
      </w:r>
      <w:r w:rsidRPr="00E17E1F">
        <w:rPr>
          <w:rFonts w:ascii="Arial" w:hAnsi="Arial" w:cs="Arial"/>
          <w:b/>
          <w:sz w:val="26"/>
          <w:szCs w:val="26"/>
          <w:lang w:val="en-US"/>
        </w:rPr>
        <w:t>1998</w:t>
      </w:r>
      <w:r w:rsidRPr="00E17E1F">
        <w:rPr>
          <w:rFonts w:ascii="Arial" w:hAnsi="Arial" w:cs="Arial"/>
          <w:sz w:val="26"/>
          <w:szCs w:val="26"/>
          <w:lang w:val="en-US"/>
        </w:rPr>
        <w:t xml:space="preserve"> Int. J. Pharm. 172: 1</w:t>
      </w:r>
    </w:p>
    <w:p w:rsidR="00387A07" w:rsidRPr="00E17E1F" w:rsidRDefault="00387A07" w:rsidP="00387A07">
      <w:pPr>
        <w:spacing w:after="0" w:line="360" w:lineRule="auto"/>
        <w:jc w:val="both"/>
        <w:rPr>
          <w:rFonts w:ascii="Arial" w:hAnsi="Arial" w:cs="Arial"/>
          <w:sz w:val="26"/>
          <w:szCs w:val="26"/>
          <w:lang w:val="en-US"/>
        </w:rPr>
      </w:pPr>
      <w:r w:rsidRPr="00E17E1F">
        <w:rPr>
          <w:rFonts w:ascii="Arial" w:hAnsi="Arial" w:cs="Arial"/>
          <w:sz w:val="26"/>
          <w:szCs w:val="26"/>
          <w:lang w:val="en-US"/>
        </w:rPr>
        <w:t xml:space="preserve">[18] Wenk M.R. et Al. </w:t>
      </w:r>
      <w:r w:rsidRPr="00E17E1F">
        <w:rPr>
          <w:rFonts w:ascii="Arial" w:hAnsi="Arial" w:cs="Arial"/>
          <w:b/>
          <w:sz w:val="26"/>
          <w:szCs w:val="26"/>
          <w:lang w:val="en-US"/>
        </w:rPr>
        <w:t>1996</w:t>
      </w:r>
      <w:r w:rsidRPr="00E17E1F">
        <w:rPr>
          <w:rFonts w:ascii="Arial" w:hAnsi="Arial" w:cs="Arial"/>
          <w:sz w:val="26"/>
          <w:szCs w:val="26"/>
          <w:lang w:val="en-US"/>
        </w:rPr>
        <w:t xml:space="preserve"> Journal of Pharmaceutical Sciences 85: 228</w:t>
      </w:r>
    </w:p>
    <w:p w:rsidR="00387A07" w:rsidRPr="00E17E1F" w:rsidRDefault="00387A07" w:rsidP="00387A07">
      <w:pPr>
        <w:spacing w:after="0" w:line="360" w:lineRule="auto"/>
        <w:jc w:val="both"/>
        <w:rPr>
          <w:rFonts w:ascii="Arial" w:hAnsi="Arial" w:cs="Arial"/>
          <w:sz w:val="26"/>
          <w:szCs w:val="26"/>
          <w:lang w:val="en-US"/>
        </w:rPr>
      </w:pPr>
      <w:r w:rsidRPr="00E17E1F">
        <w:rPr>
          <w:rFonts w:ascii="Arial" w:hAnsi="Arial" w:cs="Arial"/>
          <w:sz w:val="26"/>
          <w:szCs w:val="26"/>
          <w:lang w:val="en-US"/>
        </w:rPr>
        <w:t xml:space="preserve">[19] Fang J. et Al. </w:t>
      </w:r>
      <w:r w:rsidRPr="00E17E1F">
        <w:rPr>
          <w:rFonts w:ascii="Arial" w:hAnsi="Arial" w:cs="Arial"/>
          <w:b/>
          <w:sz w:val="26"/>
          <w:szCs w:val="26"/>
          <w:lang w:val="en-US"/>
        </w:rPr>
        <w:t xml:space="preserve">2011 </w:t>
      </w:r>
      <w:r w:rsidRPr="00E17E1F">
        <w:rPr>
          <w:rFonts w:ascii="Arial" w:hAnsi="Arial" w:cs="Arial"/>
          <w:sz w:val="26"/>
          <w:szCs w:val="26"/>
          <w:lang w:val="en-US"/>
        </w:rPr>
        <w:t>Advanced Drug Delivery Reviews 63:136</w:t>
      </w:r>
    </w:p>
    <w:p w:rsidR="00387A07" w:rsidRPr="00E17E1F" w:rsidRDefault="00387A07" w:rsidP="00387A07">
      <w:pPr>
        <w:spacing w:after="0" w:line="360" w:lineRule="auto"/>
        <w:jc w:val="both"/>
        <w:rPr>
          <w:rFonts w:ascii="Arial" w:hAnsi="Arial" w:cs="Arial"/>
          <w:sz w:val="26"/>
          <w:szCs w:val="26"/>
          <w:lang w:val="en-US"/>
        </w:rPr>
      </w:pPr>
      <w:r w:rsidRPr="00E17E1F">
        <w:rPr>
          <w:rFonts w:ascii="Arial" w:hAnsi="Arial" w:cs="Arial"/>
          <w:sz w:val="24"/>
          <w:szCs w:val="24"/>
          <w:lang w:val="en-US"/>
        </w:rPr>
        <w:t xml:space="preserve">[20] </w:t>
      </w:r>
      <w:r w:rsidRPr="00E17E1F">
        <w:rPr>
          <w:rFonts w:ascii="Arial" w:hAnsi="Arial" w:cs="Arial"/>
          <w:sz w:val="24"/>
          <w:szCs w:val="24"/>
        </w:rPr>
        <w:t xml:space="preserve">Y. Fukumori et Al. </w:t>
      </w:r>
      <w:r w:rsidRPr="00E17E1F">
        <w:rPr>
          <w:rFonts w:ascii="Arial" w:hAnsi="Arial" w:cs="Arial"/>
          <w:b/>
          <w:sz w:val="24"/>
          <w:szCs w:val="24"/>
        </w:rPr>
        <w:t>2006</w:t>
      </w:r>
      <w:r w:rsidRPr="00E17E1F">
        <w:rPr>
          <w:rFonts w:ascii="Arial" w:hAnsi="Arial" w:cs="Arial"/>
          <w:sz w:val="24"/>
          <w:szCs w:val="24"/>
        </w:rPr>
        <w:t xml:space="preserve"> Advanced Powder Technol. </w:t>
      </w:r>
      <w:r w:rsidRPr="00E17E1F">
        <w:rPr>
          <w:rFonts w:ascii="Arial" w:hAnsi="Arial" w:cs="Arial"/>
          <w:sz w:val="24"/>
          <w:szCs w:val="24"/>
          <w:lang w:val="en-US"/>
        </w:rPr>
        <w:t>17:1</w:t>
      </w:r>
    </w:p>
    <w:p w:rsidR="00387A07" w:rsidRPr="00E17E1F" w:rsidRDefault="00387A07" w:rsidP="00387A07">
      <w:pPr>
        <w:spacing w:after="0" w:line="360" w:lineRule="auto"/>
        <w:jc w:val="both"/>
        <w:rPr>
          <w:rFonts w:ascii="Arial" w:hAnsi="Arial" w:cs="Arial"/>
          <w:sz w:val="26"/>
          <w:szCs w:val="26"/>
          <w:lang w:val="en-US"/>
        </w:rPr>
      </w:pPr>
      <w:r w:rsidRPr="00E17E1F">
        <w:rPr>
          <w:rFonts w:ascii="Arial" w:hAnsi="Arial" w:cs="Arial"/>
          <w:sz w:val="26"/>
          <w:szCs w:val="26"/>
          <w:lang w:val="en-US"/>
        </w:rPr>
        <w:t xml:space="preserve">[21] </w:t>
      </w:r>
      <w:r w:rsidRPr="00E17E1F">
        <w:rPr>
          <w:rFonts w:ascii="Arial" w:hAnsi="Arial" w:cs="Arial"/>
          <w:sz w:val="24"/>
          <w:szCs w:val="24"/>
        </w:rPr>
        <w:t xml:space="preserve">I. Brigger et Al. </w:t>
      </w:r>
      <w:r w:rsidRPr="00E17E1F">
        <w:rPr>
          <w:rFonts w:ascii="Arial" w:hAnsi="Arial" w:cs="Arial"/>
          <w:b/>
          <w:sz w:val="24"/>
          <w:szCs w:val="24"/>
        </w:rPr>
        <w:t>2002</w:t>
      </w:r>
      <w:r w:rsidRPr="00E17E1F">
        <w:rPr>
          <w:rFonts w:ascii="Arial" w:hAnsi="Arial" w:cs="Arial"/>
          <w:sz w:val="24"/>
          <w:szCs w:val="24"/>
        </w:rPr>
        <w:t xml:space="preserve"> Advanced Drug Delivery Reviews 54:631</w:t>
      </w:r>
    </w:p>
    <w:p w:rsidR="00387A07" w:rsidRPr="00E17E1F" w:rsidRDefault="00387A07" w:rsidP="00387A07">
      <w:pPr>
        <w:pStyle w:val="NanotechReferences"/>
        <w:spacing w:line="360" w:lineRule="auto"/>
        <w:ind w:left="0" w:firstLine="0"/>
        <w:rPr>
          <w:rFonts w:ascii="Arial" w:hAnsi="Arial" w:cs="Arial"/>
          <w:sz w:val="26"/>
          <w:szCs w:val="26"/>
          <w:lang w:val="it-IT"/>
        </w:rPr>
      </w:pPr>
      <w:r w:rsidRPr="00E17E1F">
        <w:rPr>
          <w:rFonts w:ascii="Arial" w:hAnsi="Arial" w:cs="Arial"/>
          <w:sz w:val="26"/>
          <w:szCs w:val="26"/>
          <w:lang w:val="it-IT"/>
        </w:rPr>
        <w:t xml:space="preserve">[22] Cerrai P. et Al. </w:t>
      </w:r>
      <w:r w:rsidRPr="00E17E1F">
        <w:rPr>
          <w:rFonts w:ascii="Arial" w:hAnsi="Arial" w:cs="Arial"/>
          <w:b/>
          <w:sz w:val="26"/>
          <w:szCs w:val="26"/>
          <w:lang w:val="it-IT"/>
        </w:rPr>
        <w:t>1994</w:t>
      </w:r>
      <w:r w:rsidRPr="00E17E1F">
        <w:rPr>
          <w:rFonts w:ascii="Arial" w:hAnsi="Arial" w:cs="Arial"/>
          <w:sz w:val="26"/>
          <w:szCs w:val="26"/>
          <w:lang w:val="it-IT"/>
        </w:rPr>
        <w:t xml:space="preserve"> J. Mat. Sci. Mat. Med. 5: 33.</w:t>
      </w:r>
    </w:p>
    <w:p w:rsidR="00387A07" w:rsidRPr="00E17E1F" w:rsidRDefault="00387A07" w:rsidP="00387A07">
      <w:pPr>
        <w:pStyle w:val="NanotechReferences"/>
        <w:spacing w:line="360" w:lineRule="auto"/>
        <w:ind w:left="340" w:hanging="340"/>
        <w:rPr>
          <w:rFonts w:ascii="Arial" w:hAnsi="Arial" w:cs="Arial"/>
          <w:sz w:val="26"/>
          <w:szCs w:val="26"/>
        </w:rPr>
      </w:pPr>
      <w:r w:rsidRPr="00E17E1F">
        <w:rPr>
          <w:rFonts w:ascii="Arial" w:hAnsi="Arial" w:cs="Arial"/>
          <w:sz w:val="26"/>
          <w:szCs w:val="26"/>
        </w:rPr>
        <w:t>[23] Rechichi A. et Al.</w:t>
      </w:r>
      <w:r w:rsidRPr="00E17E1F">
        <w:rPr>
          <w:rFonts w:ascii="Arial" w:hAnsi="Arial" w:cs="Arial"/>
          <w:color w:val="241F20"/>
          <w:sz w:val="26"/>
          <w:szCs w:val="26"/>
        </w:rPr>
        <w:t xml:space="preserve"> </w:t>
      </w:r>
      <w:r w:rsidRPr="00E17E1F">
        <w:rPr>
          <w:rFonts w:ascii="Arial" w:hAnsi="Arial" w:cs="Arial"/>
          <w:b/>
          <w:sz w:val="26"/>
          <w:szCs w:val="26"/>
        </w:rPr>
        <w:t xml:space="preserve">2008 </w:t>
      </w:r>
      <w:r w:rsidRPr="00E17E1F">
        <w:rPr>
          <w:rFonts w:ascii="Arial" w:hAnsi="Arial" w:cs="Arial"/>
          <w:sz w:val="26"/>
          <w:szCs w:val="26"/>
        </w:rPr>
        <w:t xml:space="preserve">J. Biomedical Mat. Res. Part A 84: 847 </w:t>
      </w:r>
    </w:p>
    <w:p w:rsidR="00387A07" w:rsidRPr="00E17E1F" w:rsidRDefault="00387A07" w:rsidP="00387A07">
      <w:pPr>
        <w:pStyle w:val="NanotechReferences"/>
        <w:spacing w:line="360" w:lineRule="auto"/>
        <w:ind w:left="340" w:hanging="340"/>
        <w:rPr>
          <w:rFonts w:ascii="Arial" w:hAnsi="Arial" w:cs="Arial"/>
          <w:sz w:val="26"/>
          <w:szCs w:val="26"/>
          <w:lang w:val="it-IT"/>
        </w:rPr>
      </w:pPr>
      <w:r w:rsidRPr="00E17E1F">
        <w:rPr>
          <w:rFonts w:ascii="Arial" w:hAnsi="Arial" w:cs="Arial"/>
          <w:sz w:val="26"/>
          <w:szCs w:val="26"/>
          <w:lang w:val="it-IT"/>
        </w:rPr>
        <w:t xml:space="preserve">[24] Bogdanov B. et Al. </w:t>
      </w:r>
      <w:r w:rsidRPr="00E17E1F">
        <w:rPr>
          <w:rFonts w:ascii="Arial" w:hAnsi="Arial" w:cs="Arial"/>
          <w:b/>
          <w:sz w:val="26"/>
          <w:szCs w:val="26"/>
          <w:lang w:val="it-IT"/>
        </w:rPr>
        <w:t>1993</w:t>
      </w:r>
      <w:r w:rsidRPr="00E17E1F">
        <w:rPr>
          <w:rFonts w:ascii="Arial" w:hAnsi="Arial" w:cs="Arial"/>
          <w:sz w:val="26"/>
          <w:szCs w:val="26"/>
          <w:lang w:val="it-IT"/>
        </w:rPr>
        <w:t xml:space="preserve">  Polymer 40: 3171</w:t>
      </w:r>
    </w:p>
    <w:p w:rsidR="00387A07" w:rsidRPr="00E17E1F" w:rsidRDefault="00387A07" w:rsidP="00387A07">
      <w:pPr>
        <w:pStyle w:val="NanotechReferences"/>
        <w:spacing w:line="360" w:lineRule="auto"/>
        <w:ind w:left="340" w:hanging="340"/>
        <w:rPr>
          <w:rFonts w:ascii="Arial" w:hAnsi="Arial" w:cs="Arial"/>
          <w:sz w:val="26"/>
          <w:szCs w:val="26"/>
        </w:rPr>
      </w:pPr>
      <w:r w:rsidRPr="00E17E1F">
        <w:rPr>
          <w:rFonts w:ascii="Arial" w:hAnsi="Arial" w:cs="Arial"/>
          <w:sz w:val="26"/>
          <w:szCs w:val="26"/>
        </w:rPr>
        <w:t xml:space="preserve">[25] Penco M. et Al. </w:t>
      </w:r>
      <w:r w:rsidRPr="00E17E1F">
        <w:rPr>
          <w:rFonts w:ascii="Arial" w:hAnsi="Arial" w:cs="Arial"/>
          <w:b/>
          <w:sz w:val="26"/>
          <w:szCs w:val="26"/>
        </w:rPr>
        <w:t>2000</w:t>
      </w:r>
      <w:r w:rsidRPr="00E17E1F">
        <w:rPr>
          <w:rFonts w:ascii="Arial" w:hAnsi="Arial" w:cs="Arial"/>
          <w:sz w:val="26"/>
          <w:szCs w:val="26"/>
        </w:rPr>
        <w:t xml:space="preserve"> European Polymer Journal 36: 901</w:t>
      </w:r>
    </w:p>
    <w:p w:rsidR="00387A07" w:rsidRPr="00E17E1F" w:rsidRDefault="00387A07" w:rsidP="00387A07">
      <w:pPr>
        <w:pStyle w:val="NanotechReferences"/>
        <w:spacing w:line="360" w:lineRule="auto"/>
        <w:ind w:left="340" w:hanging="340"/>
        <w:rPr>
          <w:rFonts w:ascii="Arial" w:hAnsi="Arial" w:cs="Arial"/>
          <w:sz w:val="26"/>
          <w:szCs w:val="26"/>
        </w:rPr>
      </w:pPr>
      <w:r w:rsidRPr="00E17E1F">
        <w:rPr>
          <w:rFonts w:ascii="Arial" w:hAnsi="Arial" w:cs="Arial"/>
          <w:sz w:val="26"/>
          <w:szCs w:val="26"/>
        </w:rPr>
        <w:t>[26]</w:t>
      </w:r>
      <w:r w:rsidRPr="00E17E1F">
        <w:t xml:space="preserve"> </w:t>
      </w:r>
      <w:r w:rsidRPr="00E17E1F">
        <w:rPr>
          <w:rFonts w:ascii="Arial" w:hAnsi="Arial" w:cs="Arial"/>
          <w:sz w:val="26"/>
          <w:szCs w:val="26"/>
        </w:rPr>
        <w:t xml:space="preserve">Kweon H. </w:t>
      </w:r>
      <w:r w:rsidRPr="00E17E1F">
        <w:rPr>
          <w:rFonts w:ascii="Arial" w:hAnsi="Arial" w:cs="Arial"/>
          <w:b/>
          <w:sz w:val="26"/>
          <w:szCs w:val="26"/>
        </w:rPr>
        <w:t>2003</w:t>
      </w:r>
      <w:r w:rsidRPr="00E17E1F">
        <w:rPr>
          <w:rFonts w:ascii="Arial" w:hAnsi="Arial" w:cs="Arial"/>
          <w:sz w:val="26"/>
          <w:szCs w:val="26"/>
        </w:rPr>
        <w:t xml:space="preserve"> Biomaterials 24: 801</w:t>
      </w:r>
    </w:p>
    <w:p w:rsidR="00387A07" w:rsidRPr="00E17E1F" w:rsidRDefault="00387A07" w:rsidP="00387A07">
      <w:pPr>
        <w:pStyle w:val="NanotechReferences"/>
        <w:spacing w:line="360" w:lineRule="auto"/>
        <w:ind w:left="340" w:hanging="340"/>
        <w:rPr>
          <w:rFonts w:ascii="Arial" w:hAnsi="Arial" w:cs="Arial"/>
          <w:sz w:val="26"/>
          <w:szCs w:val="26"/>
        </w:rPr>
      </w:pPr>
      <w:r w:rsidRPr="00E17E1F">
        <w:rPr>
          <w:rFonts w:ascii="Arial" w:hAnsi="Arial" w:cs="Arial"/>
          <w:sz w:val="26"/>
          <w:szCs w:val="26"/>
        </w:rPr>
        <w:t>[27] Marion G. et Al.</w:t>
      </w:r>
      <w:r w:rsidRPr="00E17E1F">
        <w:rPr>
          <w:rFonts w:ascii="OneGulliverA" w:hAnsi="OneGulliverA" w:cs="OneGulliverA"/>
          <w:sz w:val="21"/>
          <w:szCs w:val="21"/>
        </w:rPr>
        <w:t xml:space="preserve"> </w:t>
      </w:r>
      <w:r w:rsidRPr="00E17E1F">
        <w:rPr>
          <w:rFonts w:ascii="Arial" w:hAnsi="Arial" w:cs="Arial"/>
          <w:b/>
          <w:sz w:val="26"/>
          <w:szCs w:val="26"/>
        </w:rPr>
        <w:t>2008</w:t>
      </w:r>
      <w:r w:rsidRPr="00E17E1F">
        <w:rPr>
          <w:rFonts w:ascii="Arial" w:hAnsi="Arial" w:cs="Arial"/>
          <w:sz w:val="26"/>
          <w:szCs w:val="26"/>
        </w:rPr>
        <w:t xml:space="preserve"> International Journal of Pharmaceutics 363: 162</w:t>
      </w:r>
    </w:p>
    <w:p w:rsidR="00387A07" w:rsidRPr="00E17E1F" w:rsidRDefault="00387A07" w:rsidP="00387A07">
      <w:pPr>
        <w:pStyle w:val="NanotechReferences"/>
        <w:spacing w:line="360" w:lineRule="auto"/>
        <w:ind w:left="340" w:hanging="340"/>
        <w:rPr>
          <w:rFonts w:ascii="Arial" w:hAnsi="Arial" w:cs="Arial"/>
          <w:sz w:val="26"/>
          <w:szCs w:val="26"/>
        </w:rPr>
      </w:pPr>
      <w:r w:rsidRPr="00E17E1F">
        <w:rPr>
          <w:rFonts w:ascii="Arial" w:hAnsi="Arial" w:cs="Arial"/>
          <w:sz w:val="26"/>
          <w:szCs w:val="26"/>
        </w:rPr>
        <w:t xml:space="preserve">[28] Chen D.R. et Al. </w:t>
      </w:r>
      <w:r w:rsidRPr="00E17E1F">
        <w:rPr>
          <w:rFonts w:ascii="Arial" w:hAnsi="Arial" w:cs="Arial"/>
          <w:b/>
          <w:sz w:val="26"/>
          <w:szCs w:val="26"/>
        </w:rPr>
        <w:t>2000</w:t>
      </w:r>
      <w:r w:rsidRPr="00E17E1F">
        <w:rPr>
          <w:rFonts w:ascii="Arial" w:hAnsi="Arial" w:cs="Arial"/>
          <w:sz w:val="26"/>
          <w:szCs w:val="26"/>
        </w:rPr>
        <w:t xml:space="preserve"> Polymer Degradation and Stability 67: 455</w:t>
      </w:r>
    </w:p>
    <w:p w:rsidR="00387A07" w:rsidRPr="00E17E1F" w:rsidRDefault="00387A07" w:rsidP="00387A07">
      <w:pPr>
        <w:pStyle w:val="NormaleWeb"/>
        <w:spacing w:before="0" w:beforeAutospacing="0" w:after="0" w:afterAutospacing="0" w:line="360" w:lineRule="auto"/>
        <w:jc w:val="both"/>
        <w:rPr>
          <w:rFonts w:ascii="Arial" w:hAnsi="Arial" w:cs="Arial"/>
          <w:color w:val="141314"/>
          <w:sz w:val="26"/>
          <w:szCs w:val="26"/>
        </w:rPr>
      </w:pPr>
      <w:r w:rsidRPr="00E17E1F">
        <w:rPr>
          <w:rFonts w:ascii="Arial" w:hAnsi="Arial" w:cs="Arial"/>
          <w:color w:val="000000"/>
        </w:rPr>
        <w:t xml:space="preserve">[29] Martinotti at Al. Toxicology In Vitro </w:t>
      </w:r>
      <w:r w:rsidRPr="00E17E1F">
        <w:rPr>
          <w:rFonts w:ascii="Arial" w:hAnsi="Arial" w:cs="Arial"/>
          <w:b/>
          <w:color w:val="000000"/>
        </w:rPr>
        <w:t>in press</w:t>
      </w:r>
    </w:p>
    <w:p w:rsidR="00387A07" w:rsidRPr="00E17E1F" w:rsidRDefault="00387A07" w:rsidP="00387A07">
      <w:pPr>
        <w:pStyle w:val="NormaleWeb"/>
        <w:spacing w:before="0" w:beforeAutospacing="0" w:after="0" w:afterAutospacing="0" w:line="360" w:lineRule="auto"/>
        <w:jc w:val="both"/>
        <w:rPr>
          <w:rFonts w:ascii="Arial" w:hAnsi="Arial" w:cs="Arial"/>
          <w:lang w:val="en-US"/>
        </w:rPr>
      </w:pPr>
      <w:r w:rsidRPr="00E17E1F">
        <w:rPr>
          <w:rFonts w:ascii="Arial" w:hAnsi="Arial" w:cs="Arial"/>
          <w:color w:val="141314"/>
          <w:sz w:val="26"/>
          <w:szCs w:val="26"/>
          <w:lang w:val="en-US"/>
        </w:rPr>
        <w:t xml:space="preserve">[30] </w:t>
      </w:r>
      <w:r w:rsidRPr="00E17E1F">
        <w:rPr>
          <w:rFonts w:ascii="Arial" w:hAnsi="Arial" w:cs="Arial"/>
          <w:lang w:val="en-US"/>
        </w:rPr>
        <w:t xml:space="preserve">Chorny M. et Al. </w:t>
      </w:r>
      <w:r w:rsidRPr="00E17E1F">
        <w:rPr>
          <w:rFonts w:ascii="Arial" w:hAnsi="Arial" w:cs="Arial"/>
          <w:b/>
          <w:lang w:val="en-US"/>
        </w:rPr>
        <w:t>2002</w:t>
      </w:r>
      <w:r w:rsidRPr="00E17E1F">
        <w:rPr>
          <w:rFonts w:ascii="Arial" w:hAnsi="Arial" w:cs="Arial"/>
          <w:lang w:val="en-US"/>
        </w:rPr>
        <w:t xml:space="preserve"> J. Control. Rel. 83:389</w:t>
      </w:r>
    </w:p>
    <w:p w:rsidR="00387A07" w:rsidRPr="00E17E1F" w:rsidRDefault="00387A07" w:rsidP="00387A07">
      <w:pPr>
        <w:pStyle w:val="NormaleWeb"/>
        <w:spacing w:before="0" w:beforeAutospacing="0" w:after="0" w:afterAutospacing="0" w:line="360" w:lineRule="auto"/>
        <w:jc w:val="both"/>
        <w:rPr>
          <w:rFonts w:ascii="Arial" w:hAnsi="Arial" w:cs="Arial"/>
        </w:rPr>
      </w:pPr>
      <w:r w:rsidRPr="00E17E1F">
        <w:rPr>
          <w:rFonts w:ascii="Arial" w:hAnsi="Arial" w:cs="Arial"/>
          <w:lang w:val="en-US"/>
        </w:rPr>
        <w:t xml:space="preserve">[31] Thioune O. et Al. </w:t>
      </w:r>
      <w:r w:rsidRPr="00E17E1F">
        <w:rPr>
          <w:rFonts w:ascii="Arial" w:hAnsi="Arial" w:cs="Arial"/>
          <w:b/>
          <w:lang w:val="en-US"/>
        </w:rPr>
        <w:t>1997</w:t>
      </w:r>
      <w:r w:rsidRPr="00E17E1F">
        <w:rPr>
          <w:rFonts w:ascii="Arial" w:hAnsi="Arial" w:cs="Arial"/>
          <w:lang w:val="en-US"/>
        </w:rPr>
        <w:t xml:space="preserve"> Int. J. Pharm. </w:t>
      </w:r>
      <w:r w:rsidRPr="00E17E1F">
        <w:rPr>
          <w:rFonts w:ascii="Arial" w:hAnsi="Arial" w:cs="Arial"/>
        </w:rPr>
        <w:t>146:233</w:t>
      </w:r>
    </w:p>
    <w:p w:rsidR="00387A07" w:rsidRPr="00E17E1F" w:rsidRDefault="00387A07" w:rsidP="00387A07">
      <w:pPr>
        <w:pStyle w:val="NormaleWeb"/>
        <w:spacing w:before="0" w:beforeAutospacing="0" w:after="0" w:afterAutospacing="0" w:line="360" w:lineRule="auto"/>
        <w:jc w:val="both"/>
        <w:rPr>
          <w:rFonts w:ascii="Arial" w:hAnsi="Arial" w:cs="Arial"/>
          <w:lang w:val="en-US"/>
        </w:rPr>
      </w:pPr>
      <w:r w:rsidRPr="00E17E1F">
        <w:rPr>
          <w:rFonts w:ascii="Arial" w:hAnsi="Arial" w:cs="Arial"/>
        </w:rPr>
        <w:t xml:space="preserve">[32] Galindo-Rodriguez S. et Al. </w:t>
      </w:r>
      <w:r w:rsidRPr="00E17E1F">
        <w:rPr>
          <w:rFonts w:ascii="Arial" w:hAnsi="Arial" w:cs="Arial"/>
          <w:b/>
        </w:rPr>
        <w:t>2004</w:t>
      </w:r>
      <w:r w:rsidRPr="00E17E1F">
        <w:rPr>
          <w:rFonts w:ascii="Arial" w:hAnsi="Arial" w:cs="Arial"/>
        </w:rPr>
        <w:t xml:space="preserve"> Pharm. </w:t>
      </w:r>
      <w:r w:rsidRPr="00E17E1F">
        <w:rPr>
          <w:rFonts w:ascii="Arial" w:hAnsi="Arial" w:cs="Arial"/>
          <w:lang w:val="en-US"/>
        </w:rPr>
        <w:t>Res. 21:1428</w:t>
      </w:r>
    </w:p>
    <w:p w:rsidR="00387A07" w:rsidRPr="00E17E1F" w:rsidRDefault="00387A07" w:rsidP="00387A07">
      <w:pPr>
        <w:pStyle w:val="NormaleWeb"/>
        <w:spacing w:before="0" w:beforeAutospacing="0" w:after="0" w:afterAutospacing="0" w:line="360" w:lineRule="auto"/>
        <w:jc w:val="both"/>
        <w:rPr>
          <w:rFonts w:ascii="Arial" w:hAnsi="Arial" w:cs="Arial"/>
          <w:lang w:val="en-US"/>
        </w:rPr>
      </w:pPr>
      <w:r w:rsidRPr="00E17E1F">
        <w:rPr>
          <w:rFonts w:ascii="Arial" w:hAnsi="Arial" w:cs="Arial"/>
          <w:lang w:val="en-US"/>
        </w:rPr>
        <w:t xml:space="preserve">[33] Legrand P. et Al. </w:t>
      </w:r>
      <w:r w:rsidRPr="00E17E1F">
        <w:rPr>
          <w:rFonts w:ascii="Arial" w:hAnsi="Arial" w:cs="Arial"/>
          <w:b/>
          <w:lang w:val="en-US"/>
        </w:rPr>
        <w:t>2007</w:t>
      </w:r>
      <w:r w:rsidRPr="00E17E1F">
        <w:rPr>
          <w:rFonts w:ascii="Arial" w:hAnsi="Arial" w:cs="Arial"/>
          <w:lang w:val="en-US"/>
        </w:rPr>
        <w:t xml:space="preserve"> Int. J. Pharm. 344:33</w:t>
      </w:r>
    </w:p>
    <w:p w:rsidR="00387A07" w:rsidRPr="00E17E1F" w:rsidRDefault="00387A07" w:rsidP="00387A07">
      <w:pPr>
        <w:pStyle w:val="NormaleWeb"/>
        <w:spacing w:before="0" w:beforeAutospacing="0" w:after="0" w:afterAutospacing="0" w:line="360" w:lineRule="auto"/>
        <w:jc w:val="both"/>
        <w:rPr>
          <w:rFonts w:ascii="Arial" w:hAnsi="Arial" w:cs="Arial"/>
          <w:lang w:val="en-US"/>
        </w:rPr>
      </w:pPr>
      <w:r w:rsidRPr="00E17E1F">
        <w:rPr>
          <w:rFonts w:ascii="Arial" w:hAnsi="Arial" w:cs="Arial"/>
          <w:lang w:val="en-US"/>
        </w:rPr>
        <w:t>[34] Limayem Blouza I. et Al. 2006 Int. J. Pharm. 325:124</w:t>
      </w:r>
    </w:p>
    <w:p w:rsidR="00387A07" w:rsidRPr="00E17E1F" w:rsidRDefault="00387A07" w:rsidP="00387A07">
      <w:pPr>
        <w:pStyle w:val="NormaleWeb"/>
        <w:spacing w:before="0" w:beforeAutospacing="0" w:after="0" w:afterAutospacing="0" w:line="360" w:lineRule="auto"/>
        <w:jc w:val="both"/>
        <w:rPr>
          <w:rFonts w:ascii="Arial" w:eastAsia="AdvTimes" w:hAnsi="Arial" w:cs="Arial"/>
          <w:lang w:val="en-US"/>
        </w:rPr>
      </w:pPr>
      <w:r w:rsidRPr="00E17E1F">
        <w:rPr>
          <w:rFonts w:ascii="Arial" w:hAnsi="Arial" w:cs="Arial"/>
          <w:lang w:val="en-US"/>
        </w:rPr>
        <w:t xml:space="preserve">[35] </w:t>
      </w:r>
      <w:r w:rsidRPr="00E17E1F">
        <w:rPr>
          <w:rFonts w:ascii="Arial" w:hAnsi="Arial" w:cs="Arial"/>
          <w:bCs/>
          <w:lang w:val="en-US"/>
        </w:rPr>
        <w:t xml:space="preserve">Zavisova V. et Al. </w:t>
      </w:r>
      <w:r w:rsidRPr="00E17E1F">
        <w:rPr>
          <w:rFonts w:ascii="Arial" w:hAnsi="Arial" w:cs="Arial"/>
          <w:b/>
          <w:bCs/>
          <w:lang w:val="en-US"/>
        </w:rPr>
        <w:t xml:space="preserve">2007 </w:t>
      </w:r>
      <w:r w:rsidRPr="00E17E1F">
        <w:rPr>
          <w:rFonts w:ascii="Arial" w:eastAsia="AdvTimes" w:hAnsi="Arial" w:cs="Arial"/>
          <w:lang w:val="en-US"/>
        </w:rPr>
        <w:t>Journal of Magnetism and Magnetic Materials 311:379</w:t>
      </w:r>
    </w:p>
    <w:p w:rsidR="00387A07" w:rsidRPr="00E17E1F" w:rsidRDefault="00387A07" w:rsidP="00387A07">
      <w:pPr>
        <w:pStyle w:val="NormaleWeb"/>
        <w:spacing w:before="0" w:beforeAutospacing="0" w:after="0" w:afterAutospacing="0" w:line="360" w:lineRule="auto"/>
        <w:jc w:val="both"/>
        <w:rPr>
          <w:rFonts w:ascii="Arial" w:hAnsi="Arial" w:cs="Arial"/>
          <w:lang w:val="en-US"/>
        </w:rPr>
      </w:pPr>
      <w:r w:rsidRPr="00E17E1F">
        <w:rPr>
          <w:rFonts w:ascii="Arial" w:eastAsia="AdvTimes" w:hAnsi="Arial" w:cs="Arial"/>
          <w:lang w:val="en-US"/>
        </w:rPr>
        <w:t xml:space="preserve">[36] </w:t>
      </w:r>
      <w:r w:rsidRPr="00E17E1F">
        <w:rPr>
          <w:rFonts w:ascii="Arial" w:hAnsi="Arial" w:cs="Arial"/>
          <w:bCs/>
          <w:lang w:val="en-US"/>
        </w:rPr>
        <w:t>Lince F. et Al.</w:t>
      </w:r>
      <w:r w:rsidRPr="00E17E1F">
        <w:rPr>
          <w:rFonts w:ascii="Arial" w:hAnsi="Arial" w:cs="Arial"/>
          <w:b/>
          <w:bCs/>
          <w:lang w:val="en-US"/>
        </w:rPr>
        <w:t xml:space="preserve"> 2011 </w:t>
      </w:r>
      <w:r w:rsidRPr="00E17E1F">
        <w:rPr>
          <w:rFonts w:ascii="Arial" w:hAnsi="Arial" w:cs="Arial"/>
          <w:lang w:val="en-US"/>
        </w:rPr>
        <w:t>Chemical Engineering Research and Design 8 9:2410</w:t>
      </w:r>
    </w:p>
    <w:p w:rsidR="00387A07" w:rsidRPr="00E17E1F" w:rsidRDefault="00387A07" w:rsidP="00387A07">
      <w:pPr>
        <w:pStyle w:val="NormaleWeb"/>
        <w:spacing w:before="0" w:beforeAutospacing="0" w:after="0" w:afterAutospacing="0" w:line="360" w:lineRule="auto"/>
        <w:jc w:val="both"/>
        <w:rPr>
          <w:rFonts w:ascii="Arial" w:hAnsi="Arial" w:cs="Arial"/>
          <w:lang w:val="en-US"/>
        </w:rPr>
      </w:pPr>
      <w:r w:rsidRPr="00E17E1F">
        <w:rPr>
          <w:rFonts w:ascii="Arial" w:hAnsi="Arial" w:cs="Arial"/>
          <w:lang w:val="en-US"/>
        </w:rPr>
        <w:t xml:space="preserve">[37] Bosworth L. et Al. </w:t>
      </w:r>
      <w:r w:rsidRPr="00E17E1F">
        <w:rPr>
          <w:rFonts w:ascii="Arial" w:hAnsi="Arial" w:cs="Arial"/>
          <w:b/>
          <w:lang w:val="en-US"/>
        </w:rPr>
        <w:t>2010</w:t>
      </w:r>
      <w:r w:rsidRPr="00E17E1F">
        <w:rPr>
          <w:rFonts w:ascii="Arial" w:hAnsi="Arial" w:cs="Arial"/>
          <w:lang w:val="en-US"/>
        </w:rPr>
        <w:t xml:space="preserve"> Polymer Degradation and Stability 95:2269</w:t>
      </w:r>
    </w:p>
    <w:p w:rsidR="00387A07" w:rsidRPr="00E17E1F" w:rsidRDefault="00387A07" w:rsidP="00387A07">
      <w:pPr>
        <w:pStyle w:val="NormaleWeb"/>
        <w:spacing w:before="0" w:beforeAutospacing="0" w:after="0" w:afterAutospacing="0" w:line="360" w:lineRule="auto"/>
        <w:jc w:val="both"/>
        <w:rPr>
          <w:rFonts w:ascii="Arial" w:hAnsi="Arial" w:cs="Arial"/>
          <w:lang w:val="en-US"/>
        </w:rPr>
      </w:pPr>
      <w:r w:rsidRPr="00E17E1F">
        <w:rPr>
          <w:rFonts w:ascii="Arial" w:eastAsia="AdvTimes" w:hAnsi="Arial" w:cs="Arial"/>
          <w:lang w:val="en-US"/>
        </w:rPr>
        <w:t xml:space="preserve">[38] Woodruff M. et Al. </w:t>
      </w:r>
      <w:r w:rsidRPr="00E17E1F">
        <w:rPr>
          <w:rFonts w:ascii="Arial" w:eastAsia="AdvTimes" w:hAnsi="Arial" w:cs="Arial"/>
          <w:b/>
          <w:lang w:val="en-US"/>
        </w:rPr>
        <w:t>2010</w:t>
      </w:r>
      <w:r w:rsidRPr="00E17E1F">
        <w:rPr>
          <w:rFonts w:ascii="Arial" w:eastAsia="AdvTimes" w:hAnsi="Arial" w:cs="Arial"/>
          <w:lang w:val="en-US"/>
        </w:rPr>
        <w:t xml:space="preserve"> </w:t>
      </w:r>
      <w:r w:rsidRPr="00E17E1F">
        <w:rPr>
          <w:rFonts w:ascii="Arial" w:hAnsi="Arial" w:cs="Arial"/>
          <w:lang w:val="en-US"/>
        </w:rPr>
        <w:t>Polymer Degradation and Stability 95:2269</w:t>
      </w:r>
    </w:p>
    <w:p w:rsidR="00387A07" w:rsidRPr="00E17E1F" w:rsidRDefault="00387A07" w:rsidP="00387A07">
      <w:pPr>
        <w:pStyle w:val="NormaleWeb"/>
        <w:spacing w:before="0" w:beforeAutospacing="0" w:after="0" w:afterAutospacing="0" w:line="360" w:lineRule="auto"/>
        <w:jc w:val="both"/>
        <w:rPr>
          <w:rFonts w:ascii="Arial" w:hAnsi="Arial" w:cs="Arial"/>
          <w:lang w:val="en-US"/>
        </w:rPr>
      </w:pPr>
      <w:r w:rsidRPr="00E17E1F">
        <w:rPr>
          <w:rFonts w:ascii="Arial" w:hAnsi="Arial" w:cs="Arial"/>
          <w:lang w:val="en-US"/>
        </w:rPr>
        <w:t xml:space="preserve">[39] McDonald et al. </w:t>
      </w:r>
      <w:r w:rsidRPr="00E17E1F">
        <w:rPr>
          <w:rFonts w:ascii="Arial" w:hAnsi="Arial" w:cs="Arial"/>
          <w:b/>
          <w:lang w:val="en-US"/>
        </w:rPr>
        <w:t>1996</w:t>
      </w:r>
      <w:r w:rsidRPr="00E17E1F">
        <w:rPr>
          <w:rFonts w:ascii="Arial" w:hAnsi="Arial" w:cs="Arial"/>
          <w:lang w:val="en-US"/>
        </w:rPr>
        <w:t xml:space="preserve"> Macromolecules 29:7356</w:t>
      </w:r>
    </w:p>
    <w:p w:rsidR="00387A07" w:rsidRPr="00E17E1F" w:rsidRDefault="00387A07" w:rsidP="00387A07">
      <w:pPr>
        <w:pStyle w:val="NormaleWeb"/>
        <w:spacing w:before="0" w:beforeAutospacing="0" w:after="0" w:afterAutospacing="0" w:line="360" w:lineRule="auto"/>
        <w:jc w:val="both"/>
        <w:rPr>
          <w:rFonts w:ascii="Arial" w:hAnsi="Arial" w:cs="Arial"/>
        </w:rPr>
      </w:pPr>
      <w:r w:rsidRPr="00E17E1F">
        <w:rPr>
          <w:rFonts w:ascii="Arial" w:hAnsi="Arial" w:cs="Arial"/>
          <w:lang w:val="en-US"/>
        </w:rPr>
        <w:t xml:space="preserve">[40] Tsuji and Miyauchi </w:t>
      </w:r>
      <w:r w:rsidRPr="00E17E1F">
        <w:rPr>
          <w:rFonts w:ascii="Arial" w:hAnsi="Arial" w:cs="Arial"/>
          <w:b/>
          <w:lang w:val="en-US"/>
        </w:rPr>
        <w:t>2001</w:t>
      </w:r>
      <w:r w:rsidRPr="00E17E1F">
        <w:rPr>
          <w:rFonts w:ascii="Arial" w:hAnsi="Arial" w:cs="Arial"/>
          <w:lang w:val="en-US"/>
        </w:rPr>
        <w:t xml:space="preserve"> Polym. </w:t>
      </w:r>
      <w:r w:rsidRPr="00E17E1F">
        <w:rPr>
          <w:rFonts w:ascii="Arial" w:hAnsi="Arial" w:cs="Arial"/>
        </w:rPr>
        <w:t>Degrad. Stab. 71:415</w:t>
      </w:r>
    </w:p>
    <w:p w:rsidR="00387A07" w:rsidRPr="00E17E1F" w:rsidRDefault="00387A07" w:rsidP="00387A07">
      <w:pPr>
        <w:pStyle w:val="NormaleWeb"/>
        <w:spacing w:before="0" w:beforeAutospacing="0" w:after="0" w:afterAutospacing="0" w:line="360" w:lineRule="auto"/>
        <w:jc w:val="both"/>
        <w:rPr>
          <w:rFonts w:ascii="Arial" w:hAnsi="Arial" w:cs="Arial"/>
        </w:rPr>
      </w:pPr>
      <w:r w:rsidRPr="00E17E1F">
        <w:rPr>
          <w:rFonts w:ascii="Arial" w:hAnsi="Arial" w:cs="Arial"/>
        </w:rPr>
        <w:t xml:space="preserve">[41] Grizzi I. et Al. </w:t>
      </w:r>
      <w:r w:rsidRPr="00E17E1F">
        <w:rPr>
          <w:rFonts w:ascii="Arial" w:hAnsi="Arial" w:cs="Arial"/>
          <w:b/>
        </w:rPr>
        <w:t>1995</w:t>
      </w:r>
      <w:r w:rsidRPr="00E17E1F">
        <w:rPr>
          <w:rFonts w:ascii="Arial" w:hAnsi="Arial" w:cs="Arial"/>
        </w:rPr>
        <w:t xml:space="preserve"> Biomaterials 16: 305</w:t>
      </w:r>
    </w:p>
    <w:p w:rsidR="00387A07" w:rsidRPr="00E17E1F" w:rsidRDefault="00387A07" w:rsidP="00387A07">
      <w:pPr>
        <w:pStyle w:val="NormaleWeb"/>
        <w:spacing w:before="0" w:beforeAutospacing="0" w:after="0" w:afterAutospacing="0" w:line="360" w:lineRule="auto"/>
        <w:jc w:val="both"/>
        <w:rPr>
          <w:rFonts w:ascii="Arial" w:hAnsi="Arial" w:cs="Arial"/>
          <w:lang w:val="en-US"/>
        </w:rPr>
      </w:pPr>
      <w:r w:rsidRPr="00E17E1F">
        <w:rPr>
          <w:rFonts w:ascii="Arial" w:hAnsi="Arial" w:cs="Arial"/>
        </w:rPr>
        <w:t xml:space="preserve">[42]Li S.M. et Al. </w:t>
      </w:r>
      <w:r w:rsidRPr="00E17E1F">
        <w:rPr>
          <w:rFonts w:ascii="Arial" w:hAnsi="Arial" w:cs="Arial"/>
          <w:b/>
        </w:rPr>
        <w:t>1990</w:t>
      </w:r>
      <w:r w:rsidRPr="00E17E1F">
        <w:rPr>
          <w:rFonts w:ascii="Arial" w:hAnsi="Arial" w:cs="Arial"/>
        </w:rPr>
        <w:t xml:space="preserve"> J. Mater. </w:t>
      </w:r>
      <w:r w:rsidRPr="00E17E1F">
        <w:rPr>
          <w:rFonts w:ascii="Arial" w:hAnsi="Arial" w:cs="Arial"/>
          <w:lang w:val="en-US"/>
        </w:rPr>
        <w:t>Sci. Mater. Med. 1:198</w:t>
      </w:r>
    </w:p>
    <w:p w:rsidR="00387A07" w:rsidRPr="00E17E1F" w:rsidRDefault="00387A07" w:rsidP="00387A07">
      <w:pPr>
        <w:pStyle w:val="NormaleWeb"/>
        <w:spacing w:before="0" w:beforeAutospacing="0" w:after="0" w:afterAutospacing="0" w:line="360" w:lineRule="auto"/>
        <w:jc w:val="both"/>
        <w:rPr>
          <w:lang w:val="en-US"/>
        </w:rPr>
      </w:pPr>
      <w:r w:rsidRPr="00E17E1F">
        <w:rPr>
          <w:rFonts w:ascii="Arial" w:hAnsi="Arial" w:cs="Arial"/>
          <w:lang w:val="en-US"/>
        </w:rPr>
        <w:t xml:space="preserve">[43] C.S. Proikakis </w:t>
      </w:r>
      <w:r w:rsidRPr="00E17E1F">
        <w:rPr>
          <w:rFonts w:ascii="Arial" w:hAnsi="Arial" w:cs="Arial"/>
          <w:b/>
          <w:lang w:val="en-US"/>
        </w:rPr>
        <w:t>2006</w:t>
      </w:r>
      <w:r w:rsidRPr="00E17E1F">
        <w:rPr>
          <w:rFonts w:ascii="Arial" w:hAnsi="Arial" w:cs="Arial"/>
          <w:lang w:val="en-US"/>
        </w:rPr>
        <w:t xml:space="preserve"> Polymer Degradation and Stability 91:614</w:t>
      </w:r>
    </w:p>
    <w:p w:rsidR="00387A07" w:rsidRPr="00E17E1F" w:rsidRDefault="00387A07" w:rsidP="00387A07">
      <w:pPr>
        <w:pStyle w:val="NormaleWeb"/>
        <w:spacing w:before="0" w:beforeAutospacing="0" w:after="0" w:afterAutospacing="0" w:line="360" w:lineRule="auto"/>
        <w:jc w:val="both"/>
        <w:rPr>
          <w:rFonts w:ascii="Arial" w:hAnsi="Arial" w:cs="Arial"/>
          <w:sz w:val="26"/>
          <w:szCs w:val="26"/>
          <w:lang w:val="en-US"/>
        </w:rPr>
      </w:pPr>
      <w:r w:rsidRPr="00E17E1F">
        <w:rPr>
          <w:rFonts w:ascii="Arial" w:hAnsi="Arial" w:cs="Arial"/>
          <w:sz w:val="26"/>
          <w:szCs w:val="26"/>
          <w:lang w:val="en-US"/>
        </w:rPr>
        <w:t xml:space="preserve">[44] Zhang Z. </w:t>
      </w:r>
      <w:r w:rsidRPr="00E17E1F">
        <w:rPr>
          <w:rFonts w:ascii="Arial" w:hAnsi="Arial" w:cs="Arial"/>
          <w:b/>
          <w:sz w:val="26"/>
          <w:szCs w:val="26"/>
          <w:lang w:val="en-US"/>
        </w:rPr>
        <w:t>1994</w:t>
      </w:r>
      <w:r w:rsidRPr="00E17E1F">
        <w:rPr>
          <w:rFonts w:ascii="Arial" w:hAnsi="Arial" w:cs="Arial"/>
          <w:sz w:val="26"/>
          <w:szCs w:val="26"/>
          <w:lang w:val="en-US"/>
        </w:rPr>
        <w:t xml:space="preserve"> Biomaterials 15:1129</w:t>
      </w:r>
    </w:p>
    <w:p w:rsidR="00387A07" w:rsidRDefault="00387A07" w:rsidP="00387A07">
      <w:pPr>
        <w:pStyle w:val="NormaleWeb"/>
        <w:spacing w:before="0" w:beforeAutospacing="0" w:after="0" w:afterAutospacing="0" w:line="360" w:lineRule="auto"/>
        <w:jc w:val="both"/>
        <w:rPr>
          <w:rFonts w:ascii="Arial" w:eastAsia="AdvTimes" w:hAnsi="Arial" w:cs="Arial"/>
          <w:lang w:val="en-US"/>
        </w:rPr>
      </w:pPr>
      <w:r w:rsidRPr="00E17E1F">
        <w:rPr>
          <w:rFonts w:ascii="Arial" w:hAnsi="Arial" w:cs="Arial"/>
          <w:sz w:val="26"/>
          <w:szCs w:val="26"/>
          <w:lang w:val="en-US"/>
        </w:rPr>
        <w:lastRenderedPageBreak/>
        <w:t xml:space="preserve">[45] Gorna K. et Al </w:t>
      </w:r>
      <w:r w:rsidRPr="00E17E1F">
        <w:rPr>
          <w:rFonts w:ascii="Arial" w:hAnsi="Arial" w:cs="Arial"/>
          <w:b/>
          <w:sz w:val="26"/>
          <w:szCs w:val="26"/>
          <w:lang w:val="en-US"/>
        </w:rPr>
        <w:t>2002</w:t>
      </w:r>
      <w:r w:rsidRPr="00E17E1F">
        <w:rPr>
          <w:rFonts w:ascii="Arial" w:hAnsi="Arial" w:cs="Arial"/>
          <w:sz w:val="26"/>
          <w:szCs w:val="26"/>
          <w:lang w:val="en-US"/>
        </w:rPr>
        <w:t xml:space="preserve"> </w:t>
      </w:r>
      <w:r w:rsidRPr="00E17E1F">
        <w:rPr>
          <w:rFonts w:ascii="Arial" w:eastAsia="AdvTimes" w:hAnsi="Arial" w:cs="Arial"/>
          <w:lang w:val="en-US"/>
        </w:rPr>
        <w:t>Polymer Degradation and Stability 75:113</w:t>
      </w:r>
    </w:p>
    <w:p w:rsidR="00387A07" w:rsidRPr="00C41A52" w:rsidRDefault="00387A07" w:rsidP="00387A07">
      <w:pPr>
        <w:spacing w:line="360" w:lineRule="auto"/>
        <w:rPr>
          <w:rFonts w:ascii="Arial" w:hAnsi="Arial" w:cs="Arial"/>
          <w:b/>
          <w:sz w:val="120"/>
          <w:szCs w:val="120"/>
          <w:lang w:val="en-US"/>
        </w:rPr>
      </w:pPr>
    </w:p>
    <w:p w:rsidR="00387A07" w:rsidRDefault="00387A07">
      <w:pPr>
        <w:rPr>
          <w:lang w:val="en-US"/>
        </w:rPr>
      </w:pPr>
    </w:p>
    <w:p w:rsidR="00387A07" w:rsidRPr="00387A07" w:rsidRDefault="00387A07">
      <w:pPr>
        <w:rPr>
          <w:lang w:val="en-US"/>
        </w:rPr>
      </w:pPr>
    </w:p>
    <w:p w:rsidR="00387A07" w:rsidRDefault="00387A07"/>
    <w:p w:rsidR="00387A07" w:rsidRPr="00387A07" w:rsidRDefault="00387A07" w:rsidP="00387A07"/>
    <w:p w:rsidR="00387A07" w:rsidRPr="00387A07" w:rsidRDefault="00387A07" w:rsidP="00387A07"/>
    <w:p w:rsidR="00387A07" w:rsidRPr="00387A07" w:rsidRDefault="00387A07" w:rsidP="00387A07"/>
    <w:p w:rsidR="00387A07" w:rsidRPr="00387A07" w:rsidRDefault="00387A07" w:rsidP="00387A07"/>
    <w:p w:rsidR="00387A07" w:rsidRDefault="00387A07" w:rsidP="00387A07"/>
    <w:p w:rsidR="00387A07" w:rsidRDefault="00387A07" w:rsidP="00387A07">
      <w:pPr>
        <w:tabs>
          <w:tab w:val="left" w:pos="1785"/>
        </w:tabs>
      </w:pPr>
      <w:r>
        <w:tab/>
      </w: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Default="00387A07" w:rsidP="00387A07">
      <w:pPr>
        <w:tabs>
          <w:tab w:val="left" w:pos="1785"/>
        </w:tabs>
      </w:pPr>
    </w:p>
    <w:p w:rsidR="00387A07" w:rsidRPr="00E43E4A" w:rsidRDefault="00387A07" w:rsidP="00387A07">
      <w:pPr>
        <w:jc w:val="right"/>
        <w:rPr>
          <w:rFonts w:ascii="Arial" w:hAnsi="Arial" w:cs="Arial"/>
          <w:b/>
          <w:color w:val="002060"/>
          <w:sz w:val="24"/>
          <w:szCs w:val="24"/>
          <w:lang w:val="en-US"/>
        </w:rPr>
      </w:pPr>
      <w:r w:rsidRPr="00E43E4A">
        <w:rPr>
          <w:rFonts w:ascii="Arial" w:hAnsi="Arial" w:cs="Arial"/>
          <w:b/>
          <w:color w:val="002060"/>
          <w:sz w:val="124"/>
          <w:szCs w:val="124"/>
          <w:lang w:val="en-US"/>
        </w:rPr>
        <w:t>Chapter 3</w:t>
      </w:r>
    </w:p>
    <w:p w:rsidR="00387A07" w:rsidRDefault="00387A07" w:rsidP="00387A07">
      <w:pPr>
        <w:spacing w:line="360" w:lineRule="auto"/>
        <w:jc w:val="right"/>
        <w:rPr>
          <w:rFonts w:ascii="Arial" w:hAnsi="Arial" w:cs="Arial"/>
          <w:b/>
          <w:sz w:val="50"/>
          <w:szCs w:val="50"/>
          <w:lang w:val="en-US"/>
        </w:rPr>
      </w:pPr>
    </w:p>
    <w:p w:rsidR="00387A07" w:rsidRPr="00353D75" w:rsidRDefault="00387A07" w:rsidP="00387A07">
      <w:pPr>
        <w:spacing w:line="360" w:lineRule="auto"/>
        <w:jc w:val="right"/>
        <w:rPr>
          <w:rFonts w:ascii="Arial" w:hAnsi="Arial" w:cs="Arial"/>
          <w:b/>
          <w:sz w:val="50"/>
          <w:szCs w:val="50"/>
          <w:lang w:val="en-US"/>
        </w:rPr>
      </w:pPr>
      <w:r>
        <w:rPr>
          <w:rFonts w:ascii="Arial" w:hAnsi="Arial" w:cs="Arial"/>
          <w:b/>
          <w:sz w:val="50"/>
          <w:szCs w:val="50"/>
          <w:lang w:val="en-US"/>
        </w:rPr>
        <w:t>Novel biodegradable n</w:t>
      </w:r>
      <w:r w:rsidRPr="00353D75">
        <w:rPr>
          <w:rFonts w:ascii="Arial" w:hAnsi="Arial" w:cs="Arial"/>
          <w:b/>
          <w:sz w:val="50"/>
          <w:szCs w:val="50"/>
          <w:lang w:val="en-US"/>
        </w:rPr>
        <w:t xml:space="preserve">anoparticles </w:t>
      </w:r>
    </w:p>
    <w:p w:rsidR="00387A07" w:rsidRDefault="00387A07" w:rsidP="00387A07">
      <w:pPr>
        <w:spacing w:line="360" w:lineRule="auto"/>
        <w:jc w:val="right"/>
        <w:rPr>
          <w:rFonts w:ascii="Arial" w:hAnsi="Arial" w:cs="Arial"/>
          <w:b/>
          <w:sz w:val="50"/>
          <w:szCs w:val="50"/>
          <w:lang w:val="en-US"/>
        </w:rPr>
      </w:pPr>
      <w:r w:rsidRPr="00353D75">
        <w:rPr>
          <w:rFonts w:ascii="Arial" w:hAnsi="Arial" w:cs="Arial"/>
          <w:b/>
          <w:sz w:val="50"/>
          <w:szCs w:val="50"/>
          <w:lang w:val="en-US"/>
        </w:rPr>
        <w:t xml:space="preserve">for </w:t>
      </w:r>
      <w:r>
        <w:rPr>
          <w:rFonts w:ascii="Arial" w:hAnsi="Arial" w:cs="Arial"/>
          <w:b/>
          <w:sz w:val="50"/>
          <w:szCs w:val="50"/>
          <w:lang w:val="en-US"/>
        </w:rPr>
        <w:t>the active t</w:t>
      </w:r>
      <w:r w:rsidRPr="00353D75">
        <w:rPr>
          <w:rFonts w:ascii="Arial" w:hAnsi="Arial" w:cs="Arial"/>
          <w:b/>
          <w:sz w:val="50"/>
          <w:szCs w:val="50"/>
          <w:lang w:val="en-US"/>
        </w:rPr>
        <w:t xml:space="preserve">argeting of </w:t>
      </w:r>
      <w:r>
        <w:rPr>
          <w:rFonts w:ascii="Arial" w:hAnsi="Arial" w:cs="Arial"/>
          <w:b/>
          <w:sz w:val="50"/>
          <w:szCs w:val="50"/>
          <w:lang w:val="en-US"/>
        </w:rPr>
        <w:t>breast cancer</w:t>
      </w:r>
    </w:p>
    <w:p w:rsidR="00387A07" w:rsidRDefault="00387A07" w:rsidP="00387A07">
      <w:pPr>
        <w:spacing w:line="360" w:lineRule="auto"/>
        <w:rPr>
          <w:rFonts w:ascii="Arial" w:hAnsi="Arial" w:cs="Arial"/>
          <w:b/>
          <w:sz w:val="50"/>
          <w:szCs w:val="50"/>
          <w:lang w:val="en-US"/>
        </w:rPr>
      </w:pPr>
    </w:p>
    <w:p w:rsidR="00387A07" w:rsidRDefault="00387A07" w:rsidP="00387A07">
      <w:pPr>
        <w:spacing w:before="240" w:after="240" w:line="360" w:lineRule="auto"/>
        <w:jc w:val="both"/>
        <w:rPr>
          <w:rFonts w:ascii="Arial" w:hAnsi="Arial" w:cs="Arial"/>
          <w:b/>
          <w:sz w:val="28"/>
          <w:szCs w:val="28"/>
          <w:lang w:val="en-US"/>
        </w:rPr>
      </w:pPr>
      <w:r>
        <w:rPr>
          <w:rFonts w:ascii="Arial" w:hAnsi="Arial" w:cs="Arial"/>
          <w:b/>
          <w:sz w:val="28"/>
          <w:szCs w:val="28"/>
        </w:rPr>
        <w:t>Abtract</w:t>
      </w:r>
      <w:r w:rsidRPr="00DA1E53">
        <w:rPr>
          <w:rFonts w:ascii="Arial" w:hAnsi="Arial" w:cs="Arial"/>
          <w:b/>
          <w:sz w:val="28"/>
          <w:szCs w:val="28"/>
          <w:lang w:val="en-US"/>
        </w:rPr>
        <w:t xml:space="preserve"> </w:t>
      </w:r>
    </w:p>
    <w:p w:rsidR="00387A07" w:rsidRPr="00AA03FE" w:rsidRDefault="00387A07" w:rsidP="00387A07">
      <w:pPr>
        <w:spacing w:after="0" w:line="360" w:lineRule="auto"/>
        <w:jc w:val="both"/>
        <w:rPr>
          <w:rFonts w:ascii="Arial" w:hAnsi="Arial" w:cs="Arial"/>
          <w:sz w:val="24"/>
          <w:szCs w:val="24"/>
        </w:rPr>
      </w:pPr>
      <w:r>
        <w:rPr>
          <w:rFonts w:ascii="Arial" w:hAnsi="Arial" w:cs="Arial"/>
          <w:sz w:val="24"/>
          <w:szCs w:val="24"/>
          <w:lang w:val="en-US"/>
        </w:rPr>
        <w:t xml:space="preserve">Nanomedicine formulations offer several advantaged over traditional routes of administration, such as higher drug bioavailability and reduced side effects, since they are able to selectively accumulate into specific organs or tissues </w:t>
      </w:r>
      <w:r w:rsidRPr="007E6215">
        <w:rPr>
          <w:rFonts w:ascii="Arial" w:hAnsi="Arial" w:cs="Arial"/>
          <w:sz w:val="24"/>
          <w:szCs w:val="24"/>
          <w:highlight w:val="yellow"/>
          <w:lang w:val="en-US"/>
        </w:rPr>
        <w:t>[</w:t>
      </w:r>
      <w:r w:rsidRPr="007107C4">
        <w:rPr>
          <w:rFonts w:ascii="Arial" w:hAnsi="Arial" w:cs="Arial"/>
          <w:sz w:val="24"/>
          <w:szCs w:val="24"/>
          <w:highlight w:val="yellow"/>
          <w:lang w:val="en-US"/>
        </w:rPr>
        <w:t>1</w:t>
      </w:r>
      <w:r>
        <w:rPr>
          <w:rFonts w:ascii="Arial" w:hAnsi="Arial" w:cs="Arial"/>
          <w:sz w:val="24"/>
          <w:szCs w:val="24"/>
          <w:lang w:val="en-US"/>
        </w:rPr>
        <w:t xml:space="preserve">]. To augment the targeting ability of nanoparticles towards tumor cells, specific ligands or antibodies that selectively recognize biomarkers over-expressed on cancer cells, can be attached to the surface, either by chemical bond or by hydrophilic/hydrophobic interactions </w:t>
      </w:r>
      <w:r w:rsidRPr="009E6396">
        <w:rPr>
          <w:rFonts w:ascii="Arial" w:hAnsi="Arial" w:cs="Arial"/>
          <w:sz w:val="24"/>
          <w:szCs w:val="24"/>
          <w:highlight w:val="yellow"/>
          <w:lang w:val="en-US"/>
        </w:rPr>
        <w:t>[</w:t>
      </w:r>
      <w:r>
        <w:rPr>
          <w:rFonts w:ascii="Arial" w:hAnsi="Arial" w:cs="Arial"/>
          <w:sz w:val="24"/>
          <w:szCs w:val="24"/>
          <w:highlight w:val="yellow"/>
          <w:lang w:val="en-US"/>
        </w:rPr>
        <w:t>7</w:t>
      </w:r>
      <w:r w:rsidRPr="009E6396">
        <w:rPr>
          <w:rFonts w:ascii="Arial" w:hAnsi="Arial" w:cs="Arial"/>
          <w:sz w:val="24"/>
          <w:szCs w:val="24"/>
          <w:highlight w:val="yellow"/>
          <w:lang w:val="en-US"/>
        </w:rPr>
        <w:t>]</w:t>
      </w:r>
      <w:r>
        <w:rPr>
          <w:rFonts w:ascii="Arial" w:hAnsi="Arial" w:cs="Arial"/>
          <w:sz w:val="24"/>
          <w:szCs w:val="24"/>
          <w:lang w:val="en-US"/>
        </w:rPr>
        <w:t xml:space="preserve">. In this chapter, Herceptin, a monoclonal antibody (mAb) able to selectively recognize HER-2 over-expressing tumor cells (like breast and ovarian cancer cells) was absorbed on the surface of nanoparticles through hydrophilic/hydrophobic interactions. Nanoparticles (Nps) were prepared by a modified single emulsion solvent evaporation method, with five different </w:t>
      </w:r>
      <w:r>
        <w:rPr>
          <w:rFonts w:ascii="Arial" w:hAnsi="Arial" w:cs="Arial"/>
          <w:sz w:val="24"/>
          <w:szCs w:val="24"/>
          <w:lang w:val="en-US"/>
        </w:rPr>
        <w:lastRenderedPageBreak/>
        <w:t>polymers: three commercial polyesters: poly(ε-caprolactone) (PCL), poly (D,L-lactide) (PLA) and poly (D,L-lactide-co-.glycolide) (PLGA) and two novel polyesterurethanes, based on Poly (ε-caprolactone) blocks synthesized with different chain extenders</w:t>
      </w:r>
      <w:r>
        <w:rPr>
          <w:rStyle w:val="MacchinadascrivereHTML"/>
          <w:rFonts w:ascii="Arial" w:eastAsiaTheme="minorHAnsi" w:hAnsi="Arial" w:cs="Arial"/>
          <w:sz w:val="24"/>
          <w:szCs w:val="24"/>
          <w:lang w:val="en-US"/>
        </w:rPr>
        <w:t xml:space="preserve">. Nps </w:t>
      </w:r>
      <w:r w:rsidRPr="00AA03FE">
        <w:rPr>
          <w:rStyle w:val="MacchinadascrivereHTML"/>
          <w:rFonts w:ascii="Arial" w:eastAsiaTheme="minorHAnsi" w:hAnsi="Arial" w:cs="Arial"/>
          <w:sz w:val="24"/>
          <w:szCs w:val="24"/>
          <w:lang w:val="en-US"/>
        </w:rPr>
        <w:t>exhibited a regular spherical morphology, a size below 200nm, which makes them suitable candidates for passive targeting of cancer [3], and a negative zeta potential ideal for surface functionalization with mAb. Surface coating was successfully achieved for all particles, as demonstrated by the increase in zeta potential. The extent of cellular internalization was tested on two different cell lines: MCF7 and SKBR3 breast cancer cells, showing a normal and a high expression of the HER 2 receptor, respectively. Polyesterurethanes nanoparticles exhibited higher cellular internalization and the presence of the antibody increased cellular uptake for all formulations. Moreover the release profile and cytoxicity were also assessed, after encapsulation of the anti-neoplastic drug Paclitaxel.</w:t>
      </w:r>
    </w:p>
    <w:p w:rsidR="00387A07" w:rsidRPr="00AA03FE" w:rsidRDefault="00387A07" w:rsidP="00387A07">
      <w:pPr>
        <w:spacing w:before="240" w:after="240" w:line="360" w:lineRule="auto"/>
        <w:jc w:val="both"/>
        <w:rPr>
          <w:rFonts w:ascii="Arial" w:hAnsi="Arial" w:cs="Arial"/>
          <w:b/>
          <w:sz w:val="28"/>
          <w:szCs w:val="28"/>
          <w:lang w:val="en-US"/>
        </w:rPr>
      </w:pPr>
      <w:r w:rsidRPr="00AA03FE">
        <w:rPr>
          <w:rFonts w:ascii="Arial" w:hAnsi="Arial" w:cs="Arial"/>
          <w:sz w:val="24"/>
          <w:szCs w:val="24"/>
          <w:lang w:val="en-US"/>
        </w:rPr>
        <w:t xml:space="preserve"> </w:t>
      </w:r>
    </w:p>
    <w:p w:rsidR="00387A07" w:rsidRPr="00AA03FE" w:rsidRDefault="00387A07" w:rsidP="00387A07">
      <w:pPr>
        <w:spacing w:line="360" w:lineRule="auto"/>
        <w:rPr>
          <w:rFonts w:ascii="Arial" w:hAnsi="Arial" w:cs="Arial"/>
          <w:b/>
          <w:sz w:val="50"/>
          <w:szCs w:val="50"/>
          <w:lang w:val="en-US"/>
        </w:rPr>
      </w:pPr>
    </w:p>
    <w:p w:rsidR="00387A07" w:rsidRPr="00AA03FE" w:rsidRDefault="00387A07" w:rsidP="00387A07">
      <w:pPr>
        <w:spacing w:line="360" w:lineRule="auto"/>
        <w:rPr>
          <w:rFonts w:ascii="Arial" w:hAnsi="Arial" w:cs="Arial"/>
          <w:b/>
          <w:sz w:val="50"/>
          <w:szCs w:val="50"/>
          <w:lang w:val="en-US"/>
        </w:rPr>
        <w:sectPr w:rsidR="00387A07" w:rsidRPr="00AA03FE" w:rsidSect="00387A07">
          <w:footerReference w:type="default" r:id="rId39"/>
          <w:pgSz w:w="11907" w:h="16839" w:code="9"/>
          <w:pgMar w:top="1440" w:right="1134" w:bottom="1440" w:left="1134" w:header="720" w:footer="720" w:gutter="0"/>
          <w:pgNumType w:start="65"/>
          <w:cols w:space="720"/>
          <w:docGrid w:linePitch="360"/>
        </w:sectPr>
      </w:pPr>
    </w:p>
    <w:p w:rsidR="00387A07" w:rsidRPr="00AA03FE" w:rsidRDefault="00387A07" w:rsidP="00387A07">
      <w:pPr>
        <w:spacing w:before="240" w:after="240" w:line="360" w:lineRule="auto"/>
        <w:ind w:firstLine="709"/>
        <w:jc w:val="both"/>
        <w:rPr>
          <w:rFonts w:ascii="Arial" w:hAnsi="Arial" w:cs="Arial"/>
          <w:b/>
          <w:sz w:val="28"/>
          <w:szCs w:val="28"/>
          <w:lang w:val="en-US"/>
        </w:rPr>
      </w:pPr>
      <w:r w:rsidRPr="00AA03FE">
        <w:rPr>
          <w:rFonts w:ascii="Arial" w:hAnsi="Arial" w:cs="Arial"/>
          <w:b/>
          <w:sz w:val="28"/>
          <w:szCs w:val="28"/>
          <w:lang w:val="en-US"/>
        </w:rPr>
        <w:lastRenderedPageBreak/>
        <w:t xml:space="preserve">3.1 </w:t>
      </w:r>
      <w:r w:rsidRPr="00AA03FE">
        <w:rPr>
          <w:rFonts w:ascii="Arial" w:hAnsi="Arial" w:cs="Arial"/>
          <w:b/>
          <w:sz w:val="28"/>
          <w:szCs w:val="28"/>
        </w:rPr>
        <w:t>Introduction</w:t>
      </w:r>
      <w:r w:rsidRPr="00AA03FE">
        <w:rPr>
          <w:rFonts w:ascii="Arial" w:hAnsi="Arial" w:cs="Arial"/>
          <w:b/>
          <w:sz w:val="28"/>
          <w:szCs w:val="28"/>
          <w:lang w:val="en-US"/>
        </w:rPr>
        <w:t xml:space="preserve"> </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Nano-sized drug delivery systems, including nanoparticles, liposomes and micelles, have been widely investigated as carriers for various formulations, due to their ability to overcome biological barriers and to deliver their content in a controlled manner at the desired place [3,4].</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Moreover, nanomedicine formulations offer several advantaged over traditional routes of administration, such as higher drug bioavailability and reduced side effects, since they are able to selectively accumulate into specific organs or tissues [1]. Due to their small size, nanoparticles can extravasate into the leaky vascular endothelium of cancer tissues, through the Enhanced permeation and retention effect (EPR), and are therefore able to passively target tumor cells [5].</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In fact, tumors are composed of fast-growing cells which need a high supply of oxygen and other nutrients to proliferate. Their vessels are therefore highly fenestrated and more permeable compared to normal vessels and particles with a size matching the dimensions of these fenestrations (200-500nm, depending on the tumor type) can easily enter tumor tissues [5]. Moreover lymphatic ducts are absent in most tumors, hampering the elimination of these particles from the tissue.  </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Several studies have been carried out on the preparation of polymeric nano-sized drug carriers for the selective delivery of chemotherapy, in an attempt to overcome inherent limitations due to the high hydrophobicity of the formulations which results in poor bioavailabilty, high systemic toxicity and scarce patient outcome [3,6].</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To augment the targeting ability of nanoparticles towards tumor cells, specific ligands or antibodies that selectively recognize biomarkers over-expressed on cancer cells, can be attached to the surface, either by chemical bond or by hydrophilic/hydrophobic interactions [7,8].</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Among targeting moieties, monoclonal antibodies have been extensively applied for their ability to initiate specific signaling cascades resulting in potentiated therapeutic effect of drugs [9,10].</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lang w:val="en-US"/>
        </w:rPr>
        <w:t>In this chapter, nanoparticles for the controlled delivery of the anti-neoplastic drug Paclitaxel were prepared by a modified single emulsion method, using five different polymers: three commercial polyesters: poly(ε-caprolactone) (PCL), poly (D,L-lactide) (PLA) and poly (D,L-lactide-co-.glycolide) (PLGA) and two novel polyesterurethanes, based on Poly (ε-caprolactone) blocks (in the following referred to as C-BC2000 and NS-</w:t>
      </w:r>
      <w:r w:rsidRPr="00AA03FE">
        <w:rPr>
          <w:rFonts w:ascii="Arial" w:hAnsi="Arial" w:cs="Arial"/>
          <w:sz w:val="24"/>
          <w:szCs w:val="24"/>
          <w:lang w:val="en-US"/>
        </w:rPr>
        <w:lastRenderedPageBreak/>
        <w:t>BC2000), synthesized with different chain extenders</w:t>
      </w:r>
      <w:r w:rsidRPr="00AA03FE">
        <w:rPr>
          <w:rStyle w:val="MacchinadascrivereHTML"/>
          <w:rFonts w:ascii="Arial" w:eastAsiaTheme="minorHAnsi" w:hAnsi="Arial" w:cs="Arial"/>
          <w:sz w:val="24"/>
          <w:szCs w:val="24"/>
        </w:rPr>
        <w:t xml:space="preserve">: 1,4-cyclohexane dimethanol (CDM) and N-Boc-serinol BC2000 (which </w:t>
      </w:r>
      <w:r w:rsidRPr="00AA03FE">
        <w:rPr>
          <w:rFonts w:ascii="Arial" w:hAnsi="Arial" w:cs="Arial"/>
          <w:sz w:val="24"/>
          <w:szCs w:val="24"/>
        </w:rPr>
        <w:t>possesses a protected functional amino group NH</w:t>
      </w:r>
      <w:r w:rsidRPr="00AA03FE">
        <w:rPr>
          <w:rFonts w:ascii="Arial" w:hAnsi="Arial" w:cs="Arial"/>
          <w:sz w:val="24"/>
          <w:szCs w:val="24"/>
          <w:vertAlign w:val="subscript"/>
        </w:rPr>
        <w:t>2</w:t>
      </w:r>
      <w:r w:rsidRPr="00AA03FE">
        <w:rPr>
          <w:rFonts w:ascii="Arial" w:hAnsi="Arial" w:cs="Arial"/>
          <w:sz w:val="24"/>
          <w:szCs w:val="24"/>
        </w:rPr>
        <w:t>)</w:t>
      </w:r>
      <w:r w:rsidRPr="00AA03FE">
        <w:rPr>
          <w:rStyle w:val="MacchinadascrivereHTML"/>
          <w:rFonts w:ascii="Arial" w:eastAsiaTheme="minorHAnsi" w:hAnsi="Arial" w:cs="Arial"/>
          <w:sz w:val="24"/>
          <w:szCs w:val="24"/>
        </w:rPr>
        <w:t xml:space="preserve"> for the synthesis of C-BC2000 and NS- respectively.</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The method for particles preparation was optimized to obtain carriers of small size, in order to favor cellular uptake through the EPR effect, and with negative surface charge, which could be exploited for further modification [11].</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Trastuzumab (Herceptin ®), a recombinant humanized IgG1 monoclonal antibody (mAb) used in the treatment of HER2 over-expressing cancer cells, such as breast, ovarian and pancreatic cancer cells, was adsorbed on the surface of nanoparticles, to create functionalized carriers for the active targeting of breast cancer cells [11,12].</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It is known that HER2 over-expresses in 25-30% invasive breast cancers. Herceptin is able to bind to the extracellular domain of the HER2 receptor and inhibits cell proliferation and survival, representing an optimal strategy for targeting tumor cells [13,14]. </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Functionalized as well as non-functionalized nanoparticles, prepared with the five above-mentioned polymers, were incubated in the presence of two different breast cancer cell lines, MCF7 and SKBR3, the first showing a normal expression and the second a high over-expression (3+) of the HER2 receptor [15]. </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The extent of cellular internalization for nanoparticles prepared with different materials, and the effect of targeting obtained for mAb-coated carriers on SKBR 3 cells was investigated quantitavely, by flow cytometry, and qualitatively, by confocal microscopy.   </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Release profiles of the encapsulated drug from both functionalized and non-functionalized particles were also studied and the </w:t>
      </w:r>
      <w:r w:rsidRPr="00AA03FE">
        <w:rPr>
          <w:rFonts w:ascii="Arial" w:hAnsi="Arial" w:cs="Arial"/>
          <w:i/>
          <w:sz w:val="24"/>
          <w:szCs w:val="24"/>
          <w:lang w:val="en-US"/>
        </w:rPr>
        <w:t>in vitro</w:t>
      </w:r>
      <w:r w:rsidRPr="00AA03FE">
        <w:rPr>
          <w:rFonts w:ascii="Arial" w:hAnsi="Arial" w:cs="Arial"/>
          <w:sz w:val="24"/>
          <w:szCs w:val="24"/>
          <w:lang w:val="en-US"/>
        </w:rPr>
        <w:t xml:space="preserve"> viability of SKBR3 cells, treated with nanoparticles-Paclitaxel formulations at three different drug concentrations was determined by MTS assay.</w:t>
      </w:r>
    </w:p>
    <w:p w:rsidR="00387A07" w:rsidRPr="00AA03FE" w:rsidRDefault="00387A07" w:rsidP="00387A07">
      <w:pPr>
        <w:spacing w:before="240" w:after="240" w:line="360" w:lineRule="auto"/>
        <w:jc w:val="both"/>
        <w:rPr>
          <w:rFonts w:ascii="Arial" w:hAnsi="Arial" w:cs="Arial"/>
          <w:b/>
          <w:sz w:val="28"/>
          <w:szCs w:val="28"/>
        </w:rPr>
      </w:pPr>
      <w:r w:rsidRPr="00AA03FE">
        <w:rPr>
          <w:rFonts w:ascii="Arial" w:hAnsi="Arial" w:cs="Arial"/>
          <w:b/>
          <w:sz w:val="28"/>
          <w:szCs w:val="28"/>
        </w:rPr>
        <w:t>3.2 Materials &amp; methods</w:t>
      </w:r>
    </w:p>
    <w:p w:rsidR="00387A07" w:rsidRPr="00AA03FE" w:rsidRDefault="00387A07" w:rsidP="00387A07">
      <w:pPr>
        <w:spacing w:before="240" w:after="240" w:line="360" w:lineRule="auto"/>
        <w:jc w:val="both"/>
        <w:rPr>
          <w:rFonts w:ascii="Arial" w:hAnsi="Arial" w:cs="Arial"/>
          <w:b/>
          <w:i/>
          <w:sz w:val="24"/>
          <w:szCs w:val="24"/>
        </w:rPr>
      </w:pPr>
      <w:r w:rsidRPr="00AA03FE">
        <w:rPr>
          <w:rFonts w:ascii="Arial" w:hAnsi="Arial" w:cs="Arial"/>
          <w:b/>
          <w:i/>
          <w:sz w:val="24"/>
          <w:szCs w:val="24"/>
        </w:rPr>
        <w:t>3.2.1 Materials</w:t>
      </w:r>
    </w:p>
    <w:p w:rsidR="00387A07" w:rsidRPr="00AA03FE" w:rsidRDefault="00387A07" w:rsidP="00387A07">
      <w:pPr>
        <w:pStyle w:val="Default"/>
        <w:spacing w:line="360" w:lineRule="auto"/>
        <w:jc w:val="both"/>
        <w:rPr>
          <w:rFonts w:ascii="Arial" w:hAnsi="Arial" w:cs="Arial"/>
          <w:lang w:val="en-US"/>
        </w:rPr>
      </w:pPr>
      <w:r w:rsidRPr="00AA03FE">
        <w:rPr>
          <w:rFonts w:ascii="Arial" w:hAnsi="Arial" w:cs="Arial"/>
          <w:lang w:val="en-US"/>
        </w:rPr>
        <w:t>Poly(</w:t>
      </w:r>
      <w:r w:rsidRPr="00AA03FE">
        <w:rPr>
          <w:rFonts w:ascii="Arial" w:hAnsi="Arial" w:cs="Arial"/>
        </w:rPr>
        <w:t>ε</w:t>
      </w:r>
      <w:r w:rsidRPr="00AA03FE">
        <w:rPr>
          <w:rFonts w:ascii="Arial" w:hAnsi="Arial" w:cs="Arial"/>
          <w:lang w:val="en-US"/>
        </w:rPr>
        <w:t>-caprolactone) (PCL, M</w:t>
      </w:r>
      <w:r w:rsidRPr="00AA03FE">
        <w:rPr>
          <w:rFonts w:ascii="Arial" w:hAnsi="Arial" w:cs="Arial"/>
          <w:vertAlign w:val="subscript"/>
          <w:lang w:val="en-US"/>
        </w:rPr>
        <w:t>W</w:t>
      </w:r>
      <w:r w:rsidRPr="00AA03FE">
        <w:rPr>
          <w:rFonts w:ascii="Arial" w:hAnsi="Arial" w:cs="Arial"/>
          <w:lang w:val="en-US"/>
        </w:rPr>
        <w:t xml:space="preserve"> 50000) and Poly(D,L-lactide) (PLA, M</w:t>
      </w:r>
      <w:r w:rsidRPr="00AA03FE">
        <w:rPr>
          <w:rFonts w:ascii="Arial" w:hAnsi="Arial" w:cs="Arial"/>
          <w:vertAlign w:val="subscript"/>
          <w:lang w:val="en-US"/>
        </w:rPr>
        <w:t xml:space="preserve">w </w:t>
      </w:r>
      <w:r w:rsidRPr="00AA03FE">
        <w:rPr>
          <w:rFonts w:ascii="Arial" w:hAnsi="Arial" w:cs="Arial"/>
          <w:lang w:val="en-US"/>
        </w:rPr>
        <w:t xml:space="preserve">20000-30000) were purchased from Polysciences Inc., Poly (D,L-lactide-co-glycolide) (PLGA 403-H) was purchased from Boeringer Ingelheim-Germany, PCL diol (MW 2000), 1,4-Diisocyanatobutane (BDI), 1,4-cyclohexane dimethanol (CDM, mixture </w:t>
      </w:r>
      <w:r w:rsidRPr="00AA03FE">
        <w:rPr>
          <w:rFonts w:ascii="Arial" w:hAnsi="Arial" w:cs="Arial"/>
          <w:i/>
          <w:lang w:val="en-US"/>
        </w:rPr>
        <w:t>cis</w:t>
      </w:r>
      <w:r w:rsidRPr="00AA03FE">
        <w:rPr>
          <w:rFonts w:ascii="Arial" w:hAnsi="Arial" w:cs="Arial"/>
          <w:lang w:val="en-US"/>
        </w:rPr>
        <w:t xml:space="preserve"> and </w:t>
      </w:r>
      <w:r w:rsidRPr="00AA03FE">
        <w:rPr>
          <w:rFonts w:ascii="Arial" w:hAnsi="Arial" w:cs="Arial"/>
          <w:i/>
          <w:lang w:val="en-US"/>
        </w:rPr>
        <w:t>trans</w:t>
      </w:r>
      <w:r w:rsidRPr="00AA03FE">
        <w:rPr>
          <w:rFonts w:ascii="Arial" w:hAnsi="Arial" w:cs="Arial"/>
          <w:lang w:val="en-US"/>
        </w:rPr>
        <w:t xml:space="preserve">), </w:t>
      </w:r>
      <w:r w:rsidRPr="00AA03FE">
        <w:rPr>
          <w:rStyle w:val="MacchinadascrivereHTML"/>
          <w:rFonts w:ascii="Arial" w:eastAsiaTheme="minorHAnsi" w:hAnsi="Arial" w:cs="Arial"/>
          <w:sz w:val="24"/>
          <w:szCs w:val="24"/>
          <w:lang w:val="en-US"/>
        </w:rPr>
        <w:t>N-Boc-serinol,</w:t>
      </w:r>
      <w:r w:rsidRPr="00AA03FE">
        <w:rPr>
          <w:rFonts w:ascii="Arial" w:hAnsi="Arial" w:cs="Arial"/>
          <w:lang w:val="en-US"/>
        </w:rPr>
        <w:t xml:space="preserve"> </w:t>
      </w:r>
      <w:r w:rsidRPr="00AA03FE">
        <w:rPr>
          <w:rStyle w:val="MacchinadascrivereHTML"/>
          <w:rFonts w:ascii="Arial" w:eastAsiaTheme="minorHAnsi" w:hAnsi="Arial" w:cs="Arial"/>
          <w:sz w:val="24"/>
          <w:szCs w:val="24"/>
          <w:lang w:val="en-US"/>
        </w:rPr>
        <w:t>Dibutyltin dilaurate</w:t>
      </w:r>
      <w:r w:rsidRPr="00AA03FE">
        <w:rPr>
          <w:rStyle w:val="MacchinadascrivereHTML"/>
          <w:rFonts w:ascii="Arial" w:eastAsiaTheme="minorHAnsi" w:hAnsi="Arial" w:cs="Arial"/>
          <w:lang w:val="en-US"/>
        </w:rPr>
        <w:t xml:space="preserve"> (</w:t>
      </w:r>
      <w:r w:rsidRPr="00AA03FE">
        <w:rPr>
          <w:rFonts w:ascii="Arial" w:hAnsi="Arial" w:cs="Arial"/>
          <w:lang w:val="en-US"/>
        </w:rPr>
        <w:t>DBTDL, Sigma Aldrich-Italy) was used as catalyst during the pre-polymerization reaction.</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lastRenderedPageBreak/>
        <w:t xml:space="preserve">Phosphate Buffer Saline (PBS), </w:t>
      </w:r>
      <w:r w:rsidRPr="00AA03FE">
        <w:rPr>
          <w:rFonts w:ascii="Arial" w:hAnsi="Arial" w:cs="Arial"/>
          <w:color w:val="000000"/>
          <w:sz w:val="24"/>
          <w:szCs w:val="24"/>
        </w:rPr>
        <w:t>DMEM, Coumarin dye, Polyvinylalcohol (PVA)</w:t>
      </w:r>
      <w:r w:rsidRPr="00AA03FE">
        <w:rPr>
          <w:rFonts w:ascii="Arial" w:hAnsi="Arial" w:cs="Arial"/>
          <w:sz w:val="24"/>
          <w:szCs w:val="24"/>
        </w:rPr>
        <w:t xml:space="preserve"> were all from Sigma Aldrich. All solvents were of Analitical grade. Paclitaxel was a kind gift from Sorin Biomedica. Trastuzumab (Herceptin) was provided by Fannin Compounding Ireland Ltd.</w:t>
      </w:r>
    </w:p>
    <w:p w:rsidR="00387A07" w:rsidRPr="00AA03FE" w:rsidRDefault="00387A07" w:rsidP="00387A07">
      <w:pPr>
        <w:spacing w:after="0" w:line="360" w:lineRule="auto"/>
        <w:jc w:val="both"/>
        <w:rPr>
          <w:rFonts w:ascii="Arial" w:hAnsi="Arial" w:cs="Arial"/>
          <w:color w:val="000000"/>
          <w:sz w:val="24"/>
          <w:szCs w:val="24"/>
          <w:lang w:eastAsia="it-IT"/>
        </w:rPr>
      </w:pPr>
      <w:r w:rsidRPr="00AA03FE">
        <w:rPr>
          <w:rFonts w:ascii="Arial" w:hAnsi="Arial" w:cs="Arial"/>
          <w:color w:val="000000"/>
          <w:sz w:val="24"/>
          <w:szCs w:val="24"/>
          <w:lang w:eastAsia="it-IT"/>
        </w:rPr>
        <w:t>Milli-Q and deionised water were produced by a Millipore water purification system (Millipore Corporation).</w:t>
      </w:r>
    </w:p>
    <w:p w:rsidR="00387A07" w:rsidRPr="00AA03FE" w:rsidRDefault="00387A07" w:rsidP="00387A07">
      <w:pPr>
        <w:spacing w:before="240" w:after="240" w:line="360" w:lineRule="auto"/>
        <w:jc w:val="both"/>
        <w:rPr>
          <w:rFonts w:ascii="Arial" w:hAnsi="Arial" w:cs="Arial"/>
          <w:b/>
          <w:i/>
          <w:color w:val="000000"/>
          <w:sz w:val="24"/>
          <w:szCs w:val="24"/>
          <w:lang w:eastAsia="it-IT"/>
        </w:rPr>
      </w:pPr>
      <w:r w:rsidRPr="00AA03FE">
        <w:rPr>
          <w:rFonts w:ascii="Arial" w:hAnsi="Arial" w:cs="Arial"/>
          <w:b/>
          <w:i/>
          <w:color w:val="000000"/>
          <w:sz w:val="24"/>
          <w:szCs w:val="24"/>
          <w:lang w:eastAsia="it-IT"/>
        </w:rPr>
        <w:t>3.2.2. Polymer Synthesis</w:t>
      </w:r>
    </w:p>
    <w:p w:rsidR="00387A07" w:rsidRPr="00AA03FE" w:rsidRDefault="00387A07" w:rsidP="00387A07">
      <w:pPr>
        <w:spacing w:after="0" w:line="360" w:lineRule="auto"/>
        <w:jc w:val="both"/>
        <w:rPr>
          <w:rStyle w:val="MacchinadascrivereHTML"/>
          <w:rFonts w:ascii="Times New Roman" w:eastAsiaTheme="minorHAnsi" w:hAnsi="Times New Roman" w:cs="Times New Roman"/>
        </w:rPr>
      </w:pPr>
      <w:r w:rsidRPr="00AA03FE">
        <w:rPr>
          <w:rStyle w:val="MacchinadascrivereHTML"/>
          <w:rFonts w:ascii="Arial" w:eastAsiaTheme="minorHAnsi" w:hAnsi="Arial" w:cs="Arial"/>
          <w:sz w:val="24"/>
          <w:szCs w:val="24"/>
        </w:rPr>
        <w:t>The two Polyurethanes used in this study (NS-BC2000 and C-BC2000) were synthesised following a two step synthesis procedure in inert atmosphere [16,17] with Poly(ε-caprolactone) diol (M</w:t>
      </w:r>
      <w:r w:rsidRPr="00AA03FE">
        <w:rPr>
          <w:rStyle w:val="MacchinadascrivereHTML"/>
          <w:rFonts w:ascii="Arial" w:eastAsiaTheme="minorHAnsi" w:hAnsi="Arial" w:cs="Arial"/>
          <w:sz w:val="24"/>
          <w:szCs w:val="24"/>
          <w:vertAlign w:val="subscript"/>
        </w:rPr>
        <w:t>n</w:t>
      </w:r>
      <w:r w:rsidRPr="00AA03FE">
        <w:rPr>
          <w:rStyle w:val="MacchinadascrivereHTML"/>
          <w:rFonts w:ascii="Arial" w:eastAsiaTheme="minorHAnsi" w:hAnsi="Arial" w:cs="Arial"/>
          <w:sz w:val="24"/>
          <w:szCs w:val="24"/>
        </w:rPr>
        <w:t>=2000g/mol,  Aldrich) and 1,4 butanediisocyanate (BDI, Aldrich) as macrodiol and diisocyanate respectively.</w:t>
      </w:r>
    </w:p>
    <w:p w:rsidR="00387A07" w:rsidRPr="00AA03FE" w:rsidRDefault="00387A07" w:rsidP="00387A07">
      <w:pPr>
        <w:spacing w:after="0" w:line="360" w:lineRule="auto"/>
        <w:jc w:val="both"/>
        <w:rPr>
          <w:rFonts w:ascii="Arial" w:hAnsi="Arial" w:cs="Arial"/>
          <w:sz w:val="24"/>
          <w:szCs w:val="24"/>
        </w:rPr>
      </w:pPr>
      <w:r w:rsidRPr="00AA03FE">
        <w:rPr>
          <w:rStyle w:val="MacchinadascrivereHTML"/>
          <w:rFonts w:ascii="Arial" w:eastAsiaTheme="minorHAnsi" w:hAnsi="Arial" w:cs="Arial"/>
          <w:sz w:val="24"/>
          <w:szCs w:val="24"/>
        </w:rPr>
        <w:t>Two different chain extenders were selected: 1,4-cyclohexane dimethanol CDM (Aldrich, mixture cis and trans) or N-Boc-serinol (Aldrich) for the synthesis of C-BC2000 and NS-BC2000 respectively.</w:t>
      </w:r>
    </w:p>
    <w:p w:rsidR="00387A07" w:rsidRPr="00AA03FE" w:rsidRDefault="00387A07" w:rsidP="00387A07">
      <w:pPr>
        <w:spacing w:after="0" w:line="360" w:lineRule="auto"/>
        <w:jc w:val="both"/>
        <w:rPr>
          <w:rFonts w:ascii="Arial" w:hAnsi="Arial" w:cs="Arial"/>
          <w:bCs/>
          <w:i/>
          <w:color w:val="000000"/>
          <w:sz w:val="24"/>
          <w:szCs w:val="24"/>
          <w:shd w:val="clear" w:color="auto" w:fill="FFFFFF"/>
        </w:rPr>
      </w:pPr>
      <w:r w:rsidRPr="00AA03FE">
        <w:rPr>
          <w:rFonts w:ascii="Arial" w:hAnsi="Arial" w:cs="Arial"/>
          <w:sz w:val="24"/>
          <w:szCs w:val="24"/>
        </w:rPr>
        <w:t xml:space="preserve">Briefly, the macrodiol </w:t>
      </w:r>
      <w:r w:rsidRPr="00AA03FE">
        <w:rPr>
          <w:rStyle w:val="MacchinadascrivereHTML"/>
          <w:rFonts w:ascii="Arial" w:eastAsiaTheme="majorEastAsia" w:hAnsi="Arial" w:cs="Arial"/>
          <w:sz w:val="24"/>
          <w:szCs w:val="24"/>
        </w:rPr>
        <w:t>was dissolved in 1,2-dichloroethane (DCE) and the solution was dried azeotropically for 8 hours. The diisocyanate was then added to the solution (2:1 molar ratio with respect to the macrodiol), in the presence of the catalyst (DBTDL) and reacted with the macrodiol at 85°C in anhydrous DCE for 150 minutes in order to form a pre-polymer. At the end of the pre-polymerization reaction the solution was concentrated and the chain extender (CDM or N-BOC-serinol for C-BC2000 and NS-BC2000 respectively) was added at 1:1 molar ratio with respect to the macrodiol at room temperature. The chain extension reaction was stopped after 18 hours by adding methanol. The polymer solution was precipitated in petroleum ether. After drying at 40°C under vacuum, the polymer was re-dissolved in Di</w:t>
      </w:r>
      <w:r w:rsidRPr="00AA03FE">
        <w:rPr>
          <w:rStyle w:val="Enfasicorsivo"/>
          <w:rFonts w:ascii="Arial" w:hAnsi="Arial" w:cs="Arial"/>
          <w:color w:val="000000"/>
          <w:sz w:val="24"/>
          <w:szCs w:val="24"/>
          <w:shd w:val="clear" w:color="auto" w:fill="FFFFFF"/>
        </w:rPr>
        <w:t xml:space="preserve">methylformamide (DMF) and precipitated with methanol in order to remove the low molecular weight impurities and residual catalyst. The polymer was finally dried at 40°C under vacuum for 24 hours. </w:t>
      </w:r>
    </w:p>
    <w:p w:rsidR="00387A07" w:rsidRPr="00AA03FE" w:rsidRDefault="00387A07" w:rsidP="00387A07">
      <w:pPr>
        <w:spacing w:before="240" w:after="240" w:line="360" w:lineRule="auto"/>
        <w:jc w:val="both"/>
        <w:rPr>
          <w:rFonts w:ascii="Arial" w:hAnsi="Arial" w:cs="Arial"/>
          <w:b/>
          <w:i/>
          <w:sz w:val="24"/>
          <w:szCs w:val="24"/>
          <w:lang w:val="en-US"/>
        </w:rPr>
      </w:pPr>
      <w:r w:rsidRPr="00AA03FE">
        <w:rPr>
          <w:rFonts w:ascii="Arial" w:hAnsi="Arial" w:cs="Arial"/>
          <w:b/>
          <w:i/>
          <w:sz w:val="24"/>
          <w:szCs w:val="24"/>
          <w:lang w:val="en-US"/>
        </w:rPr>
        <w:t>3.2.3  Polymer Characterization</w:t>
      </w:r>
    </w:p>
    <w:p w:rsidR="00387A07" w:rsidRPr="00AA03FE" w:rsidRDefault="00387A07" w:rsidP="00387A07">
      <w:pPr>
        <w:spacing w:before="240" w:after="240" w:line="360" w:lineRule="auto"/>
        <w:jc w:val="both"/>
        <w:rPr>
          <w:rFonts w:ascii="Arial" w:hAnsi="Arial" w:cs="Arial"/>
          <w:b/>
          <w:i/>
          <w:sz w:val="24"/>
          <w:szCs w:val="24"/>
          <w:lang w:val="en-US"/>
        </w:rPr>
      </w:pPr>
      <w:r w:rsidRPr="00AA03FE">
        <w:rPr>
          <w:rFonts w:ascii="Arial" w:hAnsi="Arial" w:cs="Arial"/>
          <w:b/>
          <w:i/>
          <w:sz w:val="24"/>
          <w:szCs w:val="24"/>
          <w:lang w:val="en-US"/>
        </w:rPr>
        <w:t>3.2.3.1 FTIR Analysis</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Attenuated Total Reflectance Fourier Transform Infrared Spectrum (ATR-FT-IR) of the synthesised polyurethanes was obtained at room temperature in the spectral range from 4000 to 450 cm</w:t>
      </w:r>
      <w:r w:rsidRPr="00AA03FE">
        <w:rPr>
          <w:rFonts w:ascii="Arial" w:hAnsi="Arial" w:cs="Arial"/>
          <w:sz w:val="24"/>
          <w:szCs w:val="24"/>
          <w:vertAlign w:val="superscript"/>
        </w:rPr>
        <w:t>-1</w:t>
      </w:r>
      <w:r w:rsidRPr="00AA03FE">
        <w:rPr>
          <w:rFonts w:ascii="Arial" w:hAnsi="Arial" w:cs="Arial"/>
          <w:sz w:val="24"/>
          <w:szCs w:val="24"/>
        </w:rPr>
        <w:t xml:space="preserve"> using a Perkin Elmer Spectrum 100 equipped with an ATR accessory </w:t>
      </w:r>
      <w:r w:rsidRPr="00AA03FE">
        <w:rPr>
          <w:rFonts w:ascii="Arial" w:hAnsi="Arial" w:cs="Arial"/>
          <w:sz w:val="24"/>
          <w:szCs w:val="24"/>
        </w:rPr>
        <w:lastRenderedPageBreak/>
        <w:t>(UATR KRS5) with diamond crystal. The spectrum, obtained as a result of 16 scans with a resolution of 4 cm</w:t>
      </w:r>
      <w:r w:rsidRPr="00AA03FE">
        <w:rPr>
          <w:rFonts w:ascii="Arial" w:hAnsi="Arial" w:cs="Arial"/>
          <w:sz w:val="24"/>
          <w:szCs w:val="24"/>
          <w:vertAlign w:val="superscript"/>
        </w:rPr>
        <w:t>-1</w:t>
      </w:r>
      <w:r w:rsidRPr="00AA03FE">
        <w:rPr>
          <w:rFonts w:ascii="Arial" w:hAnsi="Arial" w:cs="Arial"/>
          <w:sz w:val="24"/>
          <w:szCs w:val="24"/>
        </w:rPr>
        <w:t>, was analyzed with the</w:t>
      </w:r>
      <w:r w:rsidRPr="00AA03FE">
        <w:rPr>
          <w:rFonts w:ascii="Arial" w:hAnsi="Arial" w:cs="Arial"/>
          <w:sz w:val="24"/>
          <w:szCs w:val="24"/>
          <w:vertAlign w:val="superscript"/>
        </w:rPr>
        <w:t xml:space="preserve"> </w:t>
      </w:r>
      <w:r w:rsidRPr="00AA03FE">
        <w:rPr>
          <w:rFonts w:ascii="Arial" w:hAnsi="Arial" w:cs="Arial"/>
          <w:sz w:val="24"/>
          <w:szCs w:val="24"/>
        </w:rPr>
        <w:t>Perkin Elmer Spectrum software. For ATR-FT-IR analysis the sample was prepared as a film, by using conventional solvent-casting techniques with chloroform as a solvent at a concentration of 3 %w/v.</w:t>
      </w:r>
    </w:p>
    <w:p w:rsidR="00387A07" w:rsidRPr="00AA03FE" w:rsidRDefault="00387A07" w:rsidP="00387A07">
      <w:pPr>
        <w:spacing w:before="240" w:after="240" w:line="360" w:lineRule="auto"/>
        <w:jc w:val="both"/>
        <w:rPr>
          <w:rFonts w:ascii="Arial" w:hAnsi="Arial" w:cs="Arial"/>
          <w:b/>
          <w:i/>
          <w:sz w:val="24"/>
          <w:szCs w:val="24"/>
          <w:lang w:val="en-US"/>
        </w:rPr>
      </w:pPr>
      <w:r w:rsidRPr="00AA03FE">
        <w:rPr>
          <w:rFonts w:ascii="Arial" w:hAnsi="Arial" w:cs="Arial"/>
          <w:b/>
          <w:i/>
          <w:sz w:val="24"/>
          <w:szCs w:val="24"/>
          <w:lang w:val="en-US"/>
        </w:rPr>
        <w:t>3.2.3.2 GPC Analysis</w:t>
      </w:r>
    </w:p>
    <w:p w:rsidR="00387A07" w:rsidRPr="00AA03FE" w:rsidRDefault="00387A07" w:rsidP="00387A07">
      <w:pPr>
        <w:autoSpaceDE w:val="0"/>
        <w:autoSpaceDN w:val="0"/>
        <w:adjustRightInd w:val="0"/>
        <w:spacing w:after="0" w:line="360" w:lineRule="auto"/>
        <w:jc w:val="both"/>
        <w:rPr>
          <w:rFonts w:ascii="Arial" w:eastAsia="AdvTimes" w:hAnsi="Arial" w:cs="Arial"/>
          <w:sz w:val="24"/>
          <w:szCs w:val="24"/>
          <w:lang w:val="en-US"/>
        </w:rPr>
      </w:pPr>
      <w:r w:rsidRPr="00AA03FE">
        <w:rPr>
          <w:rFonts w:ascii="Arial" w:hAnsi="Arial" w:cs="Arial"/>
          <w:sz w:val="24"/>
          <w:szCs w:val="24"/>
          <w:lang w:val="en-US"/>
        </w:rPr>
        <w:t>The average molecular weight (</w:t>
      </w:r>
      <m:oMath>
        <m:acc>
          <m:accPr>
            <m:chr m:val="̅"/>
            <m:ctrlPr>
              <w:rPr>
                <w:rFonts w:ascii="Cambria Math" w:hAnsi="Cambria Math" w:cs="Arial"/>
                <w:i/>
                <w:sz w:val="24"/>
                <w:szCs w:val="24"/>
                <w:lang w:val="en-US"/>
              </w:rPr>
            </m:ctrlPr>
          </m:accPr>
          <m:e>
            <m:r>
              <w:rPr>
                <w:rFonts w:ascii="Cambria Math" w:hAnsi="Cambria Math" w:cs="Arial"/>
                <w:sz w:val="24"/>
                <w:szCs w:val="24"/>
                <w:lang w:val="en-US"/>
              </w:rPr>
              <m:t>M</m:t>
            </m:r>
          </m:e>
        </m:acc>
        <m:r>
          <w:rPr>
            <w:rFonts w:ascii="Cambria Math" w:hAnsi="Cambria Math" w:cs="Arial"/>
            <w:sz w:val="24"/>
            <w:szCs w:val="24"/>
            <w:vertAlign w:val="subscript"/>
            <w:lang w:val="en-US"/>
          </w:rPr>
          <m:t>n</m:t>
        </m:r>
      </m:oMath>
      <w:r w:rsidRPr="00AA03FE">
        <w:rPr>
          <w:rFonts w:ascii="Arial" w:hAnsi="Arial" w:cs="Arial"/>
          <w:sz w:val="24"/>
          <w:szCs w:val="24"/>
          <w:lang w:val="en-US"/>
        </w:rPr>
        <w:t xml:space="preserve">) of the polyester-urethanes C-BC2000 and NS-BC2000 was characterized by </w:t>
      </w:r>
      <w:r w:rsidRPr="00AA03FE">
        <w:rPr>
          <w:rStyle w:val="MacchinadascrivereHTML"/>
          <w:rFonts w:ascii="Arial" w:eastAsiaTheme="minorHAnsi" w:hAnsi="Arial" w:cs="Arial"/>
          <w:sz w:val="24"/>
          <w:szCs w:val="24"/>
        </w:rPr>
        <w:t>Size Exclusion Chromatography (SEC, Agilent 1500 series)</w:t>
      </w:r>
      <w:r w:rsidRPr="00AA03FE">
        <w:rPr>
          <w:rFonts w:ascii="Arial" w:hAnsi="Arial" w:cs="Arial"/>
          <w:sz w:val="24"/>
          <w:szCs w:val="24"/>
          <w:lang w:val="en-US"/>
        </w:rPr>
        <w:t xml:space="preserve">, by dissolving the polymers </w:t>
      </w:r>
      <w:r w:rsidRPr="00AA03FE">
        <w:rPr>
          <w:rFonts w:ascii="Arial" w:eastAsia="AdvTimes" w:hAnsi="Arial" w:cs="Arial"/>
          <w:sz w:val="24"/>
          <w:szCs w:val="24"/>
          <w:lang w:val="en-US"/>
        </w:rPr>
        <w:t xml:space="preserve">at a flow rate of 1.0 ml/min through a Waters Styragel HT2 and HT4 THF series of columns with </w:t>
      </w:r>
      <w:r w:rsidRPr="00AA03FE">
        <w:rPr>
          <w:rFonts w:ascii="Arial" w:hAnsi="Arial" w:cs="Arial"/>
          <w:sz w:val="24"/>
          <w:szCs w:val="24"/>
          <w:lang w:val="en-US"/>
        </w:rPr>
        <w:t>Tetrahydrofuran (THF)</w:t>
      </w:r>
      <w:r w:rsidRPr="00AA03FE">
        <w:rPr>
          <w:rFonts w:ascii="Arial" w:eastAsia="AdvTimes" w:hAnsi="Arial" w:cs="Arial"/>
          <w:sz w:val="24"/>
          <w:szCs w:val="24"/>
          <w:lang w:val="en-US"/>
        </w:rPr>
        <w:t xml:space="preserve">  as eluent at 35°C. The weight-average molecular weight (</w:t>
      </w:r>
      <m:oMath>
        <m:acc>
          <m:accPr>
            <m:chr m:val="̅"/>
            <m:ctrlPr>
              <w:rPr>
                <w:rFonts w:ascii="Cambria Math" w:eastAsia="AdvTimes" w:hAnsi="Cambria Math" w:cs="Arial"/>
                <w:i/>
                <w:sz w:val="24"/>
                <w:szCs w:val="24"/>
                <w:lang w:val="en-US"/>
              </w:rPr>
            </m:ctrlPr>
          </m:accPr>
          <m:e>
            <m:r>
              <w:rPr>
                <w:rFonts w:ascii="Cambria Math" w:eastAsia="AdvTimes" w:hAnsi="Cambria Math" w:cs="Arial"/>
                <w:sz w:val="24"/>
                <w:szCs w:val="24"/>
                <w:lang w:val="en-US"/>
              </w:rPr>
              <m:t>M</m:t>
            </m:r>
          </m:e>
        </m:acc>
        <m:r>
          <w:rPr>
            <w:rFonts w:ascii="Cambria Math" w:eastAsia="AdvTimes" w:hAnsi="Cambria Math" w:cs="Arial"/>
            <w:sz w:val="24"/>
            <w:szCs w:val="24"/>
            <w:vertAlign w:val="subscript"/>
            <w:lang w:val="en-US"/>
          </w:rPr>
          <m:t>w</m:t>
        </m:r>
      </m:oMath>
      <w:r w:rsidRPr="00AA03FE">
        <w:rPr>
          <w:rFonts w:ascii="Arial" w:eastAsia="AdvTimes" w:hAnsi="Arial" w:cs="Arial"/>
          <w:sz w:val="24"/>
          <w:szCs w:val="24"/>
          <w:lang w:val="en-US"/>
        </w:rPr>
        <w:t>) and number-average molecular weight (</w:t>
      </w:r>
      <m:oMath>
        <m:acc>
          <m:accPr>
            <m:chr m:val="̅"/>
            <m:ctrlPr>
              <w:rPr>
                <w:rFonts w:ascii="Cambria Math" w:hAnsi="Cambria Math" w:cs="Arial"/>
                <w:i/>
                <w:sz w:val="24"/>
                <w:szCs w:val="24"/>
                <w:lang w:val="en-US"/>
              </w:rPr>
            </m:ctrlPr>
          </m:accPr>
          <m:e>
            <m:r>
              <w:rPr>
                <w:rFonts w:ascii="Cambria Math" w:hAnsi="Cambria Math" w:cs="Arial"/>
                <w:sz w:val="24"/>
                <w:szCs w:val="24"/>
                <w:lang w:val="en-US"/>
              </w:rPr>
              <m:t>M</m:t>
            </m:r>
          </m:e>
        </m:acc>
        <m:r>
          <w:rPr>
            <w:rFonts w:ascii="Cambria Math" w:hAnsi="Cambria Math" w:cs="Arial"/>
            <w:sz w:val="24"/>
            <w:szCs w:val="24"/>
            <w:vertAlign w:val="subscript"/>
            <w:lang w:val="en-US"/>
          </w:rPr>
          <m:t>n</m:t>
        </m:r>
      </m:oMath>
      <w:r w:rsidRPr="00AA03FE">
        <w:rPr>
          <w:rFonts w:ascii="Arial" w:eastAsia="AdvTimes" w:hAnsi="Arial" w:cs="Arial"/>
          <w:sz w:val="24"/>
          <w:szCs w:val="24"/>
          <w:lang w:val="en-US"/>
        </w:rPr>
        <w:t xml:space="preserve">) </w:t>
      </w:r>
      <w:r w:rsidRPr="00AA03FE">
        <w:rPr>
          <w:rStyle w:val="Enfasicorsivo"/>
          <w:rFonts w:ascii="Arial" w:hAnsi="Arial" w:cs="Arial"/>
          <w:color w:val="000000"/>
          <w:sz w:val="24"/>
          <w:szCs w:val="24"/>
          <w:shd w:val="clear" w:color="auto" w:fill="FFFFFF"/>
        </w:rPr>
        <w:t>and polydispersity (</w:t>
      </w:r>
      <m:oMath>
        <m:acc>
          <m:accPr>
            <m:chr m:val="̅"/>
            <m:ctrlPr>
              <w:rPr>
                <w:rFonts w:ascii="Cambria Math" w:eastAsia="AdvTimes" w:hAnsi="Cambria Math" w:cs="Arial"/>
                <w:i/>
                <w:sz w:val="24"/>
                <w:szCs w:val="24"/>
                <w:lang w:val="en-US"/>
              </w:rPr>
            </m:ctrlPr>
          </m:accPr>
          <m:e>
            <m:r>
              <w:rPr>
                <w:rFonts w:ascii="Cambria Math" w:eastAsia="AdvTimes" w:hAnsi="Cambria Math" w:cs="Arial"/>
                <w:sz w:val="24"/>
                <w:szCs w:val="24"/>
                <w:lang w:val="en-US"/>
              </w:rPr>
              <m:t>M</m:t>
            </m:r>
          </m:e>
        </m:acc>
        <m:r>
          <w:rPr>
            <w:rFonts w:ascii="Cambria Math" w:eastAsia="AdvTimes" w:hAnsi="Cambria Math" w:cs="Arial"/>
            <w:sz w:val="24"/>
            <w:szCs w:val="24"/>
            <w:vertAlign w:val="subscript"/>
            <w:lang w:val="en-US"/>
          </w:rPr>
          <m:t>w</m:t>
        </m:r>
      </m:oMath>
      <w:r w:rsidRPr="00AA03FE">
        <w:rPr>
          <w:rStyle w:val="Enfasicorsivo"/>
          <w:rFonts w:ascii="Arial" w:hAnsi="Arial" w:cs="Arial"/>
          <w:color w:val="000000"/>
          <w:sz w:val="24"/>
          <w:szCs w:val="24"/>
          <w:shd w:val="clear" w:color="auto" w:fill="FFFFFF"/>
        </w:rPr>
        <w:t xml:space="preserve"> /</w:t>
      </w:r>
      <m:oMath>
        <m:acc>
          <m:accPr>
            <m:chr m:val="̅"/>
            <m:ctrlPr>
              <w:rPr>
                <w:rFonts w:ascii="Cambria Math" w:hAnsi="Cambria Math" w:cs="Arial"/>
                <w:i/>
                <w:sz w:val="24"/>
                <w:szCs w:val="24"/>
                <w:lang w:val="en-US"/>
              </w:rPr>
            </m:ctrlPr>
          </m:accPr>
          <m:e>
            <m:r>
              <w:rPr>
                <w:rFonts w:ascii="Cambria Math" w:hAnsi="Cambria Math" w:cs="Arial"/>
                <w:sz w:val="24"/>
                <w:szCs w:val="24"/>
                <w:lang w:val="en-US"/>
              </w:rPr>
              <m:t>M</m:t>
            </m:r>
          </m:e>
        </m:acc>
        <m:r>
          <w:rPr>
            <w:rFonts w:ascii="Cambria Math" w:hAnsi="Cambria Math" w:cs="Arial"/>
            <w:sz w:val="24"/>
            <w:szCs w:val="24"/>
            <w:vertAlign w:val="subscript"/>
            <w:lang w:val="en-US"/>
          </w:rPr>
          <m:t>n</m:t>
        </m:r>
      </m:oMath>
      <w:r w:rsidRPr="00AA03FE">
        <w:rPr>
          <w:rStyle w:val="Enfasicorsivo"/>
          <w:rFonts w:ascii="Arial" w:hAnsi="Arial" w:cs="Arial"/>
          <w:color w:val="000000"/>
          <w:sz w:val="24"/>
          <w:szCs w:val="24"/>
          <w:shd w:val="clear" w:color="auto" w:fill="FFFFFF"/>
        </w:rPr>
        <w:t xml:space="preserve">) were determined from the retention time data using the Agilent ChemStation software, </w:t>
      </w:r>
      <w:r w:rsidRPr="00AA03FE">
        <w:rPr>
          <w:rFonts w:ascii="Arial" w:eastAsia="AdvTimes" w:hAnsi="Arial" w:cs="Arial"/>
          <w:sz w:val="24"/>
          <w:szCs w:val="24"/>
          <w:lang w:val="en-US"/>
        </w:rPr>
        <w:t>after calibration with polystyrene standards.</w:t>
      </w:r>
    </w:p>
    <w:p w:rsidR="00387A07" w:rsidRPr="00AA03FE" w:rsidRDefault="00387A07" w:rsidP="00387A07">
      <w:pPr>
        <w:spacing w:before="240" w:after="240" w:line="360" w:lineRule="auto"/>
        <w:jc w:val="both"/>
        <w:rPr>
          <w:rFonts w:ascii="Arial" w:hAnsi="Arial" w:cs="Arial"/>
          <w:b/>
          <w:i/>
          <w:sz w:val="24"/>
          <w:szCs w:val="24"/>
        </w:rPr>
      </w:pPr>
      <w:r w:rsidRPr="00AA03FE">
        <w:rPr>
          <w:rFonts w:ascii="Arial" w:hAnsi="Arial" w:cs="Arial"/>
          <w:b/>
          <w:i/>
          <w:sz w:val="24"/>
          <w:szCs w:val="24"/>
        </w:rPr>
        <w:t>3.2.4 Preparation of nanoparticles</w:t>
      </w:r>
    </w:p>
    <w:p w:rsidR="00387A07" w:rsidRPr="00AA03FE" w:rsidRDefault="00387A07" w:rsidP="00387A07">
      <w:pPr>
        <w:spacing w:before="240" w:after="240" w:line="360" w:lineRule="auto"/>
        <w:jc w:val="both"/>
        <w:rPr>
          <w:rFonts w:ascii="Arial" w:hAnsi="Arial" w:cs="Arial"/>
          <w:b/>
          <w:i/>
          <w:sz w:val="24"/>
          <w:szCs w:val="24"/>
          <w:lang w:val="en-US"/>
        </w:rPr>
      </w:pPr>
      <w:r w:rsidRPr="00AA03FE">
        <w:rPr>
          <w:rFonts w:ascii="Arial" w:hAnsi="Arial" w:cs="Arial"/>
          <w:b/>
          <w:i/>
          <w:sz w:val="24"/>
          <w:szCs w:val="24"/>
        </w:rPr>
        <w:t>3.2.4.1 Optimization of the protocol</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Nanoparticles were prepared by a modified Single Emulsion Solvent Extraction Evaporation Technique, using Ethyl Acetate as the solvent, deionized distilled water as the non solvent and Polyvinylalcohol (PVA) as emulsifier.</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The protocol for particles preparation was optimized in order to obtain nanoparticles with a mean diameter below 250nm for easy cellular internalization and a negative surface charge in the range from -10 to -30 mV to favour surface adsorption of the monoclonal antibody Herceptin [11].</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Herceptin has an isoeletric point of 8.45 and it is therefore positively charged at acidic pH. In these conditions, the antibody is expected to react with the negatively charged surface of nanoparticles, through hydrophilic/hydrophobic interaction thus forming a coating, which can enhance particles uptake by target tumour cells, by receptor-mediated endocytosis [18]. </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PLGA, the most investigated and studied matrix-forming material for nanoparticles, was used as a model to optimize the protocol for particles preparation. </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Nanoparticles were prepared according to the following general procedure, to which slight modifications were applied in order to reach the desired size and surface charge: 100mg of the polymer were dissolved in 4ml Ethyl Acetate, added dropwise to 4ml of water </w:t>
      </w:r>
      <w:r w:rsidRPr="00AA03FE">
        <w:rPr>
          <w:rFonts w:ascii="Arial" w:hAnsi="Arial" w:cs="Arial"/>
          <w:color w:val="000000"/>
          <w:sz w:val="24"/>
          <w:szCs w:val="24"/>
        </w:rPr>
        <w:lastRenderedPageBreak/>
        <w:t xml:space="preserve">(internal phase) containing PVA as emulsifier and sonicated (Bransonic 2510 Sonicator) for 2 minutes to form a primary emulsion. This first emulsion was then poured into 50ml of water (external phase) containing PVA and re-emulsified by homogenization for 3 minutes. </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The final emulsion was gently stirred overnight to allow solvent evaporation, particles were then collected by centrifugation at 11000rpm, washed 3 times to remove residual emulsifier and freeze dried.</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The concentration of the emulsifier in the internal and external aqueous phase, the speed of the homogenizer as well as the washing medium were modified in order to obtain the optimal diameter and zeta potential for PLGA nanoparticles, according to the schematic representation, reported in figure 3.1.</w:t>
      </w:r>
    </w:p>
    <w:p w:rsidR="00387A07" w:rsidRPr="00AA03FE" w:rsidRDefault="00387A07" w:rsidP="00387A07">
      <w:pPr>
        <w:autoSpaceDE w:val="0"/>
        <w:autoSpaceDN w:val="0"/>
        <w:adjustRightInd w:val="0"/>
        <w:spacing w:line="360" w:lineRule="auto"/>
        <w:jc w:val="center"/>
        <w:rPr>
          <w:rFonts w:ascii="Arial" w:hAnsi="Arial" w:cs="Arial"/>
          <w:color w:val="000000"/>
          <w:sz w:val="24"/>
          <w:szCs w:val="24"/>
        </w:rPr>
      </w:pPr>
      <w:r w:rsidRPr="00AA03FE">
        <w:rPr>
          <w:rFonts w:ascii="Arial" w:hAnsi="Arial" w:cs="Arial"/>
          <w:noProof/>
          <w:color w:val="000000"/>
          <w:sz w:val="24"/>
          <w:szCs w:val="24"/>
          <w:lang w:val="it-IT" w:eastAsia="it-IT"/>
        </w:rPr>
        <w:drawing>
          <wp:inline distT="0" distB="0" distL="0" distR="0">
            <wp:extent cx="4743450" cy="2755546"/>
            <wp:effectExtent l="0" t="0" r="0" b="0"/>
            <wp:docPr id="61" name="Immagine 12" descr="protocol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tocol 1.png"/>
                    <pic:cNvPicPr/>
                  </pic:nvPicPr>
                  <pic:blipFill>
                    <a:blip r:embed="rId40"/>
                    <a:stretch>
                      <a:fillRect/>
                    </a:stretch>
                  </pic:blipFill>
                  <pic:spPr>
                    <a:xfrm>
                      <a:off x="0" y="0"/>
                      <a:ext cx="4749531" cy="2759079"/>
                    </a:xfrm>
                    <a:prstGeom prst="rect">
                      <a:avLst/>
                    </a:prstGeom>
                  </pic:spPr>
                </pic:pic>
              </a:graphicData>
            </a:graphic>
          </wp:inline>
        </w:drawing>
      </w:r>
    </w:p>
    <w:p w:rsidR="00387A07" w:rsidRPr="00AA03FE" w:rsidRDefault="00387A07" w:rsidP="00387A07">
      <w:pPr>
        <w:pStyle w:val="Didascalia"/>
      </w:pPr>
      <w:r w:rsidRPr="00AA03FE">
        <w:t xml:space="preserve">Figure 3. </w:t>
      </w:r>
      <w:fldSimple w:instr=" SEQ Figure_3. \* ARABIC ">
        <w:r w:rsidRPr="00AA03FE">
          <w:rPr>
            <w:noProof/>
          </w:rPr>
          <w:t>1</w:t>
        </w:r>
      </w:fldSimple>
      <w:r w:rsidRPr="00AA03FE">
        <w:t xml:space="preserve"> Schematic representation of the optimization of the protocol for PLGA nanoparticles preparation. Modifications of the protocol are highlighted in red.  </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In some instances 25ml of Sodium Chloride solution were added during solvent evaporation in an attempt to decrease the zeta potential of nanoparticles, since </w:t>
      </w:r>
      <w:r w:rsidRPr="00AA03FE">
        <w:rPr>
          <w:rFonts w:ascii="Arial" w:hAnsi="Arial" w:cs="Arial"/>
          <w:bCs/>
          <w:sz w:val="24"/>
          <w:szCs w:val="24"/>
        </w:rPr>
        <w:t>it was expected that charged salts would leave some residual charge on their surface, thus improving Herceptin adsorption [18].</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Three different concentrations of PVA (w/v) in the internal and external phase were tested (1% and 2.5% in both phases or 1% in the external phase and 2.5% in the internal one). In all three cases, two different homogenization velocities were tested (13500 rpm and 25000 rpm), as listed in table 3.1.</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p>
    <w:tbl>
      <w:tblPr>
        <w:tblStyle w:val="Grigliatabella"/>
        <w:tblpPr w:leftFromText="141" w:rightFromText="141" w:vertAnchor="text" w:horzAnchor="margin" w:tblpXSpec="center" w:tblpY="76"/>
        <w:tblW w:w="0" w:type="auto"/>
        <w:tblBorders>
          <w:insideH w:val="none" w:sz="0" w:space="0" w:color="auto"/>
          <w:insideV w:val="none" w:sz="0" w:space="0" w:color="auto"/>
        </w:tblBorders>
        <w:shd w:val="clear" w:color="auto" w:fill="F2F2F2" w:themeFill="background1" w:themeFillShade="F2"/>
        <w:tblLook w:val="04A0"/>
      </w:tblPr>
      <w:tblGrid>
        <w:gridCol w:w="1809"/>
        <w:gridCol w:w="1701"/>
        <w:gridCol w:w="1701"/>
        <w:gridCol w:w="1871"/>
      </w:tblGrid>
      <w:tr w:rsidR="00387A07" w:rsidRPr="00AA03FE" w:rsidTr="00387A07">
        <w:trPr>
          <w:trHeight w:val="20"/>
        </w:trPr>
        <w:tc>
          <w:tcPr>
            <w:tcW w:w="1809" w:type="dxa"/>
            <w:tcBorders>
              <w:top w:val="single" w:sz="4" w:space="0" w:color="000000" w:themeColor="text1"/>
              <w:left w:val="nil"/>
              <w:bottom w:val="single" w:sz="4" w:space="0" w:color="auto"/>
            </w:tcBorders>
            <w:shd w:val="clear" w:color="auto" w:fill="F2F2F2" w:themeFill="background1" w:themeFillShade="F2"/>
          </w:tcPr>
          <w:p w:rsidR="00387A07" w:rsidRPr="00AA03FE" w:rsidRDefault="00387A07" w:rsidP="00387A07">
            <w:pPr>
              <w:jc w:val="center"/>
              <w:rPr>
                <w:rFonts w:cs="Arial"/>
                <w:b/>
              </w:rPr>
            </w:pPr>
            <w:r w:rsidRPr="00AA03FE">
              <w:rPr>
                <w:rFonts w:cs="Arial"/>
                <w:b/>
              </w:rPr>
              <w:t>Sample name</w:t>
            </w:r>
          </w:p>
        </w:tc>
        <w:tc>
          <w:tcPr>
            <w:tcW w:w="1701" w:type="dxa"/>
            <w:tcBorders>
              <w:top w:val="single" w:sz="4" w:space="0" w:color="000000" w:themeColor="text1"/>
              <w:bottom w:val="single" w:sz="4" w:space="0" w:color="auto"/>
            </w:tcBorders>
            <w:shd w:val="clear" w:color="auto" w:fill="F2F2F2" w:themeFill="background1" w:themeFillShade="F2"/>
          </w:tcPr>
          <w:p w:rsidR="00387A07" w:rsidRPr="00AA03FE" w:rsidRDefault="00387A07" w:rsidP="00387A07">
            <w:pPr>
              <w:jc w:val="center"/>
              <w:rPr>
                <w:rFonts w:cs="Arial"/>
                <w:b/>
              </w:rPr>
            </w:pPr>
            <w:r w:rsidRPr="00AA03FE">
              <w:rPr>
                <w:rFonts w:cs="Arial"/>
                <w:b/>
              </w:rPr>
              <w:t>PVA in the</w:t>
            </w:r>
          </w:p>
          <w:p w:rsidR="00387A07" w:rsidRPr="00AA03FE" w:rsidRDefault="00387A07" w:rsidP="00387A07">
            <w:pPr>
              <w:jc w:val="center"/>
              <w:rPr>
                <w:rFonts w:cs="Arial"/>
                <w:b/>
              </w:rPr>
            </w:pPr>
            <w:r w:rsidRPr="00AA03FE">
              <w:rPr>
                <w:rFonts w:cs="Arial"/>
                <w:b/>
              </w:rPr>
              <w:t>internal phase (w/v)</w:t>
            </w:r>
          </w:p>
        </w:tc>
        <w:tc>
          <w:tcPr>
            <w:tcW w:w="1701" w:type="dxa"/>
            <w:tcBorders>
              <w:top w:val="single" w:sz="4" w:space="0" w:color="000000" w:themeColor="text1"/>
              <w:bottom w:val="single" w:sz="4" w:space="0" w:color="auto"/>
            </w:tcBorders>
            <w:shd w:val="clear" w:color="auto" w:fill="F2F2F2" w:themeFill="background1" w:themeFillShade="F2"/>
          </w:tcPr>
          <w:p w:rsidR="00387A07" w:rsidRPr="00AA03FE" w:rsidRDefault="00387A07" w:rsidP="00387A07">
            <w:pPr>
              <w:jc w:val="center"/>
              <w:rPr>
                <w:rFonts w:cs="Arial"/>
                <w:b/>
              </w:rPr>
            </w:pPr>
            <w:r w:rsidRPr="00AA03FE">
              <w:rPr>
                <w:rFonts w:cs="Arial"/>
                <w:b/>
              </w:rPr>
              <w:t>PVA in the</w:t>
            </w:r>
          </w:p>
          <w:p w:rsidR="00387A07" w:rsidRPr="00AA03FE" w:rsidRDefault="00387A07" w:rsidP="00387A07">
            <w:pPr>
              <w:jc w:val="center"/>
              <w:rPr>
                <w:rFonts w:cs="Arial"/>
                <w:b/>
              </w:rPr>
            </w:pPr>
            <w:r w:rsidRPr="00AA03FE">
              <w:rPr>
                <w:rFonts w:cs="Arial"/>
                <w:b/>
              </w:rPr>
              <w:t>external phase (w/v)</w:t>
            </w:r>
          </w:p>
        </w:tc>
        <w:tc>
          <w:tcPr>
            <w:tcW w:w="1871" w:type="dxa"/>
            <w:tcBorders>
              <w:top w:val="single" w:sz="4" w:space="0" w:color="000000" w:themeColor="text1"/>
              <w:bottom w:val="single" w:sz="4" w:space="0" w:color="auto"/>
              <w:right w:val="nil"/>
            </w:tcBorders>
            <w:shd w:val="clear" w:color="auto" w:fill="F2F2F2" w:themeFill="background1" w:themeFillShade="F2"/>
          </w:tcPr>
          <w:p w:rsidR="00387A07" w:rsidRPr="00AA03FE" w:rsidRDefault="00387A07" w:rsidP="00387A07">
            <w:pPr>
              <w:jc w:val="center"/>
              <w:rPr>
                <w:rFonts w:cs="Arial"/>
                <w:b/>
              </w:rPr>
            </w:pPr>
            <w:r w:rsidRPr="00AA03FE">
              <w:rPr>
                <w:rFonts w:cs="Arial"/>
                <w:b/>
              </w:rPr>
              <w:t>Homogenization speed</w:t>
            </w:r>
          </w:p>
        </w:tc>
      </w:tr>
      <w:tr w:rsidR="00387A07" w:rsidRPr="00AA03FE" w:rsidTr="00387A07">
        <w:trPr>
          <w:trHeight w:val="20"/>
        </w:trPr>
        <w:tc>
          <w:tcPr>
            <w:tcW w:w="1809" w:type="dxa"/>
            <w:tcBorders>
              <w:top w:val="single" w:sz="4" w:space="0" w:color="auto"/>
              <w:left w:val="nil"/>
            </w:tcBorders>
            <w:shd w:val="clear" w:color="auto" w:fill="F2F2F2" w:themeFill="background1" w:themeFillShade="F2"/>
          </w:tcPr>
          <w:p w:rsidR="00387A07" w:rsidRPr="00AA03FE" w:rsidRDefault="00387A07" w:rsidP="00387A07">
            <w:pPr>
              <w:rPr>
                <w:rFonts w:cs="Arial"/>
                <w:b/>
              </w:rPr>
            </w:pPr>
            <w:r w:rsidRPr="00AA03FE">
              <w:rPr>
                <w:rFonts w:cs="Arial"/>
                <w:b/>
              </w:rPr>
              <w:t xml:space="preserve">PLGA 1 </w:t>
            </w:r>
          </w:p>
        </w:tc>
        <w:tc>
          <w:tcPr>
            <w:tcW w:w="1701" w:type="dxa"/>
            <w:tcBorders>
              <w:top w:val="single" w:sz="4" w:space="0" w:color="auto"/>
            </w:tcBorders>
            <w:shd w:val="clear" w:color="auto" w:fill="F2F2F2" w:themeFill="background1" w:themeFillShade="F2"/>
          </w:tcPr>
          <w:p w:rsidR="00387A07" w:rsidRPr="00AA03FE" w:rsidRDefault="00387A07" w:rsidP="00387A07">
            <w:pPr>
              <w:rPr>
                <w:rFonts w:cs="Arial"/>
              </w:rPr>
            </w:pPr>
            <w:r w:rsidRPr="00AA03FE">
              <w:rPr>
                <w:rFonts w:cs="Arial"/>
              </w:rPr>
              <w:t>1%</w:t>
            </w:r>
          </w:p>
        </w:tc>
        <w:tc>
          <w:tcPr>
            <w:tcW w:w="1701" w:type="dxa"/>
            <w:tcBorders>
              <w:top w:val="single" w:sz="4" w:space="0" w:color="auto"/>
            </w:tcBorders>
            <w:shd w:val="clear" w:color="auto" w:fill="F2F2F2" w:themeFill="background1" w:themeFillShade="F2"/>
          </w:tcPr>
          <w:p w:rsidR="00387A07" w:rsidRPr="00AA03FE" w:rsidRDefault="00387A07" w:rsidP="00387A07">
            <w:pPr>
              <w:rPr>
                <w:rFonts w:cs="Arial"/>
              </w:rPr>
            </w:pPr>
            <w:r w:rsidRPr="00AA03FE">
              <w:rPr>
                <w:rFonts w:cs="Arial"/>
              </w:rPr>
              <w:t>1%</w:t>
            </w:r>
          </w:p>
        </w:tc>
        <w:tc>
          <w:tcPr>
            <w:tcW w:w="1871" w:type="dxa"/>
            <w:tcBorders>
              <w:top w:val="single" w:sz="4" w:space="0" w:color="auto"/>
              <w:right w:val="nil"/>
            </w:tcBorders>
            <w:shd w:val="clear" w:color="auto" w:fill="F2F2F2" w:themeFill="background1" w:themeFillShade="F2"/>
          </w:tcPr>
          <w:p w:rsidR="00387A07" w:rsidRPr="00AA03FE" w:rsidRDefault="00387A07" w:rsidP="00387A07">
            <w:pPr>
              <w:rPr>
                <w:rFonts w:cs="Arial"/>
              </w:rPr>
            </w:pPr>
            <w:r w:rsidRPr="00AA03FE">
              <w:rPr>
                <w:rFonts w:cs="Arial"/>
              </w:rPr>
              <w:t>13500 rpm</w:t>
            </w:r>
          </w:p>
        </w:tc>
      </w:tr>
      <w:tr w:rsidR="00387A07" w:rsidRPr="00AA03FE" w:rsidTr="00387A07">
        <w:trPr>
          <w:trHeight w:val="20"/>
        </w:trPr>
        <w:tc>
          <w:tcPr>
            <w:tcW w:w="1809" w:type="dxa"/>
            <w:tcBorders>
              <w:left w:val="nil"/>
            </w:tcBorders>
            <w:shd w:val="clear" w:color="auto" w:fill="F2F2F2" w:themeFill="background1" w:themeFillShade="F2"/>
          </w:tcPr>
          <w:p w:rsidR="00387A07" w:rsidRPr="00AA03FE" w:rsidRDefault="00387A07" w:rsidP="00387A07">
            <w:pPr>
              <w:rPr>
                <w:rFonts w:cs="Arial"/>
                <w:b/>
              </w:rPr>
            </w:pPr>
            <w:r w:rsidRPr="00AA03FE">
              <w:rPr>
                <w:rFonts w:cs="Arial"/>
                <w:b/>
              </w:rPr>
              <w:t>PLGA 2</w:t>
            </w:r>
          </w:p>
        </w:tc>
        <w:tc>
          <w:tcPr>
            <w:tcW w:w="1701" w:type="dxa"/>
            <w:shd w:val="clear" w:color="auto" w:fill="F2F2F2" w:themeFill="background1" w:themeFillShade="F2"/>
          </w:tcPr>
          <w:p w:rsidR="00387A07" w:rsidRPr="00AA03FE" w:rsidRDefault="00387A07" w:rsidP="00387A07">
            <w:pPr>
              <w:rPr>
                <w:rFonts w:cs="Arial"/>
              </w:rPr>
            </w:pPr>
            <w:r w:rsidRPr="00AA03FE">
              <w:rPr>
                <w:rFonts w:cs="Arial"/>
              </w:rPr>
              <w:t>1%</w:t>
            </w:r>
          </w:p>
        </w:tc>
        <w:tc>
          <w:tcPr>
            <w:tcW w:w="1701" w:type="dxa"/>
            <w:shd w:val="clear" w:color="auto" w:fill="F2F2F2" w:themeFill="background1" w:themeFillShade="F2"/>
          </w:tcPr>
          <w:p w:rsidR="00387A07" w:rsidRPr="00AA03FE" w:rsidRDefault="00387A07" w:rsidP="00387A07">
            <w:pPr>
              <w:rPr>
                <w:rFonts w:cs="Arial"/>
              </w:rPr>
            </w:pPr>
            <w:r w:rsidRPr="00AA03FE">
              <w:rPr>
                <w:rFonts w:cs="Arial"/>
              </w:rPr>
              <w:t>1%</w:t>
            </w:r>
          </w:p>
        </w:tc>
        <w:tc>
          <w:tcPr>
            <w:tcW w:w="1871" w:type="dxa"/>
            <w:tcBorders>
              <w:right w:val="nil"/>
            </w:tcBorders>
            <w:shd w:val="clear" w:color="auto" w:fill="F2F2F2" w:themeFill="background1" w:themeFillShade="F2"/>
          </w:tcPr>
          <w:p w:rsidR="00387A07" w:rsidRPr="00AA03FE" w:rsidRDefault="00387A07" w:rsidP="00387A07">
            <w:pPr>
              <w:rPr>
                <w:rFonts w:cs="Arial"/>
              </w:rPr>
            </w:pPr>
            <w:r w:rsidRPr="00AA03FE">
              <w:rPr>
                <w:rFonts w:cs="Arial"/>
              </w:rPr>
              <w:t>25000 rpm</w:t>
            </w:r>
          </w:p>
        </w:tc>
      </w:tr>
      <w:tr w:rsidR="00387A07" w:rsidRPr="00AA03FE" w:rsidTr="00387A07">
        <w:trPr>
          <w:trHeight w:val="20"/>
        </w:trPr>
        <w:tc>
          <w:tcPr>
            <w:tcW w:w="1809" w:type="dxa"/>
            <w:tcBorders>
              <w:left w:val="nil"/>
            </w:tcBorders>
            <w:shd w:val="clear" w:color="auto" w:fill="F2F2F2" w:themeFill="background1" w:themeFillShade="F2"/>
          </w:tcPr>
          <w:p w:rsidR="00387A07" w:rsidRPr="00AA03FE" w:rsidRDefault="00387A07" w:rsidP="00387A07">
            <w:pPr>
              <w:rPr>
                <w:rFonts w:cs="Arial"/>
                <w:b/>
              </w:rPr>
            </w:pPr>
            <w:r w:rsidRPr="00AA03FE">
              <w:rPr>
                <w:rFonts w:cs="Arial"/>
                <w:b/>
              </w:rPr>
              <w:t>PLGA 3</w:t>
            </w:r>
          </w:p>
        </w:tc>
        <w:tc>
          <w:tcPr>
            <w:tcW w:w="1701" w:type="dxa"/>
            <w:shd w:val="clear" w:color="auto" w:fill="F2F2F2" w:themeFill="background1" w:themeFillShade="F2"/>
          </w:tcPr>
          <w:p w:rsidR="00387A07" w:rsidRPr="00AA03FE" w:rsidRDefault="00387A07" w:rsidP="00387A07">
            <w:pPr>
              <w:rPr>
                <w:rFonts w:cs="Arial"/>
              </w:rPr>
            </w:pPr>
            <w:r w:rsidRPr="00AA03FE">
              <w:rPr>
                <w:rFonts w:cs="Arial"/>
              </w:rPr>
              <w:t>2.5%</w:t>
            </w:r>
          </w:p>
        </w:tc>
        <w:tc>
          <w:tcPr>
            <w:tcW w:w="1701" w:type="dxa"/>
            <w:shd w:val="clear" w:color="auto" w:fill="F2F2F2" w:themeFill="background1" w:themeFillShade="F2"/>
          </w:tcPr>
          <w:p w:rsidR="00387A07" w:rsidRPr="00AA03FE" w:rsidRDefault="00387A07" w:rsidP="00387A07">
            <w:pPr>
              <w:rPr>
                <w:rFonts w:cs="Arial"/>
              </w:rPr>
            </w:pPr>
            <w:r w:rsidRPr="00AA03FE">
              <w:rPr>
                <w:rFonts w:cs="Arial"/>
              </w:rPr>
              <w:t>2.5%</w:t>
            </w:r>
          </w:p>
        </w:tc>
        <w:tc>
          <w:tcPr>
            <w:tcW w:w="1871" w:type="dxa"/>
            <w:tcBorders>
              <w:right w:val="nil"/>
            </w:tcBorders>
            <w:shd w:val="clear" w:color="auto" w:fill="F2F2F2" w:themeFill="background1" w:themeFillShade="F2"/>
          </w:tcPr>
          <w:p w:rsidR="00387A07" w:rsidRPr="00AA03FE" w:rsidRDefault="00387A07" w:rsidP="00387A07">
            <w:pPr>
              <w:rPr>
                <w:rFonts w:cs="Arial"/>
              </w:rPr>
            </w:pPr>
            <w:r w:rsidRPr="00AA03FE">
              <w:rPr>
                <w:rFonts w:cs="Arial"/>
              </w:rPr>
              <w:t>13500 rpm</w:t>
            </w:r>
          </w:p>
        </w:tc>
      </w:tr>
      <w:tr w:rsidR="00387A07" w:rsidRPr="00AA03FE" w:rsidTr="00387A07">
        <w:trPr>
          <w:trHeight w:val="20"/>
        </w:trPr>
        <w:tc>
          <w:tcPr>
            <w:tcW w:w="1809" w:type="dxa"/>
            <w:tcBorders>
              <w:left w:val="nil"/>
            </w:tcBorders>
            <w:shd w:val="clear" w:color="auto" w:fill="F2F2F2" w:themeFill="background1" w:themeFillShade="F2"/>
          </w:tcPr>
          <w:p w:rsidR="00387A07" w:rsidRPr="00AA03FE" w:rsidRDefault="00387A07" w:rsidP="00387A07">
            <w:pPr>
              <w:rPr>
                <w:rFonts w:cs="Arial"/>
                <w:b/>
              </w:rPr>
            </w:pPr>
            <w:r w:rsidRPr="00AA03FE">
              <w:rPr>
                <w:rFonts w:cs="Arial"/>
                <w:b/>
              </w:rPr>
              <w:t>PLGA 4</w:t>
            </w:r>
          </w:p>
        </w:tc>
        <w:tc>
          <w:tcPr>
            <w:tcW w:w="1701" w:type="dxa"/>
            <w:shd w:val="clear" w:color="auto" w:fill="F2F2F2" w:themeFill="background1" w:themeFillShade="F2"/>
          </w:tcPr>
          <w:p w:rsidR="00387A07" w:rsidRPr="00AA03FE" w:rsidRDefault="00387A07" w:rsidP="00387A07">
            <w:pPr>
              <w:rPr>
                <w:rFonts w:cs="Arial"/>
              </w:rPr>
            </w:pPr>
            <w:r w:rsidRPr="00AA03FE">
              <w:rPr>
                <w:rFonts w:cs="Arial"/>
              </w:rPr>
              <w:t>2.5%</w:t>
            </w:r>
          </w:p>
        </w:tc>
        <w:tc>
          <w:tcPr>
            <w:tcW w:w="1701" w:type="dxa"/>
            <w:shd w:val="clear" w:color="auto" w:fill="F2F2F2" w:themeFill="background1" w:themeFillShade="F2"/>
          </w:tcPr>
          <w:p w:rsidR="00387A07" w:rsidRPr="00AA03FE" w:rsidRDefault="00387A07" w:rsidP="00387A07">
            <w:pPr>
              <w:rPr>
                <w:rFonts w:cs="Arial"/>
              </w:rPr>
            </w:pPr>
            <w:r w:rsidRPr="00AA03FE">
              <w:rPr>
                <w:rFonts w:cs="Arial"/>
              </w:rPr>
              <w:t>2.5%</w:t>
            </w:r>
          </w:p>
        </w:tc>
        <w:tc>
          <w:tcPr>
            <w:tcW w:w="1871" w:type="dxa"/>
            <w:tcBorders>
              <w:right w:val="nil"/>
            </w:tcBorders>
            <w:shd w:val="clear" w:color="auto" w:fill="F2F2F2" w:themeFill="background1" w:themeFillShade="F2"/>
          </w:tcPr>
          <w:p w:rsidR="00387A07" w:rsidRPr="00AA03FE" w:rsidRDefault="00387A07" w:rsidP="00387A07">
            <w:pPr>
              <w:rPr>
                <w:rFonts w:cs="Arial"/>
              </w:rPr>
            </w:pPr>
            <w:r w:rsidRPr="00AA03FE">
              <w:rPr>
                <w:rFonts w:cs="Arial"/>
              </w:rPr>
              <w:t>25000 rpm</w:t>
            </w:r>
          </w:p>
        </w:tc>
      </w:tr>
      <w:tr w:rsidR="00387A07" w:rsidRPr="00AA03FE" w:rsidTr="00387A07">
        <w:trPr>
          <w:trHeight w:val="20"/>
        </w:trPr>
        <w:tc>
          <w:tcPr>
            <w:tcW w:w="1809" w:type="dxa"/>
            <w:tcBorders>
              <w:left w:val="nil"/>
            </w:tcBorders>
            <w:shd w:val="clear" w:color="auto" w:fill="F2F2F2" w:themeFill="background1" w:themeFillShade="F2"/>
          </w:tcPr>
          <w:p w:rsidR="00387A07" w:rsidRPr="00AA03FE" w:rsidRDefault="00387A07" w:rsidP="00387A07">
            <w:pPr>
              <w:rPr>
                <w:rFonts w:cs="Arial"/>
                <w:b/>
              </w:rPr>
            </w:pPr>
            <w:r w:rsidRPr="00AA03FE">
              <w:rPr>
                <w:rFonts w:cs="Arial"/>
                <w:b/>
              </w:rPr>
              <w:t>PLGA 5</w:t>
            </w:r>
          </w:p>
        </w:tc>
        <w:tc>
          <w:tcPr>
            <w:tcW w:w="1701" w:type="dxa"/>
            <w:shd w:val="clear" w:color="auto" w:fill="F2F2F2" w:themeFill="background1" w:themeFillShade="F2"/>
          </w:tcPr>
          <w:p w:rsidR="00387A07" w:rsidRPr="00AA03FE" w:rsidRDefault="00387A07" w:rsidP="00387A07">
            <w:pPr>
              <w:rPr>
                <w:rFonts w:cs="Arial"/>
              </w:rPr>
            </w:pPr>
            <w:r w:rsidRPr="00AA03FE">
              <w:rPr>
                <w:rFonts w:cs="Arial"/>
              </w:rPr>
              <w:t>2.5%</w:t>
            </w:r>
          </w:p>
        </w:tc>
        <w:tc>
          <w:tcPr>
            <w:tcW w:w="1701" w:type="dxa"/>
            <w:shd w:val="clear" w:color="auto" w:fill="F2F2F2" w:themeFill="background1" w:themeFillShade="F2"/>
          </w:tcPr>
          <w:p w:rsidR="00387A07" w:rsidRPr="00AA03FE" w:rsidRDefault="00387A07" w:rsidP="00387A07">
            <w:pPr>
              <w:rPr>
                <w:rFonts w:cs="Arial"/>
              </w:rPr>
            </w:pPr>
            <w:r w:rsidRPr="00AA03FE">
              <w:rPr>
                <w:rFonts w:cs="Arial"/>
              </w:rPr>
              <w:t>1%</w:t>
            </w:r>
          </w:p>
        </w:tc>
        <w:tc>
          <w:tcPr>
            <w:tcW w:w="1871" w:type="dxa"/>
            <w:tcBorders>
              <w:right w:val="nil"/>
            </w:tcBorders>
            <w:shd w:val="clear" w:color="auto" w:fill="F2F2F2" w:themeFill="background1" w:themeFillShade="F2"/>
          </w:tcPr>
          <w:p w:rsidR="00387A07" w:rsidRPr="00AA03FE" w:rsidRDefault="00387A07" w:rsidP="00387A07">
            <w:pPr>
              <w:rPr>
                <w:rFonts w:cs="Arial"/>
              </w:rPr>
            </w:pPr>
            <w:r w:rsidRPr="00AA03FE">
              <w:rPr>
                <w:rFonts w:cs="Arial"/>
              </w:rPr>
              <w:t>13500 rpm</w:t>
            </w:r>
          </w:p>
        </w:tc>
      </w:tr>
      <w:tr w:rsidR="00387A07" w:rsidRPr="00AA03FE" w:rsidTr="00387A07">
        <w:trPr>
          <w:trHeight w:val="20"/>
        </w:trPr>
        <w:tc>
          <w:tcPr>
            <w:tcW w:w="1809" w:type="dxa"/>
            <w:tcBorders>
              <w:left w:val="nil"/>
              <w:bottom w:val="single" w:sz="4" w:space="0" w:color="000000" w:themeColor="text1"/>
            </w:tcBorders>
            <w:shd w:val="clear" w:color="auto" w:fill="F2F2F2" w:themeFill="background1" w:themeFillShade="F2"/>
          </w:tcPr>
          <w:p w:rsidR="00387A07" w:rsidRPr="00AA03FE" w:rsidRDefault="00387A07" w:rsidP="00387A07">
            <w:pPr>
              <w:rPr>
                <w:rFonts w:cs="Arial"/>
                <w:b/>
              </w:rPr>
            </w:pPr>
            <w:r w:rsidRPr="00AA03FE">
              <w:rPr>
                <w:rFonts w:cs="Arial"/>
                <w:b/>
              </w:rPr>
              <w:t>PLGA 6</w:t>
            </w:r>
          </w:p>
        </w:tc>
        <w:tc>
          <w:tcPr>
            <w:tcW w:w="1701" w:type="dxa"/>
            <w:shd w:val="clear" w:color="auto" w:fill="F2F2F2" w:themeFill="background1" w:themeFillShade="F2"/>
          </w:tcPr>
          <w:p w:rsidR="00387A07" w:rsidRPr="00AA03FE" w:rsidRDefault="00387A07" w:rsidP="00387A07">
            <w:pPr>
              <w:rPr>
                <w:rFonts w:cs="Arial"/>
              </w:rPr>
            </w:pPr>
            <w:r w:rsidRPr="00AA03FE">
              <w:rPr>
                <w:rFonts w:cs="Arial"/>
              </w:rPr>
              <w:t>2.5%</w:t>
            </w:r>
          </w:p>
        </w:tc>
        <w:tc>
          <w:tcPr>
            <w:tcW w:w="1701" w:type="dxa"/>
            <w:shd w:val="clear" w:color="auto" w:fill="F2F2F2" w:themeFill="background1" w:themeFillShade="F2"/>
          </w:tcPr>
          <w:p w:rsidR="00387A07" w:rsidRPr="00AA03FE" w:rsidRDefault="00387A07" w:rsidP="00387A07">
            <w:pPr>
              <w:rPr>
                <w:rFonts w:cs="Arial"/>
              </w:rPr>
            </w:pPr>
            <w:r w:rsidRPr="00AA03FE">
              <w:rPr>
                <w:rFonts w:cs="Arial"/>
              </w:rPr>
              <w:t>1%</w:t>
            </w:r>
          </w:p>
        </w:tc>
        <w:tc>
          <w:tcPr>
            <w:tcW w:w="1871" w:type="dxa"/>
            <w:tcBorders>
              <w:bottom w:val="single" w:sz="4" w:space="0" w:color="000000" w:themeColor="text1"/>
              <w:right w:val="nil"/>
            </w:tcBorders>
            <w:shd w:val="clear" w:color="auto" w:fill="F2F2F2" w:themeFill="background1" w:themeFillShade="F2"/>
          </w:tcPr>
          <w:p w:rsidR="00387A07" w:rsidRPr="00AA03FE" w:rsidRDefault="00387A07" w:rsidP="00387A07">
            <w:pPr>
              <w:rPr>
                <w:rFonts w:cs="Arial"/>
              </w:rPr>
            </w:pPr>
            <w:r w:rsidRPr="00AA03FE">
              <w:rPr>
                <w:rFonts w:cs="Arial"/>
              </w:rPr>
              <w:t>25000 rpm</w:t>
            </w:r>
          </w:p>
        </w:tc>
      </w:tr>
    </w:tbl>
    <w:p w:rsidR="00387A07" w:rsidRPr="00AA03FE" w:rsidRDefault="00387A07" w:rsidP="00387A07">
      <w:pPr>
        <w:pStyle w:val="Didascalia"/>
      </w:pPr>
    </w:p>
    <w:p w:rsidR="00387A07" w:rsidRPr="00AA03FE" w:rsidRDefault="00387A07" w:rsidP="00387A07">
      <w:pPr>
        <w:pStyle w:val="Didascalia"/>
      </w:pPr>
    </w:p>
    <w:p w:rsidR="00387A07" w:rsidRPr="00AA03FE" w:rsidRDefault="00387A07" w:rsidP="00387A07">
      <w:pPr>
        <w:pStyle w:val="Didascalia"/>
      </w:pPr>
    </w:p>
    <w:p w:rsidR="00387A07" w:rsidRPr="00AA03FE" w:rsidRDefault="00387A07" w:rsidP="00387A07">
      <w:pPr>
        <w:pStyle w:val="Didascalia"/>
      </w:pPr>
    </w:p>
    <w:p w:rsidR="00387A07" w:rsidRPr="00AA03FE" w:rsidRDefault="00387A07" w:rsidP="00387A07">
      <w:pPr>
        <w:pStyle w:val="Didascalia"/>
      </w:pPr>
    </w:p>
    <w:p w:rsidR="00387A07" w:rsidRPr="00AA03FE" w:rsidRDefault="00387A07" w:rsidP="00387A07">
      <w:pPr>
        <w:pStyle w:val="Didascalia"/>
      </w:pPr>
    </w:p>
    <w:p w:rsidR="00387A07" w:rsidRPr="00AA03FE" w:rsidRDefault="00387A07" w:rsidP="00387A07">
      <w:pPr>
        <w:pStyle w:val="Didascalia"/>
        <w:spacing w:after="0"/>
      </w:pPr>
    </w:p>
    <w:p w:rsidR="00387A07" w:rsidRPr="00AA03FE" w:rsidRDefault="00387A07" w:rsidP="00387A07">
      <w:pPr>
        <w:pStyle w:val="Didascalia"/>
        <w:rPr>
          <w:rFonts w:ascii="Arial" w:hAnsi="Arial" w:cs="Arial"/>
          <w:color w:val="000000"/>
          <w:sz w:val="24"/>
          <w:szCs w:val="24"/>
        </w:rPr>
      </w:pPr>
      <w:r w:rsidRPr="00AA03FE">
        <w:t xml:space="preserve">Table 3. </w:t>
      </w:r>
      <w:fldSimple w:instr=" SEQ Table_3. \* ARABIC ">
        <w:r w:rsidRPr="00AA03FE">
          <w:rPr>
            <w:noProof/>
          </w:rPr>
          <w:t>1</w:t>
        </w:r>
      </w:fldSimple>
      <w:r w:rsidRPr="00AA03FE">
        <w:t xml:space="preserve"> List of samples prepared for the optimization of the protocol for nanoparticles preparation.</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The concentration of PVA and the homogenization speed are expected to affect the dimensions of nanoparticles [19], while the washing medium and the optional addition of NaCl during the solvent evaporation step are believed to mainly affect the surface charge [20]. </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To assess the effect of the washing medium on particles surface charge, three different media were used: Sodium Chloride, distilled water and a solution of a second surfactant (Poloxamer F168) in water, at two different concentrations (1% and 2% w/v).   </w:t>
      </w:r>
    </w:p>
    <w:p w:rsidR="00387A07" w:rsidRPr="00AA03FE" w:rsidRDefault="00387A07" w:rsidP="00387A07">
      <w:pPr>
        <w:autoSpaceDE w:val="0"/>
        <w:autoSpaceDN w:val="0"/>
        <w:adjustRightInd w:val="0"/>
        <w:spacing w:after="0" w:line="360" w:lineRule="auto"/>
        <w:jc w:val="both"/>
        <w:rPr>
          <w:rFonts w:ascii="Arial" w:hAnsi="Arial" w:cs="Arial"/>
          <w:bCs/>
          <w:sz w:val="24"/>
          <w:szCs w:val="24"/>
        </w:rPr>
      </w:pPr>
      <w:r w:rsidRPr="00AA03FE">
        <w:rPr>
          <w:rFonts w:ascii="Arial" w:hAnsi="Arial" w:cs="Arial"/>
          <w:color w:val="000000"/>
          <w:sz w:val="24"/>
          <w:szCs w:val="24"/>
        </w:rPr>
        <w:t>Poloxamer F168 is a non ionic surfactant</w:t>
      </w:r>
      <w:r w:rsidRPr="00AA03FE">
        <w:rPr>
          <w:rFonts w:ascii="Arial" w:hAnsi="Arial" w:cs="Arial"/>
          <w:sz w:val="24"/>
          <w:szCs w:val="24"/>
        </w:rPr>
        <w:t>, composed of a central hydrophobic chain of poly(propylene oxide) flanked by two hydrophilic chains of poly(ethylene oxide), which has been reported to</w:t>
      </w:r>
      <w:r w:rsidRPr="00AA03FE">
        <w:rPr>
          <w:rFonts w:ascii="Arial" w:hAnsi="Arial" w:cs="Arial"/>
          <w:bCs/>
          <w:sz w:val="24"/>
          <w:szCs w:val="24"/>
        </w:rPr>
        <w:t xml:space="preserve"> decrease the surface charge of PLGA nanoparticles [21-23].</w:t>
      </w:r>
    </w:p>
    <w:p w:rsidR="00387A07" w:rsidRPr="00AA03FE" w:rsidRDefault="00387A07" w:rsidP="00387A07">
      <w:pPr>
        <w:autoSpaceDE w:val="0"/>
        <w:autoSpaceDN w:val="0"/>
        <w:adjustRightInd w:val="0"/>
        <w:spacing w:before="240" w:after="240" w:line="360" w:lineRule="auto"/>
        <w:jc w:val="both"/>
        <w:rPr>
          <w:rFonts w:ascii="Arial" w:hAnsi="Arial" w:cs="Arial"/>
          <w:b/>
          <w:i/>
          <w:color w:val="000000"/>
          <w:sz w:val="24"/>
          <w:szCs w:val="24"/>
        </w:rPr>
      </w:pPr>
      <w:r w:rsidRPr="00AA03FE">
        <w:rPr>
          <w:rFonts w:ascii="Arial" w:hAnsi="Arial" w:cs="Arial"/>
          <w:b/>
          <w:i/>
          <w:color w:val="000000"/>
          <w:sz w:val="24"/>
          <w:szCs w:val="24"/>
        </w:rPr>
        <w:t>3.2.4.2 Preparation of nanoparticles</w:t>
      </w:r>
    </w:p>
    <w:p w:rsidR="00387A07" w:rsidRPr="00AA03FE" w:rsidRDefault="00387A07" w:rsidP="00387A07">
      <w:pPr>
        <w:autoSpaceDE w:val="0"/>
        <w:autoSpaceDN w:val="0"/>
        <w:adjustRightInd w:val="0"/>
        <w:spacing w:line="360" w:lineRule="auto"/>
        <w:jc w:val="both"/>
        <w:rPr>
          <w:rFonts w:ascii="Arial" w:hAnsi="Arial" w:cs="Arial"/>
          <w:color w:val="000000"/>
          <w:sz w:val="24"/>
          <w:szCs w:val="24"/>
        </w:rPr>
      </w:pPr>
      <w:r w:rsidRPr="00AA03FE">
        <w:rPr>
          <w:rFonts w:ascii="Arial" w:hAnsi="Arial" w:cs="Arial"/>
          <w:color w:val="000000"/>
          <w:sz w:val="24"/>
          <w:szCs w:val="24"/>
        </w:rPr>
        <w:t xml:space="preserve">Nanoparticles for </w:t>
      </w:r>
      <w:r w:rsidRPr="00AA03FE">
        <w:rPr>
          <w:rFonts w:ascii="Arial" w:hAnsi="Arial" w:cs="Arial"/>
          <w:i/>
          <w:color w:val="000000"/>
          <w:sz w:val="24"/>
          <w:szCs w:val="24"/>
        </w:rPr>
        <w:t>in vitro</w:t>
      </w:r>
      <w:r w:rsidRPr="00AA03FE">
        <w:rPr>
          <w:rFonts w:ascii="Arial" w:hAnsi="Arial" w:cs="Arial"/>
          <w:color w:val="000000"/>
          <w:sz w:val="24"/>
          <w:szCs w:val="24"/>
        </w:rPr>
        <w:t xml:space="preserve"> drug release and cellular tests were prepared according to the optimized protocol represented in figure 3.2.</w:t>
      </w:r>
    </w:p>
    <w:p w:rsidR="00387A07" w:rsidRPr="00AA03FE" w:rsidRDefault="00387A07" w:rsidP="00387A07">
      <w:pPr>
        <w:autoSpaceDE w:val="0"/>
        <w:autoSpaceDN w:val="0"/>
        <w:adjustRightInd w:val="0"/>
        <w:spacing w:line="360" w:lineRule="auto"/>
        <w:jc w:val="center"/>
        <w:rPr>
          <w:rFonts w:ascii="Arial" w:hAnsi="Arial" w:cs="Arial"/>
          <w:color w:val="000000"/>
          <w:sz w:val="24"/>
          <w:szCs w:val="24"/>
        </w:rPr>
      </w:pPr>
      <w:r w:rsidRPr="00AA03FE">
        <w:rPr>
          <w:rFonts w:ascii="Arial" w:hAnsi="Arial" w:cs="Arial"/>
          <w:noProof/>
          <w:color w:val="000000"/>
          <w:sz w:val="24"/>
          <w:szCs w:val="24"/>
          <w:lang w:val="it-IT" w:eastAsia="it-IT"/>
        </w:rPr>
        <w:drawing>
          <wp:inline distT="0" distB="0" distL="0" distR="0">
            <wp:extent cx="4410075" cy="2111550"/>
            <wp:effectExtent l="19050" t="0" r="9525" b="0"/>
            <wp:docPr id="63" name="Immagine 3" descr="schemat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matic.png"/>
                    <pic:cNvPicPr/>
                  </pic:nvPicPr>
                  <pic:blipFill>
                    <a:blip r:embed="rId41"/>
                    <a:stretch>
                      <a:fillRect/>
                    </a:stretch>
                  </pic:blipFill>
                  <pic:spPr>
                    <a:xfrm>
                      <a:off x="0" y="0"/>
                      <a:ext cx="4415955" cy="2114365"/>
                    </a:xfrm>
                    <a:prstGeom prst="rect">
                      <a:avLst/>
                    </a:prstGeom>
                  </pic:spPr>
                </pic:pic>
              </a:graphicData>
            </a:graphic>
          </wp:inline>
        </w:drawing>
      </w:r>
    </w:p>
    <w:p w:rsidR="00387A07" w:rsidRPr="00AA03FE" w:rsidRDefault="00387A07" w:rsidP="00387A07">
      <w:pPr>
        <w:pStyle w:val="Didascalia"/>
        <w:rPr>
          <w:rFonts w:ascii="Arial" w:hAnsi="Arial" w:cs="Arial"/>
          <w:color w:val="000000"/>
          <w:sz w:val="24"/>
          <w:szCs w:val="24"/>
        </w:rPr>
      </w:pPr>
      <w:r w:rsidRPr="00AA03FE">
        <w:t xml:space="preserve">Figure 3. </w:t>
      </w:r>
      <w:fldSimple w:instr=" SEQ Figure_3. \* ARABIC ">
        <w:r w:rsidRPr="00AA03FE">
          <w:rPr>
            <w:noProof/>
          </w:rPr>
          <w:t>2</w:t>
        </w:r>
      </w:fldSimple>
      <w:r w:rsidRPr="00AA03FE">
        <w:t xml:space="preserve"> Schematic representation of the protocol adopted.</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lastRenderedPageBreak/>
        <w:t xml:space="preserve">Briefly 100 mg of the polymer were dissolved in Ethyl Acetate (4ml) and added dropwise into 4ml of water containing 2.5% w/v PVA and sonicated for 2 minutes. The primary emulsion was added into 50 ml of water containing 1% w/v PVA and homogenized at 13500 rpm. The solution was gently stirred overnight to allow solvent evaporation, particles were collected by centrifugation and washed 3 times with distilled water before freeze drying. </w:t>
      </w:r>
    </w:p>
    <w:p w:rsidR="00387A07" w:rsidRPr="00AA03FE" w:rsidRDefault="00387A07" w:rsidP="00387A07">
      <w:pPr>
        <w:autoSpaceDE w:val="0"/>
        <w:autoSpaceDN w:val="0"/>
        <w:adjustRightInd w:val="0"/>
        <w:spacing w:before="240" w:after="240" w:line="360" w:lineRule="auto"/>
        <w:rPr>
          <w:rFonts w:ascii="Arial" w:hAnsi="Arial" w:cs="Arial"/>
          <w:b/>
          <w:i/>
          <w:color w:val="000000"/>
          <w:sz w:val="24"/>
          <w:szCs w:val="24"/>
          <w:lang w:val="en-US"/>
        </w:rPr>
      </w:pPr>
      <w:r w:rsidRPr="00AA03FE">
        <w:rPr>
          <w:rFonts w:ascii="Arial" w:hAnsi="Arial" w:cs="Arial"/>
          <w:b/>
          <w:i/>
          <w:color w:val="000000"/>
          <w:sz w:val="24"/>
          <w:szCs w:val="24"/>
          <w:lang w:val="en-US"/>
        </w:rPr>
        <w:t>3.2.4.3 Preparation of Paclitaxel-loaded nanoparticles</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 xml:space="preserve">PX-loaded nanoparticles (5% w/w with respect to the polymer weight) </w:t>
      </w:r>
      <w:r w:rsidRPr="00AA03FE">
        <w:rPr>
          <w:rFonts w:ascii="Arial" w:hAnsi="Arial" w:cs="Arial"/>
          <w:color w:val="000000"/>
          <w:sz w:val="24"/>
          <w:szCs w:val="24"/>
        </w:rPr>
        <w:t xml:space="preserve">for </w:t>
      </w:r>
      <w:r w:rsidRPr="00AA03FE">
        <w:rPr>
          <w:rFonts w:ascii="Arial" w:hAnsi="Arial" w:cs="Arial"/>
          <w:i/>
          <w:color w:val="000000"/>
          <w:sz w:val="24"/>
          <w:szCs w:val="24"/>
        </w:rPr>
        <w:t xml:space="preserve">in vitro </w:t>
      </w:r>
      <w:r w:rsidRPr="00AA03FE">
        <w:rPr>
          <w:rFonts w:ascii="Arial" w:hAnsi="Arial" w:cs="Arial"/>
          <w:color w:val="000000"/>
          <w:sz w:val="24"/>
          <w:szCs w:val="24"/>
        </w:rPr>
        <w:t>drug release and cytotoxicity studies</w:t>
      </w:r>
      <w:r w:rsidRPr="00AA03FE">
        <w:rPr>
          <w:rFonts w:ascii="Arial" w:hAnsi="Arial" w:cs="Arial"/>
          <w:sz w:val="24"/>
          <w:szCs w:val="24"/>
        </w:rPr>
        <w:t xml:space="preserve"> were prepared according to the above-described procedure, by adding the drug to the polymer solution in ethyl acetate. </w:t>
      </w:r>
    </w:p>
    <w:p w:rsidR="00387A07" w:rsidRPr="00AA03FE" w:rsidRDefault="00387A07" w:rsidP="00387A07">
      <w:pPr>
        <w:pStyle w:val="Paragrafoelenco"/>
        <w:numPr>
          <w:ilvl w:val="2"/>
          <w:numId w:val="7"/>
        </w:numPr>
        <w:autoSpaceDE w:val="0"/>
        <w:autoSpaceDN w:val="0"/>
        <w:adjustRightInd w:val="0"/>
        <w:spacing w:before="240" w:after="240" w:line="360" w:lineRule="auto"/>
        <w:jc w:val="both"/>
        <w:rPr>
          <w:rFonts w:ascii="Arial" w:hAnsi="Arial" w:cs="Arial"/>
          <w:b/>
          <w:i/>
          <w:color w:val="000000"/>
          <w:sz w:val="24"/>
          <w:szCs w:val="24"/>
        </w:rPr>
      </w:pPr>
      <w:r w:rsidRPr="00AA03FE">
        <w:rPr>
          <w:rFonts w:ascii="Arial" w:hAnsi="Arial" w:cs="Arial"/>
          <w:b/>
          <w:i/>
          <w:color w:val="000000"/>
          <w:sz w:val="24"/>
          <w:szCs w:val="24"/>
        </w:rPr>
        <w:t>Surface modification of nanoparticles</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In order to prepare nanoparticles for the active targeting of HER-positive breast cancer cells, the monoclonal antibody Herceptin which is able to selectively bind to specific receptors over-expressed on the surface of these cells, was introduced on the surface of nanoparticles [11]. </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As already mentioned, Herceptin is positively charged below pH 8.45 and could therefore interact with the negative surface of nanoparticles through hydrophilic/hydrophobic interactions, forming a coating.</w:t>
      </w:r>
    </w:p>
    <w:p w:rsidR="00387A07" w:rsidRPr="00AA03FE" w:rsidRDefault="00387A07" w:rsidP="00387A07">
      <w:pPr>
        <w:pStyle w:val="Testonormale"/>
        <w:spacing w:line="360" w:lineRule="auto"/>
        <w:jc w:val="both"/>
        <w:outlineLvl w:val="0"/>
        <w:rPr>
          <w:rFonts w:ascii="Arial" w:hAnsi="Arial" w:cs="Arial"/>
          <w:sz w:val="24"/>
          <w:szCs w:val="24"/>
          <w:lang w:val="en-GB"/>
        </w:rPr>
      </w:pPr>
      <w:r w:rsidRPr="00AA03FE">
        <w:rPr>
          <w:rFonts w:ascii="Arial" w:hAnsi="Arial" w:cs="Arial"/>
          <w:sz w:val="24"/>
          <w:szCs w:val="24"/>
          <w:lang w:val="en-GB"/>
        </w:rPr>
        <w:t>For Herceptin decoration, 500µl of nanoparticles solution in PBS pH 5.6 (1mg/ml) were added to the same volume of antibody solution (1mg/ml) and incubated at 4°C for 6 hours.</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In order to optimize the decoration process, PLGA nanoparticles were incubated in the presence of the antibody for three different time points (1, 6 and 24 hours) at 4°C. The amount of adsorbed protein and the changes in the zeta potential and mean diameter of nanoparticles were detected after each time point [20].</w:t>
      </w:r>
    </w:p>
    <w:p w:rsidR="00387A07"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The amount of the antibody on the surface of nanoparticles was evaluated as the difference between the initial and the residual amount of Herceptin in the supernatant, by using a standard Bradford assay.</w:t>
      </w:r>
    </w:p>
    <w:p w:rsidR="00D873AE" w:rsidRDefault="00D873AE" w:rsidP="00387A07">
      <w:pPr>
        <w:autoSpaceDE w:val="0"/>
        <w:autoSpaceDN w:val="0"/>
        <w:adjustRightInd w:val="0"/>
        <w:spacing w:after="0" w:line="360" w:lineRule="auto"/>
        <w:jc w:val="both"/>
        <w:rPr>
          <w:rFonts w:ascii="Arial" w:hAnsi="Arial" w:cs="Arial"/>
          <w:color w:val="000000"/>
          <w:sz w:val="24"/>
          <w:szCs w:val="24"/>
        </w:rPr>
      </w:pPr>
    </w:p>
    <w:p w:rsidR="00D873AE" w:rsidRDefault="00D873AE" w:rsidP="00387A07">
      <w:pPr>
        <w:autoSpaceDE w:val="0"/>
        <w:autoSpaceDN w:val="0"/>
        <w:adjustRightInd w:val="0"/>
        <w:spacing w:after="0" w:line="360" w:lineRule="auto"/>
        <w:jc w:val="both"/>
        <w:rPr>
          <w:rFonts w:ascii="Arial" w:hAnsi="Arial" w:cs="Arial"/>
          <w:color w:val="000000"/>
          <w:sz w:val="24"/>
          <w:szCs w:val="24"/>
        </w:rPr>
      </w:pPr>
    </w:p>
    <w:p w:rsidR="00D873AE" w:rsidRDefault="00D873AE" w:rsidP="00387A07">
      <w:pPr>
        <w:autoSpaceDE w:val="0"/>
        <w:autoSpaceDN w:val="0"/>
        <w:adjustRightInd w:val="0"/>
        <w:spacing w:after="0" w:line="360" w:lineRule="auto"/>
        <w:jc w:val="both"/>
        <w:rPr>
          <w:rFonts w:ascii="Arial" w:hAnsi="Arial" w:cs="Arial"/>
          <w:color w:val="000000"/>
          <w:sz w:val="24"/>
          <w:szCs w:val="24"/>
        </w:rPr>
      </w:pPr>
    </w:p>
    <w:p w:rsidR="00D873AE" w:rsidRPr="00AA03FE" w:rsidRDefault="00D873AE" w:rsidP="00387A07">
      <w:pPr>
        <w:autoSpaceDE w:val="0"/>
        <w:autoSpaceDN w:val="0"/>
        <w:adjustRightInd w:val="0"/>
        <w:spacing w:after="0" w:line="360" w:lineRule="auto"/>
        <w:jc w:val="both"/>
        <w:rPr>
          <w:rFonts w:ascii="Arial" w:hAnsi="Arial" w:cs="Arial"/>
          <w:color w:val="000000"/>
          <w:sz w:val="24"/>
          <w:szCs w:val="24"/>
        </w:rPr>
      </w:pPr>
    </w:p>
    <w:p w:rsidR="00387A07" w:rsidRPr="00AA03FE" w:rsidRDefault="00387A07" w:rsidP="00387A07">
      <w:pPr>
        <w:autoSpaceDE w:val="0"/>
        <w:autoSpaceDN w:val="0"/>
        <w:adjustRightInd w:val="0"/>
        <w:spacing w:before="240" w:after="240" w:line="360" w:lineRule="auto"/>
        <w:jc w:val="both"/>
        <w:rPr>
          <w:rFonts w:ascii="Arial" w:hAnsi="Arial" w:cs="Arial"/>
          <w:b/>
          <w:i/>
          <w:color w:val="000000"/>
          <w:sz w:val="24"/>
          <w:szCs w:val="24"/>
          <w:lang w:val="en-US"/>
        </w:rPr>
      </w:pPr>
      <w:r w:rsidRPr="00AA03FE">
        <w:rPr>
          <w:rFonts w:ascii="Arial" w:hAnsi="Arial" w:cs="Arial"/>
          <w:b/>
          <w:i/>
          <w:color w:val="000000"/>
          <w:sz w:val="24"/>
          <w:szCs w:val="24"/>
          <w:lang w:val="en-US"/>
        </w:rPr>
        <w:lastRenderedPageBreak/>
        <w:t>3.2.6 Characterization of nanoparticles</w:t>
      </w:r>
    </w:p>
    <w:p w:rsidR="00387A07" w:rsidRPr="00AA03FE" w:rsidRDefault="00387A07" w:rsidP="00387A07">
      <w:pPr>
        <w:autoSpaceDE w:val="0"/>
        <w:autoSpaceDN w:val="0"/>
        <w:adjustRightInd w:val="0"/>
        <w:spacing w:before="240" w:after="240" w:line="360" w:lineRule="auto"/>
        <w:jc w:val="both"/>
        <w:rPr>
          <w:rFonts w:ascii="Arial" w:hAnsi="Arial" w:cs="Arial"/>
          <w:b/>
          <w:i/>
          <w:color w:val="000000"/>
          <w:sz w:val="24"/>
          <w:szCs w:val="24"/>
          <w:lang w:val="en-US"/>
        </w:rPr>
      </w:pPr>
      <w:r w:rsidRPr="00AA03FE">
        <w:rPr>
          <w:rFonts w:ascii="Arial" w:hAnsi="Arial" w:cs="Arial"/>
          <w:b/>
          <w:i/>
          <w:color w:val="000000"/>
          <w:sz w:val="24"/>
          <w:szCs w:val="24"/>
          <w:lang w:val="en-US"/>
        </w:rPr>
        <w:t>3.2.6.1 P</w:t>
      </w:r>
      <w:r w:rsidRPr="00AA03FE">
        <w:rPr>
          <w:rFonts w:ascii="Arial" w:hAnsi="Arial" w:cs="Arial"/>
          <w:b/>
          <w:i/>
          <w:color w:val="000000"/>
          <w:sz w:val="24"/>
          <w:szCs w:val="24"/>
        </w:rPr>
        <w:t xml:space="preserve">article size and size </w:t>
      </w:r>
      <w:r w:rsidRPr="00AA03FE">
        <w:rPr>
          <w:rFonts w:ascii="Arial" w:hAnsi="Arial" w:cs="Arial"/>
          <w:b/>
          <w:i/>
          <w:color w:val="000000"/>
          <w:sz w:val="24"/>
          <w:szCs w:val="24"/>
          <w:lang w:val="en-US"/>
        </w:rPr>
        <w:t xml:space="preserve">distribution. </w:t>
      </w:r>
    </w:p>
    <w:p w:rsidR="00387A07" w:rsidRPr="00AA03FE" w:rsidRDefault="00387A07" w:rsidP="00387A07">
      <w:pPr>
        <w:autoSpaceDE w:val="0"/>
        <w:autoSpaceDN w:val="0"/>
        <w:adjustRightInd w:val="0"/>
        <w:spacing w:after="0" w:line="360" w:lineRule="auto"/>
        <w:jc w:val="both"/>
        <w:rPr>
          <w:rFonts w:ascii="Arial" w:eastAsia="AdvTimes" w:hAnsi="Arial" w:cs="Arial"/>
          <w:color w:val="000000"/>
          <w:sz w:val="24"/>
          <w:szCs w:val="24"/>
        </w:rPr>
      </w:pPr>
      <w:r w:rsidRPr="00AA03FE">
        <w:rPr>
          <w:rFonts w:ascii="Arial" w:eastAsia="AdvTimes" w:hAnsi="Arial" w:cs="Arial"/>
          <w:color w:val="000000"/>
          <w:sz w:val="24"/>
          <w:szCs w:val="24"/>
          <w:lang w:val="en-US"/>
        </w:rPr>
        <w:t>The particle</w:t>
      </w:r>
      <w:r w:rsidRPr="00AA03FE">
        <w:rPr>
          <w:rFonts w:ascii="Arial" w:eastAsia="AdvTimes" w:hAnsi="Arial" w:cs="Arial"/>
          <w:color w:val="000000"/>
          <w:sz w:val="24"/>
          <w:szCs w:val="24"/>
        </w:rPr>
        <w:t xml:space="preserve"> size and size distribution analysis were performed</w:t>
      </w:r>
      <w:r w:rsidRPr="00AA03FE">
        <w:rPr>
          <w:rFonts w:ascii="Arial" w:eastAsia="AdvTimes" w:hAnsi="Arial" w:cs="Arial"/>
          <w:color w:val="000000"/>
          <w:sz w:val="24"/>
          <w:szCs w:val="24"/>
          <w:lang w:val="en-US"/>
        </w:rPr>
        <w:t xml:space="preserve"> using a dynamic laser</w:t>
      </w:r>
      <w:r w:rsidRPr="00AA03FE">
        <w:rPr>
          <w:rFonts w:ascii="Arial" w:eastAsia="AdvTimes" w:hAnsi="Arial" w:cs="Arial"/>
          <w:color w:val="000000"/>
          <w:sz w:val="24"/>
          <w:szCs w:val="24"/>
        </w:rPr>
        <w:t xml:space="preserve"> light scattering technology (Malvern Instruments, Zetasizer Nano S90). The dispersion of NPs was diluted with ultrapure water and completely sonicated before measurement. The measured values were averaged by five runs.</w:t>
      </w:r>
    </w:p>
    <w:p w:rsidR="00387A07" w:rsidRPr="00AA03FE" w:rsidRDefault="00387A07" w:rsidP="00387A07">
      <w:pPr>
        <w:autoSpaceDE w:val="0"/>
        <w:autoSpaceDN w:val="0"/>
        <w:adjustRightInd w:val="0"/>
        <w:spacing w:before="240" w:after="240" w:line="360" w:lineRule="auto"/>
        <w:jc w:val="both"/>
        <w:rPr>
          <w:rFonts w:ascii="Arial" w:eastAsia="AdvTimes" w:hAnsi="Arial" w:cs="Arial"/>
          <w:b/>
          <w:i/>
          <w:color w:val="000000"/>
          <w:sz w:val="24"/>
          <w:szCs w:val="24"/>
        </w:rPr>
      </w:pPr>
      <w:r w:rsidRPr="00AA03FE">
        <w:rPr>
          <w:rFonts w:ascii="Arial" w:eastAsia="AdvTimes" w:hAnsi="Arial" w:cs="Arial"/>
          <w:b/>
          <w:i/>
          <w:color w:val="000000"/>
          <w:sz w:val="24"/>
          <w:szCs w:val="24"/>
        </w:rPr>
        <w:t>3.2.6.2 Surface charge</w:t>
      </w:r>
    </w:p>
    <w:p w:rsidR="00387A07" w:rsidRPr="00AA03FE" w:rsidRDefault="00387A07" w:rsidP="00387A07">
      <w:pPr>
        <w:autoSpaceDE w:val="0"/>
        <w:autoSpaceDN w:val="0"/>
        <w:adjustRightInd w:val="0"/>
        <w:spacing w:after="0" w:line="360" w:lineRule="auto"/>
        <w:jc w:val="both"/>
        <w:rPr>
          <w:rFonts w:ascii="Arial" w:eastAsia="AdvTimes" w:hAnsi="Arial" w:cs="Arial"/>
          <w:color w:val="000000"/>
          <w:sz w:val="24"/>
          <w:szCs w:val="24"/>
        </w:rPr>
      </w:pPr>
      <w:r w:rsidRPr="00AA03FE">
        <w:rPr>
          <w:rFonts w:ascii="Arial" w:eastAsia="AdvTimes" w:hAnsi="Arial" w:cs="Arial"/>
          <w:color w:val="000000"/>
          <w:sz w:val="24"/>
          <w:szCs w:val="24"/>
        </w:rPr>
        <w:t xml:space="preserve">Surface charge was determined by Zetasizer Nano ZS zeta-potential analyzer (Malvern Instruments) at room temperature in ultrapure water. Measures were averaged five times. </w:t>
      </w:r>
    </w:p>
    <w:p w:rsidR="00387A07" w:rsidRPr="00AA03FE" w:rsidRDefault="00387A07" w:rsidP="00387A07">
      <w:pPr>
        <w:autoSpaceDE w:val="0"/>
        <w:autoSpaceDN w:val="0"/>
        <w:adjustRightInd w:val="0"/>
        <w:spacing w:before="240" w:after="240" w:line="360" w:lineRule="auto"/>
        <w:jc w:val="both"/>
        <w:rPr>
          <w:rFonts w:ascii="Arial" w:eastAsia="AdvTimes" w:hAnsi="Arial" w:cs="Arial"/>
          <w:b/>
          <w:i/>
          <w:color w:val="000000"/>
          <w:sz w:val="24"/>
          <w:szCs w:val="24"/>
        </w:rPr>
      </w:pPr>
      <w:r w:rsidRPr="00AA03FE">
        <w:rPr>
          <w:rFonts w:ascii="Arial" w:eastAsia="AdvTimes" w:hAnsi="Arial" w:cs="Arial"/>
          <w:b/>
          <w:i/>
          <w:color w:val="000000"/>
          <w:sz w:val="24"/>
          <w:szCs w:val="24"/>
        </w:rPr>
        <w:t>3.2.6.3 Particle morphology</w:t>
      </w:r>
    </w:p>
    <w:p w:rsidR="00387A07" w:rsidRPr="00AA03FE" w:rsidRDefault="00387A07" w:rsidP="00387A07">
      <w:pPr>
        <w:autoSpaceDE w:val="0"/>
        <w:autoSpaceDN w:val="0"/>
        <w:adjustRightInd w:val="0"/>
        <w:spacing w:after="0" w:line="360" w:lineRule="auto"/>
        <w:jc w:val="both"/>
        <w:rPr>
          <w:rFonts w:ascii="Arial" w:eastAsia="AdvTimes" w:hAnsi="Arial" w:cs="Arial"/>
          <w:color w:val="000000"/>
          <w:sz w:val="24"/>
          <w:szCs w:val="24"/>
        </w:rPr>
      </w:pPr>
      <w:r w:rsidRPr="00AA03FE">
        <w:rPr>
          <w:rFonts w:ascii="Arial" w:eastAsia="AdvTimes" w:hAnsi="Arial" w:cs="Arial"/>
          <w:color w:val="000000"/>
          <w:sz w:val="24"/>
          <w:szCs w:val="24"/>
        </w:rPr>
        <w:t xml:space="preserve">NPs Morphology was examined by scanning electron microscopy (SEM Leo Instruments). Particles were mounted on aluminium stabs and coated with gold, by using a sputter coater. The analysis was performed at a working distance of 10mm and a voltage of  20kV.  </w:t>
      </w:r>
    </w:p>
    <w:p w:rsidR="00387A07" w:rsidRPr="00AA03FE" w:rsidRDefault="00387A07" w:rsidP="00387A07">
      <w:pPr>
        <w:autoSpaceDE w:val="0"/>
        <w:autoSpaceDN w:val="0"/>
        <w:adjustRightInd w:val="0"/>
        <w:spacing w:before="240" w:after="240" w:line="360" w:lineRule="auto"/>
        <w:jc w:val="both"/>
        <w:rPr>
          <w:rFonts w:ascii="Arial" w:hAnsi="Arial" w:cs="Arial"/>
          <w:b/>
          <w:i/>
          <w:color w:val="000000"/>
          <w:sz w:val="24"/>
          <w:szCs w:val="24"/>
        </w:rPr>
      </w:pPr>
      <w:r w:rsidRPr="00AA03FE">
        <w:rPr>
          <w:rFonts w:ascii="Arial" w:hAnsi="Arial" w:cs="Arial"/>
          <w:b/>
          <w:i/>
          <w:color w:val="000000"/>
          <w:sz w:val="24"/>
          <w:szCs w:val="24"/>
          <w:lang w:val="en-US"/>
        </w:rPr>
        <w:t xml:space="preserve">3.2.7 Determination of </w:t>
      </w:r>
      <w:r w:rsidRPr="00AA03FE">
        <w:rPr>
          <w:rFonts w:ascii="Arial" w:hAnsi="Arial" w:cs="Arial"/>
          <w:b/>
          <w:i/>
          <w:color w:val="000000"/>
          <w:sz w:val="24"/>
          <w:szCs w:val="24"/>
        </w:rPr>
        <w:t>Paclitaxel loading and in vitro release profile</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The amount of encapsulated PX was quantified by using high performance liquid chromatography (HPLC, Agilent), equipped with a reversed phase Intertsil C18 column (150x4.6 mm, particles size 5µm). </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5mg of nanoparticles were dissolved in 1ml DCM to extract the encapsulated drug. After DCM evaporation, the mobile phase (a mixture of acetonitrile and water in 50% volume ratio) was added. The solution was then filtered through a 0.45µm PVDF membrane before HPLC analysis. </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The encapsulated drug was detected at an absorbance wavelength of 227nm by means of an UV/VIS detector. </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Drug encapsulation efficiency (EE) was determined as follows: </w:t>
      </w:r>
    </w:p>
    <w:p w:rsidR="00387A07" w:rsidRPr="00AA03FE" w:rsidRDefault="00387A07" w:rsidP="00387A07">
      <w:pPr>
        <w:autoSpaceDE w:val="0"/>
        <w:autoSpaceDN w:val="0"/>
        <w:adjustRightInd w:val="0"/>
        <w:spacing w:after="0" w:line="360" w:lineRule="auto"/>
        <w:jc w:val="center"/>
        <w:rPr>
          <w:rFonts w:ascii="Arial" w:hAnsi="Arial" w:cs="Arial"/>
          <w:color w:val="000000"/>
          <w:sz w:val="24"/>
          <w:szCs w:val="24"/>
        </w:rPr>
      </w:pPr>
      <m:oMathPara>
        <m:oMath>
          <m:r>
            <w:rPr>
              <w:rFonts w:ascii="Cambria Math" w:hAnsi="Cambria Math" w:cs="Arial"/>
              <w:color w:val="000000"/>
              <w:sz w:val="24"/>
              <w:szCs w:val="24"/>
            </w:rPr>
            <m:t>EE</m:t>
          </m:r>
          <m:r>
            <w:rPr>
              <w:rFonts w:ascii="Cambria Math" w:hAnsi="Arial" w:cs="Arial"/>
              <w:color w:val="000000"/>
              <w:sz w:val="24"/>
              <w:szCs w:val="24"/>
            </w:rPr>
            <m:t>%=</m:t>
          </m:r>
          <m:d>
            <m:dPr>
              <m:ctrlPr>
                <w:rPr>
                  <w:rFonts w:ascii="Cambria Math" w:hAnsi="Arial" w:cs="Arial"/>
                  <w:i/>
                  <w:color w:val="000000"/>
                  <w:sz w:val="24"/>
                  <w:szCs w:val="24"/>
                </w:rPr>
              </m:ctrlPr>
            </m:dPr>
            <m:e>
              <m:f>
                <m:fPr>
                  <m:ctrlPr>
                    <w:rPr>
                      <w:rFonts w:ascii="Cambria Math" w:hAnsi="Arial" w:cs="Arial"/>
                      <w:i/>
                      <w:color w:val="000000"/>
                      <w:sz w:val="24"/>
                      <w:szCs w:val="24"/>
                    </w:rPr>
                  </m:ctrlPr>
                </m:fPr>
                <m:num>
                  <m:sSub>
                    <m:sSubPr>
                      <m:ctrlPr>
                        <w:rPr>
                          <w:rFonts w:ascii="Cambria Math" w:hAnsi="Arial" w:cs="Arial"/>
                          <w:i/>
                          <w:color w:val="000000"/>
                          <w:sz w:val="24"/>
                          <w:szCs w:val="24"/>
                        </w:rPr>
                      </m:ctrlPr>
                    </m:sSubPr>
                    <m:e>
                      <m:r>
                        <w:rPr>
                          <w:rFonts w:ascii="Cambria Math" w:hAnsi="Cambria Math" w:cs="Arial"/>
                          <w:color w:val="000000"/>
                          <w:sz w:val="24"/>
                          <w:szCs w:val="24"/>
                        </w:rPr>
                        <m:t>W</m:t>
                      </m:r>
                    </m:e>
                    <m:sub>
                      <m:r>
                        <w:rPr>
                          <w:rFonts w:ascii="Cambria Math" w:hAnsi="Cambria Math" w:cs="Arial"/>
                          <w:color w:val="000000"/>
                          <w:sz w:val="24"/>
                          <w:szCs w:val="24"/>
                        </w:rPr>
                        <m:t>PXd</m:t>
                      </m:r>
                    </m:sub>
                  </m:sSub>
                </m:num>
                <m:den>
                  <m:sSub>
                    <m:sSubPr>
                      <m:ctrlPr>
                        <w:rPr>
                          <w:rFonts w:ascii="Cambria Math" w:hAnsi="Arial" w:cs="Arial"/>
                          <w:i/>
                          <w:color w:val="000000"/>
                          <w:sz w:val="24"/>
                          <w:szCs w:val="24"/>
                        </w:rPr>
                      </m:ctrlPr>
                    </m:sSubPr>
                    <m:e>
                      <m:r>
                        <w:rPr>
                          <w:rFonts w:ascii="Cambria Math" w:hAnsi="Cambria Math" w:cs="Arial"/>
                          <w:color w:val="000000"/>
                          <w:sz w:val="24"/>
                          <w:szCs w:val="24"/>
                        </w:rPr>
                        <m:t>W</m:t>
                      </m:r>
                    </m:e>
                    <m:sub>
                      <m:r>
                        <w:rPr>
                          <w:rFonts w:ascii="Cambria Math" w:hAnsi="Cambria Math" w:cs="Arial"/>
                          <w:color w:val="000000"/>
                          <w:sz w:val="24"/>
                          <w:szCs w:val="24"/>
                        </w:rPr>
                        <m:t>PXt</m:t>
                      </m:r>
                    </m:sub>
                  </m:sSub>
                </m:den>
              </m:f>
            </m:e>
          </m:d>
          <m:r>
            <w:rPr>
              <w:rFonts w:ascii="Cambria Math" w:hAnsi="Arial" w:cs="Arial"/>
              <w:color w:val="000000"/>
              <w:sz w:val="24"/>
              <w:szCs w:val="24"/>
            </w:rPr>
            <m:t>×</m:t>
          </m:r>
          <m:r>
            <w:rPr>
              <w:rFonts w:ascii="Cambria Math" w:hAnsi="Arial" w:cs="Arial"/>
              <w:color w:val="000000"/>
              <w:sz w:val="24"/>
              <w:szCs w:val="24"/>
            </w:rPr>
            <m:t>100              Eq.3.1</m:t>
          </m:r>
        </m:oMath>
      </m:oMathPara>
    </w:p>
    <w:p w:rsidR="00387A07" w:rsidRPr="00AA03FE" w:rsidRDefault="00387A07" w:rsidP="00387A07">
      <w:pPr>
        <w:autoSpaceDE w:val="0"/>
        <w:autoSpaceDN w:val="0"/>
        <w:adjustRightInd w:val="0"/>
        <w:spacing w:before="120" w:after="0" w:line="360" w:lineRule="auto"/>
        <w:jc w:val="both"/>
        <w:rPr>
          <w:rFonts w:ascii="Arial" w:hAnsi="Arial" w:cs="Arial"/>
          <w:color w:val="000000"/>
          <w:sz w:val="24"/>
          <w:szCs w:val="24"/>
        </w:rPr>
      </w:pPr>
      <w:r w:rsidRPr="00AA03FE">
        <w:rPr>
          <w:rFonts w:ascii="Arial" w:hAnsi="Arial" w:cs="Arial"/>
          <w:color w:val="000000"/>
          <w:sz w:val="24"/>
          <w:szCs w:val="24"/>
        </w:rPr>
        <w:t>Where, W</w:t>
      </w:r>
      <w:r w:rsidRPr="00AA03FE">
        <w:rPr>
          <w:rFonts w:ascii="Arial" w:hAnsi="Arial" w:cs="Arial"/>
          <w:color w:val="000000"/>
          <w:sz w:val="24"/>
          <w:szCs w:val="24"/>
          <w:vertAlign w:val="subscript"/>
        </w:rPr>
        <w:t xml:space="preserve">PXd </w:t>
      </w:r>
      <w:r w:rsidRPr="00AA03FE">
        <w:rPr>
          <w:rFonts w:ascii="Arial" w:hAnsi="Arial" w:cs="Arial"/>
          <w:color w:val="000000"/>
          <w:sz w:val="24"/>
          <w:szCs w:val="24"/>
        </w:rPr>
        <w:t>is the weight (mg) of drug detected by HPLC and W</w:t>
      </w:r>
      <w:r w:rsidRPr="00AA03FE">
        <w:rPr>
          <w:rFonts w:ascii="Arial" w:hAnsi="Arial" w:cs="Arial"/>
          <w:color w:val="000000"/>
          <w:sz w:val="24"/>
          <w:szCs w:val="24"/>
          <w:vertAlign w:val="subscript"/>
        </w:rPr>
        <w:t xml:space="preserve">PXt </w:t>
      </w:r>
      <w:r w:rsidRPr="00AA03FE">
        <w:rPr>
          <w:rFonts w:ascii="Arial" w:hAnsi="Arial" w:cs="Arial"/>
          <w:color w:val="000000"/>
          <w:sz w:val="24"/>
          <w:szCs w:val="24"/>
        </w:rPr>
        <w:t>is the theoretical amount of drug expected in 5mg of nanoparticles.</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lastRenderedPageBreak/>
        <w:t>For the determination of PX release profiles, 1mg of nanoparticles were accurately weighted, dispersed in 1ml distilled water and incubated at 37°C under constant shaking. The amount of drug released was measured daily for up to 4 days. At the predetermined time points, the solution was centrifuged at 10000 rpm for 15 minutes and the release medium was replaced with fresh water.</w:t>
      </w:r>
    </w:p>
    <w:p w:rsidR="00387A07" w:rsidRPr="00AA03FE" w:rsidRDefault="00387A07" w:rsidP="00387A07">
      <w:pPr>
        <w:autoSpaceDE w:val="0"/>
        <w:autoSpaceDN w:val="0"/>
        <w:adjustRightInd w:val="0"/>
        <w:spacing w:after="0" w:line="360" w:lineRule="auto"/>
        <w:jc w:val="both"/>
        <w:rPr>
          <w:rFonts w:ascii="Arial" w:hAnsi="Arial" w:cs="Arial"/>
          <w:color w:val="000000"/>
          <w:sz w:val="24"/>
          <w:szCs w:val="24"/>
        </w:rPr>
      </w:pPr>
      <w:r w:rsidRPr="00AA03FE">
        <w:rPr>
          <w:rFonts w:ascii="Arial" w:hAnsi="Arial" w:cs="Arial"/>
          <w:color w:val="000000"/>
          <w:sz w:val="24"/>
          <w:szCs w:val="24"/>
        </w:rPr>
        <w:t>The drug released in the supernatant was extracted by DCM and transferred in the mobile phase. The amount of released Paclitaxel was measured by HPLC, after evaporation of DCM. Samples were analyzed in triplicate.</w:t>
      </w:r>
    </w:p>
    <w:p w:rsidR="00387A07" w:rsidRPr="00AA03FE" w:rsidRDefault="00387A07" w:rsidP="00387A07">
      <w:pPr>
        <w:spacing w:before="240" w:after="240" w:line="360" w:lineRule="auto"/>
        <w:jc w:val="both"/>
        <w:rPr>
          <w:rFonts w:ascii="Arial" w:hAnsi="Arial" w:cs="Arial"/>
          <w:b/>
          <w:i/>
          <w:sz w:val="24"/>
          <w:szCs w:val="24"/>
        </w:rPr>
      </w:pPr>
      <w:r w:rsidRPr="00AA03FE">
        <w:rPr>
          <w:rFonts w:ascii="Arial" w:hAnsi="Arial" w:cs="Arial"/>
          <w:b/>
          <w:i/>
          <w:sz w:val="24"/>
          <w:szCs w:val="24"/>
        </w:rPr>
        <w:t>3.2.8 Cell culture</w:t>
      </w:r>
    </w:p>
    <w:p w:rsidR="00387A07" w:rsidRPr="00AA03FE" w:rsidRDefault="00387A07" w:rsidP="00387A07">
      <w:pPr>
        <w:spacing w:after="0" w:line="360" w:lineRule="auto"/>
        <w:jc w:val="both"/>
        <w:rPr>
          <w:rFonts w:ascii="Arial" w:hAnsi="Arial" w:cs="Arial"/>
          <w:color w:val="000000"/>
          <w:sz w:val="24"/>
          <w:szCs w:val="24"/>
        </w:rPr>
      </w:pPr>
      <w:r w:rsidRPr="00AA03FE">
        <w:rPr>
          <w:rFonts w:ascii="Arial" w:hAnsi="Arial" w:cs="Arial"/>
          <w:color w:val="000000"/>
          <w:sz w:val="24"/>
          <w:szCs w:val="24"/>
        </w:rPr>
        <w:t>SK-BR-3 breast cancer cells, which show high over-expression of Her2 receptor (3+), were cultured in RPMI-1640 media supplemented with 10% HI Foetal Bovine Serum (HI-FBS).</w:t>
      </w:r>
    </w:p>
    <w:p w:rsidR="00387A07" w:rsidRPr="00AA03FE" w:rsidRDefault="00387A07" w:rsidP="00387A07">
      <w:pPr>
        <w:spacing w:after="0" w:line="360" w:lineRule="auto"/>
        <w:jc w:val="both"/>
        <w:rPr>
          <w:rFonts w:ascii="Arial" w:hAnsi="Arial" w:cs="Arial"/>
          <w:color w:val="000000"/>
          <w:sz w:val="24"/>
          <w:szCs w:val="24"/>
        </w:rPr>
      </w:pPr>
      <w:r w:rsidRPr="00AA03FE">
        <w:rPr>
          <w:rFonts w:ascii="Arial" w:hAnsi="Arial" w:cs="Arial"/>
          <w:color w:val="000000"/>
          <w:sz w:val="24"/>
          <w:szCs w:val="24"/>
        </w:rPr>
        <w:t>MCF7 breast cancer cells, which show normal expression of HER2 were cultured in Minimum Essential Eagle Medium with Earle’s salts, l-glutamine and sodium bicarbonate containing 10% HI-FBS. Cells were propagated in 75cm</w:t>
      </w:r>
      <w:r w:rsidRPr="00AA03FE">
        <w:rPr>
          <w:rFonts w:ascii="Arial" w:hAnsi="Arial" w:cs="Arial"/>
          <w:color w:val="000000"/>
          <w:sz w:val="24"/>
          <w:szCs w:val="24"/>
          <w:vertAlign w:val="superscript"/>
        </w:rPr>
        <w:t xml:space="preserve">2 </w:t>
      </w:r>
      <w:r w:rsidRPr="00AA03FE">
        <w:rPr>
          <w:rFonts w:ascii="Arial" w:hAnsi="Arial" w:cs="Arial"/>
          <w:color w:val="000000"/>
          <w:sz w:val="24"/>
          <w:szCs w:val="24"/>
        </w:rPr>
        <w:t>tissue culture flasks, in humidified environment at 37°C with 5% CO</w:t>
      </w:r>
      <w:r w:rsidRPr="00AA03FE">
        <w:rPr>
          <w:rFonts w:ascii="Arial" w:hAnsi="Arial" w:cs="Arial"/>
          <w:color w:val="000000"/>
          <w:sz w:val="24"/>
          <w:szCs w:val="24"/>
          <w:vertAlign w:val="subscript"/>
        </w:rPr>
        <w:t>2</w:t>
      </w:r>
      <w:r w:rsidRPr="00AA03FE">
        <w:rPr>
          <w:rFonts w:ascii="Arial" w:hAnsi="Arial" w:cs="Arial"/>
          <w:color w:val="000000"/>
          <w:sz w:val="24"/>
          <w:szCs w:val="24"/>
        </w:rPr>
        <w:t>. Medium was changed every two days and cells were split at a ratio of 1:2 every 4 days when 90% confluence was reached.</w:t>
      </w:r>
    </w:p>
    <w:p w:rsidR="00387A07" w:rsidRPr="00AA03FE" w:rsidRDefault="00387A07" w:rsidP="00387A07">
      <w:pPr>
        <w:spacing w:before="240" w:after="240" w:line="360" w:lineRule="auto"/>
        <w:jc w:val="both"/>
        <w:rPr>
          <w:rFonts w:ascii="Arial" w:hAnsi="Arial" w:cs="Arial"/>
          <w:b/>
          <w:i/>
          <w:color w:val="000000"/>
          <w:sz w:val="24"/>
          <w:szCs w:val="24"/>
          <w:lang w:val="en-US"/>
        </w:rPr>
      </w:pPr>
      <w:r w:rsidRPr="00AA03FE">
        <w:rPr>
          <w:rFonts w:ascii="Arial" w:hAnsi="Arial" w:cs="Arial"/>
          <w:b/>
          <w:i/>
          <w:color w:val="000000"/>
          <w:sz w:val="24"/>
          <w:szCs w:val="24"/>
          <w:lang w:val="en-US"/>
        </w:rPr>
        <w:t>3.2.9 In vitro cellular uptake of Coumarin-6 loaded nanoparticles.</w:t>
      </w:r>
    </w:p>
    <w:p w:rsidR="00387A07" w:rsidRPr="00AA03FE" w:rsidRDefault="00387A07" w:rsidP="00387A07">
      <w:pPr>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For quantitative cellular uptake analysis, coumarin-6 (Sigma Aldrich) loaded nanoparticles were prepared, according to the protocol described in figure 3.2 by adding the dye (0,5% w/w with respect to the amount of polymer) in ethyl acetate. </w:t>
      </w:r>
    </w:p>
    <w:p w:rsidR="00387A07" w:rsidRPr="00AA03FE" w:rsidRDefault="00387A07" w:rsidP="00387A07">
      <w:pPr>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Cells were seeded into 24-well plates at </w:t>
      </w:r>
      <w:r w:rsidRPr="00AA03FE">
        <w:rPr>
          <w:rFonts w:ascii="Arial" w:hAnsi="Arial" w:cs="Arial"/>
          <w:sz w:val="24"/>
          <w:szCs w:val="24"/>
        </w:rPr>
        <w:t>5x10</w:t>
      </w:r>
      <w:r w:rsidRPr="00AA03FE">
        <w:rPr>
          <w:rFonts w:ascii="Arial" w:hAnsi="Arial" w:cs="Arial"/>
          <w:sz w:val="24"/>
          <w:szCs w:val="24"/>
          <w:vertAlign w:val="superscript"/>
        </w:rPr>
        <w:t xml:space="preserve">3 </w:t>
      </w:r>
      <w:r w:rsidRPr="00AA03FE">
        <w:rPr>
          <w:rFonts w:ascii="Arial" w:hAnsi="Arial" w:cs="Arial"/>
          <w:color w:val="000000"/>
          <w:sz w:val="24"/>
          <w:szCs w:val="24"/>
        </w:rPr>
        <w:t>cells/well and incubated for 2 days, after which 0.5 ml of coumarin-6 loaded nanoparticles suspension (1mg/ml) in sterile PBS were added to each well.</w:t>
      </w:r>
    </w:p>
    <w:p w:rsidR="00387A07" w:rsidRPr="00AA03FE" w:rsidRDefault="00387A07" w:rsidP="00387A07">
      <w:pPr>
        <w:spacing w:after="0" w:line="360" w:lineRule="auto"/>
        <w:jc w:val="both"/>
        <w:rPr>
          <w:rFonts w:ascii="Arial" w:hAnsi="Arial" w:cs="Arial"/>
          <w:color w:val="000000"/>
          <w:sz w:val="24"/>
          <w:szCs w:val="24"/>
        </w:rPr>
      </w:pPr>
      <w:r w:rsidRPr="00AA03FE">
        <w:rPr>
          <w:rFonts w:ascii="Arial" w:hAnsi="Arial" w:cs="Arial"/>
          <w:color w:val="000000"/>
          <w:sz w:val="24"/>
          <w:szCs w:val="24"/>
        </w:rPr>
        <w:t xml:space="preserve">After 2 hours of incubation the nanoparticles suspension in the testing wells was removed and cells were washed three times with sterile PBS to remove nanoparticles that were not internalized by cells. </w:t>
      </w:r>
    </w:p>
    <w:p w:rsidR="00387A07" w:rsidRPr="00AA03FE" w:rsidRDefault="00387A07" w:rsidP="00387A07">
      <w:pPr>
        <w:spacing w:after="0" w:line="360" w:lineRule="auto"/>
        <w:jc w:val="both"/>
        <w:rPr>
          <w:rFonts w:ascii="Arial" w:hAnsi="Arial" w:cs="Arial"/>
          <w:color w:val="000000"/>
          <w:sz w:val="24"/>
          <w:szCs w:val="24"/>
        </w:rPr>
      </w:pPr>
      <w:r w:rsidRPr="00AA03FE">
        <w:rPr>
          <w:rFonts w:ascii="Arial" w:hAnsi="Arial" w:cs="Arial"/>
          <w:color w:val="000000"/>
          <w:sz w:val="24"/>
          <w:szCs w:val="24"/>
        </w:rPr>
        <w:t>The extent of cellular internalization was determined by flow cytometry. The experiment was carried out in triplicate.</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 xml:space="preserve">For confocal study, cells were seeded in the coverglass chamber and cultivated for 2 days. 0.5ml of coumarin-6 loaded nanoparticles suspension (1mg/ml) in sterile PBS were added to the cells and incubated for 2 hours. After incubation, cells were washed three times with </w:t>
      </w:r>
      <w:r w:rsidRPr="00AA03FE">
        <w:rPr>
          <w:rFonts w:ascii="Arial" w:hAnsi="Arial" w:cs="Arial"/>
          <w:sz w:val="24"/>
          <w:szCs w:val="24"/>
        </w:rPr>
        <w:lastRenderedPageBreak/>
        <w:t xml:space="preserve">sterile PBS and fixed with 70% ethanol for 20 minutes. The nuclei were then stained with Propidium Iodide (PI) for 20 minutes. </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 xml:space="preserve">Cells were again washed thrice with PBS and observed at confocal laser scanning microscopy. </w:t>
      </w:r>
    </w:p>
    <w:p w:rsidR="00387A07" w:rsidRPr="00AA03FE" w:rsidRDefault="00387A07" w:rsidP="00387A07">
      <w:pPr>
        <w:spacing w:before="240" w:after="240" w:line="360" w:lineRule="auto"/>
        <w:jc w:val="both"/>
        <w:rPr>
          <w:rFonts w:ascii="Arial" w:hAnsi="Arial" w:cs="Arial"/>
          <w:b/>
          <w:sz w:val="24"/>
          <w:szCs w:val="24"/>
        </w:rPr>
      </w:pPr>
      <w:r w:rsidRPr="00AA03FE">
        <w:rPr>
          <w:rFonts w:ascii="Arial" w:hAnsi="Arial" w:cs="Arial"/>
          <w:b/>
          <w:sz w:val="24"/>
          <w:szCs w:val="24"/>
        </w:rPr>
        <w:t>3.2.10 In vitro cytotoxicity</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For cytotoxicity measurement, SKBR 3 cells were incubated in 96-well plates at 5x10</w:t>
      </w:r>
      <w:r w:rsidRPr="00AA03FE">
        <w:rPr>
          <w:rFonts w:ascii="Arial" w:hAnsi="Arial" w:cs="Arial"/>
          <w:sz w:val="24"/>
          <w:szCs w:val="24"/>
          <w:vertAlign w:val="superscript"/>
        </w:rPr>
        <w:t xml:space="preserve">3 </w:t>
      </w:r>
      <w:r w:rsidRPr="00AA03FE">
        <w:rPr>
          <w:rFonts w:ascii="Arial" w:hAnsi="Arial" w:cs="Arial"/>
          <w:sz w:val="24"/>
          <w:szCs w:val="24"/>
        </w:rPr>
        <w:t>cells/well. After 12 hours the medium was removed and replaced with a suspension of Herceptin-coated or non-coated nanoparticles in sterile PBS. All nanoparticles were sterilized by UV irradiation for 2 hours before use. The effect of three different doses (0.25 µg/ml, 1µg/ml and 2.5µg/ml) of Paclitaxel was investigated. After 24 hours of exposure, the particles suspension was removed and cell viability was assessed by MTS assay. The absorbance of the wells was read by the microplate reader at a wavelength of 490 nm. Cell viability is defined as the percentage of the absorbance of each well containing the nanoparticles suspension over that of the cells only.</w:t>
      </w:r>
    </w:p>
    <w:p w:rsidR="00387A07" w:rsidRPr="00AA03FE" w:rsidRDefault="00387A07" w:rsidP="00387A07">
      <w:pPr>
        <w:spacing w:before="240" w:after="240" w:line="360" w:lineRule="auto"/>
        <w:jc w:val="both"/>
        <w:rPr>
          <w:rFonts w:ascii="Arial" w:hAnsi="Arial" w:cs="Arial"/>
          <w:b/>
          <w:sz w:val="28"/>
          <w:szCs w:val="28"/>
        </w:rPr>
      </w:pPr>
      <w:r w:rsidRPr="00AA03FE">
        <w:rPr>
          <w:rFonts w:ascii="Arial" w:hAnsi="Arial" w:cs="Arial"/>
          <w:b/>
          <w:sz w:val="28"/>
          <w:szCs w:val="28"/>
        </w:rPr>
        <w:t>3.3 Results &amp; Discussion</w:t>
      </w:r>
    </w:p>
    <w:p w:rsidR="00387A07" w:rsidRPr="00AA03FE" w:rsidRDefault="00387A07" w:rsidP="00387A07">
      <w:pPr>
        <w:spacing w:before="240" w:after="240" w:line="360" w:lineRule="auto"/>
        <w:jc w:val="both"/>
        <w:rPr>
          <w:rFonts w:ascii="Arial" w:hAnsi="Arial" w:cs="Arial"/>
          <w:b/>
          <w:i/>
          <w:sz w:val="24"/>
          <w:szCs w:val="24"/>
        </w:rPr>
      </w:pPr>
      <w:r w:rsidRPr="00AA03FE">
        <w:rPr>
          <w:rFonts w:ascii="Arial" w:hAnsi="Arial" w:cs="Arial"/>
          <w:b/>
          <w:i/>
          <w:sz w:val="24"/>
          <w:szCs w:val="24"/>
        </w:rPr>
        <w:t>3.3.1 Polymer characterization</w:t>
      </w:r>
    </w:p>
    <w:p w:rsidR="00387A07" w:rsidRPr="00AA03FE" w:rsidRDefault="00387A07" w:rsidP="00387A07">
      <w:pPr>
        <w:spacing w:before="240" w:after="240" w:line="360" w:lineRule="auto"/>
        <w:jc w:val="both"/>
        <w:rPr>
          <w:rFonts w:ascii="Arial" w:hAnsi="Arial" w:cs="Arial"/>
          <w:b/>
          <w:i/>
          <w:sz w:val="24"/>
          <w:szCs w:val="24"/>
        </w:rPr>
      </w:pPr>
      <w:r w:rsidRPr="00AA03FE">
        <w:rPr>
          <w:rFonts w:ascii="Arial" w:hAnsi="Arial" w:cs="Arial"/>
          <w:b/>
          <w:i/>
          <w:sz w:val="24"/>
          <w:szCs w:val="24"/>
        </w:rPr>
        <w:t>3.3.1.1 ATR-FT-IR Analysis</w:t>
      </w:r>
    </w:p>
    <w:p w:rsidR="00387A07" w:rsidRPr="00AA03FE" w:rsidRDefault="00387A07" w:rsidP="00387A07">
      <w:pPr>
        <w:autoSpaceDE w:val="0"/>
        <w:autoSpaceDN w:val="0"/>
        <w:adjustRightInd w:val="0"/>
        <w:spacing w:after="0" w:line="360" w:lineRule="auto"/>
        <w:jc w:val="both"/>
        <w:rPr>
          <w:rFonts w:ascii="Arial" w:hAnsi="Arial" w:cs="Arial"/>
          <w:sz w:val="24"/>
          <w:szCs w:val="24"/>
          <w:lang w:val="en-US"/>
        </w:rPr>
      </w:pPr>
      <w:r w:rsidRPr="00AA03FE">
        <w:rPr>
          <w:rFonts w:ascii="Arial" w:hAnsi="Arial" w:cs="Arial"/>
          <w:bCs/>
          <w:sz w:val="24"/>
          <w:szCs w:val="24"/>
        </w:rPr>
        <w:t>A polyesterurethane was successfully synthesized</w:t>
      </w:r>
      <w:r w:rsidRPr="00AA03FE">
        <w:rPr>
          <w:rFonts w:ascii="Arial" w:hAnsi="Arial" w:cs="Arial"/>
          <w:b/>
          <w:bCs/>
          <w:sz w:val="24"/>
          <w:szCs w:val="24"/>
        </w:rPr>
        <w:t xml:space="preserve"> </w:t>
      </w:r>
      <w:r w:rsidRPr="00AA03FE">
        <w:rPr>
          <w:rFonts w:ascii="Arial" w:hAnsi="Arial" w:cs="Arial"/>
          <w:bCs/>
          <w:sz w:val="24"/>
          <w:szCs w:val="24"/>
        </w:rPr>
        <w:t xml:space="preserve">as confirmed by </w:t>
      </w:r>
      <w:r w:rsidRPr="00AA03FE">
        <w:rPr>
          <w:rFonts w:ascii="Arial" w:hAnsi="Arial" w:cs="Arial"/>
          <w:sz w:val="24"/>
          <w:szCs w:val="24"/>
          <w:lang w:val="en-US"/>
        </w:rPr>
        <w:t>Attenuated Total Reflectance Fourier Transform Infrared Spectroscopy</w:t>
      </w:r>
      <w:r w:rsidRPr="00AA03FE">
        <w:rPr>
          <w:rFonts w:ascii="Arial" w:hAnsi="Arial" w:cs="Arial"/>
          <w:bCs/>
          <w:sz w:val="24"/>
          <w:szCs w:val="24"/>
        </w:rPr>
        <w:t xml:space="preserve"> (</w:t>
      </w:r>
      <w:r w:rsidRPr="00AA03FE">
        <w:rPr>
          <w:rFonts w:ascii="Arial" w:hAnsi="Arial" w:cs="Arial"/>
          <w:sz w:val="24"/>
          <w:szCs w:val="24"/>
          <w:lang w:val="en-US"/>
        </w:rPr>
        <w:t>ATR-FT-IR -Perkin Elmer Spectrum 100 UATR KRS5), reported in figure 3.1. ATR-FT-IR shows the presence of the characteristic peaks at 1720 cm</w:t>
      </w:r>
      <w:r w:rsidRPr="00AA03FE">
        <w:rPr>
          <w:rFonts w:ascii="Arial" w:hAnsi="Arial" w:cs="Arial"/>
          <w:sz w:val="24"/>
          <w:szCs w:val="24"/>
          <w:vertAlign w:val="superscript"/>
          <w:lang w:val="en-US"/>
        </w:rPr>
        <w:t>-1</w:t>
      </w:r>
      <w:r w:rsidRPr="00AA03FE">
        <w:rPr>
          <w:rFonts w:ascii="Arial" w:hAnsi="Arial" w:cs="Arial"/>
          <w:sz w:val="24"/>
          <w:szCs w:val="24"/>
          <w:lang w:val="en-US"/>
        </w:rPr>
        <w:t>, 3330 cm</w:t>
      </w:r>
      <w:r w:rsidRPr="00AA03FE">
        <w:rPr>
          <w:rFonts w:ascii="Arial" w:hAnsi="Arial" w:cs="Arial"/>
          <w:sz w:val="24"/>
          <w:szCs w:val="24"/>
          <w:vertAlign w:val="superscript"/>
          <w:lang w:val="en-US"/>
        </w:rPr>
        <w:t>-1</w:t>
      </w:r>
      <w:r w:rsidRPr="00AA03FE">
        <w:rPr>
          <w:rFonts w:ascii="Arial" w:hAnsi="Arial" w:cs="Arial"/>
          <w:sz w:val="24"/>
          <w:szCs w:val="24"/>
          <w:lang w:val="en-US"/>
        </w:rPr>
        <w:t>, 1680 cm</w:t>
      </w:r>
      <w:r w:rsidRPr="00AA03FE">
        <w:rPr>
          <w:rFonts w:ascii="Arial" w:hAnsi="Arial" w:cs="Arial"/>
          <w:sz w:val="24"/>
          <w:szCs w:val="24"/>
          <w:vertAlign w:val="superscript"/>
          <w:lang w:val="en-US"/>
        </w:rPr>
        <w:t>-1</w:t>
      </w:r>
      <w:r w:rsidRPr="00AA03FE">
        <w:rPr>
          <w:rFonts w:ascii="Arial" w:hAnsi="Arial" w:cs="Arial"/>
          <w:sz w:val="24"/>
          <w:szCs w:val="24"/>
          <w:lang w:val="en-US"/>
        </w:rPr>
        <w:t xml:space="preserve"> and 1530 cm</w:t>
      </w:r>
      <w:r w:rsidRPr="00AA03FE">
        <w:rPr>
          <w:rFonts w:ascii="Arial" w:hAnsi="Arial" w:cs="Arial"/>
          <w:sz w:val="24"/>
          <w:szCs w:val="24"/>
          <w:vertAlign w:val="superscript"/>
          <w:lang w:val="en-US"/>
        </w:rPr>
        <w:t>-1</w:t>
      </w:r>
      <w:r w:rsidRPr="00AA03FE">
        <w:rPr>
          <w:rFonts w:ascii="Arial" w:hAnsi="Arial" w:cs="Arial"/>
          <w:sz w:val="24"/>
          <w:szCs w:val="24"/>
          <w:lang w:val="en-US"/>
        </w:rPr>
        <w:t>, associated with the absorption of the carbonyl of the ester groups, the urethane group and amide I and II respectively. The absorbance at 1160 cm</w:t>
      </w:r>
      <w:r w:rsidRPr="00AA03FE">
        <w:rPr>
          <w:rFonts w:ascii="Arial" w:hAnsi="Arial" w:cs="Arial"/>
          <w:sz w:val="24"/>
          <w:szCs w:val="24"/>
          <w:vertAlign w:val="superscript"/>
          <w:lang w:val="en-US"/>
        </w:rPr>
        <w:t>-1</w:t>
      </w:r>
      <w:r w:rsidRPr="00AA03FE">
        <w:rPr>
          <w:rFonts w:ascii="Arial" w:hAnsi="Arial" w:cs="Arial"/>
          <w:sz w:val="24"/>
          <w:szCs w:val="24"/>
          <w:lang w:val="en-US"/>
        </w:rPr>
        <w:t xml:space="preserve"> was attributed to C-O stretching in PCL. The conversion of isocyanates was quantitative as no diagnostic peaks of these groups were detected at 2200 cm</w:t>
      </w:r>
      <w:r w:rsidRPr="00AA03FE">
        <w:rPr>
          <w:rFonts w:ascii="Arial" w:hAnsi="Arial" w:cs="Arial"/>
          <w:sz w:val="24"/>
          <w:szCs w:val="24"/>
          <w:vertAlign w:val="superscript"/>
          <w:lang w:val="en-US"/>
        </w:rPr>
        <w:t>-1</w:t>
      </w:r>
      <w:r w:rsidRPr="00AA03FE">
        <w:rPr>
          <w:rFonts w:ascii="Arial" w:hAnsi="Arial" w:cs="Arial"/>
          <w:sz w:val="24"/>
          <w:szCs w:val="24"/>
          <w:lang w:val="en-US"/>
        </w:rPr>
        <w:t xml:space="preserve">. </w:t>
      </w:r>
    </w:p>
    <w:p w:rsidR="00387A07" w:rsidRPr="00AA03FE" w:rsidRDefault="00387A07" w:rsidP="00387A07">
      <w:pPr>
        <w:spacing w:line="360" w:lineRule="auto"/>
        <w:jc w:val="center"/>
        <w:rPr>
          <w:rFonts w:ascii="Arial" w:hAnsi="Arial" w:cs="Arial"/>
          <w:b/>
          <w:sz w:val="24"/>
          <w:szCs w:val="24"/>
        </w:rPr>
      </w:pPr>
      <w:r w:rsidRPr="00AA03FE">
        <w:rPr>
          <w:rFonts w:ascii="Arial" w:hAnsi="Arial" w:cs="Arial"/>
          <w:b/>
          <w:noProof/>
          <w:sz w:val="24"/>
          <w:szCs w:val="24"/>
          <w:lang w:val="it-IT" w:eastAsia="it-IT"/>
        </w:rPr>
        <w:lastRenderedPageBreak/>
        <w:drawing>
          <wp:inline distT="0" distB="0" distL="0" distR="0">
            <wp:extent cx="5093396" cy="3053596"/>
            <wp:effectExtent l="0" t="0" r="0" b="0"/>
            <wp:docPr id="129" name="Immagine 10" descr="IR C BC 2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 C BC 2000.png"/>
                    <pic:cNvPicPr/>
                  </pic:nvPicPr>
                  <pic:blipFill>
                    <a:blip r:embed="rId42"/>
                    <a:stretch>
                      <a:fillRect/>
                    </a:stretch>
                  </pic:blipFill>
                  <pic:spPr>
                    <a:xfrm>
                      <a:off x="0" y="0"/>
                      <a:ext cx="5099397" cy="3057194"/>
                    </a:xfrm>
                    <a:prstGeom prst="rect">
                      <a:avLst/>
                    </a:prstGeom>
                  </pic:spPr>
                </pic:pic>
              </a:graphicData>
            </a:graphic>
          </wp:inline>
        </w:drawing>
      </w:r>
    </w:p>
    <w:p w:rsidR="00387A07" w:rsidRPr="00AA03FE" w:rsidRDefault="00387A07" w:rsidP="00387A07">
      <w:pPr>
        <w:spacing w:line="360" w:lineRule="auto"/>
        <w:jc w:val="center"/>
        <w:rPr>
          <w:rFonts w:ascii="Arial" w:hAnsi="Arial" w:cs="Arial"/>
          <w:b/>
          <w:sz w:val="24"/>
          <w:szCs w:val="24"/>
        </w:rPr>
      </w:pPr>
      <w:r w:rsidRPr="00AA03FE">
        <w:rPr>
          <w:rFonts w:ascii="Arial" w:hAnsi="Arial" w:cs="Arial"/>
          <w:b/>
          <w:noProof/>
          <w:sz w:val="24"/>
          <w:szCs w:val="24"/>
          <w:lang w:val="it-IT" w:eastAsia="it-IT"/>
        </w:rPr>
        <w:drawing>
          <wp:inline distT="0" distB="0" distL="0" distR="0">
            <wp:extent cx="4784965" cy="2572300"/>
            <wp:effectExtent l="0" t="0" r="0" b="0"/>
            <wp:docPr id="130" name="Immagine 17" descr="IR NS BC 2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 NS BC 2000.png"/>
                    <pic:cNvPicPr/>
                  </pic:nvPicPr>
                  <pic:blipFill>
                    <a:blip r:embed="rId43"/>
                    <a:stretch>
                      <a:fillRect/>
                    </a:stretch>
                  </pic:blipFill>
                  <pic:spPr>
                    <a:xfrm>
                      <a:off x="0" y="0"/>
                      <a:ext cx="4784965" cy="2572300"/>
                    </a:xfrm>
                    <a:prstGeom prst="rect">
                      <a:avLst/>
                    </a:prstGeom>
                  </pic:spPr>
                </pic:pic>
              </a:graphicData>
            </a:graphic>
          </wp:inline>
        </w:drawing>
      </w:r>
    </w:p>
    <w:p w:rsidR="00387A07" w:rsidRPr="00AA03FE" w:rsidRDefault="00387A07" w:rsidP="00387A07">
      <w:pPr>
        <w:pStyle w:val="Didascalia"/>
        <w:rPr>
          <w:rFonts w:ascii="Arial" w:hAnsi="Arial" w:cs="Arial"/>
          <w:b w:val="0"/>
          <w:sz w:val="24"/>
          <w:szCs w:val="24"/>
        </w:rPr>
      </w:pPr>
      <w:r w:rsidRPr="00AA03FE">
        <w:t>Figure 3.</w:t>
      </w:r>
      <w:fldSimple w:instr=" SEQ Figure \* ARABIC ">
        <w:r w:rsidRPr="00AA03FE">
          <w:rPr>
            <w:noProof/>
          </w:rPr>
          <w:t>1</w:t>
        </w:r>
      </w:fldSimple>
      <w:r w:rsidRPr="00AA03FE">
        <w:t xml:space="preserve"> ATR-FT-IR Analysis of the polyurethanes C-BC2000 and NS-.BC2000. The characteristic peaks identified are labelled in red. </w:t>
      </w:r>
    </w:p>
    <w:p w:rsidR="00387A07" w:rsidRPr="00AA03FE" w:rsidRDefault="00387A07" w:rsidP="00387A07">
      <w:pPr>
        <w:spacing w:before="240" w:after="240" w:line="360" w:lineRule="auto"/>
        <w:jc w:val="both"/>
        <w:rPr>
          <w:rFonts w:ascii="Arial" w:hAnsi="Arial" w:cs="Arial"/>
          <w:b/>
          <w:i/>
          <w:sz w:val="24"/>
          <w:szCs w:val="24"/>
        </w:rPr>
      </w:pPr>
      <w:r w:rsidRPr="00AA03FE">
        <w:rPr>
          <w:rFonts w:ascii="Arial" w:hAnsi="Arial" w:cs="Arial"/>
          <w:b/>
          <w:i/>
          <w:sz w:val="24"/>
          <w:szCs w:val="24"/>
        </w:rPr>
        <w:t>3.3.1.2 GPC analysis</w:t>
      </w:r>
    </w:p>
    <w:p w:rsidR="00387A07" w:rsidRPr="00AA03FE" w:rsidRDefault="00387A07" w:rsidP="00387A07">
      <w:pPr>
        <w:spacing w:line="360" w:lineRule="auto"/>
        <w:jc w:val="both"/>
        <w:rPr>
          <w:rFonts w:ascii="Arial" w:hAnsi="Arial" w:cs="Arial"/>
          <w:sz w:val="24"/>
          <w:szCs w:val="24"/>
        </w:rPr>
      </w:pPr>
      <w:r w:rsidRPr="00AA03FE">
        <w:rPr>
          <w:rFonts w:ascii="Arial" w:hAnsi="Arial" w:cs="Arial"/>
          <w:sz w:val="24"/>
          <w:szCs w:val="24"/>
        </w:rPr>
        <w:t xml:space="preserve">The average number molecular weight (g/mol), the weight average molecular weight (g/mol) and the polydispersity </w:t>
      </w:r>
      <m:oMath>
        <m:acc>
          <m:accPr>
            <m:chr m:val="̅"/>
            <m:ctrlPr>
              <w:rPr>
                <w:rFonts w:ascii="Cambria Math" w:hAnsi="Cambria Math" w:cs="Arial"/>
                <w:i/>
                <w:sz w:val="24"/>
                <w:szCs w:val="24"/>
              </w:rPr>
            </m:ctrlPr>
          </m:accPr>
          <m:e>
            <m:r>
              <w:rPr>
                <w:rFonts w:ascii="Cambria Math" w:hAnsi="Cambria Math" w:cs="Arial"/>
                <w:sz w:val="24"/>
                <w:szCs w:val="24"/>
              </w:rPr>
              <m:t>M</m:t>
            </m:r>
          </m:e>
        </m:acc>
        <m:r>
          <w:rPr>
            <w:rFonts w:ascii="Cambria Math" w:hAnsi="Cambria Math" w:cs="Arial"/>
            <w:sz w:val="24"/>
            <w:szCs w:val="24"/>
            <w:vertAlign w:val="subscript"/>
          </w:rPr>
          <m:t>w</m:t>
        </m:r>
        <m:r>
          <w:rPr>
            <w:rFonts w:ascii="Cambria Math" w:hAnsi="Cambria Math" w:cs="Arial"/>
            <w:sz w:val="24"/>
            <w:szCs w:val="24"/>
          </w:rPr>
          <m:t>/</m:t>
        </m:r>
        <m:acc>
          <m:accPr>
            <m:chr m:val="̅"/>
            <m:ctrlPr>
              <w:rPr>
                <w:rFonts w:ascii="Cambria Math" w:hAnsi="Cambria Math" w:cs="Arial"/>
                <w:i/>
                <w:sz w:val="24"/>
                <w:szCs w:val="24"/>
              </w:rPr>
            </m:ctrlPr>
          </m:accPr>
          <m:e>
            <m:r>
              <w:rPr>
                <w:rFonts w:ascii="Cambria Math" w:hAnsi="Cambria Math" w:cs="Arial"/>
                <w:sz w:val="24"/>
                <w:szCs w:val="24"/>
              </w:rPr>
              <m:t>M</m:t>
            </m:r>
          </m:e>
        </m:acc>
        <m:r>
          <w:rPr>
            <w:rFonts w:ascii="Cambria Math" w:hAnsi="Cambria Math" w:cs="Arial"/>
            <w:sz w:val="24"/>
            <w:szCs w:val="24"/>
            <w:vertAlign w:val="subscript"/>
          </w:rPr>
          <m:t>n</m:t>
        </m:r>
      </m:oMath>
      <w:r w:rsidRPr="00AA03FE">
        <w:rPr>
          <w:rFonts w:ascii="Arial" w:hAnsi="Arial" w:cs="Arial"/>
          <w:sz w:val="24"/>
          <w:szCs w:val="24"/>
        </w:rPr>
        <w:t xml:space="preserve"> of the polymers, assessed by Size Exclusion Chromatography, are summarized in table 3.2.</w:t>
      </w:r>
    </w:p>
    <w:tbl>
      <w:tblPr>
        <w:tblStyle w:val="Grigliatabella"/>
        <w:tblW w:w="0" w:type="auto"/>
        <w:jc w:val="center"/>
        <w:tblBorders>
          <w:bottom w:val="single" w:sz="4" w:space="0" w:color="auto"/>
          <w:insideH w:val="none" w:sz="0" w:space="0" w:color="auto"/>
          <w:insideV w:val="none" w:sz="0" w:space="0" w:color="auto"/>
        </w:tblBorders>
        <w:shd w:val="clear" w:color="auto" w:fill="F2F2F2" w:themeFill="background1" w:themeFillShade="F2"/>
        <w:tblLook w:val="04A0"/>
      </w:tblPr>
      <w:tblGrid>
        <w:gridCol w:w="1101"/>
        <w:gridCol w:w="1417"/>
        <w:gridCol w:w="1701"/>
      </w:tblGrid>
      <w:tr w:rsidR="00387A07" w:rsidRPr="00AA03FE" w:rsidTr="00387A07">
        <w:trPr>
          <w:trHeight w:val="283"/>
          <w:jc w:val="center"/>
        </w:trPr>
        <w:tc>
          <w:tcPr>
            <w:tcW w:w="1101" w:type="dxa"/>
            <w:tcBorders>
              <w:top w:val="single" w:sz="4" w:space="0" w:color="000000" w:themeColor="text1"/>
              <w:left w:val="nil"/>
              <w:bottom w:val="single" w:sz="4" w:space="0" w:color="auto"/>
              <w:right w:val="nil"/>
            </w:tcBorders>
            <w:shd w:val="clear" w:color="auto" w:fill="F2F2F2" w:themeFill="background1" w:themeFillShade="F2"/>
          </w:tcPr>
          <w:p w:rsidR="00387A07" w:rsidRPr="00AA03FE" w:rsidRDefault="00387A07" w:rsidP="00387A07">
            <w:pPr>
              <w:jc w:val="center"/>
              <w:rPr>
                <w:rFonts w:cs="Arial"/>
                <w:b/>
              </w:rPr>
            </w:pPr>
          </w:p>
        </w:tc>
        <w:tc>
          <w:tcPr>
            <w:tcW w:w="1417" w:type="dxa"/>
            <w:tcBorders>
              <w:top w:val="single" w:sz="4" w:space="0" w:color="000000" w:themeColor="text1"/>
              <w:left w:val="nil"/>
              <w:bottom w:val="single" w:sz="4" w:space="0" w:color="auto"/>
              <w:right w:val="nil"/>
            </w:tcBorders>
            <w:shd w:val="clear" w:color="auto" w:fill="F2F2F2" w:themeFill="background1" w:themeFillShade="F2"/>
          </w:tcPr>
          <w:p w:rsidR="00387A07" w:rsidRPr="00AA03FE" w:rsidRDefault="00387A07" w:rsidP="00387A07">
            <w:pPr>
              <w:jc w:val="center"/>
              <w:rPr>
                <w:rFonts w:cs="Arial"/>
                <w:b/>
              </w:rPr>
            </w:pPr>
            <w:r w:rsidRPr="00AA03FE">
              <w:rPr>
                <w:rFonts w:cs="Arial"/>
                <w:b/>
              </w:rPr>
              <w:t>C-BC2000</w:t>
            </w:r>
          </w:p>
        </w:tc>
        <w:tc>
          <w:tcPr>
            <w:tcW w:w="1701" w:type="dxa"/>
            <w:tcBorders>
              <w:top w:val="single" w:sz="4" w:space="0" w:color="000000" w:themeColor="text1"/>
              <w:left w:val="nil"/>
              <w:bottom w:val="single" w:sz="4" w:space="0" w:color="auto"/>
              <w:right w:val="nil"/>
            </w:tcBorders>
            <w:shd w:val="clear" w:color="auto" w:fill="F2F2F2" w:themeFill="background1" w:themeFillShade="F2"/>
          </w:tcPr>
          <w:p w:rsidR="00387A07" w:rsidRPr="00AA03FE" w:rsidRDefault="00387A07" w:rsidP="00387A07">
            <w:pPr>
              <w:jc w:val="center"/>
              <w:rPr>
                <w:rFonts w:cs="Arial"/>
                <w:b/>
              </w:rPr>
            </w:pPr>
            <w:r w:rsidRPr="00AA03FE">
              <w:rPr>
                <w:rFonts w:cs="Arial"/>
                <w:b/>
              </w:rPr>
              <w:t>NS-BC2000</w:t>
            </w:r>
          </w:p>
        </w:tc>
      </w:tr>
      <w:tr w:rsidR="00387A07" w:rsidRPr="00AA03FE" w:rsidTr="00387A07">
        <w:trPr>
          <w:trHeight w:val="283"/>
          <w:jc w:val="center"/>
        </w:trPr>
        <w:tc>
          <w:tcPr>
            <w:tcW w:w="1101" w:type="dxa"/>
            <w:tcBorders>
              <w:top w:val="single" w:sz="4" w:space="0" w:color="auto"/>
              <w:left w:val="nil"/>
              <w:bottom w:val="nil"/>
              <w:right w:val="nil"/>
            </w:tcBorders>
            <w:shd w:val="clear" w:color="auto" w:fill="F2F2F2" w:themeFill="background1" w:themeFillShade="F2"/>
          </w:tcPr>
          <w:p w:rsidR="00387A07" w:rsidRPr="00AA03FE" w:rsidRDefault="00860AC7" w:rsidP="00387A07">
            <w:pPr>
              <w:jc w:val="center"/>
              <w:rPr>
                <w:rFonts w:cs="Arial"/>
                <w:b/>
                <w:vertAlign w:val="subscript"/>
              </w:rPr>
            </w:pPr>
            <m:oMath>
              <m:acc>
                <m:accPr>
                  <m:chr m:val="̅"/>
                  <m:ctrlPr>
                    <w:rPr>
                      <w:rFonts w:ascii="Cambria Math" w:hAnsi="Cambria Math" w:cs="Arial"/>
                      <w:b/>
                      <w:sz w:val="24"/>
                      <w:szCs w:val="24"/>
                    </w:rPr>
                  </m:ctrlPr>
                </m:accPr>
                <m:e>
                  <m:r>
                    <m:rPr>
                      <m:sty m:val="b"/>
                    </m:rPr>
                    <w:rPr>
                      <w:rFonts w:ascii="Cambria Math" w:hAnsi="Cambria Math" w:cs="Arial"/>
                      <w:sz w:val="24"/>
                      <w:szCs w:val="24"/>
                    </w:rPr>
                    <m:t>M</m:t>
                  </m:r>
                </m:e>
              </m:acc>
            </m:oMath>
            <w:r w:rsidR="00387A07" w:rsidRPr="00AA03FE">
              <w:rPr>
                <w:rFonts w:cs="Arial"/>
                <w:b/>
                <w:vertAlign w:val="subscript"/>
              </w:rPr>
              <w:t>n</w:t>
            </w:r>
          </w:p>
        </w:tc>
        <w:tc>
          <w:tcPr>
            <w:tcW w:w="1417" w:type="dxa"/>
            <w:tcBorders>
              <w:top w:val="single" w:sz="4" w:space="0" w:color="auto"/>
              <w:left w:val="nil"/>
              <w:bottom w:val="nil"/>
              <w:right w:val="nil"/>
            </w:tcBorders>
            <w:shd w:val="clear" w:color="auto" w:fill="F2F2F2" w:themeFill="background1" w:themeFillShade="F2"/>
          </w:tcPr>
          <w:p w:rsidR="00387A07" w:rsidRPr="00AA03FE" w:rsidRDefault="00387A07" w:rsidP="00387A07">
            <w:pPr>
              <w:jc w:val="center"/>
              <w:rPr>
                <w:rFonts w:cs="Arial"/>
              </w:rPr>
            </w:pPr>
            <w:r w:rsidRPr="00AA03FE">
              <w:rPr>
                <w:rFonts w:cs="Arial"/>
              </w:rPr>
              <w:t>10500</w:t>
            </w:r>
          </w:p>
        </w:tc>
        <w:tc>
          <w:tcPr>
            <w:tcW w:w="1701" w:type="dxa"/>
            <w:tcBorders>
              <w:top w:val="single" w:sz="4" w:space="0" w:color="auto"/>
              <w:left w:val="nil"/>
              <w:bottom w:val="nil"/>
              <w:right w:val="nil"/>
            </w:tcBorders>
            <w:shd w:val="clear" w:color="auto" w:fill="F2F2F2" w:themeFill="background1" w:themeFillShade="F2"/>
          </w:tcPr>
          <w:p w:rsidR="00387A07" w:rsidRPr="00AA03FE" w:rsidRDefault="00387A07" w:rsidP="00387A07">
            <w:pPr>
              <w:jc w:val="center"/>
              <w:rPr>
                <w:rFonts w:cs="Arial"/>
              </w:rPr>
            </w:pPr>
            <w:r w:rsidRPr="00AA03FE">
              <w:rPr>
                <w:rFonts w:cs="Arial"/>
              </w:rPr>
              <w:t>38000</w:t>
            </w:r>
          </w:p>
        </w:tc>
      </w:tr>
      <w:tr w:rsidR="00387A07" w:rsidRPr="00AA03FE" w:rsidTr="00387A07">
        <w:trPr>
          <w:trHeight w:val="283"/>
          <w:jc w:val="center"/>
        </w:trPr>
        <w:tc>
          <w:tcPr>
            <w:tcW w:w="1101" w:type="dxa"/>
            <w:tcBorders>
              <w:top w:val="nil"/>
              <w:left w:val="nil"/>
              <w:bottom w:val="nil"/>
              <w:right w:val="nil"/>
            </w:tcBorders>
            <w:shd w:val="clear" w:color="auto" w:fill="F2F2F2" w:themeFill="background1" w:themeFillShade="F2"/>
          </w:tcPr>
          <w:p w:rsidR="00387A07" w:rsidRPr="00AA03FE" w:rsidRDefault="00860AC7" w:rsidP="00387A07">
            <w:pPr>
              <w:jc w:val="center"/>
              <w:rPr>
                <w:rFonts w:cs="Arial"/>
                <w:b/>
                <w:vertAlign w:val="subscript"/>
              </w:rPr>
            </w:pPr>
            <m:oMathPara>
              <m:oMath>
                <m:sSub>
                  <m:sSubPr>
                    <m:ctrlPr>
                      <w:rPr>
                        <w:rFonts w:ascii="Cambria Math" w:hAnsi="Cambria Math" w:cs="Arial"/>
                        <w:b/>
                        <w:sz w:val="24"/>
                        <w:szCs w:val="24"/>
                      </w:rPr>
                    </m:ctrlPr>
                  </m:sSubPr>
                  <m:e>
                    <m:acc>
                      <m:accPr>
                        <m:chr m:val="̅"/>
                        <m:ctrlPr>
                          <w:rPr>
                            <w:rFonts w:ascii="Cambria Math" w:hAnsi="Cambria Math" w:cs="Arial"/>
                            <w:b/>
                            <w:sz w:val="24"/>
                            <w:szCs w:val="24"/>
                          </w:rPr>
                        </m:ctrlPr>
                      </m:accPr>
                      <m:e>
                        <m:r>
                          <m:rPr>
                            <m:sty m:val="b"/>
                          </m:rPr>
                          <w:rPr>
                            <w:rFonts w:ascii="Cambria Math" w:hAnsi="Cambria Math" w:cs="Arial"/>
                            <w:sz w:val="24"/>
                            <w:szCs w:val="24"/>
                          </w:rPr>
                          <m:t>M</m:t>
                        </m:r>
                      </m:e>
                    </m:acc>
                  </m:e>
                  <m:sub>
                    <m:r>
                      <m:rPr>
                        <m:sty m:val="b"/>
                      </m:rPr>
                      <w:rPr>
                        <w:rFonts w:ascii="Cambria Math" w:hAnsi="Cambria Math" w:cs="Arial"/>
                        <w:sz w:val="24"/>
                        <w:szCs w:val="24"/>
                      </w:rPr>
                      <m:t>w</m:t>
                    </m:r>
                  </m:sub>
                </m:sSub>
              </m:oMath>
            </m:oMathPara>
          </w:p>
        </w:tc>
        <w:tc>
          <w:tcPr>
            <w:tcW w:w="1417" w:type="dxa"/>
            <w:tcBorders>
              <w:top w:val="nil"/>
              <w:left w:val="nil"/>
              <w:bottom w:val="nil"/>
              <w:right w:val="nil"/>
            </w:tcBorders>
            <w:shd w:val="clear" w:color="auto" w:fill="F2F2F2" w:themeFill="background1" w:themeFillShade="F2"/>
          </w:tcPr>
          <w:p w:rsidR="00387A07" w:rsidRPr="00AA03FE" w:rsidRDefault="00387A07" w:rsidP="00387A07">
            <w:pPr>
              <w:jc w:val="center"/>
              <w:rPr>
                <w:rFonts w:cs="Arial"/>
              </w:rPr>
            </w:pPr>
            <w:r w:rsidRPr="00AA03FE">
              <w:rPr>
                <w:rFonts w:cs="Arial"/>
              </w:rPr>
              <w:t>170000</w:t>
            </w:r>
          </w:p>
        </w:tc>
        <w:tc>
          <w:tcPr>
            <w:tcW w:w="1701" w:type="dxa"/>
            <w:tcBorders>
              <w:top w:val="nil"/>
              <w:left w:val="nil"/>
              <w:bottom w:val="nil"/>
              <w:right w:val="nil"/>
            </w:tcBorders>
            <w:shd w:val="clear" w:color="auto" w:fill="F2F2F2" w:themeFill="background1" w:themeFillShade="F2"/>
          </w:tcPr>
          <w:p w:rsidR="00387A07" w:rsidRPr="00AA03FE" w:rsidRDefault="00387A07" w:rsidP="00387A07">
            <w:pPr>
              <w:jc w:val="center"/>
              <w:rPr>
                <w:rFonts w:cs="Arial"/>
              </w:rPr>
            </w:pPr>
            <w:r w:rsidRPr="00AA03FE">
              <w:rPr>
                <w:rFonts w:cs="Arial"/>
              </w:rPr>
              <w:t>61600</w:t>
            </w:r>
          </w:p>
        </w:tc>
      </w:tr>
      <w:tr w:rsidR="00387A07" w:rsidRPr="00AA03FE" w:rsidTr="00387A07">
        <w:trPr>
          <w:trHeight w:val="283"/>
          <w:jc w:val="center"/>
        </w:trPr>
        <w:tc>
          <w:tcPr>
            <w:tcW w:w="1101" w:type="dxa"/>
            <w:tcBorders>
              <w:top w:val="nil"/>
              <w:left w:val="nil"/>
              <w:bottom w:val="single" w:sz="4" w:space="0" w:color="auto"/>
              <w:right w:val="nil"/>
            </w:tcBorders>
            <w:shd w:val="clear" w:color="auto" w:fill="F2F2F2" w:themeFill="background1" w:themeFillShade="F2"/>
          </w:tcPr>
          <w:p w:rsidR="00387A07" w:rsidRPr="00AA03FE" w:rsidRDefault="00860AC7" w:rsidP="00387A07">
            <w:pPr>
              <w:jc w:val="center"/>
              <w:rPr>
                <w:rFonts w:cs="Arial"/>
                <w:b/>
              </w:rPr>
            </w:pPr>
            <m:oMath>
              <m:acc>
                <m:accPr>
                  <m:chr m:val="̅"/>
                  <m:ctrlPr>
                    <w:rPr>
                      <w:rFonts w:ascii="Cambria Math" w:hAnsi="Cambria Math" w:cs="Arial"/>
                      <w:b/>
                      <w:sz w:val="24"/>
                      <w:szCs w:val="24"/>
                    </w:rPr>
                  </m:ctrlPr>
                </m:accPr>
                <m:e>
                  <m:r>
                    <m:rPr>
                      <m:sty m:val="b"/>
                    </m:rPr>
                    <w:rPr>
                      <w:rFonts w:ascii="Cambria Math" w:hAnsi="Cambria Math" w:cs="Arial"/>
                      <w:sz w:val="24"/>
                      <w:szCs w:val="24"/>
                    </w:rPr>
                    <m:t>M</m:t>
                  </m:r>
                </m:e>
              </m:acc>
            </m:oMath>
            <w:r w:rsidR="00387A07" w:rsidRPr="00AA03FE">
              <w:rPr>
                <w:rFonts w:cs="Arial"/>
                <w:b/>
                <w:vertAlign w:val="subscript"/>
              </w:rPr>
              <w:t>w</w:t>
            </w:r>
            <w:r w:rsidR="00387A07" w:rsidRPr="00AA03FE">
              <w:rPr>
                <w:rFonts w:cs="Arial"/>
                <w:b/>
              </w:rPr>
              <w:t>/</w:t>
            </w:r>
            <m:oMath>
              <m:acc>
                <m:accPr>
                  <m:chr m:val="̅"/>
                  <m:ctrlPr>
                    <w:rPr>
                      <w:rFonts w:ascii="Cambria Math" w:hAnsi="Cambria Math" w:cs="Arial"/>
                      <w:b/>
                      <w:sz w:val="24"/>
                      <w:szCs w:val="24"/>
                    </w:rPr>
                  </m:ctrlPr>
                </m:accPr>
                <m:e>
                  <m:r>
                    <m:rPr>
                      <m:sty m:val="b"/>
                    </m:rPr>
                    <w:rPr>
                      <w:rFonts w:ascii="Cambria Math" w:hAnsi="Cambria Math" w:cs="Arial"/>
                      <w:sz w:val="24"/>
                      <w:szCs w:val="24"/>
                    </w:rPr>
                    <m:t>M</m:t>
                  </m:r>
                </m:e>
              </m:acc>
            </m:oMath>
            <w:r w:rsidR="00387A07" w:rsidRPr="00AA03FE">
              <w:rPr>
                <w:rFonts w:cs="Arial"/>
                <w:b/>
                <w:vertAlign w:val="subscript"/>
              </w:rPr>
              <w:t>n</w:t>
            </w:r>
          </w:p>
        </w:tc>
        <w:tc>
          <w:tcPr>
            <w:tcW w:w="1417" w:type="dxa"/>
            <w:tcBorders>
              <w:top w:val="nil"/>
              <w:left w:val="nil"/>
              <w:bottom w:val="single" w:sz="4" w:space="0" w:color="auto"/>
              <w:right w:val="nil"/>
            </w:tcBorders>
            <w:shd w:val="clear" w:color="auto" w:fill="F2F2F2" w:themeFill="background1" w:themeFillShade="F2"/>
          </w:tcPr>
          <w:p w:rsidR="00387A07" w:rsidRPr="00AA03FE" w:rsidRDefault="00387A07" w:rsidP="00387A07">
            <w:pPr>
              <w:jc w:val="center"/>
              <w:rPr>
                <w:rFonts w:cs="Arial"/>
              </w:rPr>
            </w:pPr>
            <w:r w:rsidRPr="00AA03FE">
              <w:rPr>
                <w:rFonts w:cs="Arial"/>
              </w:rPr>
              <w:t>1.6</w:t>
            </w:r>
          </w:p>
        </w:tc>
        <w:tc>
          <w:tcPr>
            <w:tcW w:w="1701" w:type="dxa"/>
            <w:tcBorders>
              <w:top w:val="nil"/>
              <w:left w:val="nil"/>
              <w:bottom w:val="single" w:sz="4" w:space="0" w:color="auto"/>
              <w:right w:val="nil"/>
            </w:tcBorders>
            <w:shd w:val="clear" w:color="auto" w:fill="F2F2F2" w:themeFill="background1" w:themeFillShade="F2"/>
          </w:tcPr>
          <w:p w:rsidR="00387A07" w:rsidRPr="00AA03FE" w:rsidRDefault="00387A07" w:rsidP="00387A07">
            <w:pPr>
              <w:jc w:val="center"/>
              <w:rPr>
                <w:rFonts w:cs="Arial"/>
              </w:rPr>
            </w:pPr>
            <w:r w:rsidRPr="00AA03FE">
              <w:rPr>
                <w:rFonts w:cs="Arial"/>
              </w:rPr>
              <w:t>1.6</w:t>
            </w:r>
          </w:p>
        </w:tc>
      </w:tr>
    </w:tbl>
    <w:p w:rsidR="00387A07" w:rsidRPr="00AA03FE" w:rsidRDefault="00387A07" w:rsidP="00387A07">
      <w:pPr>
        <w:pStyle w:val="Didascalia"/>
        <w:spacing w:before="120"/>
        <w:rPr>
          <w:rFonts w:ascii="Arial" w:hAnsi="Arial" w:cs="Arial"/>
          <w:sz w:val="24"/>
          <w:szCs w:val="24"/>
        </w:rPr>
      </w:pPr>
      <w:r w:rsidRPr="00AA03FE">
        <w:t xml:space="preserve">Table 3. </w:t>
      </w:r>
      <w:fldSimple w:instr=" SEQ Table_3. \* ARABIC ">
        <w:r w:rsidRPr="00AA03FE">
          <w:rPr>
            <w:noProof/>
          </w:rPr>
          <w:t>2</w:t>
        </w:r>
      </w:fldSimple>
      <w:r w:rsidRPr="00AA03FE">
        <w:t xml:space="preserve"> Results from SEC analysis of C-BC2000 and NS-BC2000</w:t>
      </w:r>
    </w:p>
    <w:p w:rsidR="00387A07" w:rsidRPr="00AA03FE" w:rsidRDefault="00387A07" w:rsidP="00387A07">
      <w:pPr>
        <w:spacing w:before="240" w:after="240" w:line="360" w:lineRule="auto"/>
        <w:jc w:val="both"/>
        <w:rPr>
          <w:rFonts w:ascii="Arial" w:hAnsi="Arial" w:cs="Arial"/>
          <w:b/>
          <w:i/>
          <w:sz w:val="24"/>
          <w:szCs w:val="24"/>
        </w:rPr>
      </w:pPr>
      <w:r w:rsidRPr="00AA03FE">
        <w:rPr>
          <w:rFonts w:ascii="Arial" w:hAnsi="Arial" w:cs="Arial"/>
          <w:b/>
          <w:i/>
          <w:sz w:val="24"/>
          <w:szCs w:val="24"/>
        </w:rPr>
        <w:lastRenderedPageBreak/>
        <w:t>3.3.2 Preparation of nanoparticles</w:t>
      </w:r>
    </w:p>
    <w:p w:rsidR="00387A07" w:rsidRPr="00AA03FE" w:rsidRDefault="00387A07" w:rsidP="00387A07">
      <w:pPr>
        <w:spacing w:before="240" w:after="240" w:line="360" w:lineRule="auto"/>
        <w:jc w:val="both"/>
        <w:rPr>
          <w:rFonts w:ascii="Arial" w:hAnsi="Arial" w:cs="Arial"/>
          <w:b/>
          <w:i/>
          <w:sz w:val="24"/>
          <w:szCs w:val="24"/>
        </w:rPr>
      </w:pPr>
      <w:r w:rsidRPr="00AA03FE">
        <w:rPr>
          <w:rFonts w:ascii="Arial" w:hAnsi="Arial" w:cs="Arial"/>
          <w:b/>
          <w:i/>
          <w:sz w:val="24"/>
          <w:szCs w:val="24"/>
        </w:rPr>
        <w:t>3.3.2.1 Optimization of the protocol</w:t>
      </w:r>
    </w:p>
    <w:p w:rsidR="00387A07" w:rsidRPr="00AA03FE" w:rsidRDefault="00387A07" w:rsidP="00387A07">
      <w:pPr>
        <w:spacing w:before="240" w:after="240" w:line="360" w:lineRule="auto"/>
        <w:jc w:val="both"/>
        <w:rPr>
          <w:rFonts w:ascii="Arial" w:hAnsi="Arial" w:cs="Arial"/>
          <w:b/>
          <w:i/>
          <w:sz w:val="24"/>
          <w:szCs w:val="24"/>
        </w:rPr>
      </w:pPr>
      <w:r w:rsidRPr="00AA03FE">
        <w:rPr>
          <w:rFonts w:ascii="Arial" w:hAnsi="Arial" w:cs="Arial"/>
          <w:b/>
          <w:i/>
          <w:sz w:val="24"/>
          <w:szCs w:val="24"/>
        </w:rPr>
        <w:t>3.3.2.1.1 Effect of PVA concentration and homogenization speed.</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According to the protocol described in section 3.2.4, PLGA nanoparticles were prepared by selecting different concentrations of the emulsifier in the internal and external phase and by changing the homogenization speed. NaCl was used as washing medium to remove residual PVA.</w:t>
      </w:r>
    </w:p>
    <w:p w:rsidR="00387A07" w:rsidRPr="00AA03FE" w:rsidRDefault="00387A07" w:rsidP="00387A07">
      <w:pPr>
        <w:spacing w:after="120" w:line="360" w:lineRule="auto"/>
        <w:jc w:val="both"/>
        <w:rPr>
          <w:rFonts w:ascii="Arial" w:hAnsi="Arial" w:cs="Arial"/>
          <w:bCs/>
          <w:sz w:val="24"/>
          <w:szCs w:val="24"/>
        </w:rPr>
      </w:pPr>
      <w:r w:rsidRPr="00AA03FE">
        <w:rPr>
          <w:rFonts w:ascii="Arial" w:hAnsi="Arial" w:cs="Arial"/>
          <w:bCs/>
          <w:sz w:val="24"/>
          <w:szCs w:val="24"/>
        </w:rPr>
        <w:t>The size, PDI and zeta potential of all PLGA nanoparticles are reported in table 3.3.</w:t>
      </w:r>
    </w:p>
    <w:tbl>
      <w:tblPr>
        <w:tblStyle w:val="Grigliatabella"/>
        <w:tblW w:w="9015" w:type="dxa"/>
        <w:jc w:val="center"/>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ook w:val="04A0"/>
      </w:tblPr>
      <w:tblGrid>
        <w:gridCol w:w="946"/>
        <w:gridCol w:w="1361"/>
        <w:gridCol w:w="1361"/>
        <w:gridCol w:w="1434"/>
        <w:gridCol w:w="1191"/>
        <w:gridCol w:w="1247"/>
        <w:gridCol w:w="1475"/>
      </w:tblGrid>
      <w:tr w:rsidR="00387A07" w:rsidRPr="00AA03FE" w:rsidTr="00387A07">
        <w:trPr>
          <w:trHeight w:val="300"/>
          <w:jc w:val="center"/>
        </w:trPr>
        <w:tc>
          <w:tcPr>
            <w:tcW w:w="946" w:type="dxa"/>
            <w:tcBorders>
              <w:top w:val="single" w:sz="4" w:space="0" w:color="auto"/>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Arial"/>
                <w:b/>
                <w:color w:val="000000"/>
                <w:lang w:eastAsia="it-IT"/>
              </w:rPr>
            </w:pPr>
            <w:r w:rsidRPr="00AA03FE">
              <w:rPr>
                <w:rFonts w:cs="Arial"/>
                <w:b/>
                <w:color w:val="000000"/>
                <w:lang w:eastAsia="it-IT"/>
              </w:rPr>
              <w:t>Sample</w:t>
            </w:r>
          </w:p>
        </w:tc>
        <w:tc>
          <w:tcPr>
            <w:tcW w:w="1361" w:type="dxa"/>
            <w:tcBorders>
              <w:top w:val="single" w:sz="4" w:space="0" w:color="auto"/>
              <w:bottom w:val="single" w:sz="4" w:space="0" w:color="auto"/>
            </w:tcBorders>
            <w:shd w:val="clear" w:color="auto" w:fill="F2F2F2" w:themeFill="background1" w:themeFillShade="F2"/>
            <w:vAlign w:val="center"/>
          </w:tcPr>
          <w:p w:rsidR="00387A07" w:rsidRPr="00AA03FE" w:rsidRDefault="00387A07" w:rsidP="00387A07">
            <w:pPr>
              <w:jc w:val="center"/>
              <w:rPr>
                <w:rFonts w:cs="Arial"/>
                <w:b/>
              </w:rPr>
            </w:pPr>
            <w:r w:rsidRPr="00AA03FE">
              <w:rPr>
                <w:rFonts w:cs="Arial"/>
                <w:b/>
              </w:rPr>
              <w:t>PVA in</w:t>
            </w:r>
          </w:p>
          <w:p w:rsidR="00387A07" w:rsidRPr="00AA03FE" w:rsidRDefault="00387A07" w:rsidP="00387A07">
            <w:pPr>
              <w:jc w:val="center"/>
              <w:rPr>
                <w:rFonts w:cs="Arial"/>
                <w:b/>
                <w:color w:val="000000"/>
                <w:lang w:eastAsia="it-IT"/>
              </w:rPr>
            </w:pPr>
            <w:r w:rsidRPr="00AA03FE">
              <w:rPr>
                <w:rFonts w:cs="Arial"/>
                <w:b/>
              </w:rPr>
              <w:t>internal phase (w/v)</w:t>
            </w:r>
          </w:p>
        </w:tc>
        <w:tc>
          <w:tcPr>
            <w:tcW w:w="1361" w:type="dxa"/>
            <w:tcBorders>
              <w:top w:val="single" w:sz="4" w:space="0" w:color="auto"/>
              <w:bottom w:val="single" w:sz="4" w:space="0" w:color="auto"/>
            </w:tcBorders>
            <w:shd w:val="clear" w:color="auto" w:fill="F2F2F2" w:themeFill="background1" w:themeFillShade="F2"/>
            <w:vAlign w:val="center"/>
          </w:tcPr>
          <w:p w:rsidR="00387A07" w:rsidRPr="00AA03FE" w:rsidRDefault="00387A07" w:rsidP="00387A07">
            <w:pPr>
              <w:jc w:val="center"/>
              <w:rPr>
                <w:rFonts w:cs="Arial"/>
                <w:b/>
                <w:color w:val="000000"/>
                <w:lang w:eastAsia="it-IT"/>
              </w:rPr>
            </w:pPr>
            <w:r w:rsidRPr="00AA03FE">
              <w:rPr>
                <w:rFonts w:cs="Arial"/>
                <w:b/>
              </w:rPr>
              <w:t>PVA in external phase (w/v)</w:t>
            </w:r>
          </w:p>
        </w:tc>
        <w:tc>
          <w:tcPr>
            <w:tcW w:w="1434" w:type="dxa"/>
            <w:tcBorders>
              <w:top w:val="single" w:sz="4" w:space="0" w:color="auto"/>
              <w:bottom w:val="single" w:sz="4" w:space="0" w:color="auto"/>
            </w:tcBorders>
            <w:shd w:val="clear" w:color="auto" w:fill="F2F2F2" w:themeFill="background1" w:themeFillShade="F2"/>
            <w:vAlign w:val="center"/>
          </w:tcPr>
          <w:p w:rsidR="00387A07" w:rsidRPr="00AA03FE" w:rsidRDefault="00387A07" w:rsidP="00387A07">
            <w:pPr>
              <w:jc w:val="center"/>
              <w:rPr>
                <w:rFonts w:cs="Arial"/>
                <w:b/>
                <w:color w:val="000000"/>
                <w:lang w:eastAsia="it-IT"/>
              </w:rPr>
            </w:pPr>
            <w:r w:rsidRPr="00AA03FE">
              <w:rPr>
                <w:rFonts w:cs="Arial"/>
                <w:b/>
                <w:color w:val="000000"/>
                <w:lang w:eastAsia="it-IT"/>
              </w:rPr>
              <w:t>Homogenizer speed (rpm)</w:t>
            </w:r>
          </w:p>
        </w:tc>
        <w:tc>
          <w:tcPr>
            <w:tcW w:w="1191" w:type="dxa"/>
            <w:tcBorders>
              <w:top w:val="single" w:sz="4" w:space="0" w:color="auto"/>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Arial"/>
                <w:b/>
                <w:color w:val="000000"/>
                <w:lang w:eastAsia="it-IT"/>
              </w:rPr>
            </w:pPr>
            <w:r w:rsidRPr="00AA03FE">
              <w:rPr>
                <w:rFonts w:cs="Arial"/>
                <w:b/>
                <w:color w:val="000000"/>
                <w:lang w:eastAsia="it-IT"/>
              </w:rPr>
              <w:t>Size  (nm)</w:t>
            </w:r>
          </w:p>
        </w:tc>
        <w:tc>
          <w:tcPr>
            <w:tcW w:w="1247" w:type="dxa"/>
            <w:tcBorders>
              <w:top w:val="single" w:sz="4" w:space="0" w:color="auto"/>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Arial"/>
                <w:b/>
                <w:color w:val="000000"/>
                <w:lang w:eastAsia="it-IT"/>
              </w:rPr>
            </w:pPr>
            <w:r w:rsidRPr="00AA03FE">
              <w:rPr>
                <w:rFonts w:cs="Arial"/>
                <w:b/>
                <w:color w:val="000000"/>
                <w:lang w:eastAsia="it-IT"/>
              </w:rPr>
              <w:t>PDI</w:t>
            </w:r>
          </w:p>
        </w:tc>
        <w:tc>
          <w:tcPr>
            <w:tcW w:w="1475" w:type="dxa"/>
            <w:tcBorders>
              <w:top w:val="single" w:sz="4" w:space="0" w:color="auto"/>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Arial"/>
                <w:b/>
                <w:color w:val="000000"/>
                <w:lang w:eastAsia="it-IT"/>
              </w:rPr>
            </w:pPr>
            <w:r w:rsidRPr="00AA03FE">
              <w:rPr>
                <w:rFonts w:cs="Arial"/>
                <w:b/>
                <w:color w:val="000000"/>
                <w:lang w:eastAsia="it-IT"/>
              </w:rPr>
              <w:t>Zeta Potential</w:t>
            </w:r>
          </w:p>
          <w:p w:rsidR="00387A07" w:rsidRPr="00AA03FE" w:rsidRDefault="00387A07" w:rsidP="00387A07">
            <w:pPr>
              <w:jc w:val="center"/>
              <w:rPr>
                <w:rFonts w:cs="Arial"/>
                <w:b/>
                <w:color w:val="000000"/>
                <w:lang w:eastAsia="it-IT"/>
              </w:rPr>
            </w:pPr>
            <w:r w:rsidRPr="00AA03FE">
              <w:rPr>
                <w:rFonts w:cs="Arial"/>
                <w:b/>
                <w:color w:val="000000"/>
                <w:lang w:eastAsia="it-IT"/>
              </w:rPr>
              <w:t>(mV)</w:t>
            </w:r>
          </w:p>
        </w:tc>
      </w:tr>
      <w:tr w:rsidR="00387A07" w:rsidRPr="00AA03FE" w:rsidTr="00387A07">
        <w:trPr>
          <w:trHeight w:val="300"/>
          <w:jc w:val="center"/>
        </w:trPr>
        <w:tc>
          <w:tcPr>
            <w:tcW w:w="946" w:type="dxa"/>
            <w:tcBorders>
              <w:top w:val="single" w:sz="4" w:space="0" w:color="auto"/>
            </w:tcBorders>
            <w:shd w:val="clear" w:color="auto" w:fill="F2F2F2" w:themeFill="background1" w:themeFillShade="F2"/>
            <w:noWrap/>
            <w:vAlign w:val="center"/>
            <w:hideMark/>
          </w:tcPr>
          <w:p w:rsidR="00387A07" w:rsidRPr="00AA03FE" w:rsidRDefault="00387A07" w:rsidP="00387A07">
            <w:pPr>
              <w:jc w:val="center"/>
              <w:rPr>
                <w:rFonts w:cs="Arial"/>
                <w:b/>
                <w:color w:val="000000"/>
                <w:lang w:eastAsia="it-IT"/>
              </w:rPr>
            </w:pPr>
            <w:r w:rsidRPr="00AA03FE">
              <w:rPr>
                <w:rFonts w:cs="Arial"/>
                <w:b/>
                <w:color w:val="000000"/>
                <w:lang w:eastAsia="it-IT"/>
              </w:rPr>
              <w:t>PLGA 1</w:t>
            </w:r>
          </w:p>
        </w:tc>
        <w:tc>
          <w:tcPr>
            <w:tcW w:w="1361" w:type="dxa"/>
            <w:tcBorders>
              <w:top w:val="single" w:sz="4" w:space="0" w:color="auto"/>
            </w:tcBorders>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1%</w:t>
            </w:r>
          </w:p>
        </w:tc>
        <w:tc>
          <w:tcPr>
            <w:tcW w:w="1361" w:type="dxa"/>
            <w:tcBorders>
              <w:top w:val="single" w:sz="4" w:space="0" w:color="auto"/>
            </w:tcBorders>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1%</w:t>
            </w:r>
          </w:p>
        </w:tc>
        <w:tc>
          <w:tcPr>
            <w:tcW w:w="1434" w:type="dxa"/>
            <w:tcBorders>
              <w:top w:val="single" w:sz="4" w:space="0" w:color="auto"/>
            </w:tcBorders>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13500</w:t>
            </w:r>
          </w:p>
        </w:tc>
        <w:tc>
          <w:tcPr>
            <w:tcW w:w="1191" w:type="dxa"/>
            <w:tcBorders>
              <w:top w:val="single" w:sz="4" w:space="0" w:color="auto"/>
            </w:tcBorders>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246 ± 1</w:t>
            </w:r>
          </w:p>
        </w:tc>
        <w:tc>
          <w:tcPr>
            <w:tcW w:w="1247" w:type="dxa"/>
            <w:tcBorders>
              <w:top w:val="single" w:sz="4" w:space="0" w:color="auto"/>
            </w:tcBorders>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0.03 ± 0.01</w:t>
            </w:r>
          </w:p>
        </w:tc>
        <w:tc>
          <w:tcPr>
            <w:tcW w:w="1475" w:type="dxa"/>
            <w:tcBorders>
              <w:top w:val="single" w:sz="4" w:space="0" w:color="auto"/>
            </w:tcBorders>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-2.1 ± 0.7</w:t>
            </w:r>
          </w:p>
        </w:tc>
      </w:tr>
      <w:tr w:rsidR="00387A07" w:rsidRPr="00AA03FE" w:rsidTr="00387A07">
        <w:trPr>
          <w:trHeight w:val="300"/>
          <w:jc w:val="center"/>
        </w:trPr>
        <w:tc>
          <w:tcPr>
            <w:tcW w:w="946" w:type="dxa"/>
            <w:shd w:val="clear" w:color="auto" w:fill="F2F2F2" w:themeFill="background1" w:themeFillShade="F2"/>
            <w:noWrap/>
            <w:vAlign w:val="center"/>
            <w:hideMark/>
          </w:tcPr>
          <w:p w:rsidR="00387A07" w:rsidRPr="00AA03FE" w:rsidRDefault="00387A07" w:rsidP="00387A07">
            <w:pPr>
              <w:jc w:val="center"/>
              <w:rPr>
                <w:rFonts w:cs="Arial"/>
                <w:b/>
                <w:color w:val="000000"/>
                <w:lang w:eastAsia="it-IT"/>
              </w:rPr>
            </w:pPr>
            <w:r w:rsidRPr="00AA03FE">
              <w:rPr>
                <w:rFonts w:cs="Arial"/>
                <w:b/>
                <w:color w:val="000000"/>
                <w:lang w:eastAsia="it-IT"/>
              </w:rPr>
              <w:t>PLGA 2</w:t>
            </w:r>
          </w:p>
        </w:tc>
        <w:tc>
          <w:tcPr>
            <w:tcW w:w="1361" w:type="dxa"/>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1%</w:t>
            </w:r>
          </w:p>
        </w:tc>
        <w:tc>
          <w:tcPr>
            <w:tcW w:w="1361" w:type="dxa"/>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1%</w:t>
            </w:r>
          </w:p>
        </w:tc>
        <w:tc>
          <w:tcPr>
            <w:tcW w:w="1434" w:type="dxa"/>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25000</w:t>
            </w:r>
          </w:p>
        </w:tc>
        <w:tc>
          <w:tcPr>
            <w:tcW w:w="1191" w:type="dxa"/>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254 ± 19</w:t>
            </w:r>
          </w:p>
        </w:tc>
        <w:tc>
          <w:tcPr>
            <w:tcW w:w="1247" w:type="dxa"/>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0.2 ± 0.04</w:t>
            </w:r>
          </w:p>
        </w:tc>
        <w:tc>
          <w:tcPr>
            <w:tcW w:w="1475" w:type="dxa"/>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-1.2 ± 0.2</w:t>
            </w:r>
          </w:p>
        </w:tc>
      </w:tr>
      <w:tr w:rsidR="00387A07" w:rsidRPr="00AA03FE" w:rsidTr="00387A07">
        <w:trPr>
          <w:trHeight w:val="300"/>
          <w:jc w:val="center"/>
        </w:trPr>
        <w:tc>
          <w:tcPr>
            <w:tcW w:w="946" w:type="dxa"/>
            <w:shd w:val="clear" w:color="auto" w:fill="F2F2F2" w:themeFill="background1" w:themeFillShade="F2"/>
            <w:noWrap/>
            <w:vAlign w:val="center"/>
            <w:hideMark/>
          </w:tcPr>
          <w:p w:rsidR="00387A07" w:rsidRPr="00AA03FE" w:rsidRDefault="00387A07" w:rsidP="00387A07">
            <w:pPr>
              <w:jc w:val="center"/>
              <w:rPr>
                <w:rFonts w:cs="Arial"/>
                <w:b/>
                <w:color w:val="000000"/>
                <w:lang w:eastAsia="it-IT"/>
              </w:rPr>
            </w:pPr>
            <w:r w:rsidRPr="00AA03FE">
              <w:rPr>
                <w:rFonts w:cs="Arial"/>
                <w:b/>
                <w:color w:val="000000"/>
                <w:lang w:eastAsia="it-IT"/>
              </w:rPr>
              <w:t>PLGA 3</w:t>
            </w:r>
          </w:p>
        </w:tc>
        <w:tc>
          <w:tcPr>
            <w:tcW w:w="1361" w:type="dxa"/>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2.5%</w:t>
            </w:r>
          </w:p>
        </w:tc>
        <w:tc>
          <w:tcPr>
            <w:tcW w:w="1361" w:type="dxa"/>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2.5%</w:t>
            </w:r>
          </w:p>
        </w:tc>
        <w:tc>
          <w:tcPr>
            <w:tcW w:w="1434" w:type="dxa"/>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13500</w:t>
            </w:r>
          </w:p>
        </w:tc>
        <w:tc>
          <w:tcPr>
            <w:tcW w:w="1191" w:type="dxa"/>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146 ± 1</w:t>
            </w:r>
          </w:p>
        </w:tc>
        <w:tc>
          <w:tcPr>
            <w:tcW w:w="1247" w:type="dxa"/>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0.08 ± 0.02</w:t>
            </w:r>
          </w:p>
        </w:tc>
        <w:tc>
          <w:tcPr>
            <w:tcW w:w="1475" w:type="dxa"/>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-2.2 ± 0.3</w:t>
            </w:r>
          </w:p>
        </w:tc>
      </w:tr>
      <w:tr w:rsidR="00387A07" w:rsidRPr="00AA03FE" w:rsidTr="00387A07">
        <w:trPr>
          <w:trHeight w:val="300"/>
          <w:jc w:val="center"/>
        </w:trPr>
        <w:tc>
          <w:tcPr>
            <w:tcW w:w="946" w:type="dxa"/>
            <w:shd w:val="clear" w:color="auto" w:fill="F2F2F2" w:themeFill="background1" w:themeFillShade="F2"/>
            <w:noWrap/>
            <w:vAlign w:val="center"/>
            <w:hideMark/>
          </w:tcPr>
          <w:p w:rsidR="00387A07" w:rsidRPr="00AA03FE" w:rsidRDefault="00387A07" w:rsidP="00387A07">
            <w:pPr>
              <w:jc w:val="center"/>
              <w:rPr>
                <w:rFonts w:cs="Arial"/>
                <w:b/>
                <w:color w:val="000000"/>
                <w:lang w:eastAsia="it-IT"/>
              </w:rPr>
            </w:pPr>
            <w:r w:rsidRPr="00AA03FE">
              <w:rPr>
                <w:rFonts w:cs="Arial"/>
                <w:b/>
                <w:color w:val="000000"/>
                <w:lang w:eastAsia="it-IT"/>
              </w:rPr>
              <w:t>PLGA 4</w:t>
            </w:r>
          </w:p>
        </w:tc>
        <w:tc>
          <w:tcPr>
            <w:tcW w:w="1361" w:type="dxa"/>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2.5%</w:t>
            </w:r>
          </w:p>
        </w:tc>
        <w:tc>
          <w:tcPr>
            <w:tcW w:w="1361" w:type="dxa"/>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2.5%</w:t>
            </w:r>
          </w:p>
        </w:tc>
        <w:tc>
          <w:tcPr>
            <w:tcW w:w="1434" w:type="dxa"/>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25000</w:t>
            </w:r>
          </w:p>
        </w:tc>
        <w:tc>
          <w:tcPr>
            <w:tcW w:w="1191" w:type="dxa"/>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184 ± 3</w:t>
            </w:r>
          </w:p>
        </w:tc>
        <w:tc>
          <w:tcPr>
            <w:tcW w:w="1247" w:type="dxa"/>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0.05 ± 0.01</w:t>
            </w:r>
          </w:p>
        </w:tc>
        <w:tc>
          <w:tcPr>
            <w:tcW w:w="1475" w:type="dxa"/>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-1.7 ± 0.4</w:t>
            </w:r>
          </w:p>
        </w:tc>
      </w:tr>
      <w:tr w:rsidR="00387A07" w:rsidRPr="00AA03FE" w:rsidTr="00387A07">
        <w:trPr>
          <w:trHeight w:val="300"/>
          <w:jc w:val="center"/>
        </w:trPr>
        <w:tc>
          <w:tcPr>
            <w:tcW w:w="946" w:type="dxa"/>
            <w:shd w:val="clear" w:color="auto" w:fill="F2F2F2" w:themeFill="background1" w:themeFillShade="F2"/>
            <w:noWrap/>
            <w:vAlign w:val="center"/>
            <w:hideMark/>
          </w:tcPr>
          <w:p w:rsidR="00387A07" w:rsidRPr="00AA03FE" w:rsidRDefault="00387A07" w:rsidP="00387A07">
            <w:pPr>
              <w:jc w:val="center"/>
              <w:rPr>
                <w:rFonts w:cs="Arial"/>
                <w:b/>
                <w:color w:val="000000"/>
                <w:lang w:eastAsia="it-IT"/>
              </w:rPr>
            </w:pPr>
            <w:r w:rsidRPr="00AA03FE">
              <w:rPr>
                <w:rFonts w:cs="Arial"/>
                <w:b/>
                <w:color w:val="000000"/>
                <w:lang w:eastAsia="it-IT"/>
              </w:rPr>
              <w:t>PLGA 5</w:t>
            </w:r>
          </w:p>
        </w:tc>
        <w:tc>
          <w:tcPr>
            <w:tcW w:w="1361" w:type="dxa"/>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2.5%</w:t>
            </w:r>
          </w:p>
        </w:tc>
        <w:tc>
          <w:tcPr>
            <w:tcW w:w="1361" w:type="dxa"/>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1%</w:t>
            </w:r>
          </w:p>
        </w:tc>
        <w:tc>
          <w:tcPr>
            <w:tcW w:w="1434" w:type="dxa"/>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13500</w:t>
            </w:r>
          </w:p>
        </w:tc>
        <w:tc>
          <w:tcPr>
            <w:tcW w:w="1191" w:type="dxa"/>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156 ± 2</w:t>
            </w:r>
          </w:p>
        </w:tc>
        <w:tc>
          <w:tcPr>
            <w:tcW w:w="1247" w:type="dxa"/>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0.08 ± 0.02</w:t>
            </w:r>
          </w:p>
        </w:tc>
        <w:tc>
          <w:tcPr>
            <w:tcW w:w="1475" w:type="dxa"/>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-1.9 ± 0.2</w:t>
            </w:r>
          </w:p>
        </w:tc>
      </w:tr>
      <w:tr w:rsidR="00387A07" w:rsidRPr="00AA03FE" w:rsidTr="00387A07">
        <w:trPr>
          <w:trHeight w:val="300"/>
          <w:jc w:val="center"/>
        </w:trPr>
        <w:tc>
          <w:tcPr>
            <w:tcW w:w="946" w:type="dxa"/>
            <w:tcBorders>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Arial"/>
                <w:b/>
                <w:color w:val="000000"/>
                <w:lang w:eastAsia="it-IT"/>
              </w:rPr>
            </w:pPr>
            <w:r w:rsidRPr="00AA03FE">
              <w:rPr>
                <w:rFonts w:cs="Arial"/>
                <w:b/>
                <w:color w:val="000000"/>
                <w:lang w:eastAsia="it-IT"/>
              </w:rPr>
              <w:t>PLGA 6</w:t>
            </w:r>
          </w:p>
        </w:tc>
        <w:tc>
          <w:tcPr>
            <w:tcW w:w="1361" w:type="dxa"/>
            <w:tcBorders>
              <w:bottom w:val="single" w:sz="4" w:space="0" w:color="auto"/>
            </w:tcBorders>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2.5%</w:t>
            </w:r>
          </w:p>
        </w:tc>
        <w:tc>
          <w:tcPr>
            <w:tcW w:w="1361" w:type="dxa"/>
            <w:tcBorders>
              <w:bottom w:val="single" w:sz="4" w:space="0" w:color="auto"/>
            </w:tcBorders>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1%</w:t>
            </w:r>
          </w:p>
        </w:tc>
        <w:tc>
          <w:tcPr>
            <w:tcW w:w="1434" w:type="dxa"/>
            <w:tcBorders>
              <w:bottom w:val="single" w:sz="4" w:space="0" w:color="auto"/>
            </w:tcBorders>
            <w:shd w:val="clear" w:color="auto" w:fill="F2F2F2" w:themeFill="background1" w:themeFillShade="F2"/>
            <w:vAlign w:val="center"/>
          </w:tcPr>
          <w:p w:rsidR="00387A07" w:rsidRPr="00AA03FE" w:rsidRDefault="00387A07" w:rsidP="00387A07">
            <w:pPr>
              <w:jc w:val="center"/>
              <w:rPr>
                <w:rFonts w:cs="Arial"/>
                <w:color w:val="000000"/>
                <w:lang w:eastAsia="it-IT"/>
              </w:rPr>
            </w:pPr>
            <w:r w:rsidRPr="00AA03FE">
              <w:rPr>
                <w:rFonts w:cs="Arial"/>
                <w:color w:val="000000"/>
                <w:lang w:eastAsia="it-IT"/>
              </w:rPr>
              <w:t>25000</w:t>
            </w:r>
          </w:p>
        </w:tc>
        <w:tc>
          <w:tcPr>
            <w:tcW w:w="1191" w:type="dxa"/>
            <w:tcBorders>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155 ± 2</w:t>
            </w:r>
          </w:p>
        </w:tc>
        <w:tc>
          <w:tcPr>
            <w:tcW w:w="1247" w:type="dxa"/>
            <w:tcBorders>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0.08 ± 0.01</w:t>
            </w:r>
          </w:p>
        </w:tc>
        <w:tc>
          <w:tcPr>
            <w:tcW w:w="1475" w:type="dxa"/>
            <w:tcBorders>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Arial"/>
                <w:color w:val="000000"/>
                <w:lang w:eastAsia="it-IT"/>
              </w:rPr>
            </w:pPr>
            <w:r w:rsidRPr="00AA03FE">
              <w:rPr>
                <w:rFonts w:cs="Arial"/>
                <w:color w:val="000000"/>
                <w:lang w:eastAsia="it-IT"/>
              </w:rPr>
              <w:t>-1.7 ± 0.3</w:t>
            </w:r>
          </w:p>
        </w:tc>
      </w:tr>
    </w:tbl>
    <w:p w:rsidR="00387A07" w:rsidRPr="00AA03FE" w:rsidRDefault="00387A07" w:rsidP="00387A07">
      <w:pPr>
        <w:pStyle w:val="Didascalia"/>
        <w:spacing w:before="120"/>
        <w:jc w:val="both"/>
      </w:pPr>
      <w:r w:rsidRPr="00AA03FE">
        <w:t xml:space="preserve">Table 3. </w:t>
      </w:r>
      <w:fldSimple w:instr=" SEQ Table_3. \* ARABIC ">
        <w:r w:rsidRPr="00AA03FE">
          <w:rPr>
            <w:noProof/>
          </w:rPr>
          <w:t>3</w:t>
        </w:r>
      </w:fldSimple>
      <w:r w:rsidRPr="00AA03FE">
        <w:t xml:space="preserve"> Mean size, PDI and zeta potential of PLGA nanoparticles, prepared at different PVA concentrations and homogenization speeds. </w:t>
      </w:r>
    </w:p>
    <w:p w:rsidR="00387A07" w:rsidRPr="00AA03FE" w:rsidRDefault="00387A07" w:rsidP="00387A07">
      <w:pPr>
        <w:spacing w:after="120" w:line="360" w:lineRule="auto"/>
        <w:jc w:val="both"/>
        <w:rPr>
          <w:rFonts w:ascii="Arial" w:hAnsi="Arial" w:cs="Arial"/>
          <w:bCs/>
          <w:sz w:val="24"/>
          <w:szCs w:val="24"/>
        </w:rPr>
      </w:pPr>
      <w:r w:rsidRPr="00AA03FE">
        <w:rPr>
          <w:rFonts w:ascii="Arial" w:hAnsi="Arial" w:cs="Arial"/>
          <w:bCs/>
          <w:sz w:val="24"/>
          <w:szCs w:val="24"/>
        </w:rPr>
        <w:t>Results from particles size analysis of all PLGA samples are represented and compared in figure 3.3.</w:t>
      </w:r>
    </w:p>
    <w:p w:rsidR="00387A07" w:rsidRPr="00AA03FE" w:rsidRDefault="00387A07" w:rsidP="00387A07">
      <w:pPr>
        <w:pStyle w:val="Didascalia"/>
      </w:pPr>
      <w:r w:rsidRPr="00AA03FE">
        <w:rPr>
          <w:noProof/>
          <w:lang w:val="it-IT" w:eastAsia="it-IT"/>
        </w:rPr>
        <w:drawing>
          <wp:anchor distT="0" distB="0" distL="114300" distR="114300" simplePos="0" relativeHeight="251656704" behindDoc="0" locked="0" layoutInCell="1" allowOverlap="1">
            <wp:simplePos x="0" y="0"/>
            <wp:positionH relativeFrom="column">
              <wp:posOffset>1374140</wp:posOffset>
            </wp:positionH>
            <wp:positionV relativeFrom="paragraph">
              <wp:posOffset>26670</wp:posOffset>
            </wp:positionV>
            <wp:extent cx="3555365" cy="2120900"/>
            <wp:effectExtent l="0" t="0" r="0" b="0"/>
            <wp:wrapSquare wrapText="bothSides"/>
            <wp:docPr id="137" name="Immagine 5" descr="IMMAGINE 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1.png"/>
                    <pic:cNvPicPr/>
                  </pic:nvPicPr>
                  <pic:blipFill>
                    <a:blip r:embed="rId44"/>
                    <a:stretch>
                      <a:fillRect/>
                    </a:stretch>
                  </pic:blipFill>
                  <pic:spPr>
                    <a:xfrm>
                      <a:off x="0" y="0"/>
                      <a:ext cx="3555365" cy="2120900"/>
                    </a:xfrm>
                    <a:prstGeom prst="rect">
                      <a:avLst/>
                    </a:prstGeom>
                    <a:ln>
                      <a:noFill/>
                    </a:ln>
                  </pic:spPr>
                </pic:pic>
              </a:graphicData>
            </a:graphic>
          </wp:anchor>
        </w:drawing>
      </w:r>
    </w:p>
    <w:p w:rsidR="00387A07" w:rsidRPr="00AA03FE" w:rsidRDefault="00387A07" w:rsidP="00387A07">
      <w:pPr>
        <w:pStyle w:val="Didascalia"/>
      </w:pPr>
    </w:p>
    <w:p w:rsidR="00387A07" w:rsidRPr="00AA03FE" w:rsidRDefault="00387A07" w:rsidP="00387A07">
      <w:pPr>
        <w:pStyle w:val="Didascalia"/>
      </w:pPr>
    </w:p>
    <w:p w:rsidR="00387A07" w:rsidRPr="00AA03FE" w:rsidRDefault="00387A07" w:rsidP="00387A07">
      <w:pPr>
        <w:pStyle w:val="Didascalia"/>
      </w:pPr>
    </w:p>
    <w:p w:rsidR="00387A07" w:rsidRPr="00AA03FE" w:rsidRDefault="00387A07" w:rsidP="00387A07">
      <w:pPr>
        <w:pStyle w:val="Didascalia"/>
      </w:pPr>
    </w:p>
    <w:p w:rsidR="00387A07" w:rsidRPr="00AA03FE" w:rsidRDefault="00387A07" w:rsidP="00387A07">
      <w:pPr>
        <w:pStyle w:val="Didascalia"/>
      </w:pPr>
    </w:p>
    <w:p w:rsidR="00387A07" w:rsidRPr="00AA03FE" w:rsidRDefault="00387A07" w:rsidP="00387A07">
      <w:pPr>
        <w:pStyle w:val="Didascalia"/>
        <w:jc w:val="center"/>
      </w:pPr>
    </w:p>
    <w:p w:rsidR="00387A07" w:rsidRPr="00AA03FE" w:rsidRDefault="00387A07" w:rsidP="00387A07">
      <w:pPr>
        <w:pStyle w:val="Didascalia"/>
      </w:pPr>
    </w:p>
    <w:p w:rsidR="00387A07" w:rsidRPr="00AA03FE" w:rsidRDefault="00387A07" w:rsidP="00387A07">
      <w:pPr>
        <w:pStyle w:val="Didascalia"/>
      </w:pPr>
    </w:p>
    <w:p w:rsidR="00387A07" w:rsidRPr="00AA03FE" w:rsidRDefault="00387A07" w:rsidP="00387A07">
      <w:pPr>
        <w:pStyle w:val="Didascalia"/>
        <w:rPr>
          <w:rFonts w:ascii="Arial" w:hAnsi="Arial" w:cs="Arial"/>
          <w:bCs w:val="0"/>
          <w:sz w:val="24"/>
          <w:szCs w:val="24"/>
        </w:rPr>
      </w:pPr>
      <w:r w:rsidRPr="00AA03FE">
        <w:t xml:space="preserve">Figure 3. </w:t>
      </w:r>
      <w:fldSimple w:instr=" SEQ Figure_3. \* ARABIC ">
        <w:r w:rsidRPr="00AA03FE">
          <w:rPr>
            <w:noProof/>
          </w:rPr>
          <w:t>3</w:t>
        </w:r>
      </w:fldSimple>
      <w:r w:rsidRPr="00AA03FE">
        <w:t xml:space="preserve"> Size analysis of PLGA nanoparticles</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 xml:space="preserve">As can be noticed from figure 3.3, the concentration of the emulsifier PVA in the internal aqueous phase is a crucial parameter to control the mean diameter of nanoparticles, as observed by other authors [22,24]. </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lastRenderedPageBreak/>
        <w:t xml:space="preserve">Samples PLGA1 and PLGA2, for which low concentrations of PVA were adopted (1% in both phases), displayed the largest size (around 250nm). </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An increase in the emulsifier concentration leads to a drastic reduction in size, as observed for the other four samples, indicating that a higher amount of PVA can help in stabilizing the emulsion and in preventing aggregation phenomena [22].</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By analyzing the size results obtained for the other four samples (form PLGA3 to PLGA6) it is evident that the amount of emulsifier in the external aqueous phase does not have a significant effect on the size of nanoparticles, while increasing PVA concentration in the internal phase leads to smaller particles diameters. Vandervoort at al. [22] reported an increase in particles size after increasing PVA concentration in the external phase, due to a higher viscosity of the solution which resulted in the formation of larger droplets and, consequently, of larger particles.</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Moreover, increasing the speed of the homogenizer does not seem to have an effect on particles’ size and size distribution [25].</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Therefore, the optimal size for PLGA nanoparticles can be obtained at low PVA concentration (1% w/v) for the external phase, at high (2.5% w/v) PVA in the internal phase and at a low homogenization speed (13500 rpm).</w:t>
      </w:r>
    </w:p>
    <w:p w:rsidR="00387A07" w:rsidRPr="00AA03FE" w:rsidRDefault="00387A07" w:rsidP="00387A07">
      <w:pPr>
        <w:spacing w:before="240" w:after="240" w:line="360" w:lineRule="auto"/>
        <w:jc w:val="both"/>
        <w:rPr>
          <w:rFonts w:ascii="Arial" w:hAnsi="Arial" w:cs="Arial"/>
          <w:b/>
          <w:i/>
          <w:sz w:val="24"/>
          <w:szCs w:val="24"/>
        </w:rPr>
      </w:pPr>
      <w:r w:rsidRPr="00AA03FE">
        <w:rPr>
          <w:rFonts w:ascii="Arial" w:hAnsi="Arial" w:cs="Arial"/>
          <w:b/>
          <w:i/>
          <w:sz w:val="24"/>
          <w:szCs w:val="24"/>
        </w:rPr>
        <w:t>3.3.2.1.2 Effect of the washing medium and of the addition of NaCl during solvent evaporation</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 xml:space="preserve">Figure 3.4 and table 3.4 show the effect of the washing medium and of the addition of 25ml of sodium chloride (NaCl) during solvent evaporation on the mean size, size distribution and zeta potential of nanoparticles. </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 xml:space="preserve">Particles washed with NaCl exhibit a slightly negative zeta potential, not sufficient to ensure their stability in suspension and the adsorption of the antibody. </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The use of distilled water or of a water solution of Poloxamer F168 at two different concentrations (1% and 2% w/v) led to a more negative surface charge of PLGA nanoparticles, ranging from -19,4 mV to -24,4 mV.</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 xml:space="preserve">The addition of NaCl during the solvent evaporation step showed no effect on the zeta potential, regardless of the selected washing medium. </w:t>
      </w:r>
    </w:p>
    <w:p w:rsidR="00387A07" w:rsidRPr="00AA03FE" w:rsidRDefault="00387A07" w:rsidP="00387A07">
      <w:pPr>
        <w:jc w:val="center"/>
        <w:rPr>
          <w:rFonts w:ascii="Arial" w:hAnsi="Arial" w:cs="Arial"/>
          <w:bCs/>
          <w:sz w:val="24"/>
          <w:szCs w:val="24"/>
        </w:rPr>
      </w:pPr>
      <w:r w:rsidRPr="00AA03FE">
        <w:rPr>
          <w:rFonts w:ascii="Arial" w:hAnsi="Arial" w:cs="Arial"/>
          <w:bCs/>
          <w:noProof/>
          <w:sz w:val="24"/>
          <w:szCs w:val="24"/>
          <w:lang w:val="it-IT" w:eastAsia="it-IT"/>
        </w:rPr>
        <w:lastRenderedPageBreak/>
        <w:drawing>
          <wp:inline distT="0" distB="0" distL="0" distR="0">
            <wp:extent cx="4778869" cy="2749069"/>
            <wp:effectExtent l="0" t="0" r="0" b="0"/>
            <wp:docPr id="143" name="Immagine 12" descr="effect of washing mediu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fect of washing medium.png"/>
                    <pic:cNvPicPr/>
                  </pic:nvPicPr>
                  <pic:blipFill>
                    <a:blip r:embed="rId45"/>
                    <a:stretch>
                      <a:fillRect/>
                    </a:stretch>
                  </pic:blipFill>
                  <pic:spPr>
                    <a:xfrm>
                      <a:off x="0" y="0"/>
                      <a:ext cx="4778869" cy="2749069"/>
                    </a:xfrm>
                    <a:prstGeom prst="rect">
                      <a:avLst/>
                    </a:prstGeom>
                  </pic:spPr>
                </pic:pic>
              </a:graphicData>
            </a:graphic>
          </wp:inline>
        </w:drawing>
      </w:r>
    </w:p>
    <w:p w:rsidR="00387A07" w:rsidRPr="00AA03FE" w:rsidRDefault="00387A07" w:rsidP="00387A07">
      <w:pPr>
        <w:pStyle w:val="Didascalia"/>
        <w:spacing w:before="200"/>
      </w:pPr>
      <w:r w:rsidRPr="00AA03FE">
        <w:t xml:space="preserve">Figure 3. </w:t>
      </w:r>
      <w:fldSimple w:instr=" SEQ Figure_3. \* ARABIC ">
        <w:r w:rsidRPr="00AA03FE">
          <w:rPr>
            <w:noProof/>
          </w:rPr>
          <w:t>4</w:t>
        </w:r>
      </w:fldSimple>
      <w:r w:rsidRPr="00AA03FE">
        <w:t xml:space="preserve"> Size Analysis of PLGA nanoparticles with different washing media, with or without the addition of NaCl during solvent evaporation.</w:t>
      </w:r>
    </w:p>
    <w:tbl>
      <w:tblPr>
        <w:tblStyle w:val="Grigliatabella"/>
        <w:tblW w:w="9197" w:type="dxa"/>
        <w:tblInd w:w="108" w:type="dxa"/>
        <w:tblBorders>
          <w:insideH w:val="none" w:sz="0" w:space="0" w:color="auto"/>
          <w:insideV w:val="none" w:sz="0" w:space="0" w:color="auto"/>
        </w:tblBorders>
        <w:shd w:val="clear" w:color="auto" w:fill="F2F2F2" w:themeFill="background1" w:themeFillShade="F2"/>
        <w:tblLook w:val="04A0"/>
      </w:tblPr>
      <w:tblGrid>
        <w:gridCol w:w="1531"/>
        <w:gridCol w:w="1219"/>
        <w:gridCol w:w="1327"/>
        <w:gridCol w:w="1287"/>
        <w:gridCol w:w="1219"/>
        <w:gridCol w:w="1327"/>
        <w:gridCol w:w="1287"/>
      </w:tblGrid>
      <w:tr w:rsidR="00387A07" w:rsidRPr="00AA03FE" w:rsidTr="00387A07">
        <w:trPr>
          <w:trHeight w:val="300"/>
        </w:trPr>
        <w:tc>
          <w:tcPr>
            <w:tcW w:w="1531" w:type="dxa"/>
            <w:vMerge w:val="restart"/>
            <w:tcBorders>
              <w:top w:val="single" w:sz="4" w:space="0" w:color="000000" w:themeColor="text1"/>
              <w:left w:val="nil"/>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b/>
                <w:color w:val="000000"/>
                <w:lang w:eastAsia="it-IT"/>
              </w:rPr>
              <w:t>Washing medium</w:t>
            </w:r>
          </w:p>
        </w:tc>
        <w:tc>
          <w:tcPr>
            <w:tcW w:w="3833" w:type="dxa"/>
            <w:gridSpan w:val="3"/>
            <w:tcBorders>
              <w:top w:val="single" w:sz="4" w:space="0" w:color="000000" w:themeColor="text1"/>
              <w:left w:val="single" w:sz="4" w:space="0" w:color="auto"/>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Addition of 25 ml NaCl</w:t>
            </w:r>
          </w:p>
        </w:tc>
        <w:tc>
          <w:tcPr>
            <w:tcW w:w="3833" w:type="dxa"/>
            <w:gridSpan w:val="3"/>
            <w:tcBorders>
              <w:top w:val="single" w:sz="4" w:space="0" w:color="000000" w:themeColor="text1"/>
              <w:left w:val="single" w:sz="4" w:space="0" w:color="auto"/>
              <w:bottom w:val="single" w:sz="4" w:space="0" w:color="auto"/>
              <w:right w:val="nil"/>
            </w:tcBorders>
            <w:shd w:val="clear" w:color="auto" w:fill="F2F2F2" w:themeFill="background1" w:themeFillShade="F2"/>
            <w:vAlign w:val="center"/>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Without addition of NaCl</w:t>
            </w:r>
          </w:p>
        </w:tc>
      </w:tr>
      <w:tr w:rsidR="00387A07" w:rsidRPr="00AA03FE" w:rsidTr="00387A07">
        <w:trPr>
          <w:trHeight w:val="300"/>
        </w:trPr>
        <w:tc>
          <w:tcPr>
            <w:tcW w:w="1531" w:type="dxa"/>
            <w:vMerge/>
            <w:tcBorders>
              <w:top w:val="nil"/>
              <w:left w:val="nil"/>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p>
        </w:tc>
        <w:tc>
          <w:tcPr>
            <w:tcW w:w="1219" w:type="dxa"/>
            <w:tcBorders>
              <w:top w:val="single" w:sz="4" w:space="0" w:color="auto"/>
              <w:left w:val="single" w:sz="4" w:space="0" w:color="auto"/>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Size  [nm]</w:t>
            </w:r>
          </w:p>
        </w:tc>
        <w:tc>
          <w:tcPr>
            <w:tcW w:w="1327" w:type="dxa"/>
            <w:tcBorders>
              <w:top w:val="single" w:sz="4" w:space="0" w:color="auto"/>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PDI</w:t>
            </w:r>
          </w:p>
        </w:tc>
        <w:tc>
          <w:tcPr>
            <w:tcW w:w="1287" w:type="dxa"/>
            <w:tcBorders>
              <w:top w:val="single" w:sz="4" w:space="0" w:color="auto"/>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Zeta Potential</w:t>
            </w:r>
          </w:p>
          <w:p w:rsidR="00387A07" w:rsidRPr="00AA03FE" w:rsidRDefault="00387A07" w:rsidP="00387A07">
            <w:pPr>
              <w:jc w:val="center"/>
              <w:rPr>
                <w:rFonts w:cstheme="minorHAnsi"/>
                <w:b/>
                <w:color w:val="000000"/>
                <w:lang w:eastAsia="it-IT"/>
              </w:rPr>
            </w:pPr>
            <w:r w:rsidRPr="00AA03FE">
              <w:rPr>
                <w:rFonts w:cstheme="minorHAnsi"/>
                <w:b/>
                <w:color w:val="000000"/>
                <w:lang w:eastAsia="it-IT"/>
              </w:rPr>
              <w:t>[mV]</w:t>
            </w:r>
          </w:p>
        </w:tc>
        <w:tc>
          <w:tcPr>
            <w:tcW w:w="1219" w:type="dxa"/>
            <w:tcBorders>
              <w:top w:val="single" w:sz="4" w:space="0" w:color="auto"/>
              <w:left w:val="single" w:sz="4" w:space="0" w:color="auto"/>
              <w:bottom w:val="single" w:sz="4" w:space="0" w:color="auto"/>
            </w:tcBorders>
            <w:shd w:val="clear" w:color="auto" w:fill="F2F2F2" w:themeFill="background1" w:themeFillShade="F2"/>
            <w:vAlign w:val="center"/>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Size  [nm]</w:t>
            </w:r>
          </w:p>
        </w:tc>
        <w:tc>
          <w:tcPr>
            <w:tcW w:w="1327" w:type="dxa"/>
            <w:tcBorders>
              <w:top w:val="single" w:sz="4" w:space="0" w:color="auto"/>
              <w:bottom w:val="single" w:sz="4" w:space="0" w:color="auto"/>
            </w:tcBorders>
            <w:shd w:val="clear" w:color="auto" w:fill="F2F2F2" w:themeFill="background1" w:themeFillShade="F2"/>
            <w:vAlign w:val="center"/>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PDI</w:t>
            </w:r>
          </w:p>
        </w:tc>
        <w:tc>
          <w:tcPr>
            <w:tcW w:w="1287" w:type="dxa"/>
            <w:tcBorders>
              <w:top w:val="single" w:sz="4" w:space="0" w:color="auto"/>
              <w:bottom w:val="single" w:sz="4" w:space="0" w:color="auto"/>
              <w:right w:val="nil"/>
            </w:tcBorders>
            <w:shd w:val="clear" w:color="auto" w:fill="F2F2F2" w:themeFill="background1" w:themeFillShade="F2"/>
            <w:vAlign w:val="center"/>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Zeta Potential</w:t>
            </w:r>
          </w:p>
          <w:p w:rsidR="00387A07" w:rsidRPr="00AA03FE" w:rsidRDefault="00387A07" w:rsidP="00387A07">
            <w:pPr>
              <w:jc w:val="center"/>
              <w:rPr>
                <w:rFonts w:cstheme="minorHAnsi"/>
                <w:b/>
                <w:color w:val="000000"/>
                <w:lang w:eastAsia="it-IT"/>
              </w:rPr>
            </w:pPr>
            <w:r w:rsidRPr="00AA03FE">
              <w:rPr>
                <w:rFonts w:cstheme="minorHAnsi"/>
                <w:b/>
                <w:color w:val="000000"/>
                <w:lang w:eastAsia="it-IT"/>
              </w:rPr>
              <w:t>[mV]</w:t>
            </w:r>
          </w:p>
        </w:tc>
      </w:tr>
      <w:tr w:rsidR="00387A07" w:rsidRPr="00AA03FE" w:rsidTr="00387A07">
        <w:trPr>
          <w:trHeight w:val="300"/>
        </w:trPr>
        <w:tc>
          <w:tcPr>
            <w:tcW w:w="1531" w:type="dxa"/>
            <w:tcBorders>
              <w:top w:val="single" w:sz="4" w:space="0" w:color="auto"/>
              <w:left w:val="nil"/>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NaCl</w:t>
            </w:r>
          </w:p>
        </w:tc>
        <w:tc>
          <w:tcPr>
            <w:tcW w:w="1219" w:type="dxa"/>
            <w:tcBorders>
              <w:top w:val="single" w:sz="4" w:space="0" w:color="auto"/>
              <w:lef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color w:val="000000"/>
                <w:lang w:eastAsia="it-IT"/>
              </w:rPr>
              <w:t>151 ± 2</w:t>
            </w:r>
          </w:p>
        </w:tc>
        <w:tc>
          <w:tcPr>
            <w:tcW w:w="1327" w:type="dxa"/>
            <w:tcBorders>
              <w:top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color w:val="000000"/>
                <w:lang w:eastAsia="it-IT"/>
              </w:rPr>
              <w:t>0.06 ± 0.01</w:t>
            </w:r>
          </w:p>
        </w:tc>
        <w:tc>
          <w:tcPr>
            <w:tcW w:w="1287" w:type="dxa"/>
            <w:tcBorders>
              <w:top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color w:val="000000"/>
                <w:lang w:eastAsia="it-IT"/>
              </w:rPr>
              <w:t>-2.3 ± 0.4</w:t>
            </w:r>
          </w:p>
        </w:tc>
        <w:tc>
          <w:tcPr>
            <w:tcW w:w="1219" w:type="dxa"/>
            <w:tcBorders>
              <w:top w:val="single" w:sz="4" w:space="0" w:color="auto"/>
              <w:left w:val="single" w:sz="4" w:space="0" w:color="auto"/>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156 ± 1</w:t>
            </w:r>
          </w:p>
        </w:tc>
        <w:tc>
          <w:tcPr>
            <w:tcW w:w="1327" w:type="dxa"/>
            <w:tcBorders>
              <w:top w:val="single" w:sz="4" w:space="0" w:color="auto"/>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0.08 ± 0.02</w:t>
            </w:r>
          </w:p>
        </w:tc>
        <w:tc>
          <w:tcPr>
            <w:tcW w:w="1287" w:type="dxa"/>
            <w:tcBorders>
              <w:top w:val="single" w:sz="4" w:space="0" w:color="auto"/>
              <w:right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-1.9 ± 0.2</w:t>
            </w:r>
          </w:p>
        </w:tc>
      </w:tr>
      <w:tr w:rsidR="00387A07" w:rsidRPr="00AA03FE" w:rsidTr="00387A07">
        <w:trPr>
          <w:trHeight w:val="300"/>
        </w:trPr>
        <w:tc>
          <w:tcPr>
            <w:tcW w:w="1531" w:type="dxa"/>
            <w:tcBorders>
              <w:left w:val="nil"/>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Water</w:t>
            </w:r>
          </w:p>
        </w:tc>
        <w:tc>
          <w:tcPr>
            <w:tcW w:w="1219" w:type="dxa"/>
            <w:tcBorders>
              <w:lef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color w:val="000000"/>
                <w:lang w:eastAsia="it-IT"/>
              </w:rPr>
              <w:t>174 ± 1</w:t>
            </w:r>
          </w:p>
        </w:tc>
        <w:tc>
          <w:tcPr>
            <w:tcW w:w="1327" w:type="dxa"/>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color w:val="000000"/>
                <w:lang w:eastAsia="it-IT"/>
              </w:rPr>
              <w:t>0.06 ± 0.01</w:t>
            </w:r>
          </w:p>
        </w:tc>
        <w:tc>
          <w:tcPr>
            <w:tcW w:w="1287" w:type="dxa"/>
            <w:tcBorders>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color w:val="000000"/>
                <w:lang w:eastAsia="it-IT"/>
              </w:rPr>
              <w:t>-22.0 ± 1.2</w:t>
            </w:r>
          </w:p>
        </w:tc>
        <w:tc>
          <w:tcPr>
            <w:tcW w:w="1219" w:type="dxa"/>
            <w:tcBorders>
              <w:left w:val="single" w:sz="4" w:space="0" w:color="auto"/>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182 ± 1</w:t>
            </w:r>
          </w:p>
        </w:tc>
        <w:tc>
          <w:tcPr>
            <w:tcW w:w="1327" w:type="dxa"/>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0.07 ± 0.03</w:t>
            </w:r>
          </w:p>
        </w:tc>
        <w:tc>
          <w:tcPr>
            <w:tcW w:w="1287" w:type="dxa"/>
            <w:tcBorders>
              <w:right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-24.4 ± 0.4</w:t>
            </w:r>
          </w:p>
        </w:tc>
      </w:tr>
      <w:tr w:rsidR="00387A07" w:rsidRPr="00AA03FE" w:rsidTr="00387A07">
        <w:trPr>
          <w:trHeight w:val="300"/>
        </w:trPr>
        <w:tc>
          <w:tcPr>
            <w:tcW w:w="1531" w:type="dxa"/>
            <w:tcBorders>
              <w:left w:val="nil"/>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Poloxamer 1%</w:t>
            </w:r>
          </w:p>
        </w:tc>
        <w:tc>
          <w:tcPr>
            <w:tcW w:w="1219" w:type="dxa"/>
            <w:tcBorders>
              <w:lef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color w:val="000000"/>
                <w:lang w:eastAsia="it-IT"/>
              </w:rPr>
              <w:t>182 ± 2</w:t>
            </w:r>
          </w:p>
        </w:tc>
        <w:tc>
          <w:tcPr>
            <w:tcW w:w="1327" w:type="dxa"/>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color w:val="000000"/>
                <w:lang w:eastAsia="it-IT"/>
              </w:rPr>
              <w:t>0.08 ± 0.03</w:t>
            </w:r>
          </w:p>
        </w:tc>
        <w:tc>
          <w:tcPr>
            <w:tcW w:w="1287" w:type="dxa"/>
            <w:tcBorders>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color w:val="000000"/>
                <w:lang w:eastAsia="it-IT"/>
              </w:rPr>
              <w:t>-15.3 ± 0.8</w:t>
            </w:r>
          </w:p>
        </w:tc>
        <w:tc>
          <w:tcPr>
            <w:tcW w:w="1219" w:type="dxa"/>
            <w:tcBorders>
              <w:left w:val="single" w:sz="4" w:space="0" w:color="auto"/>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181 ± 1</w:t>
            </w:r>
          </w:p>
        </w:tc>
        <w:tc>
          <w:tcPr>
            <w:tcW w:w="1327" w:type="dxa"/>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0.06 ± 0.02</w:t>
            </w:r>
          </w:p>
        </w:tc>
        <w:tc>
          <w:tcPr>
            <w:tcW w:w="1287" w:type="dxa"/>
            <w:tcBorders>
              <w:right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-24.4 ± 0.2</w:t>
            </w:r>
          </w:p>
        </w:tc>
      </w:tr>
      <w:tr w:rsidR="00387A07" w:rsidRPr="00AA03FE" w:rsidTr="00387A07">
        <w:trPr>
          <w:trHeight w:val="300"/>
        </w:trPr>
        <w:tc>
          <w:tcPr>
            <w:tcW w:w="1531" w:type="dxa"/>
            <w:tcBorders>
              <w:left w:val="nil"/>
              <w:bottom w:val="single" w:sz="4" w:space="0" w:color="000000" w:themeColor="text1"/>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Poloxamer 2%</w:t>
            </w:r>
          </w:p>
        </w:tc>
        <w:tc>
          <w:tcPr>
            <w:tcW w:w="1219" w:type="dxa"/>
            <w:tcBorders>
              <w:lef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color w:val="000000"/>
                <w:lang w:eastAsia="it-IT"/>
              </w:rPr>
              <w:t>1845 ± 1</w:t>
            </w:r>
          </w:p>
        </w:tc>
        <w:tc>
          <w:tcPr>
            <w:tcW w:w="1327" w:type="dxa"/>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color w:val="000000"/>
                <w:lang w:eastAsia="it-IT"/>
              </w:rPr>
              <w:t>0.05 ± 0.02</w:t>
            </w:r>
          </w:p>
        </w:tc>
        <w:tc>
          <w:tcPr>
            <w:tcW w:w="1287" w:type="dxa"/>
            <w:tcBorders>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color w:val="000000"/>
                <w:lang w:eastAsia="it-IT"/>
              </w:rPr>
              <w:t>-16.6 ± 1.4</w:t>
            </w:r>
          </w:p>
        </w:tc>
        <w:tc>
          <w:tcPr>
            <w:tcW w:w="1219" w:type="dxa"/>
            <w:tcBorders>
              <w:left w:val="single" w:sz="4" w:space="0" w:color="auto"/>
              <w:bottom w:val="single" w:sz="4" w:space="0" w:color="000000" w:themeColor="text1"/>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188 ± 1</w:t>
            </w:r>
          </w:p>
        </w:tc>
        <w:tc>
          <w:tcPr>
            <w:tcW w:w="1327" w:type="dxa"/>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0.07 ± 0.02</w:t>
            </w:r>
          </w:p>
        </w:tc>
        <w:tc>
          <w:tcPr>
            <w:tcW w:w="1287" w:type="dxa"/>
            <w:tcBorders>
              <w:bottom w:val="single" w:sz="4" w:space="0" w:color="000000" w:themeColor="text1"/>
              <w:right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-19.4 ± 1.0</w:t>
            </w:r>
          </w:p>
        </w:tc>
      </w:tr>
    </w:tbl>
    <w:p w:rsidR="00387A07" w:rsidRPr="00AA03FE" w:rsidRDefault="00387A07" w:rsidP="00387A07">
      <w:pPr>
        <w:pStyle w:val="Didascalia"/>
        <w:spacing w:before="120"/>
        <w:rPr>
          <w:rFonts w:ascii="Arial" w:hAnsi="Arial" w:cs="Arial"/>
          <w:bCs w:val="0"/>
          <w:sz w:val="24"/>
          <w:szCs w:val="24"/>
        </w:rPr>
      </w:pPr>
      <w:r w:rsidRPr="00AA03FE">
        <w:t xml:space="preserve">Table 3. </w:t>
      </w:r>
      <w:fldSimple w:instr=" SEQ Table_3. \* ARABIC ">
        <w:r w:rsidRPr="00AA03FE">
          <w:rPr>
            <w:noProof/>
          </w:rPr>
          <w:t>4</w:t>
        </w:r>
      </w:fldSimple>
      <w:r w:rsidRPr="00AA03FE">
        <w:t xml:space="preserve"> Mean size, PDI and zeta potential of PLGA nanoparticles prepared with different washing media, with or without the addition of NaCl during solvent evaporation.</w:t>
      </w:r>
    </w:p>
    <w:p w:rsidR="00387A07" w:rsidRPr="00AA03FE" w:rsidRDefault="00387A07" w:rsidP="00387A07">
      <w:pPr>
        <w:spacing w:after="120" w:line="360" w:lineRule="auto"/>
        <w:jc w:val="both"/>
        <w:rPr>
          <w:rFonts w:ascii="Arial" w:hAnsi="Arial" w:cs="Arial"/>
          <w:bCs/>
          <w:sz w:val="24"/>
          <w:szCs w:val="24"/>
        </w:rPr>
      </w:pPr>
      <w:r w:rsidRPr="00AA03FE">
        <w:rPr>
          <w:rFonts w:ascii="Arial" w:hAnsi="Arial" w:cs="Arial"/>
          <w:bCs/>
          <w:sz w:val="24"/>
          <w:szCs w:val="24"/>
        </w:rPr>
        <w:t xml:space="preserve">Particles were therefore prepared with all the five polymers without the addition of 25ml NaCl during solvent evaporation and the effect of the three different washing media on particles size and surface charge was evaluated. Results are reported in figure 3.5 and in table 3.5, which show that the addition of a second surfactant did not lead to the expected decrease in the surface charge of nanoparticles. </w:t>
      </w:r>
    </w:p>
    <w:p w:rsidR="00387A07" w:rsidRPr="00AA03FE" w:rsidRDefault="00387A07" w:rsidP="00387A07">
      <w:pPr>
        <w:spacing w:after="0" w:line="360" w:lineRule="auto"/>
        <w:jc w:val="center"/>
        <w:rPr>
          <w:rFonts w:ascii="Arial" w:hAnsi="Arial" w:cs="Arial"/>
          <w:bCs/>
          <w:sz w:val="24"/>
          <w:szCs w:val="24"/>
        </w:rPr>
      </w:pPr>
      <w:r w:rsidRPr="00AA03FE">
        <w:rPr>
          <w:rFonts w:ascii="Arial" w:hAnsi="Arial" w:cs="Arial"/>
          <w:bCs/>
          <w:noProof/>
          <w:sz w:val="24"/>
          <w:szCs w:val="24"/>
          <w:lang w:val="it-IT" w:eastAsia="it-IT"/>
        </w:rPr>
        <w:lastRenderedPageBreak/>
        <w:drawing>
          <wp:inline distT="0" distB="0" distL="0" distR="0">
            <wp:extent cx="4200525" cy="2519199"/>
            <wp:effectExtent l="0" t="0" r="0" b="0"/>
            <wp:docPr id="144" name="Immagine 4" descr="Size analysis with different polym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ze analysis with different polymers.png"/>
                    <pic:cNvPicPr/>
                  </pic:nvPicPr>
                  <pic:blipFill>
                    <a:blip r:embed="rId46"/>
                    <a:stretch>
                      <a:fillRect/>
                    </a:stretch>
                  </pic:blipFill>
                  <pic:spPr>
                    <a:xfrm>
                      <a:off x="0" y="0"/>
                      <a:ext cx="4210763" cy="2525339"/>
                    </a:xfrm>
                    <a:prstGeom prst="rect">
                      <a:avLst/>
                    </a:prstGeom>
                    <a:ln>
                      <a:noFill/>
                    </a:ln>
                  </pic:spPr>
                </pic:pic>
              </a:graphicData>
            </a:graphic>
          </wp:inline>
        </w:drawing>
      </w:r>
    </w:p>
    <w:p w:rsidR="00387A07" w:rsidRPr="00AA03FE" w:rsidRDefault="00387A07" w:rsidP="00387A07">
      <w:pPr>
        <w:pStyle w:val="Didascalia"/>
        <w:rPr>
          <w:rFonts w:ascii="Arial" w:hAnsi="Arial" w:cs="Arial"/>
          <w:bCs w:val="0"/>
          <w:sz w:val="24"/>
          <w:szCs w:val="24"/>
        </w:rPr>
      </w:pPr>
      <w:r w:rsidRPr="00AA03FE">
        <w:t xml:space="preserve">Figure 3. </w:t>
      </w:r>
      <w:fldSimple w:instr=" SEQ Figure_3. \* ARABIC ">
        <w:r w:rsidRPr="00AA03FE">
          <w:rPr>
            <w:noProof/>
          </w:rPr>
          <w:t>5</w:t>
        </w:r>
      </w:fldSimple>
      <w:r w:rsidRPr="00AA03FE">
        <w:t xml:space="preserve"> Size analysis of nanoparticles prepared with five different polymers and three different washing media.</w:t>
      </w:r>
    </w:p>
    <w:tbl>
      <w:tblPr>
        <w:tblW w:w="9399" w:type="dxa"/>
        <w:tblInd w:w="55" w:type="dxa"/>
        <w:shd w:val="clear" w:color="auto" w:fill="F2F2F2" w:themeFill="background1" w:themeFillShade="F2"/>
        <w:tblCellMar>
          <w:left w:w="70" w:type="dxa"/>
          <w:right w:w="70" w:type="dxa"/>
        </w:tblCellMar>
        <w:tblLook w:val="04A0"/>
      </w:tblPr>
      <w:tblGrid>
        <w:gridCol w:w="1575"/>
        <w:gridCol w:w="1304"/>
        <w:gridCol w:w="1304"/>
        <w:gridCol w:w="1304"/>
        <w:gridCol w:w="1304"/>
        <w:gridCol w:w="1265"/>
        <w:gridCol w:w="39"/>
        <w:gridCol w:w="1265"/>
        <w:gridCol w:w="39"/>
      </w:tblGrid>
      <w:tr w:rsidR="00387A07" w:rsidRPr="00AA03FE" w:rsidTr="00387A07">
        <w:trPr>
          <w:gridAfter w:val="1"/>
          <w:wAfter w:w="39" w:type="dxa"/>
          <w:trHeight w:val="315"/>
        </w:trPr>
        <w:tc>
          <w:tcPr>
            <w:tcW w:w="1575" w:type="dxa"/>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eastAsia="it-IT"/>
              </w:rPr>
            </w:pPr>
          </w:p>
        </w:tc>
        <w:tc>
          <w:tcPr>
            <w:tcW w:w="6481" w:type="dxa"/>
            <w:gridSpan w:val="5"/>
            <w:tcBorders>
              <w:top w:val="single" w:sz="4" w:space="0" w:color="auto"/>
              <w:left w:val="nil"/>
              <w:bottom w:val="single" w:sz="4" w:space="0" w:color="auto"/>
            </w:tcBorders>
            <w:shd w:val="clear" w:color="auto" w:fill="F2F2F2" w:themeFill="background1" w:themeFillShade="F2"/>
            <w:vAlign w:val="center"/>
          </w:tcPr>
          <w:p w:rsidR="00387A07" w:rsidRPr="00AA03FE" w:rsidRDefault="00387A07" w:rsidP="00387A07">
            <w:pPr>
              <w:spacing w:after="0"/>
              <w:jc w:val="center"/>
              <w:rPr>
                <w:rFonts w:cstheme="minorHAnsi"/>
                <w:b/>
                <w:color w:val="000000"/>
                <w:lang w:eastAsia="it-IT"/>
              </w:rPr>
            </w:pPr>
            <w:r w:rsidRPr="00AA03FE">
              <w:rPr>
                <w:rFonts w:cstheme="minorHAnsi"/>
                <w:b/>
                <w:color w:val="000000"/>
                <w:lang w:eastAsia="it-IT"/>
              </w:rPr>
              <w:t>MATERIAL</w:t>
            </w:r>
          </w:p>
        </w:tc>
        <w:tc>
          <w:tcPr>
            <w:tcW w:w="1304" w:type="dxa"/>
            <w:gridSpan w:val="2"/>
            <w:tcBorders>
              <w:left w:val="nil"/>
            </w:tcBorders>
            <w:shd w:val="clear" w:color="auto" w:fill="F2F2F2" w:themeFill="background1" w:themeFillShade="F2"/>
          </w:tcPr>
          <w:p w:rsidR="00387A07" w:rsidRPr="00AA03FE" w:rsidRDefault="00387A07" w:rsidP="00387A07">
            <w:pPr>
              <w:spacing w:after="0"/>
              <w:jc w:val="center"/>
              <w:rPr>
                <w:rFonts w:cstheme="minorHAnsi"/>
                <w:b/>
                <w:color w:val="000000"/>
                <w:lang w:eastAsia="it-IT"/>
              </w:rPr>
            </w:pPr>
          </w:p>
        </w:tc>
      </w:tr>
      <w:tr w:rsidR="00387A07" w:rsidRPr="00AA03FE" w:rsidTr="00387A07">
        <w:trPr>
          <w:trHeight w:val="315"/>
        </w:trPr>
        <w:tc>
          <w:tcPr>
            <w:tcW w:w="1575" w:type="dxa"/>
            <w:tcBorders>
              <w:bottom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en-US" w:eastAsia="it-IT"/>
              </w:rPr>
            </w:pPr>
          </w:p>
        </w:tc>
        <w:tc>
          <w:tcPr>
            <w:tcW w:w="1304" w:type="dxa"/>
            <w:tcBorders>
              <w:left w:val="nil"/>
              <w:bottom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color w:val="000000"/>
                <w:lang w:val="it-IT" w:eastAsia="it-IT"/>
              </w:rPr>
            </w:pPr>
            <w:r w:rsidRPr="00AA03FE">
              <w:rPr>
                <w:rFonts w:cstheme="minorHAnsi"/>
                <w:b/>
                <w:color w:val="000000"/>
                <w:lang w:eastAsia="it-IT"/>
              </w:rPr>
              <w:t>C-BC2000</w:t>
            </w:r>
          </w:p>
        </w:tc>
        <w:tc>
          <w:tcPr>
            <w:tcW w:w="1304" w:type="dxa"/>
            <w:tcBorders>
              <w:bottom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color w:val="000000"/>
                <w:lang w:val="it-IT" w:eastAsia="it-IT"/>
              </w:rPr>
            </w:pPr>
            <w:r w:rsidRPr="00AA03FE">
              <w:rPr>
                <w:rFonts w:cstheme="minorHAnsi"/>
                <w:b/>
                <w:color w:val="000000"/>
                <w:lang w:eastAsia="it-IT"/>
              </w:rPr>
              <w:t>NS-BC2000</w:t>
            </w:r>
          </w:p>
        </w:tc>
        <w:tc>
          <w:tcPr>
            <w:tcW w:w="1304" w:type="dxa"/>
            <w:tcBorders>
              <w:bottom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color w:val="000000"/>
                <w:lang w:val="it-IT" w:eastAsia="it-IT"/>
              </w:rPr>
            </w:pPr>
            <w:r w:rsidRPr="00AA03FE">
              <w:rPr>
                <w:rFonts w:cstheme="minorHAnsi"/>
                <w:b/>
                <w:color w:val="000000"/>
                <w:lang w:eastAsia="it-IT"/>
              </w:rPr>
              <w:t>PCL</w:t>
            </w:r>
          </w:p>
        </w:tc>
        <w:tc>
          <w:tcPr>
            <w:tcW w:w="1304" w:type="dxa"/>
            <w:tcBorders>
              <w:bottom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color w:val="000000"/>
                <w:lang w:val="it-IT" w:eastAsia="it-IT"/>
              </w:rPr>
            </w:pPr>
            <w:r w:rsidRPr="00AA03FE">
              <w:rPr>
                <w:rFonts w:cstheme="minorHAnsi"/>
                <w:b/>
                <w:color w:val="000000"/>
                <w:lang w:eastAsia="it-IT"/>
              </w:rPr>
              <w:t>PLGA</w:t>
            </w:r>
          </w:p>
        </w:tc>
        <w:tc>
          <w:tcPr>
            <w:tcW w:w="1304" w:type="dxa"/>
            <w:gridSpan w:val="2"/>
            <w:tcBorders>
              <w:top w:val="single" w:sz="4" w:space="0" w:color="auto"/>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color w:val="000000"/>
                <w:lang w:val="it-IT" w:eastAsia="it-IT"/>
              </w:rPr>
            </w:pPr>
            <w:r w:rsidRPr="00AA03FE">
              <w:rPr>
                <w:rFonts w:cstheme="minorHAnsi"/>
                <w:b/>
                <w:color w:val="000000"/>
                <w:lang w:eastAsia="it-IT"/>
              </w:rPr>
              <w:t>PLA</w:t>
            </w:r>
          </w:p>
        </w:tc>
        <w:tc>
          <w:tcPr>
            <w:tcW w:w="1304" w:type="dxa"/>
            <w:gridSpan w:val="2"/>
            <w:tcBorders>
              <w:top w:val="single" w:sz="4" w:space="0" w:color="auto"/>
            </w:tcBorders>
            <w:shd w:val="clear" w:color="auto" w:fill="F2F2F2" w:themeFill="background1" w:themeFillShade="F2"/>
            <w:vAlign w:val="center"/>
          </w:tcPr>
          <w:p w:rsidR="00387A07" w:rsidRPr="00AA03FE" w:rsidRDefault="00387A07" w:rsidP="00387A07">
            <w:pPr>
              <w:spacing w:after="0"/>
              <w:jc w:val="center"/>
              <w:rPr>
                <w:rFonts w:cstheme="minorHAnsi"/>
                <w:b/>
                <w:color w:val="000000"/>
                <w:lang w:eastAsia="it-IT"/>
              </w:rPr>
            </w:pPr>
            <w:r w:rsidRPr="00AA03FE">
              <w:rPr>
                <w:rFonts w:cstheme="minorHAnsi"/>
                <w:b/>
                <w:color w:val="000000"/>
                <w:lang w:eastAsia="it-IT"/>
              </w:rPr>
              <w:t>Washing</w:t>
            </w:r>
          </w:p>
        </w:tc>
      </w:tr>
      <w:tr w:rsidR="00387A07" w:rsidRPr="00AA03FE" w:rsidTr="00387A07">
        <w:trPr>
          <w:trHeight w:val="315"/>
        </w:trPr>
        <w:tc>
          <w:tcPr>
            <w:tcW w:w="1575" w:type="dxa"/>
            <w:tcBorders>
              <w:top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bCs/>
                <w:color w:val="000000"/>
                <w:lang w:val="it-IT" w:eastAsia="it-IT"/>
              </w:rPr>
            </w:pPr>
            <w:r w:rsidRPr="00AA03FE">
              <w:rPr>
                <w:rFonts w:cstheme="minorHAnsi"/>
                <w:b/>
                <w:bCs/>
                <w:color w:val="000000"/>
                <w:lang w:eastAsia="it-IT"/>
              </w:rPr>
              <w:t>Size  [nm]</w:t>
            </w:r>
          </w:p>
        </w:tc>
        <w:tc>
          <w:tcPr>
            <w:tcW w:w="1304" w:type="dxa"/>
            <w:tcBorders>
              <w:top w:val="single" w:sz="4" w:space="0" w:color="auto"/>
              <w:lef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197 ± 2</w:t>
            </w:r>
          </w:p>
        </w:tc>
        <w:tc>
          <w:tcPr>
            <w:tcW w:w="1304" w:type="dxa"/>
            <w:tcBorders>
              <w:top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178 ± 1</w:t>
            </w:r>
          </w:p>
        </w:tc>
        <w:tc>
          <w:tcPr>
            <w:tcW w:w="1304" w:type="dxa"/>
            <w:tcBorders>
              <w:top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204 ± 3</w:t>
            </w:r>
          </w:p>
        </w:tc>
        <w:tc>
          <w:tcPr>
            <w:tcW w:w="1304" w:type="dxa"/>
            <w:tcBorders>
              <w:top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181,9 ± 1</w:t>
            </w:r>
          </w:p>
        </w:tc>
        <w:tc>
          <w:tcPr>
            <w:tcW w:w="1304" w:type="dxa"/>
            <w:gridSpan w:val="2"/>
            <w:tcBorders>
              <w:top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 xml:space="preserve">193 </w:t>
            </w:r>
            <w:r w:rsidRPr="00AA03FE">
              <w:rPr>
                <w:rFonts w:cstheme="minorHAnsi"/>
                <w:color w:val="000000"/>
                <w:lang w:eastAsia="it-IT"/>
              </w:rPr>
              <w:t>± 2</w:t>
            </w:r>
          </w:p>
        </w:tc>
        <w:tc>
          <w:tcPr>
            <w:tcW w:w="1304" w:type="dxa"/>
            <w:gridSpan w:val="2"/>
            <w:vMerge w:val="restart"/>
            <w:tcBorders>
              <w:top w:val="single" w:sz="4" w:space="0" w:color="auto"/>
            </w:tcBorders>
            <w:shd w:val="clear" w:color="auto" w:fill="F2F2F2" w:themeFill="background1" w:themeFillShade="F2"/>
            <w:vAlign w:val="center"/>
          </w:tcPr>
          <w:p w:rsidR="00387A07" w:rsidRPr="00AA03FE" w:rsidRDefault="00387A07" w:rsidP="00387A07">
            <w:pPr>
              <w:spacing w:after="0"/>
              <w:jc w:val="center"/>
              <w:rPr>
                <w:rFonts w:cstheme="minorHAnsi"/>
                <w:b/>
                <w:color w:val="000000"/>
                <w:lang w:val="it-IT" w:eastAsia="it-IT"/>
              </w:rPr>
            </w:pPr>
            <w:r w:rsidRPr="00AA03FE">
              <w:rPr>
                <w:rFonts w:cstheme="minorHAnsi"/>
                <w:b/>
                <w:color w:val="000000"/>
                <w:lang w:val="it-IT" w:eastAsia="it-IT"/>
              </w:rPr>
              <w:t>Water</w:t>
            </w:r>
          </w:p>
        </w:tc>
      </w:tr>
      <w:tr w:rsidR="00387A07" w:rsidRPr="00AA03FE" w:rsidTr="00387A07">
        <w:trPr>
          <w:trHeight w:val="315"/>
        </w:trPr>
        <w:tc>
          <w:tcPr>
            <w:tcW w:w="1575" w:type="dxa"/>
            <w:tcBorders>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bCs/>
                <w:color w:val="000000"/>
                <w:lang w:val="it-IT" w:eastAsia="it-IT"/>
              </w:rPr>
            </w:pPr>
            <w:r w:rsidRPr="00AA03FE">
              <w:rPr>
                <w:rFonts w:cstheme="minorHAnsi"/>
                <w:b/>
                <w:bCs/>
                <w:color w:val="000000"/>
                <w:lang w:eastAsia="it-IT"/>
              </w:rPr>
              <w:t>PDI</w:t>
            </w:r>
          </w:p>
        </w:tc>
        <w:tc>
          <w:tcPr>
            <w:tcW w:w="1304" w:type="dxa"/>
            <w:tcBorders>
              <w:lef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0.11 ± 0.02</w:t>
            </w:r>
          </w:p>
        </w:tc>
        <w:tc>
          <w:tcPr>
            <w:tcW w:w="1304" w:type="dxa"/>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0.11 ± 0.02</w:t>
            </w:r>
          </w:p>
        </w:tc>
        <w:tc>
          <w:tcPr>
            <w:tcW w:w="1304" w:type="dxa"/>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0.06 ± 0.01</w:t>
            </w:r>
          </w:p>
        </w:tc>
        <w:tc>
          <w:tcPr>
            <w:tcW w:w="1304" w:type="dxa"/>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0.07 ± 0.03</w:t>
            </w:r>
          </w:p>
        </w:tc>
        <w:tc>
          <w:tcPr>
            <w:tcW w:w="1304" w:type="dxa"/>
            <w:gridSpan w:val="2"/>
            <w:tcBorders>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 xml:space="preserve">0.14 </w:t>
            </w:r>
            <w:r w:rsidRPr="00AA03FE">
              <w:rPr>
                <w:rFonts w:cstheme="minorHAnsi"/>
                <w:color w:val="000000"/>
                <w:lang w:eastAsia="it-IT"/>
              </w:rPr>
              <w:t>± 0.02</w:t>
            </w:r>
          </w:p>
        </w:tc>
        <w:tc>
          <w:tcPr>
            <w:tcW w:w="1304" w:type="dxa"/>
            <w:gridSpan w:val="2"/>
            <w:vMerge/>
            <w:shd w:val="clear" w:color="auto" w:fill="F2F2F2" w:themeFill="background1" w:themeFillShade="F2"/>
            <w:vAlign w:val="center"/>
          </w:tcPr>
          <w:p w:rsidR="00387A07" w:rsidRPr="00AA03FE" w:rsidRDefault="00387A07" w:rsidP="00387A07">
            <w:pPr>
              <w:spacing w:after="0"/>
              <w:jc w:val="center"/>
              <w:rPr>
                <w:rFonts w:cstheme="minorHAnsi"/>
                <w:b/>
                <w:color w:val="000000"/>
                <w:lang w:val="it-IT" w:eastAsia="it-IT"/>
              </w:rPr>
            </w:pPr>
          </w:p>
        </w:tc>
      </w:tr>
      <w:tr w:rsidR="00387A07" w:rsidRPr="00AA03FE" w:rsidTr="00387A07">
        <w:trPr>
          <w:trHeight w:val="315"/>
        </w:trPr>
        <w:tc>
          <w:tcPr>
            <w:tcW w:w="1575" w:type="dxa"/>
            <w:tcBorders>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bCs/>
                <w:color w:val="000000"/>
                <w:lang w:val="it-IT" w:eastAsia="it-IT"/>
              </w:rPr>
            </w:pPr>
            <w:r w:rsidRPr="00AA03FE">
              <w:rPr>
                <w:rFonts w:cstheme="minorHAnsi"/>
                <w:b/>
                <w:bCs/>
                <w:color w:val="000000"/>
                <w:lang w:eastAsia="it-IT"/>
              </w:rPr>
              <w:t>Zeta Pot. [mV]</w:t>
            </w:r>
          </w:p>
        </w:tc>
        <w:tc>
          <w:tcPr>
            <w:tcW w:w="1304" w:type="dxa"/>
            <w:tcBorders>
              <w:left w:val="single" w:sz="4" w:space="0" w:color="auto"/>
              <w:bottom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-12.2 ± 0.6</w:t>
            </w:r>
          </w:p>
        </w:tc>
        <w:tc>
          <w:tcPr>
            <w:tcW w:w="1304" w:type="dxa"/>
            <w:tcBorders>
              <w:bottom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-9.4 ± 0.5</w:t>
            </w:r>
          </w:p>
        </w:tc>
        <w:tc>
          <w:tcPr>
            <w:tcW w:w="1304" w:type="dxa"/>
            <w:tcBorders>
              <w:bottom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-9.6 ± 0.4</w:t>
            </w:r>
          </w:p>
        </w:tc>
        <w:tc>
          <w:tcPr>
            <w:tcW w:w="1304" w:type="dxa"/>
            <w:tcBorders>
              <w:bottom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-24.4 ± 0.4</w:t>
            </w:r>
          </w:p>
        </w:tc>
        <w:tc>
          <w:tcPr>
            <w:tcW w:w="1304" w:type="dxa"/>
            <w:gridSpan w:val="2"/>
            <w:tcBorders>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 xml:space="preserve">-22.0 </w:t>
            </w:r>
            <w:r w:rsidRPr="00AA03FE">
              <w:rPr>
                <w:rFonts w:cstheme="minorHAnsi"/>
                <w:color w:val="000000"/>
                <w:lang w:eastAsia="it-IT"/>
              </w:rPr>
              <w:t>± 0.9</w:t>
            </w:r>
          </w:p>
        </w:tc>
        <w:tc>
          <w:tcPr>
            <w:tcW w:w="1304" w:type="dxa"/>
            <w:gridSpan w:val="2"/>
            <w:vMerge/>
            <w:shd w:val="clear" w:color="auto" w:fill="F2F2F2" w:themeFill="background1" w:themeFillShade="F2"/>
            <w:vAlign w:val="center"/>
          </w:tcPr>
          <w:p w:rsidR="00387A07" w:rsidRPr="00AA03FE" w:rsidRDefault="00387A07" w:rsidP="00387A07">
            <w:pPr>
              <w:spacing w:after="0"/>
              <w:jc w:val="center"/>
              <w:rPr>
                <w:rFonts w:cstheme="minorHAnsi"/>
                <w:b/>
                <w:color w:val="000000"/>
                <w:lang w:val="it-IT" w:eastAsia="it-IT"/>
              </w:rPr>
            </w:pPr>
          </w:p>
        </w:tc>
      </w:tr>
      <w:tr w:rsidR="00387A07" w:rsidRPr="00AA03FE" w:rsidTr="00387A07">
        <w:trPr>
          <w:trHeight w:val="315"/>
        </w:trPr>
        <w:tc>
          <w:tcPr>
            <w:tcW w:w="1575" w:type="dxa"/>
            <w:tcBorders>
              <w:top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bCs/>
                <w:color w:val="000000"/>
                <w:lang w:val="it-IT" w:eastAsia="it-IT"/>
              </w:rPr>
            </w:pPr>
            <w:r w:rsidRPr="00AA03FE">
              <w:rPr>
                <w:rFonts w:cstheme="minorHAnsi"/>
                <w:b/>
                <w:bCs/>
                <w:color w:val="000000"/>
                <w:lang w:eastAsia="it-IT"/>
              </w:rPr>
              <w:t>Size  [nm]</w:t>
            </w:r>
          </w:p>
        </w:tc>
        <w:tc>
          <w:tcPr>
            <w:tcW w:w="1304" w:type="dxa"/>
            <w:tcBorders>
              <w:top w:val="single" w:sz="4" w:space="0" w:color="auto"/>
              <w:left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212 ± 1</w:t>
            </w:r>
          </w:p>
        </w:tc>
        <w:tc>
          <w:tcPr>
            <w:tcW w:w="1304" w:type="dxa"/>
            <w:tcBorders>
              <w:top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188 ± 2</w:t>
            </w:r>
          </w:p>
        </w:tc>
        <w:tc>
          <w:tcPr>
            <w:tcW w:w="1304" w:type="dxa"/>
            <w:tcBorders>
              <w:top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215 ± 2</w:t>
            </w:r>
          </w:p>
        </w:tc>
        <w:tc>
          <w:tcPr>
            <w:tcW w:w="1304" w:type="dxa"/>
            <w:tcBorders>
              <w:top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181 ± 2</w:t>
            </w:r>
          </w:p>
        </w:tc>
        <w:tc>
          <w:tcPr>
            <w:tcW w:w="1304" w:type="dxa"/>
            <w:gridSpan w:val="2"/>
            <w:tcBorders>
              <w:top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 xml:space="preserve">193 </w:t>
            </w:r>
            <w:r w:rsidRPr="00AA03FE">
              <w:rPr>
                <w:rFonts w:cstheme="minorHAnsi"/>
                <w:color w:val="000000"/>
                <w:lang w:eastAsia="it-IT"/>
              </w:rPr>
              <w:t>± 1</w:t>
            </w:r>
          </w:p>
        </w:tc>
        <w:tc>
          <w:tcPr>
            <w:tcW w:w="1304" w:type="dxa"/>
            <w:gridSpan w:val="2"/>
            <w:vMerge w:val="restart"/>
            <w:tcBorders>
              <w:top w:val="single" w:sz="4" w:space="0" w:color="auto"/>
            </w:tcBorders>
            <w:shd w:val="clear" w:color="auto" w:fill="F2F2F2" w:themeFill="background1" w:themeFillShade="F2"/>
            <w:vAlign w:val="center"/>
          </w:tcPr>
          <w:p w:rsidR="00387A07" w:rsidRPr="00AA03FE" w:rsidRDefault="00387A07" w:rsidP="00387A07">
            <w:pPr>
              <w:spacing w:after="0"/>
              <w:jc w:val="center"/>
              <w:rPr>
                <w:rFonts w:cstheme="minorHAnsi"/>
                <w:b/>
                <w:color w:val="000000"/>
                <w:lang w:val="it-IT" w:eastAsia="it-IT"/>
              </w:rPr>
            </w:pPr>
            <w:r w:rsidRPr="00AA03FE">
              <w:rPr>
                <w:rFonts w:cstheme="minorHAnsi"/>
                <w:b/>
                <w:color w:val="000000"/>
                <w:lang w:val="it-IT" w:eastAsia="it-IT"/>
              </w:rPr>
              <w:t>Poloxamer 1%</w:t>
            </w:r>
          </w:p>
        </w:tc>
      </w:tr>
      <w:tr w:rsidR="00387A07" w:rsidRPr="00AA03FE" w:rsidTr="00387A07">
        <w:trPr>
          <w:trHeight w:val="315"/>
        </w:trPr>
        <w:tc>
          <w:tcPr>
            <w:tcW w:w="1575" w:type="dxa"/>
            <w:tcBorders>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bCs/>
                <w:color w:val="000000"/>
                <w:lang w:val="it-IT" w:eastAsia="it-IT"/>
              </w:rPr>
            </w:pPr>
            <w:r w:rsidRPr="00AA03FE">
              <w:rPr>
                <w:rFonts w:cstheme="minorHAnsi"/>
                <w:b/>
                <w:bCs/>
                <w:color w:val="000000"/>
                <w:lang w:eastAsia="it-IT"/>
              </w:rPr>
              <w:t>PDI</w:t>
            </w:r>
          </w:p>
        </w:tc>
        <w:tc>
          <w:tcPr>
            <w:tcW w:w="1304" w:type="dxa"/>
            <w:tcBorders>
              <w:left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0.13 ± 0.01</w:t>
            </w:r>
          </w:p>
        </w:tc>
        <w:tc>
          <w:tcPr>
            <w:tcW w:w="1304" w:type="dxa"/>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0.11 ± 0.01</w:t>
            </w:r>
          </w:p>
        </w:tc>
        <w:tc>
          <w:tcPr>
            <w:tcW w:w="1304" w:type="dxa"/>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0.10 ± 0.02</w:t>
            </w:r>
          </w:p>
        </w:tc>
        <w:tc>
          <w:tcPr>
            <w:tcW w:w="1304" w:type="dxa"/>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0.06 ± 0.02</w:t>
            </w:r>
          </w:p>
        </w:tc>
        <w:tc>
          <w:tcPr>
            <w:tcW w:w="1304" w:type="dxa"/>
            <w:gridSpan w:val="2"/>
            <w:tcBorders>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 xml:space="preserve">0.08 </w:t>
            </w:r>
            <w:r w:rsidRPr="00AA03FE">
              <w:rPr>
                <w:rFonts w:cstheme="minorHAnsi"/>
                <w:color w:val="000000"/>
                <w:lang w:eastAsia="it-IT"/>
              </w:rPr>
              <w:t>± 0.02</w:t>
            </w:r>
          </w:p>
        </w:tc>
        <w:tc>
          <w:tcPr>
            <w:tcW w:w="1304" w:type="dxa"/>
            <w:gridSpan w:val="2"/>
            <w:vMerge/>
            <w:shd w:val="clear" w:color="auto" w:fill="F2F2F2" w:themeFill="background1" w:themeFillShade="F2"/>
            <w:vAlign w:val="center"/>
          </w:tcPr>
          <w:p w:rsidR="00387A07" w:rsidRPr="00AA03FE" w:rsidRDefault="00387A07" w:rsidP="00387A07">
            <w:pPr>
              <w:spacing w:after="0"/>
              <w:jc w:val="center"/>
              <w:rPr>
                <w:rFonts w:cstheme="minorHAnsi"/>
                <w:b/>
                <w:color w:val="000000"/>
                <w:lang w:val="it-IT" w:eastAsia="it-IT"/>
              </w:rPr>
            </w:pPr>
          </w:p>
        </w:tc>
      </w:tr>
      <w:tr w:rsidR="00387A07" w:rsidRPr="00AA03FE" w:rsidTr="00387A07">
        <w:trPr>
          <w:trHeight w:val="315"/>
        </w:trPr>
        <w:tc>
          <w:tcPr>
            <w:tcW w:w="1575" w:type="dxa"/>
            <w:tcBorders>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bCs/>
                <w:color w:val="000000"/>
                <w:lang w:val="it-IT" w:eastAsia="it-IT"/>
              </w:rPr>
            </w:pPr>
            <w:r w:rsidRPr="00AA03FE">
              <w:rPr>
                <w:rFonts w:cstheme="minorHAnsi"/>
                <w:b/>
                <w:bCs/>
                <w:color w:val="000000"/>
                <w:lang w:eastAsia="it-IT"/>
              </w:rPr>
              <w:t>Zeta Pot. [mV]</w:t>
            </w:r>
          </w:p>
        </w:tc>
        <w:tc>
          <w:tcPr>
            <w:tcW w:w="1304" w:type="dxa"/>
            <w:tcBorders>
              <w:left w:val="single" w:sz="4" w:space="0" w:color="auto"/>
              <w:bottom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-15.8 ± 0.2</w:t>
            </w:r>
          </w:p>
        </w:tc>
        <w:tc>
          <w:tcPr>
            <w:tcW w:w="1304" w:type="dxa"/>
            <w:tcBorders>
              <w:bottom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-14.3 ± 0.5</w:t>
            </w:r>
          </w:p>
        </w:tc>
        <w:tc>
          <w:tcPr>
            <w:tcW w:w="1304" w:type="dxa"/>
            <w:tcBorders>
              <w:bottom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-17.1 ± 1.7</w:t>
            </w:r>
          </w:p>
        </w:tc>
        <w:tc>
          <w:tcPr>
            <w:tcW w:w="1304" w:type="dxa"/>
            <w:tcBorders>
              <w:bottom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-24.4 ± 0.2</w:t>
            </w:r>
          </w:p>
        </w:tc>
        <w:tc>
          <w:tcPr>
            <w:tcW w:w="1304" w:type="dxa"/>
            <w:gridSpan w:val="2"/>
            <w:tcBorders>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 xml:space="preserve">-22.5 </w:t>
            </w:r>
            <w:r w:rsidRPr="00AA03FE">
              <w:rPr>
                <w:rFonts w:cstheme="minorHAnsi"/>
                <w:color w:val="000000"/>
                <w:lang w:eastAsia="it-IT"/>
              </w:rPr>
              <w:t>± 1.4</w:t>
            </w:r>
          </w:p>
        </w:tc>
        <w:tc>
          <w:tcPr>
            <w:tcW w:w="1304" w:type="dxa"/>
            <w:gridSpan w:val="2"/>
            <w:vMerge/>
            <w:tcBorders>
              <w:bottom w:val="single" w:sz="4" w:space="0" w:color="auto"/>
            </w:tcBorders>
            <w:shd w:val="clear" w:color="auto" w:fill="F2F2F2" w:themeFill="background1" w:themeFillShade="F2"/>
            <w:vAlign w:val="center"/>
          </w:tcPr>
          <w:p w:rsidR="00387A07" w:rsidRPr="00AA03FE" w:rsidRDefault="00387A07" w:rsidP="00387A07">
            <w:pPr>
              <w:spacing w:after="0"/>
              <w:jc w:val="center"/>
              <w:rPr>
                <w:rFonts w:cstheme="minorHAnsi"/>
                <w:b/>
                <w:color w:val="000000"/>
                <w:lang w:val="it-IT" w:eastAsia="it-IT"/>
              </w:rPr>
            </w:pPr>
          </w:p>
        </w:tc>
      </w:tr>
      <w:tr w:rsidR="00387A07" w:rsidRPr="00AA03FE" w:rsidTr="00387A07">
        <w:trPr>
          <w:trHeight w:val="315"/>
        </w:trPr>
        <w:tc>
          <w:tcPr>
            <w:tcW w:w="1575" w:type="dxa"/>
            <w:tcBorders>
              <w:top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bCs/>
                <w:color w:val="000000"/>
                <w:lang w:val="it-IT" w:eastAsia="it-IT"/>
              </w:rPr>
            </w:pPr>
            <w:r w:rsidRPr="00AA03FE">
              <w:rPr>
                <w:rFonts w:cstheme="minorHAnsi"/>
                <w:b/>
                <w:bCs/>
                <w:color w:val="000000"/>
                <w:lang w:eastAsia="it-IT"/>
              </w:rPr>
              <w:t>Size  [nm]</w:t>
            </w:r>
          </w:p>
        </w:tc>
        <w:tc>
          <w:tcPr>
            <w:tcW w:w="1304" w:type="dxa"/>
            <w:tcBorders>
              <w:top w:val="single" w:sz="4" w:space="0" w:color="auto"/>
              <w:left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194 ± 2</w:t>
            </w:r>
          </w:p>
        </w:tc>
        <w:tc>
          <w:tcPr>
            <w:tcW w:w="1304" w:type="dxa"/>
            <w:tcBorders>
              <w:top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186 ± 2</w:t>
            </w:r>
          </w:p>
        </w:tc>
        <w:tc>
          <w:tcPr>
            <w:tcW w:w="1304" w:type="dxa"/>
            <w:tcBorders>
              <w:top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211 ± 3</w:t>
            </w:r>
          </w:p>
        </w:tc>
        <w:tc>
          <w:tcPr>
            <w:tcW w:w="1304" w:type="dxa"/>
            <w:tcBorders>
              <w:top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188 ± 1</w:t>
            </w:r>
          </w:p>
        </w:tc>
        <w:tc>
          <w:tcPr>
            <w:tcW w:w="1304" w:type="dxa"/>
            <w:gridSpan w:val="2"/>
            <w:tcBorders>
              <w:top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196 ± 2</w:t>
            </w:r>
          </w:p>
        </w:tc>
        <w:tc>
          <w:tcPr>
            <w:tcW w:w="1304" w:type="dxa"/>
            <w:gridSpan w:val="2"/>
            <w:vMerge w:val="restart"/>
            <w:tcBorders>
              <w:top w:val="single" w:sz="4" w:space="0" w:color="auto"/>
              <w:bottom w:val="single" w:sz="4" w:space="0" w:color="auto"/>
            </w:tcBorders>
            <w:shd w:val="clear" w:color="auto" w:fill="F2F2F2" w:themeFill="background1" w:themeFillShade="F2"/>
            <w:vAlign w:val="center"/>
          </w:tcPr>
          <w:p w:rsidR="00387A07" w:rsidRPr="00AA03FE" w:rsidRDefault="00387A07" w:rsidP="00387A07">
            <w:pPr>
              <w:spacing w:after="0"/>
              <w:jc w:val="center"/>
              <w:rPr>
                <w:rFonts w:cstheme="minorHAnsi"/>
                <w:b/>
                <w:color w:val="000000"/>
                <w:lang w:val="it-IT" w:eastAsia="it-IT"/>
              </w:rPr>
            </w:pPr>
            <w:r w:rsidRPr="00AA03FE">
              <w:rPr>
                <w:rFonts w:cstheme="minorHAnsi"/>
                <w:b/>
                <w:color w:val="000000"/>
                <w:lang w:val="it-IT" w:eastAsia="it-IT"/>
              </w:rPr>
              <w:t>Poloxamer 2%</w:t>
            </w:r>
          </w:p>
        </w:tc>
      </w:tr>
      <w:tr w:rsidR="00387A07" w:rsidRPr="00AA03FE" w:rsidTr="00387A07">
        <w:trPr>
          <w:trHeight w:val="315"/>
        </w:trPr>
        <w:tc>
          <w:tcPr>
            <w:tcW w:w="1575" w:type="dxa"/>
            <w:tcBorders>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bCs/>
                <w:color w:val="000000"/>
                <w:lang w:val="it-IT" w:eastAsia="it-IT"/>
              </w:rPr>
            </w:pPr>
            <w:r w:rsidRPr="00AA03FE">
              <w:rPr>
                <w:rFonts w:cstheme="minorHAnsi"/>
                <w:b/>
                <w:bCs/>
                <w:color w:val="000000"/>
                <w:lang w:val="it-IT" w:eastAsia="it-IT"/>
              </w:rPr>
              <w:t>PDI</w:t>
            </w:r>
          </w:p>
        </w:tc>
        <w:tc>
          <w:tcPr>
            <w:tcW w:w="1304" w:type="dxa"/>
            <w:tcBorders>
              <w:left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0.11 ±0.01</w:t>
            </w:r>
          </w:p>
        </w:tc>
        <w:tc>
          <w:tcPr>
            <w:tcW w:w="1304" w:type="dxa"/>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0.07 ± 0.03</w:t>
            </w:r>
          </w:p>
        </w:tc>
        <w:tc>
          <w:tcPr>
            <w:tcW w:w="1304" w:type="dxa"/>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0.09 ± 0.01</w:t>
            </w:r>
          </w:p>
        </w:tc>
        <w:tc>
          <w:tcPr>
            <w:tcW w:w="1304" w:type="dxa"/>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0.07 ± 0.02</w:t>
            </w:r>
          </w:p>
        </w:tc>
        <w:tc>
          <w:tcPr>
            <w:tcW w:w="1304" w:type="dxa"/>
            <w:gridSpan w:val="2"/>
            <w:tcBorders>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0.12 ± 0.08</w:t>
            </w:r>
          </w:p>
        </w:tc>
        <w:tc>
          <w:tcPr>
            <w:tcW w:w="1304" w:type="dxa"/>
            <w:gridSpan w:val="2"/>
            <w:vMerge/>
            <w:tcBorders>
              <w:bottom w:val="single" w:sz="4" w:space="0" w:color="auto"/>
            </w:tcBorders>
            <w:shd w:val="clear" w:color="auto" w:fill="F2F2F2" w:themeFill="background1" w:themeFillShade="F2"/>
          </w:tcPr>
          <w:p w:rsidR="00387A07" w:rsidRPr="00AA03FE" w:rsidRDefault="00387A07" w:rsidP="00387A07">
            <w:pPr>
              <w:spacing w:after="0"/>
              <w:jc w:val="center"/>
              <w:rPr>
                <w:rFonts w:cstheme="minorHAnsi"/>
                <w:color w:val="000000"/>
                <w:lang w:val="it-IT" w:eastAsia="it-IT"/>
              </w:rPr>
            </w:pPr>
          </w:p>
        </w:tc>
      </w:tr>
      <w:tr w:rsidR="00387A07" w:rsidRPr="00AA03FE" w:rsidTr="00387A07">
        <w:trPr>
          <w:trHeight w:val="300"/>
        </w:trPr>
        <w:tc>
          <w:tcPr>
            <w:tcW w:w="1575" w:type="dxa"/>
            <w:tcBorders>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b/>
                <w:bCs/>
                <w:color w:val="000000"/>
                <w:lang w:val="it-IT" w:eastAsia="it-IT"/>
              </w:rPr>
            </w:pPr>
            <w:r w:rsidRPr="00AA03FE">
              <w:rPr>
                <w:rFonts w:cstheme="minorHAnsi"/>
                <w:b/>
                <w:bCs/>
                <w:color w:val="000000"/>
                <w:lang w:val="it-IT" w:eastAsia="it-IT"/>
              </w:rPr>
              <w:t>Zeta Pot. [mV]</w:t>
            </w:r>
          </w:p>
        </w:tc>
        <w:tc>
          <w:tcPr>
            <w:tcW w:w="1304" w:type="dxa"/>
            <w:tcBorders>
              <w:left w:val="single" w:sz="4" w:space="0" w:color="auto"/>
              <w:bottom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-18.8 ± 0.7</w:t>
            </w:r>
          </w:p>
        </w:tc>
        <w:tc>
          <w:tcPr>
            <w:tcW w:w="1304" w:type="dxa"/>
            <w:tcBorders>
              <w:bottom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-15.8 ± 0.1</w:t>
            </w:r>
          </w:p>
        </w:tc>
        <w:tc>
          <w:tcPr>
            <w:tcW w:w="1304" w:type="dxa"/>
            <w:tcBorders>
              <w:bottom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-1</w:t>
            </w:r>
            <w:r w:rsidRPr="00AA03FE">
              <w:rPr>
                <w:rFonts w:cstheme="minorHAnsi"/>
                <w:color w:val="000000"/>
                <w:lang w:eastAsia="it-IT"/>
              </w:rPr>
              <w:t>4.7 ± 0.8</w:t>
            </w:r>
          </w:p>
        </w:tc>
        <w:tc>
          <w:tcPr>
            <w:tcW w:w="1304" w:type="dxa"/>
            <w:tcBorders>
              <w:bottom w:val="single" w:sz="4" w:space="0" w:color="auto"/>
            </w:tcBorders>
            <w:shd w:val="clear" w:color="auto" w:fill="F2F2F2" w:themeFill="background1" w:themeFillShade="F2"/>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eastAsia="it-IT"/>
              </w:rPr>
              <w:t>-16.6 ± 1.4</w:t>
            </w:r>
          </w:p>
        </w:tc>
        <w:tc>
          <w:tcPr>
            <w:tcW w:w="1304" w:type="dxa"/>
            <w:gridSpan w:val="2"/>
            <w:tcBorders>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spacing w:after="0"/>
              <w:jc w:val="center"/>
              <w:rPr>
                <w:rFonts w:cstheme="minorHAnsi"/>
                <w:color w:val="000000"/>
                <w:lang w:val="it-IT" w:eastAsia="it-IT"/>
              </w:rPr>
            </w:pPr>
            <w:r w:rsidRPr="00AA03FE">
              <w:rPr>
                <w:rFonts w:cstheme="minorHAnsi"/>
                <w:color w:val="000000"/>
                <w:lang w:val="it-IT" w:eastAsia="it-IT"/>
              </w:rPr>
              <w:t xml:space="preserve">-17.1 </w:t>
            </w:r>
            <w:r w:rsidRPr="00AA03FE">
              <w:rPr>
                <w:rFonts w:cstheme="minorHAnsi"/>
                <w:color w:val="000000"/>
                <w:lang w:eastAsia="it-IT"/>
              </w:rPr>
              <w:t>± 0.5</w:t>
            </w:r>
          </w:p>
        </w:tc>
        <w:tc>
          <w:tcPr>
            <w:tcW w:w="1304" w:type="dxa"/>
            <w:gridSpan w:val="2"/>
            <w:vMerge/>
            <w:tcBorders>
              <w:bottom w:val="single" w:sz="4" w:space="0" w:color="auto"/>
            </w:tcBorders>
            <w:shd w:val="clear" w:color="auto" w:fill="F2F2F2" w:themeFill="background1" w:themeFillShade="F2"/>
          </w:tcPr>
          <w:p w:rsidR="00387A07" w:rsidRPr="00AA03FE" w:rsidRDefault="00387A07" w:rsidP="00387A07">
            <w:pPr>
              <w:spacing w:after="0"/>
              <w:jc w:val="center"/>
              <w:rPr>
                <w:rFonts w:cstheme="minorHAnsi"/>
                <w:color w:val="000000"/>
                <w:lang w:val="it-IT" w:eastAsia="it-IT"/>
              </w:rPr>
            </w:pPr>
          </w:p>
        </w:tc>
      </w:tr>
    </w:tbl>
    <w:p w:rsidR="00387A07" w:rsidRPr="00AA03FE" w:rsidRDefault="00387A07" w:rsidP="00387A07">
      <w:pPr>
        <w:pStyle w:val="Didascalia"/>
        <w:spacing w:before="120"/>
        <w:rPr>
          <w:rFonts w:ascii="Arial" w:hAnsi="Arial" w:cs="Arial"/>
          <w:bCs w:val="0"/>
          <w:sz w:val="24"/>
          <w:szCs w:val="24"/>
        </w:rPr>
      </w:pPr>
      <w:r w:rsidRPr="00AA03FE">
        <w:rPr>
          <w:rFonts w:ascii="Arial" w:hAnsi="Arial" w:cs="Arial"/>
          <w:bCs w:val="0"/>
          <w:sz w:val="24"/>
          <w:szCs w:val="24"/>
        </w:rPr>
        <w:t xml:space="preserve"> </w:t>
      </w:r>
      <w:r w:rsidRPr="00AA03FE">
        <w:t xml:space="preserve">Table 3. </w:t>
      </w:r>
      <w:fldSimple w:instr=" SEQ Table_3. \* ARABIC ">
        <w:r w:rsidRPr="00AA03FE">
          <w:rPr>
            <w:noProof/>
          </w:rPr>
          <w:t>5</w:t>
        </w:r>
      </w:fldSimple>
      <w:r w:rsidRPr="00AA03FE">
        <w:t xml:space="preserve"> Mean size, size distribution and zeta potential of nanoparticles prepared with different polymers, after washing with water or a water solution of Poloxamer F168 at two different concentrations.</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 xml:space="preserve">For this reason distilled water was selected as the optimal washing medium, since it brings to a sufficiently negative surface charge for all polymers. </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 xml:space="preserve">The choice of the polymer did not significantly alter the size distribution of nanoparticles: the mean particles size ranges from 180nm for NS-BC2000 to 204nm for PCL nanoparticles. The two polyesterurethanes used in this study appear to be suitable materials for nanoparticles preparation with the Double Emulsion Technique. </w:t>
      </w:r>
    </w:p>
    <w:p w:rsidR="00387A07" w:rsidRPr="00AA03FE" w:rsidRDefault="00387A07" w:rsidP="00387A07">
      <w:pPr>
        <w:spacing w:before="240" w:after="240" w:line="360" w:lineRule="auto"/>
        <w:jc w:val="both"/>
        <w:rPr>
          <w:rFonts w:ascii="Arial" w:hAnsi="Arial" w:cs="Arial"/>
          <w:b/>
          <w:bCs/>
          <w:i/>
          <w:sz w:val="24"/>
          <w:szCs w:val="24"/>
        </w:rPr>
      </w:pPr>
      <w:r w:rsidRPr="00AA03FE">
        <w:rPr>
          <w:rFonts w:ascii="Arial" w:hAnsi="Arial" w:cs="Arial"/>
          <w:b/>
          <w:bCs/>
          <w:i/>
          <w:sz w:val="24"/>
          <w:szCs w:val="24"/>
        </w:rPr>
        <w:t>3.3.2.2 Preparation of Paclitaxel-loaded Nanoparticles.</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 xml:space="preserve">Paclitaxel loaded nanoparticles (5% w/v) were successfully prepared with all five polymers and size, PDI and zeta potential were measured before and after drug loading. </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 xml:space="preserve">Results are summarized in table 3.6 and in figure 3. 6. </w:t>
      </w:r>
    </w:p>
    <w:p w:rsidR="00387A07" w:rsidRPr="00AA03FE" w:rsidRDefault="00387A07" w:rsidP="00387A07">
      <w:pPr>
        <w:spacing w:after="0" w:line="360" w:lineRule="auto"/>
        <w:jc w:val="both"/>
        <w:rPr>
          <w:rFonts w:ascii="Arial" w:hAnsi="Arial" w:cs="Arial"/>
          <w:bCs/>
          <w:sz w:val="24"/>
          <w:szCs w:val="24"/>
        </w:rPr>
      </w:pPr>
    </w:p>
    <w:tbl>
      <w:tblPr>
        <w:tblStyle w:val="Grigliatabella"/>
        <w:tblW w:w="8537" w:type="dxa"/>
        <w:jc w:val="center"/>
        <w:tblBorders>
          <w:insideH w:val="none" w:sz="0" w:space="0" w:color="auto"/>
          <w:insideV w:val="none" w:sz="0" w:space="0" w:color="auto"/>
        </w:tblBorders>
        <w:shd w:val="clear" w:color="auto" w:fill="F2F2F2" w:themeFill="background1" w:themeFillShade="F2"/>
        <w:tblLook w:val="04A0"/>
      </w:tblPr>
      <w:tblGrid>
        <w:gridCol w:w="1304"/>
        <w:gridCol w:w="1134"/>
        <w:gridCol w:w="1247"/>
        <w:gridCol w:w="1235"/>
        <w:gridCol w:w="1134"/>
        <w:gridCol w:w="1247"/>
        <w:gridCol w:w="1236"/>
      </w:tblGrid>
      <w:tr w:rsidR="00387A07" w:rsidRPr="00AA03FE" w:rsidTr="00387A07">
        <w:trPr>
          <w:trHeight w:val="300"/>
          <w:jc w:val="center"/>
        </w:trPr>
        <w:tc>
          <w:tcPr>
            <w:tcW w:w="1304" w:type="dxa"/>
            <w:vMerge w:val="restart"/>
            <w:tcBorders>
              <w:top w:val="single" w:sz="4" w:space="0" w:color="000000" w:themeColor="text1"/>
              <w:left w:val="nil"/>
              <w:bottom w:val="nil"/>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lang w:eastAsia="it-IT"/>
              </w:rPr>
            </w:pPr>
            <w:r w:rsidRPr="00AA03FE">
              <w:rPr>
                <w:rFonts w:cstheme="minorHAnsi"/>
                <w:b/>
                <w:color w:val="000000"/>
                <w:lang w:eastAsia="it-IT"/>
              </w:rPr>
              <w:lastRenderedPageBreak/>
              <w:t>Material</w:t>
            </w:r>
          </w:p>
        </w:tc>
        <w:tc>
          <w:tcPr>
            <w:tcW w:w="36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Plain particles</w:t>
            </w:r>
          </w:p>
        </w:tc>
        <w:tc>
          <w:tcPr>
            <w:tcW w:w="3617" w:type="dxa"/>
            <w:gridSpan w:val="3"/>
            <w:tcBorders>
              <w:top w:val="single" w:sz="4" w:space="0" w:color="auto"/>
              <w:left w:val="single" w:sz="4" w:space="0" w:color="auto"/>
              <w:bottom w:val="single" w:sz="4" w:space="0" w:color="auto"/>
              <w:right w:val="nil"/>
            </w:tcBorders>
            <w:shd w:val="clear" w:color="auto" w:fill="F2F2F2" w:themeFill="background1" w:themeFillShade="F2"/>
            <w:vAlign w:val="center"/>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PX-loaded particles</w:t>
            </w:r>
          </w:p>
        </w:tc>
      </w:tr>
      <w:tr w:rsidR="00387A07" w:rsidRPr="00AA03FE" w:rsidTr="00387A07">
        <w:trPr>
          <w:trHeight w:val="300"/>
          <w:jc w:val="center"/>
        </w:trPr>
        <w:tc>
          <w:tcPr>
            <w:tcW w:w="1304" w:type="dxa"/>
            <w:vMerge/>
            <w:tcBorders>
              <w:top w:val="nil"/>
              <w:left w:val="nil"/>
              <w:bottom w:val="single" w:sz="4" w:space="0" w:color="auto"/>
              <w:right w:val="single" w:sz="4" w:space="0" w:color="auto"/>
            </w:tcBorders>
            <w:shd w:val="clear" w:color="auto" w:fill="F2F2F2" w:themeFill="background1" w:themeFillShade="F2"/>
            <w:noWrap/>
            <w:hideMark/>
          </w:tcPr>
          <w:p w:rsidR="00387A07" w:rsidRPr="00AA03FE" w:rsidRDefault="00387A07" w:rsidP="00387A07">
            <w:pPr>
              <w:jc w:val="center"/>
              <w:rPr>
                <w:rFonts w:cstheme="minorHAnsi"/>
                <w:b/>
                <w:color w:val="000000"/>
                <w:lang w:eastAsia="it-IT"/>
              </w:rPr>
            </w:pPr>
          </w:p>
        </w:tc>
        <w:tc>
          <w:tcPr>
            <w:tcW w:w="1134" w:type="dxa"/>
            <w:tcBorders>
              <w:top w:val="single" w:sz="4" w:space="0" w:color="auto"/>
              <w:left w:val="single" w:sz="4" w:space="0" w:color="auto"/>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Size  [nm]</w:t>
            </w:r>
          </w:p>
        </w:tc>
        <w:tc>
          <w:tcPr>
            <w:tcW w:w="1247" w:type="dxa"/>
            <w:tcBorders>
              <w:top w:val="single" w:sz="4" w:space="0" w:color="auto"/>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PDI</w:t>
            </w:r>
          </w:p>
        </w:tc>
        <w:tc>
          <w:tcPr>
            <w:tcW w:w="1235" w:type="dxa"/>
            <w:tcBorders>
              <w:top w:val="single" w:sz="4" w:space="0" w:color="auto"/>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Zeta Pot.</w:t>
            </w:r>
          </w:p>
          <w:p w:rsidR="00387A07" w:rsidRPr="00AA03FE" w:rsidRDefault="00387A07" w:rsidP="00387A07">
            <w:pPr>
              <w:jc w:val="center"/>
              <w:rPr>
                <w:rFonts w:cstheme="minorHAnsi"/>
                <w:b/>
                <w:color w:val="000000"/>
                <w:lang w:eastAsia="it-IT"/>
              </w:rPr>
            </w:pPr>
            <w:r w:rsidRPr="00AA03FE">
              <w:rPr>
                <w:rFonts w:cstheme="minorHAnsi"/>
                <w:b/>
                <w:color w:val="000000"/>
                <w:lang w:eastAsia="it-IT"/>
              </w:rPr>
              <w:t>[mV]</w:t>
            </w:r>
          </w:p>
        </w:tc>
        <w:tc>
          <w:tcPr>
            <w:tcW w:w="1134" w:type="dxa"/>
            <w:tcBorders>
              <w:top w:val="single" w:sz="4" w:space="0" w:color="auto"/>
              <w:left w:val="single" w:sz="4" w:space="0" w:color="auto"/>
              <w:bottom w:val="single" w:sz="4" w:space="0" w:color="auto"/>
            </w:tcBorders>
            <w:shd w:val="clear" w:color="auto" w:fill="F2F2F2" w:themeFill="background1" w:themeFillShade="F2"/>
            <w:vAlign w:val="center"/>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Size  [nm]</w:t>
            </w:r>
          </w:p>
        </w:tc>
        <w:tc>
          <w:tcPr>
            <w:tcW w:w="1247" w:type="dxa"/>
            <w:tcBorders>
              <w:top w:val="single" w:sz="4" w:space="0" w:color="auto"/>
              <w:bottom w:val="single" w:sz="4" w:space="0" w:color="auto"/>
            </w:tcBorders>
            <w:shd w:val="clear" w:color="auto" w:fill="F2F2F2" w:themeFill="background1" w:themeFillShade="F2"/>
            <w:vAlign w:val="center"/>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PDI</w:t>
            </w:r>
          </w:p>
        </w:tc>
        <w:tc>
          <w:tcPr>
            <w:tcW w:w="1236" w:type="dxa"/>
            <w:tcBorders>
              <w:top w:val="single" w:sz="4" w:space="0" w:color="auto"/>
              <w:bottom w:val="single" w:sz="4" w:space="0" w:color="auto"/>
              <w:right w:val="nil"/>
            </w:tcBorders>
            <w:shd w:val="clear" w:color="auto" w:fill="F2F2F2" w:themeFill="background1" w:themeFillShade="F2"/>
            <w:vAlign w:val="center"/>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Zeta Pot.</w:t>
            </w:r>
          </w:p>
          <w:p w:rsidR="00387A07" w:rsidRPr="00AA03FE" w:rsidRDefault="00387A07" w:rsidP="00387A07">
            <w:pPr>
              <w:jc w:val="center"/>
              <w:rPr>
                <w:rFonts w:cstheme="minorHAnsi"/>
                <w:b/>
                <w:color w:val="000000"/>
                <w:lang w:eastAsia="it-IT"/>
              </w:rPr>
            </w:pPr>
            <w:r w:rsidRPr="00AA03FE">
              <w:rPr>
                <w:rFonts w:cstheme="minorHAnsi"/>
                <w:b/>
                <w:color w:val="000000"/>
                <w:lang w:eastAsia="it-IT"/>
              </w:rPr>
              <w:t>[mV]</w:t>
            </w:r>
          </w:p>
        </w:tc>
      </w:tr>
      <w:tr w:rsidR="00387A07" w:rsidRPr="00AA03FE" w:rsidTr="00387A07">
        <w:trPr>
          <w:trHeight w:val="300"/>
          <w:jc w:val="center"/>
        </w:trPr>
        <w:tc>
          <w:tcPr>
            <w:tcW w:w="1304" w:type="dxa"/>
            <w:tcBorders>
              <w:top w:val="single" w:sz="4" w:space="0" w:color="auto"/>
              <w:left w:val="nil"/>
              <w:bottom w:val="nil"/>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C-BC2000</w:t>
            </w:r>
          </w:p>
        </w:tc>
        <w:tc>
          <w:tcPr>
            <w:tcW w:w="1134" w:type="dxa"/>
            <w:tcBorders>
              <w:top w:val="single" w:sz="4" w:space="0" w:color="auto"/>
              <w:lef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197 ± 2</w:t>
            </w:r>
          </w:p>
        </w:tc>
        <w:tc>
          <w:tcPr>
            <w:tcW w:w="1247" w:type="dxa"/>
            <w:tcBorders>
              <w:top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0.11 ± 0.02</w:t>
            </w:r>
          </w:p>
        </w:tc>
        <w:tc>
          <w:tcPr>
            <w:tcW w:w="1235" w:type="dxa"/>
            <w:tcBorders>
              <w:top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-12.2 ± 0.6</w:t>
            </w:r>
          </w:p>
        </w:tc>
        <w:tc>
          <w:tcPr>
            <w:tcW w:w="1134" w:type="dxa"/>
            <w:tcBorders>
              <w:top w:val="single" w:sz="4" w:space="0" w:color="auto"/>
              <w:left w:val="single" w:sz="4" w:space="0" w:color="auto"/>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208 </w:t>
            </w:r>
            <w:r w:rsidRPr="00AA03FE">
              <w:rPr>
                <w:rFonts w:cstheme="minorHAnsi"/>
                <w:color w:val="000000"/>
              </w:rPr>
              <w:t>± 3</w:t>
            </w:r>
          </w:p>
        </w:tc>
        <w:tc>
          <w:tcPr>
            <w:tcW w:w="1247" w:type="dxa"/>
            <w:tcBorders>
              <w:top w:val="single" w:sz="4" w:space="0" w:color="auto"/>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0.06 </w:t>
            </w:r>
            <w:r w:rsidRPr="00AA03FE">
              <w:rPr>
                <w:rFonts w:cstheme="minorHAnsi"/>
                <w:color w:val="000000"/>
              </w:rPr>
              <w:t>± 0.03</w:t>
            </w:r>
          </w:p>
        </w:tc>
        <w:tc>
          <w:tcPr>
            <w:tcW w:w="1236" w:type="dxa"/>
            <w:tcBorders>
              <w:top w:val="single" w:sz="4" w:space="0" w:color="auto"/>
              <w:bottom w:val="nil"/>
              <w:right w:val="nil"/>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-17.5 </w:t>
            </w:r>
            <w:r w:rsidRPr="00AA03FE">
              <w:rPr>
                <w:rFonts w:cstheme="minorHAnsi"/>
                <w:color w:val="000000"/>
              </w:rPr>
              <w:t>± 0.4</w:t>
            </w:r>
          </w:p>
        </w:tc>
      </w:tr>
      <w:tr w:rsidR="00387A07" w:rsidRPr="00AA03FE" w:rsidTr="00387A07">
        <w:trPr>
          <w:trHeight w:val="300"/>
          <w:jc w:val="center"/>
        </w:trPr>
        <w:tc>
          <w:tcPr>
            <w:tcW w:w="1304" w:type="dxa"/>
            <w:tcBorders>
              <w:top w:val="nil"/>
              <w:left w:val="nil"/>
              <w:bottom w:val="nil"/>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NS-BC2000</w:t>
            </w:r>
          </w:p>
        </w:tc>
        <w:tc>
          <w:tcPr>
            <w:tcW w:w="1134" w:type="dxa"/>
            <w:tcBorders>
              <w:lef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178 ± 1</w:t>
            </w:r>
          </w:p>
        </w:tc>
        <w:tc>
          <w:tcPr>
            <w:tcW w:w="1247" w:type="dxa"/>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0.11 ± 0.03</w:t>
            </w:r>
          </w:p>
        </w:tc>
        <w:tc>
          <w:tcPr>
            <w:tcW w:w="1235" w:type="dxa"/>
            <w:tcBorders>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-9.4 ± 0.4</w:t>
            </w:r>
          </w:p>
        </w:tc>
        <w:tc>
          <w:tcPr>
            <w:tcW w:w="1134" w:type="dxa"/>
            <w:tcBorders>
              <w:left w:val="single" w:sz="4" w:space="0" w:color="auto"/>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color w:val="000000"/>
              </w:rPr>
              <w:t>193 ± 1</w:t>
            </w:r>
          </w:p>
        </w:tc>
        <w:tc>
          <w:tcPr>
            <w:tcW w:w="1247" w:type="dxa"/>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0.02 </w:t>
            </w:r>
            <w:r w:rsidRPr="00AA03FE">
              <w:rPr>
                <w:rFonts w:cstheme="minorHAnsi"/>
                <w:color w:val="000000"/>
              </w:rPr>
              <w:t>± 0.01</w:t>
            </w:r>
          </w:p>
        </w:tc>
        <w:tc>
          <w:tcPr>
            <w:tcW w:w="1236" w:type="dxa"/>
            <w:tcBorders>
              <w:top w:val="nil"/>
              <w:bottom w:val="nil"/>
              <w:right w:val="nil"/>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color w:val="000000"/>
              </w:rPr>
              <w:t>-12.8 ± 0.5</w:t>
            </w:r>
          </w:p>
        </w:tc>
      </w:tr>
      <w:tr w:rsidR="00387A07" w:rsidRPr="00AA03FE" w:rsidTr="00387A07">
        <w:trPr>
          <w:trHeight w:val="300"/>
          <w:jc w:val="center"/>
        </w:trPr>
        <w:tc>
          <w:tcPr>
            <w:tcW w:w="1304" w:type="dxa"/>
            <w:tcBorders>
              <w:top w:val="nil"/>
              <w:left w:val="nil"/>
              <w:bottom w:val="nil"/>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PCL</w:t>
            </w:r>
          </w:p>
        </w:tc>
        <w:tc>
          <w:tcPr>
            <w:tcW w:w="1134" w:type="dxa"/>
            <w:tcBorders>
              <w:lef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204 ± 3</w:t>
            </w:r>
          </w:p>
        </w:tc>
        <w:tc>
          <w:tcPr>
            <w:tcW w:w="1247" w:type="dxa"/>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0.06 ± 0.01</w:t>
            </w:r>
          </w:p>
        </w:tc>
        <w:tc>
          <w:tcPr>
            <w:tcW w:w="1235" w:type="dxa"/>
            <w:tcBorders>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-9.6 ± 0.4</w:t>
            </w:r>
          </w:p>
        </w:tc>
        <w:tc>
          <w:tcPr>
            <w:tcW w:w="1134" w:type="dxa"/>
            <w:tcBorders>
              <w:left w:val="single" w:sz="4" w:space="0" w:color="auto"/>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164 </w:t>
            </w:r>
            <w:r w:rsidRPr="00AA03FE">
              <w:rPr>
                <w:rFonts w:cstheme="minorHAnsi"/>
                <w:color w:val="000000"/>
              </w:rPr>
              <w:t>± 1</w:t>
            </w:r>
          </w:p>
        </w:tc>
        <w:tc>
          <w:tcPr>
            <w:tcW w:w="1247" w:type="dxa"/>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0.03 </w:t>
            </w:r>
            <w:r w:rsidRPr="00AA03FE">
              <w:rPr>
                <w:rFonts w:cstheme="minorHAnsi"/>
                <w:color w:val="000000"/>
              </w:rPr>
              <w:t>± 0.02</w:t>
            </w:r>
          </w:p>
        </w:tc>
        <w:tc>
          <w:tcPr>
            <w:tcW w:w="1236" w:type="dxa"/>
            <w:tcBorders>
              <w:top w:val="nil"/>
              <w:bottom w:val="nil"/>
              <w:right w:val="nil"/>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-6.3 </w:t>
            </w:r>
            <w:r w:rsidRPr="00AA03FE">
              <w:rPr>
                <w:rFonts w:cstheme="minorHAnsi"/>
                <w:color w:val="000000"/>
              </w:rPr>
              <w:t>± 1.1</w:t>
            </w:r>
          </w:p>
        </w:tc>
      </w:tr>
      <w:tr w:rsidR="00387A07" w:rsidRPr="00AA03FE" w:rsidTr="00387A07">
        <w:trPr>
          <w:trHeight w:val="300"/>
          <w:jc w:val="center"/>
        </w:trPr>
        <w:tc>
          <w:tcPr>
            <w:tcW w:w="1304" w:type="dxa"/>
            <w:tcBorders>
              <w:top w:val="nil"/>
              <w:left w:val="nil"/>
              <w:bottom w:val="nil"/>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PLGA</w:t>
            </w:r>
          </w:p>
        </w:tc>
        <w:tc>
          <w:tcPr>
            <w:tcW w:w="1134" w:type="dxa"/>
            <w:tcBorders>
              <w:lef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182 ± 1</w:t>
            </w:r>
          </w:p>
        </w:tc>
        <w:tc>
          <w:tcPr>
            <w:tcW w:w="1247" w:type="dxa"/>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0.07 ± 0.03</w:t>
            </w:r>
          </w:p>
        </w:tc>
        <w:tc>
          <w:tcPr>
            <w:tcW w:w="1235" w:type="dxa"/>
            <w:tcBorders>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-24.4 ± 0.4</w:t>
            </w:r>
          </w:p>
        </w:tc>
        <w:tc>
          <w:tcPr>
            <w:tcW w:w="1134" w:type="dxa"/>
            <w:tcBorders>
              <w:left w:val="single" w:sz="4" w:space="0" w:color="auto"/>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color w:val="000000"/>
              </w:rPr>
              <w:t>177 ± 2</w:t>
            </w:r>
          </w:p>
        </w:tc>
        <w:tc>
          <w:tcPr>
            <w:tcW w:w="1247" w:type="dxa"/>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0.14 </w:t>
            </w:r>
            <w:r w:rsidRPr="00AA03FE">
              <w:rPr>
                <w:rFonts w:cstheme="minorHAnsi"/>
                <w:color w:val="000000"/>
              </w:rPr>
              <w:t>± 0.01</w:t>
            </w:r>
          </w:p>
        </w:tc>
        <w:tc>
          <w:tcPr>
            <w:tcW w:w="1236" w:type="dxa"/>
            <w:tcBorders>
              <w:top w:val="nil"/>
              <w:bottom w:val="nil"/>
              <w:right w:val="nil"/>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-13.2 </w:t>
            </w:r>
            <w:r w:rsidRPr="00AA03FE">
              <w:rPr>
                <w:rFonts w:cstheme="minorHAnsi"/>
                <w:color w:val="000000"/>
              </w:rPr>
              <w:t>± 0.9</w:t>
            </w:r>
          </w:p>
        </w:tc>
      </w:tr>
      <w:tr w:rsidR="00387A07" w:rsidRPr="00AA03FE" w:rsidTr="00387A07">
        <w:trPr>
          <w:trHeight w:val="300"/>
          <w:jc w:val="center"/>
        </w:trPr>
        <w:tc>
          <w:tcPr>
            <w:tcW w:w="1304" w:type="dxa"/>
            <w:tcBorders>
              <w:top w:val="nil"/>
              <w:left w:val="nil"/>
              <w:bottom w:val="single" w:sz="4" w:space="0" w:color="000000" w:themeColor="text1"/>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PLA</w:t>
            </w:r>
          </w:p>
        </w:tc>
        <w:tc>
          <w:tcPr>
            <w:tcW w:w="1134" w:type="dxa"/>
            <w:tcBorders>
              <w:lef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193 ± 2</w:t>
            </w:r>
          </w:p>
        </w:tc>
        <w:tc>
          <w:tcPr>
            <w:tcW w:w="1247" w:type="dxa"/>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0.14 ± 0.02</w:t>
            </w:r>
          </w:p>
        </w:tc>
        <w:tc>
          <w:tcPr>
            <w:tcW w:w="1235" w:type="dxa"/>
            <w:tcBorders>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-22.0 ± 0.9</w:t>
            </w:r>
          </w:p>
        </w:tc>
        <w:tc>
          <w:tcPr>
            <w:tcW w:w="1134" w:type="dxa"/>
            <w:tcBorders>
              <w:left w:val="single" w:sz="4" w:space="0" w:color="auto"/>
              <w:bottom w:val="single" w:sz="4" w:space="0" w:color="000000" w:themeColor="text1"/>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color w:val="000000"/>
              </w:rPr>
              <w:t>223 ± 9</w:t>
            </w:r>
          </w:p>
        </w:tc>
        <w:tc>
          <w:tcPr>
            <w:tcW w:w="1247" w:type="dxa"/>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0.29 </w:t>
            </w:r>
            <w:r w:rsidRPr="00AA03FE">
              <w:rPr>
                <w:rFonts w:cstheme="minorHAnsi"/>
                <w:color w:val="000000"/>
              </w:rPr>
              <w:t>± 0.02</w:t>
            </w:r>
          </w:p>
        </w:tc>
        <w:tc>
          <w:tcPr>
            <w:tcW w:w="1236" w:type="dxa"/>
            <w:tcBorders>
              <w:top w:val="nil"/>
              <w:bottom w:val="single" w:sz="4" w:space="0" w:color="000000" w:themeColor="text1"/>
              <w:right w:val="nil"/>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color w:val="000000"/>
              </w:rPr>
              <w:t>-18.0 ± 2.9</w:t>
            </w:r>
          </w:p>
        </w:tc>
      </w:tr>
    </w:tbl>
    <w:p w:rsidR="00387A07" w:rsidRPr="00AA03FE" w:rsidRDefault="00387A07" w:rsidP="00387A07">
      <w:pPr>
        <w:pStyle w:val="Didascalia"/>
        <w:spacing w:before="200"/>
      </w:pPr>
      <w:r w:rsidRPr="00AA03FE">
        <w:t xml:space="preserve">Table 3. </w:t>
      </w:r>
      <w:fldSimple w:instr=" SEQ Table_3. \* ARABIC ">
        <w:r w:rsidRPr="00AA03FE">
          <w:rPr>
            <w:noProof/>
          </w:rPr>
          <w:t>6</w:t>
        </w:r>
      </w:fldSimple>
      <w:r w:rsidRPr="00AA03FE">
        <w:t xml:space="preserve"> Mean size, size distribution and zeta potential of plain and Paclitaxel loaded nanoparticles prepared with different polymers. </w:t>
      </w:r>
    </w:p>
    <w:p w:rsidR="00387A07" w:rsidRPr="00AA03FE" w:rsidRDefault="00387A07" w:rsidP="00387A07">
      <w:pPr>
        <w:jc w:val="center"/>
      </w:pPr>
      <w:r w:rsidRPr="00AA03FE">
        <w:rPr>
          <w:noProof/>
          <w:lang w:val="it-IT" w:eastAsia="it-IT"/>
        </w:rPr>
        <w:drawing>
          <wp:inline distT="0" distB="0" distL="0" distR="0">
            <wp:extent cx="3649807" cy="2007394"/>
            <wp:effectExtent l="0" t="0" r="0" b="0"/>
            <wp:docPr id="145" name="Immagine 15" descr="effect of px load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fect of px loading.png"/>
                    <pic:cNvPicPr/>
                  </pic:nvPicPr>
                  <pic:blipFill>
                    <a:blip r:embed="rId47"/>
                    <a:stretch>
                      <a:fillRect/>
                    </a:stretch>
                  </pic:blipFill>
                  <pic:spPr>
                    <a:xfrm>
                      <a:off x="0" y="0"/>
                      <a:ext cx="3648115" cy="2006463"/>
                    </a:xfrm>
                    <a:prstGeom prst="rect">
                      <a:avLst/>
                    </a:prstGeom>
                  </pic:spPr>
                </pic:pic>
              </a:graphicData>
            </a:graphic>
          </wp:inline>
        </w:drawing>
      </w:r>
    </w:p>
    <w:p w:rsidR="00387A07" w:rsidRPr="00AA03FE" w:rsidRDefault="00387A07" w:rsidP="00387A07">
      <w:pPr>
        <w:pStyle w:val="Didascalia"/>
        <w:spacing w:before="200"/>
      </w:pPr>
      <w:r w:rsidRPr="00AA03FE">
        <w:t xml:space="preserve">Figure 3. </w:t>
      </w:r>
      <w:fldSimple w:instr=" SEQ Figure_3. \* ARABIC ">
        <w:r w:rsidRPr="00AA03FE">
          <w:rPr>
            <w:noProof/>
          </w:rPr>
          <w:t>6</w:t>
        </w:r>
      </w:fldSimple>
      <w:r w:rsidRPr="00AA03FE">
        <w:t xml:space="preserve"> Effect of drug loading on mean particles size.</w:t>
      </w:r>
    </w:p>
    <w:p w:rsidR="00387A07" w:rsidRPr="00AA03FE" w:rsidRDefault="00387A07" w:rsidP="00387A07">
      <w:pPr>
        <w:spacing w:line="360" w:lineRule="auto"/>
        <w:jc w:val="both"/>
        <w:rPr>
          <w:rFonts w:ascii="Arial" w:hAnsi="Arial" w:cs="Arial"/>
          <w:sz w:val="24"/>
          <w:szCs w:val="24"/>
        </w:rPr>
      </w:pPr>
      <w:r w:rsidRPr="00AA03FE">
        <w:rPr>
          <w:rFonts w:ascii="Arial" w:hAnsi="Arial" w:cs="Arial"/>
          <w:sz w:val="24"/>
          <w:szCs w:val="24"/>
        </w:rPr>
        <w:t xml:space="preserve">No evident changes in size or surface charge of nanoparticles can be detected after Paclitaxel loading.  </w:t>
      </w:r>
    </w:p>
    <w:p w:rsidR="00387A07" w:rsidRPr="00AA03FE" w:rsidRDefault="00387A07" w:rsidP="00387A07">
      <w:pPr>
        <w:spacing w:before="240" w:after="240" w:line="360" w:lineRule="auto"/>
        <w:jc w:val="both"/>
        <w:rPr>
          <w:rFonts w:ascii="Arial" w:hAnsi="Arial" w:cs="Arial"/>
          <w:b/>
          <w:sz w:val="24"/>
          <w:szCs w:val="24"/>
        </w:rPr>
      </w:pPr>
      <w:r w:rsidRPr="00AA03FE">
        <w:rPr>
          <w:rFonts w:ascii="Arial" w:hAnsi="Arial" w:cs="Arial"/>
          <w:b/>
          <w:sz w:val="24"/>
          <w:szCs w:val="24"/>
        </w:rPr>
        <w:t xml:space="preserve">3.3.3 Encapsulation efficiency </w:t>
      </w:r>
    </w:p>
    <w:p w:rsidR="00387A07" w:rsidRPr="00AA03FE" w:rsidRDefault="00387A07" w:rsidP="00387A07">
      <w:pPr>
        <w:spacing w:before="240" w:after="240" w:line="360" w:lineRule="auto"/>
        <w:jc w:val="both"/>
        <w:rPr>
          <w:rFonts w:ascii="Arial" w:hAnsi="Arial" w:cs="Arial"/>
          <w:sz w:val="24"/>
          <w:szCs w:val="24"/>
        </w:rPr>
      </w:pPr>
      <w:r w:rsidRPr="00AA03FE">
        <w:rPr>
          <w:rFonts w:ascii="Arial" w:hAnsi="Arial" w:cs="Arial"/>
          <w:sz w:val="24"/>
          <w:szCs w:val="24"/>
        </w:rPr>
        <w:t xml:space="preserve">Drug loading efficiency was calculated according to eq. 3.1 for all samples in triplicate and are presented in table 3.7. </w:t>
      </w:r>
    </w:p>
    <w:tbl>
      <w:tblPr>
        <w:tblStyle w:val="Sfondochiaro1"/>
        <w:tblW w:w="2438" w:type="dxa"/>
        <w:jc w:val="center"/>
        <w:shd w:val="clear" w:color="auto" w:fill="F2F2F2" w:themeFill="background1" w:themeFillShade="F2"/>
        <w:tblLook w:val="04A0"/>
      </w:tblPr>
      <w:tblGrid>
        <w:gridCol w:w="1304"/>
        <w:gridCol w:w="1134"/>
      </w:tblGrid>
      <w:tr w:rsidR="00387A07" w:rsidRPr="00AA03FE" w:rsidTr="00387A07">
        <w:trPr>
          <w:cnfStyle w:val="100000000000"/>
          <w:trHeight w:val="300"/>
          <w:jc w:val="center"/>
        </w:trPr>
        <w:tc>
          <w:tcPr>
            <w:cnfStyle w:val="001000000000"/>
            <w:tcW w:w="1304" w:type="dxa"/>
            <w:shd w:val="clear" w:color="auto" w:fill="F2F2F2" w:themeFill="background1" w:themeFillShade="F2"/>
            <w:noWrap/>
            <w:vAlign w:val="center"/>
            <w:hideMark/>
          </w:tcPr>
          <w:p w:rsidR="00387A07" w:rsidRPr="00AA03FE" w:rsidRDefault="00387A07" w:rsidP="00387A07">
            <w:pPr>
              <w:rPr>
                <w:rFonts w:ascii="Calibri" w:hAnsi="Calibri" w:cs="Calibri"/>
                <w:color w:val="000000"/>
                <w:lang w:val="en-US" w:eastAsia="it-IT"/>
              </w:rPr>
            </w:pPr>
            <w:r w:rsidRPr="00AA03FE">
              <w:rPr>
                <w:rFonts w:ascii="Calibri" w:hAnsi="Calibri" w:cs="Calibri"/>
                <w:color w:val="000000"/>
                <w:lang w:val="en-US" w:eastAsia="it-IT"/>
              </w:rPr>
              <w:t>MATERIAL</w:t>
            </w:r>
          </w:p>
        </w:tc>
        <w:tc>
          <w:tcPr>
            <w:tcW w:w="1134" w:type="dxa"/>
            <w:shd w:val="clear" w:color="auto" w:fill="F2F2F2" w:themeFill="background1" w:themeFillShade="F2"/>
            <w:noWrap/>
            <w:vAlign w:val="center"/>
            <w:hideMark/>
          </w:tcPr>
          <w:p w:rsidR="00387A07" w:rsidRPr="00AA03FE" w:rsidRDefault="00387A07" w:rsidP="00387A07">
            <w:pPr>
              <w:cnfStyle w:val="100000000000"/>
              <w:rPr>
                <w:rFonts w:ascii="Calibri" w:hAnsi="Calibri" w:cs="Calibri"/>
                <w:color w:val="auto"/>
                <w:lang w:val="it-IT" w:eastAsia="it-IT"/>
              </w:rPr>
            </w:pPr>
            <w:r w:rsidRPr="00AA03FE">
              <w:rPr>
                <w:rFonts w:ascii="Calibri" w:hAnsi="Calibri" w:cs="Calibri"/>
                <w:color w:val="auto"/>
                <w:lang w:val="it-IT" w:eastAsia="it-IT"/>
              </w:rPr>
              <w:t>EE %</w:t>
            </w:r>
          </w:p>
        </w:tc>
      </w:tr>
      <w:tr w:rsidR="00387A07" w:rsidRPr="00AA03FE" w:rsidTr="00387A07">
        <w:trPr>
          <w:cnfStyle w:val="000000100000"/>
          <w:trHeight w:val="300"/>
          <w:jc w:val="center"/>
        </w:trPr>
        <w:tc>
          <w:tcPr>
            <w:cnfStyle w:val="001000000000"/>
            <w:tcW w:w="1304" w:type="dxa"/>
            <w:shd w:val="clear" w:color="auto" w:fill="F2F2F2" w:themeFill="background1" w:themeFillShade="F2"/>
            <w:noWrap/>
            <w:vAlign w:val="center"/>
            <w:hideMark/>
          </w:tcPr>
          <w:p w:rsidR="00387A07" w:rsidRPr="00AA03FE" w:rsidRDefault="00387A07" w:rsidP="00387A07">
            <w:pPr>
              <w:rPr>
                <w:rFonts w:ascii="Calibri" w:hAnsi="Calibri" w:cs="Calibri"/>
                <w:color w:val="000000"/>
                <w:lang w:val="it-IT" w:eastAsia="it-IT"/>
              </w:rPr>
            </w:pPr>
            <w:r w:rsidRPr="00AA03FE">
              <w:rPr>
                <w:rFonts w:ascii="Calibri" w:hAnsi="Calibri" w:cs="Calibri"/>
                <w:color w:val="000000"/>
                <w:lang w:val="it-IT" w:eastAsia="it-IT"/>
              </w:rPr>
              <w:t>PCL</w:t>
            </w:r>
          </w:p>
        </w:tc>
        <w:tc>
          <w:tcPr>
            <w:tcW w:w="1134" w:type="dxa"/>
            <w:shd w:val="clear" w:color="auto" w:fill="F2F2F2" w:themeFill="background1" w:themeFillShade="F2"/>
            <w:noWrap/>
            <w:vAlign w:val="center"/>
            <w:hideMark/>
          </w:tcPr>
          <w:p w:rsidR="00387A07" w:rsidRPr="00AA03FE" w:rsidRDefault="00387A07" w:rsidP="00387A07">
            <w:pPr>
              <w:cnfStyle w:val="000000100000"/>
              <w:rPr>
                <w:rFonts w:ascii="Calibri" w:hAnsi="Calibri" w:cs="Calibri"/>
                <w:color w:val="auto"/>
                <w:lang w:val="it-IT" w:eastAsia="it-IT"/>
              </w:rPr>
            </w:pPr>
            <w:r w:rsidRPr="00AA03FE">
              <w:rPr>
                <w:rFonts w:ascii="Calibri" w:hAnsi="Calibri" w:cs="Calibri"/>
                <w:color w:val="auto"/>
                <w:lang w:val="it-IT" w:eastAsia="it-IT"/>
              </w:rPr>
              <w:t>30.0 ± 3.7</w:t>
            </w:r>
          </w:p>
        </w:tc>
      </w:tr>
      <w:tr w:rsidR="00387A07" w:rsidRPr="00AA03FE" w:rsidTr="00387A07">
        <w:trPr>
          <w:trHeight w:val="300"/>
          <w:jc w:val="center"/>
        </w:trPr>
        <w:tc>
          <w:tcPr>
            <w:cnfStyle w:val="001000000000"/>
            <w:tcW w:w="1304" w:type="dxa"/>
            <w:shd w:val="clear" w:color="auto" w:fill="F2F2F2" w:themeFill="background1" w:themeFillShade="F2"/>
            <w:noWrap/>
            <w:vAlign w:val="center"/>
            <w:hideMark/>
          </w:tcPr>
          <w:p w:rsidR="00387A07" w:rsidRPr="00AA03FE" w:rsidRDefault="00387A07" w:rsidP="00387A07">
            <w:pPr>
              <w:rPr>
                <w:rFonts w:ascii="Calibri" w:hAnsi="Calibri" w:cs="Calibri"/>
                <w:color w:val="000000"/>
                <w:lang w:val="it-IT" w:eastAsia="it-IT"/>
              </w:rPr>
            </w:pPr>
            <w:r w:rsidRPr="00AA03FE">
              <w:rPr>
                <w:rFonts w:ascii="Calibri" w:hAnsi="Calibri" w:cs="Calibri"/>
                <w:color w:val="000000"/>
                <w:lang w:val="it-IT" w:eastAsia="it-IT"/>
              </w:rPr>
              <w:t>PLA</w:t>
            </w:r>
          </w:p>
        </w:tc>
        <w:tc>
          <w:tcPr>
            <w:tcW w:w="1134" w:type="dxa"/>
            <w:shd w:val="clear" w:color="auto" w:fill="F2F2F2" w:themeFill="background1" w:themeFillShade="F2"/>
            <w:noWrap/>
            <w:vAlign w:val="center"/>
            <w:hideMark/>
          </w:tcPr>
          <w:p w:rsidR="00387A07" w:rsidRPr="00AA03FE" w:rsidRDefault="00387A07" w:rsidP="00387A07">
            <w:pPr>
              <w:cnfStyle w:val="000000000000"/>
              <w:rPr>
                <w:rFonts w:ascii="Calibri" w:hAnsi="Calibri" w:cs="Calibri"/>
                <w:color w:val="auto"/>
                <w:lang w:val="it-IT" w:eastAsia="it-IT"/>
              </w:rPr>
            </w:pPr>
            <w:r w:rsidRPr="00AA03FE">
              <w:rPr>
                <w:rFonts w:ascii="Calibri" w:hAnsi="Calibri" w:cs="Calibri"/>
                <w:color w:val="auto"/>
                <w:lang w:val="it-IT" w:eastAsia="it-IT"/>
              </w:rPr>
              <w:t>45.0 ± 4.5</w:t>
            </w:r>
          </w:p>
        </w:tc>
      </w:tr>
      <w:tr w:rsidR="00387A07" w:rsidRPr="00AA03FE" w:rsidTr="00387A07">
        <w:trPr>
          <w:cnfStyle w:val="000000100000"/>
          <w:trHeight w:val="300"/>
          <w:jc w:val="center"/>
        </w:trPr>
        <w:tc>
          <w:tcPr>
            <w:cnfStyle w:val="001000000000"/>
            <w:tcW w:w="1304" w:type="dxa"/>
            <w:shd w:val="clear" w:color="auto" w:fill="F2F2F2" w:themeFill="background1" w:themeFillShade="F2"/>
            <w:noWrap/>
            <w:vAlign w:val="center"/>
            <w:hideMark/>
          </w:tcPr>
          <w:p w:rsidR="00387A07" w:rsidRPr="00AA03FE" w:rsidRDefault="00387A07" w:rsidP="00387A07">
            <w:pPr>
              <w:rPr>
                <w:rFonts w:ascii="Calibri" w:hAnsi="Calibri" w:cs="Calibri"/>
                <w:color w:val="000000"/>
                <w:lang w:val="it-IT" w:eastAsia="it-IT"/>
              </w:rPr>
            </w:pPr>
            <w:r w:rsidRPr="00AA03FE">
              <w:rPr>
                <w:rFonts w:ascii="Calibri" w:hAnsi="Calibri" w:cs="Calibri"/>
                <w:color w:val="000000"/>
                <w:lang w:val="it-IT" w:eastAsia="it-IT"/>
              </w:rPr>
              <w:t>C-BC2000</w:t>
            </w:r>
          </w:p>
        </w:tc>
        <w:tc>
          <w:tcPr>
            <w:tcW w:w="1134" w:type="dxa"/>
            <w:shd w:val="clear" w:color="auto" w:fill="F2F2F2" w:themeFill="background1" w:themeFillShade="F2"/>
            <w:noWrap/>
            <w:vAlign w:val="center"/>
            <w:hideMark/>
          </w:tcPr>
          <w:p w:rsidR="00387A07" w:rsidRPr="00AA03FE" w:rsidRDefault="00387A07" w:rsidP="00387A07">
            <w:pPr>
              <w:cnfStyle w:val="000000100000"/>
              <w:rPr>
                <w:rFonts w:ascii="Calibri" w:hAnsi="Calibri" w:cs="Calibri"/>
                <w:color w:val="auto"/>
                <w:lang w:val="it-IT" w:eastAsia="it-IT"/>
              </w:rPr>
            </w:pPr>
            <w:r w:rsidRPr="00AA03FE">
              <w:rPr>
                <w:rFonts w:ascii="Calibri" w:hAnsi="Calibri" w:cs="Calibri"/>
                <w:color w:val="auto"/>
                <w:lang w:val="it-IT" w:eastAsia="it-IT"/>
              </w:rPr>
              <w:t>33.8 ± 4.2</w:t>
            </w:r>
          </w:p>
        </w:tc>
      </w:tr>
      <w:tr w:rsidR="00387A07" w:rsidRPr="00AA03FE" w:rsidTr="00387A07">
        <w:trPr>
          <w:trHeight w:val="300"/>
          <w:jc w:val="center"/>
        </w:trPr>
        <w:tc>
          <w:tcPr>
            <w:cnfStyle w:val="001000000000"/>
            <w:tcW w:w="1304" w:type="dxa"/>
            <w:shd w:val="clear" w:color="auto" w:fill="F2F2F2" w:themeFill="background1" w:themeFillShade="F2"/>
            <w:noWrap/>
            <w:vAlign w:val="center"/>
            <w:hideMark/>
          </w:tcPr>
          <w:p w:rsidR="00387A07" w:rsidRPr="00AA03FE" w:rsidRDefault="00387A07" w:rsidP="00387A07">
            <w:pPr>
              <w:rPr>
                <w:rFonts w:ascii="Calibri" w:hAnsi="Calibri" w:cs="Calibri"/>
                <w:color w:val="000000"/>
                <w:lang w:val="it-IT" w:eastAsia="it-IT"/>
              </w:rPr>
            </w:pPr>
            <w:r w:rsidRPr="00AA03FE">
              <w:rPr>
                <w:rFonts w:ascii="Calibri" w:hAnsi="Calibri" w:cs="Calibri"/>
                <w:color w:val="000000"/>
                <w:lang w:val="it-IT" w:eastAsia="it-IT"/>
              </w:rPr>
              <w:t>NS-BC2000</w:t>
            </w:r>
          </w:p>
        </w:tc>
        <w:tc>
          <w:tcPr>
            <w:tcW w:w="1134" w:type="dxa"/>
            <w:shd w:val="clear" w:color="auto" w:fill="F2F2F2" w:themeFill="background1" w:themeFillShade="F2"/>
            <w:noWrap/>
            <w:vAlign w:val="center"/>
            <w:hideMark/>
          </w:tcPr>
          <w:p w:rsidR="00387A07" w:rsidRPr="00AA03FE" w:rsidRDefault="00387A07" w:rsidP="00387A07">
            <w:pPr>
              <w:cnfStyle w:val="000000000000"/>
              <w:rPr>
                <w:rFonts w:ascii="Calibri" w:hAnsi="Calibri" w:cs="Calibri"/>
                <w:color w:val="auto"/>
                <w:lang w:val="it-IT" w:eastAsia="it-IT"/>
              </w:rPr>
            </w:pPr>
            <w:r w:rsidRPr="00AA03FE">
              <w:rPr>
                <w:rFonts w:ascii="Calibri" w:hAnsi="Calibri" w:cs="Calibri"/>
                <w:color w:val="auto"/>
                <w:lang w:val="it-IT" w:eastAsia="it-IT"/>
              </w:rPr>
              <w:t>38.9 ± 9.3</w:t>
            </w:r>
          </w:p>
        </w:tc>
      </w:tr>
      <w:tr w:rsidR="00387A07" w:rsidRPr="00AA03FE" w:rsidTr="00387A07">
        <w:trPr>
          <w:cnfStyle w:val="000000100000"/>
          <w:trHeight w:val="300"/>
          <w:jc w:val="center"/>
        </w:trPr>
        <w:tc>
          <w:tcPr>
            <w:cnfStyle w:val="001000000000"/>
            <w:tcW w:w="1304" w:type="dxa"/>
            <w:shd w:val="clear" w:color="auto" w:fill="F2F2F2" w:themeFill="background1" w:themeFillShade="F2"/>
            <w:noWrap/>
            <w:vAlign w:val="center"/>
            <w:hideMark/>
          </w:tcPr>
          <w:p w:rsidR="00387A07" w:rsidRPr="00AA03FE" w:rsidRDefault="00387A07" w:rsidP="00387A07">
            <w:pPr>
              <w:rPr>
                <w:rFonts w:ascii="Calibri" w:hAnsi="Calibri" w:cs="Calibri"/>
                <w:color w:val="000000"/>
                <w:lang w:val="it-IT" w:eastAsia="it-IT"/>
              </w:rPr>
            </w:pPr>
            <w:r w:rsidRPr="00AA03FE">
              <w:rPr>
                <w:rFonts w:ascii="Calibri" w:hAnsi="Calibri" w:cs="Calibri"/>
                <w:color w:val="000000"/>
                <w:lang w:val="it-IT" w:eastAsia="it-IT"/>
              </w:rPr>
              <w:t>PLGA</w:t>
            </w:r>
          </w:p>
        </w:tc>
        <w:tc>
          <w:tcPr>
            <w:tcW w:w="1134" w:type="dxa"/>
            <w:shd w:val="clear" w:color="auto" w:fill="F2F2F2" w:themeFill="background1" w:themeFillShade="F2"/>
            <w:noWrap/>
            <w:vAlign w:val="center"/>
            <w:hideMark/>
          </w:tcPr>
          <w:p w:rsidR="00387A07" w:rsidRPr="00AA03FE" w:rsidRDefault="00387A07" w:rsidP="00387A07">
            <w:pPr>
              <w:cnfStyle w:val="000000100000"/>
              <w:rPr>
                <w:rFonts w:ascii="Calibri" w:hAnsi="Calibri" w:cs="Calibri"/>
                <w:color w:val="auto"/>
                <w:lang w:val="it-IT" w:eastAsia="it-IT"/>
              </w:rPr>
            </w:pPr>
            <w:r w:rsidRPr="00AA03FE">
              <w:rPr>
                <w:rFonts w:ascii="Calibri" w:hAnsi="Calibri" w:cs="Calibri"/>
                <w:color w:val="auto"/>
                <w:lang w:val="it-IT" w:eastAsia="it-IT"/>
              </w:rPr>
              <w:t>55.7 ± 6.4</w:t>
            </w:r>
          </w:p>
        </w:tc>
      </w:tr>
    </w:tbl>
    <w:p w:rsidR="00387A07" w:rsidRPr="00AA03FE" w:rsidRDefault="00387A07" w:rsidP="00387A07">
      <w:pPr>
        <w:pStyle w:val="Didascalia"/>
      </w:pPr>
      <w:r w:rsidRPr="00AA03FE">
        <w:t xml:space="preserve">Table 3. </w:t>
      </w:r>
      <w:fldSimple w:instr=" SEQ Table_3. \* ARABIC ">
        <w:r w:rsidRPr="00AA03FE">
          <w:rPr>
            <w:noProof/>
          </w:rPr>
          <w:t>7</w:t>
        </w:r>
      </w:fldSimple>
      <w:r w:rsidRPr="00AA03FE">
        <w:t xml:space="preserve">  Encapsulation efficiency calculated according to eq. 3.1. Results are expressed as mean ± SD (n=3).</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PLGA showed the highest encapsulation efficiency (55.7 ± 6.4 %), while all other samples displayed similar values, ranging from 33.8 ± 4.2 for C-BC2000 to 45.0 ± 4.5 for PLA nanoparticles.</w:t>
      </w:r>
    </w:p>
    <w:p w:rsidR="00387A07" w:rsidRPr="00AA03FE" w:rsidRDefault="00387A07" w:rsidP="00387A07">
      <w:pPr>
        <w:spacing w:line="360" w:lineRule="auto"/>
        <w:jc w:val="both"/>
        <w:rPr>
          <w:rFonts w:ascii="Arial" w:hAnsi="Arial" w:cs="Arial"/>
          <w:sz w:val="24"/>
          <w:szCs w:val="24"/>
        </w:rPr>
      </w:pPr>
      <w:r w:rsidRPr="00AA03FE">
        <w:rPr>
          <w:rFonts w:ascii="Arial" w:hAnsi="Arial" w:cs="Arial"/>
          <w:sz w:val="24"/>
          <w:szCs w:val="24"/>
        </w:rPr>
        <w:t>This result again shows that our polyesterurethanes are good candidates as matrix-forming materials for nanoparticles.</w:t>
      </w:r>
    </w:p>
    <w:p w:rsidR="00387A07" w:rsidRPr="00AA03FE" w:rsidRDefault="00387A07" w:rsidP="00387A07">
      <w:pPr>
        <w:spacing w:before="240" w:after="240" w:line="360" w:lineRule="auto"/>
        <w:jc w:val="both"/>
        <w:rPr>
          <w:rFonts w:ascii="Arial" w:hAnsi="Arial" w:cs="Arial"/>
          <w:b/>
          <w:sz w:val="24"/>
          <w:szCs w:val="24"/>
        </w:rPr>
      </w:pPr>
      <w:r w:rsidRPr="00AA03FE">
        <w:rPr>
          <w:rFonts w:ascii="Arial" w:hAnsi="Arial" w:cs="Arial"/>
          <w:b/>
          <w:sz w:val="24"/>
          <w:szCs w:val="24"/>
        </w:rPr>
        <w:lastRenderedPageBreak/>
        <w:t>3.3.4 Particles morphology (SEM)</w:t>
      </w:r>
    </w:p>
    <w:p w:rsidR="00387A07" w:rsidRPr="00AA03FE" w:rsidRDefault="00387A07" w:rsidP="00387A07">
      <w:pPr>
        <w:spacing w:before="240" w:after="240" w:line="360" w:lineRule="auto"/>
        <w:jc w:val="both"/>
        <w:rPr>
          <w:rFonts w:ascii="Arial" w:hAnsi="Arial" w:cs="Arial"/>
          <w:sz w:val="24"/>
          <w:szCs w:val="24"/>
        </w:rPr>
      </w:pPr>
      <w:r w:rsidRPr="00AA03FE">
        <w:rPr>
          <w:rFonts w:ascii="Arial" w:hAnsi="Arial" w:cs="Arial"/>
          <w:sz w:val="24"/>
          <w:szCs w:val="24"/>
        </w:rPr>
        <w:t>Morphology of nanoparticles prepared with the five different materials has been investigated by means of scanning electron microscopy. Figure 3.7 reports SEM micrographs for plain nanoparticles, which show good spherical morphology and negligible coalescence, regardless of the carrier material.</w:t>
      </w:r>
    </w:p>
    <w:p w:rsidR="00387A07" w:rsidRPr="00AA03FE" w:rsidRDefault="00387A07" w:rsidP="00387A07">
      <w:pPr>
        <w:spacing w:before="240" w:after="240" w:line="360" w:lineRule="auto"/>
        <w:jc w:val="both"/>
        <w:rPr>
          <w:rFonts w:ascii="Arial" w:hAnsi="Arial" w:cs="Arial"/>
          <w:sz w:val="24"/>
          <w:szCs w:val="24"/>
        </w:rPr>
      </w:pPr>
      <w:r w:rsidRPr="00AA03FE">
        <w:rPr>
          <w:rFonts w:ascii="Arial" w:hAnsi="Arial" w:cs="Arial"/>
          <w:noProof/>
          <w:sz w:val="24"/>
          <w:szCs w:val="24"/>
          <w:lang w:val="it-IT" w:eastAsia="it-IT"/>
        </w:rPr>
        <w:drawing>
          <wp:inline distT="0" distB="0" distL="0" distR="0">
            <wp:extent cx="5353050" cy="5842793"/>
            <wp:effectExtent l="19050" t="0" r="0" b="0"/>
            <wp:docPr id="146" name="Immagine 0" descr="SEMC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C3.png"/>
                    <pic:cNvPicPr/>
                  </pic:nvPicPr>
                  <pic:blipFill>
                    <a:blip r:embed="rId48"/>
                    <a:stretch>
                      <a:fillRect/>
                    </a:stretch>
                  </pic:blipFill>
                  <pic:spPr>
                    <a:xfrm>
                      <a:off x="0" y="0"/>
                      <a:ext cx="5353050" cy="5842793"/>
                    </a:xfrm>
                    <a:prstGeom prst="rect">
                      <a:avLst/>
                    </a:prstGeom>
                  </pic:spPr>
                </pic:pic>
              </a:graphicData>
            </a:graphic>
          </wp:inline>
        </w:drawing>
      </w:r>
    </w:p>
    <w:p w:rsidR="00387A07" w:rsidRPr="00AA03FE" w:rsidRDefault="00387A07" w:rsidP="00387A07">
      <w:pPr>
        <w:pStyle w:val="Didascalia"/>
      </w:pPr>
      <w:r w:rsidRPr="00AA03FE">
        <w:t xml:space="preserve">Figure 3. </w:t>
      </w:r>
      <w:fldSimple w:instr=" SEQ Figure_3. \* ARABIC ">
        <w:r w:rsidRPr="00AA03FE">
          <w:rPr>
            <w:noProof/>
          </w:rPr>
          <w:t>7</w:t>
        </w:r>
      </w:fldSimple>
      <w:r w:rsidRPr="00AA03FE">
        <w:t xml:space="preserve"> SEM micrographs of nanoparticles prepared with different materials: A) PLGA; B) PCL; C) PLA; D) C-BC2000 and E) NS-BC2000.</w:t>
      </w:r>
    </w:p>
    <w:p w:rsidR="00387A07" w:rsidRPr="00AA03FE" w:rsidRDefault="00387A07" w:rsidP="00387A07"/>
    <w:p w:rsidR="00387A07" w:rsidRPr="00AA03FE" w:rsidRDefault="00387A07" w:rsidP="00387A07"/>
    <w:p w:rsidR="00387A07" w:rsidRPr="00AA03FE" w:rsidRDefault="00387A07" w:rsidP="00387A07"/>
    <w:p w:rsidR="00387A07" w:rsidRPr="00AA03FE" w:rsidRDefault="00387A07" w:rsidP="00387A07">
      <w:pPr>
        <w:spacing w:before="240" w:after="240" w:line="360" w:lineRule="auto"/>
        <w:jc w:val="both"/>
        <w:rPr>
          <w:rFonts w:ascii="Arial" w:hAnsi="Arial" w:cs="Arial"/>
          <w:b/>
          <w:sz w:val="24"/>
          <w:szCs w:val="24"/>
        </w:rPr>
      </w:pPr>
      <w:r w:rsidRPr="00AA03FE">
        <w:rPr>
          <w:rFonts w:ascii="Arial" w:hAnsi="Arial" w:cs="Arial"/>
          <w:b/>
          <w:sz w:val="24"/>
          <w:szCs w:val="24"/>
        </w:rPr>
        <w:lastRenderedPageBreak/>
        <w:t xml:space="preserve">3.3.5 Surface decoration </w:t>
      </w:r>
    </w:p>
    <w:p w:rsidR="00387A07" w:rsidRPr="00AA03FE" w:rsidRDefault="00387A07" w:rsidP="00387A07">
      <w:pPr>
        <w:spacing w:before="240" w:after="240" w:line="360" w:lineRule="auto"/>
        <w:jc w:val="both"/>
        <w:rPr>
          <w:rFonts w:ascii="Arial" w:hAnsi="Arial" w:cs="Arial"/>
          <w:b/>
          <w:sz w:val="24"/>
          <w:szCs w:val="24"/>
        </w:rPr>
      </w:pPr>
      <w:r w:rsidRPr="00AA03FE">
        <w:rPr>
          <w:rFonts w:ascii="Arial" w:hAnsi="Arial" w:cs="Arial"/>
          <w:b/>
          <w:sz w:val="24"/>
          <w:szCs w:val="24"/>
        </w:rPr>
        <w:t>3.3.5.1 Effect of the incubation time</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 xml:space="preserve">The optimal incubation time for surface decoration was determined for PLGA nanoparticles, by detecting the changes in particles size and zeta potential as well as the amount of antibody present on the surface of the carrier, at three different time points (1h, 6h and 24h). </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These results are summarized in table 3.8 before and after incubation with mAb (n=3).</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Figures 3.3 and 3.9 represent the changes in zeta potential and particles size, respectively.</w:t>
      </w:r>
    </w:p>
    <w:p w:rsidR="00387A07" w:rsidRPr="00AA03FE" w:rsidRDefault="00387A07" w:rsidP="00387A07">
      <w:pPr>
        <w:tabs>
          <w:tab w:val="left" w:pos="5529"/>
        </w:tabs>
        <w:spacing w:line="360" w:lineRule="auto"/>
        <w:jc w:val="center"/>
        <w:rPr>
          <w:rFonts w:ascii="Arial" w:hAnsi="Arial" w:cs="Arial"/>
          <w:sz w:val="24"/>
          <w:szCs w:val="24"/>
        </w:rPr>
      </w:pPr>
      <w:r w:rsidRPr="00AA03FE">
        <w:rPr>
          <w:rFonts w:ascii="Arial" w:hAnsi="Arial" w:cs="Arial"/>
          <w:noProof/>
          <w:sz w:val="24"/>
          <w:szCs w:val="24"/>
          <w:lang w:val="it-IT" w:eastAsia="it-IT"/>
        </w:rPr>
        <w:drawing>
          <wp:inline distT="0" distB="0" distL="0" distR="0">
            <wp:extent cx="3362325" cy="2108888"/>
            <wp:effectExtent l="0" t="0" r="0" b="0"/>
            <wp:docPr id="147" name="Immagine 2" descr="zeta after her adsorp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eta after her adsorption.png"/>
                    <pic:cNvPicPr/>
                  </pic:nvPicPr>
                  <pic:blipFill>
                    <a:blip r:embed="rId49"/>
                    <a:stretch>
                      <a:fillRect/>
                    </a:stretch>
                  </pic:blipFill>
                  <pic:spPr>
                    <a:xfrm>
                      <a:off x="0" y="0"/>
                      <a:ext cx="3362325" cy="2108888"/>
                    </a:xfrm>
                    <a:prstGeom prst="rect">
                      <a:avLst/>
                    </a:prstGeom>
                    <a:ln>
                      <a:noFill/>
                    </a:ln>
                  </pic:spPr>
                </pic:pic>
              </a:graphicData>
            </a:graphic>
          </wp:inline>
        </w:drawing>
      </w:r>
    </w:p>
    <w:p w:rsidR="00387A07" w:rsidRPr="00AA03FE" w:rsidRDefault="00387A07" w:rsidP="00387A07">
      <w:pPr>
        <w:pStyle w:val="Didascalia"/>
        <w:rPr>
          <w:rFonts w:ascii="Arial" w:hAnsi="Arial" w:cs="Arial"/>
          <w:sz w:val="24"/>
          <w:szCs w:val="24"/>
        </w:rPr>
      </w:pPr>
      <w:r w:rsidRPr="00AA03FE">
        <w:t xml:space="preserve">Figure 3. </w:t>
      </w:r>
      <w:fldSimple w:instr=" SEQ Figure_3. \* ARABIC ">
        <w:r w:rsidRPr="00AA03FE">
          <w:rPr>
            <w:noProof/>
          </w:rPr>
          <w:t>8</w:t>
        </w:r>
      </w:fldSimple>
      <w:r w:rsidRPr="00AA03FE">
        <w:t xml:space="preserve"> Changes in the zeta potential of PLGA nanoparticles after different incubation time-points in the presence of Herceptin</w:t>
      </w:r>
    </w:p>
    <w:p w:rsidR="00387A07" w:rsidRPr="00AA03FE" w:rsidRDefault="00387A07" w:rsidP="00387A07">
      <w:pPr>
        <w:tabs>
          <w:tab w:val="left" w:pos="5529"/>
        </w:tabs>
        <w:spacing w:line="360" w:lineRule="auto"/>
        <w:jc w:val="center"/>
        <w:rPr>
          <w:rFonts w:ascii="Arial" w:hAnsi="Arial" w:cs="Arial"/>
          <w:sz w:val="24"/>
          <w:szCs w:val="24"/>
        </w:rPr>
      </w:pPr>
      <w:r w:rsidRPr="00AA03FE">
        <w:rPr>
          <w:rFonts w:ascii="Arial" w:hAnsi="Arial" w:cs="Arial"/>
          <w:noProof/>
          <w:sz w:val="24"/>
          <w:szCs w:val="24"/>
          <w:lang w:val="it-IT" w:eastAsia="it-IT"/>
        </w:rPr>
        <w:drawing>
          <wp:inline distT="0" distB="0" distL="0" distR="0">
            <wp:extent cx="3419475" cy="2055322"/>
            <wp:effectExtent l="0" t="0" r="0" b="0"/>
            <wp:docPr id="148" name="Immagine 7" descr="size after her adsorp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ze after her adsorption.png"/>
                    <pic:cNvPicPr/>
                  </pic:nvPicPr>
                  <pic:blipFill>
                    <a:blip r:embed="rId50"/>
                    <a:stretch>
                      <a:fillRect/>
                    </a:stretch>
                  </pic:blipFill>
                  <pic:spPr>
                    <a:xfrm>
                      <a:off x="0" y="0"/>
                      <a:ext cx="3428571" cy="2060789"/>
                    </a:xfrm>
                    <a:prstGeom prst="rect">
                      <a:avLst/>
                    </a:prstGeom>
                    <a:ln>
                      <a:noFill/>
                    </a:ln>
                  </pic:spPr>
                </pic:pic>
              </a:graphicData>
            </a:graphic>
          </wp:inline>
        </w:drawing>
      </w:r>
    </w:p>
    <w:p w:rsidR="00387A07" w:rsidRPr="00AA03FE" w:rsidRDefault="00387A07" w:rsidP="00387A07">
      <w:pPr>
        <w:pStyle w:val="Didascalia"/>
        <w:rPr>
          <w:rFonts w:ascii="Arial" w:hAnsi="Arial" w:cs="Arial"/>
          <w:sz w:val="24"/>
          <w:szCs w:val="24"/>
        </w:rPr>
      </w:pPr>
      <w:r w:rsidRPr="00AA03FE">
        <w:t xml:space="preserve">Figure 3. </w:t>
      </w:r>
      <w:fldSimple w:instr=" SEQ Figure_3. \* ARABIC ">
        <w:r w:rsidRPr="00AA03FE">
          <w:rPr>
            <w:noProof/>
          </w:rPr>
          <w:t>9</w:t>
        </w:r>
      </w:fldSimple>
      <w:r w:rsidRPr="00AA03FE">
        <w:t xml:space="preserve"> Size measurements for PLGA nanoparticles after different incubation time-points in the presence of Herceptin</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The increase in mean particles diameter and surface charge of nanoparticles after incubation in the presence of the protein suggest that the surface has been successfully decorated with the antibody, as reported by other authors [20,26].</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 xml:space="preserve">The mean diameter increases with increasing incubation time for PLGA nanoparticles. </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lastRenderedPageBreak/>
        <w:t>After one hour of incubation a sudden increase of the surface charge of nanoparticles is observed, which goes from –24.4mV to a slightly positive value of 1.4 mV. No further increase can be detected after increasing the incubation time.</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The amount of adsorbed Herceptin on the surface of nanoparticles, determined by standard Bradford assay, increases with increasing incubation time, as shown in figure 3.10.</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All this considered, an incubation time of 6 hours was selected to prepare surface-decorated nanoparticles with the other four polymers.</w:t>
      </w:r>
    </w:p>
    <w:p w:rsidR="00387A07" w:rsidRPr="00AA03FE" w:rsidRDefault="00387A07" w:rsidP="00387A07">
      <w:pPr>
        <w:spacing w:line="360" w:lineRule="auto"/>
        <w:jc w:val="center"/>
        <w:rPr>
          <w:rFonts w:ascii="Arial" w:hAnsi="Arial" w:cs="Arial"/>
          <w:sz w:val="24"/>
          <w:szCs w:val="24"/>
        </w:rPr>
      </w:pPr>
      <w:r w:rsidRPr="00AA03FE">
        <w:rPr>
          <w:rFonts w:ascii="Arial" w:hAnsi="Arial" w:cs="Arial"/>
          <w:noProof/>
          <w:sz w:val="24"/>
          <w:szCs w:val="24"/>
          <w:lang w:val="it-IT" w:eastAsia="it-IT"/>
        </w:rPr>
        <w:drawing>
          <wp:inline distT="0" distB="0" distL="0" distR="0">
            <wp:extent cx="3457575" cy="2183973"/>
            <wp:effectExtent l="0" t="0" r="0" b="0"/>
            <wp:docPr id="149" name="Immagine 9" descr="amount of her adsorb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ount of her adsorbed.png"/>
                    <pic:cNvPicPr/>
                  </pic:nvPicPr>
                  <pic:blipFill>
                    <a:blip r:embed="rId51"/>
                    <a:stretch>
                      <a:fillRect/>
                    </a:stretch>
                  </pic:blipFill>
                  <pic:spPr>
                    <a:xfrm>
                      <a:off x="0" y="0"/>
                      <a:ext cx="3459302" cy="2185064"/>
                    </a:xfrm>
                    <a:prstGeom prst="rect">
                      <a:avLst/>
                    </a:prstGeom>
                    <a:ln>
                      <a:noFill/>
                    </a:ln>
                  </pic:spPr>
                </pic:pic>
              </a:graphicData>
            </a:graphic>
          </wp:inline>
        </w:drawing>
      </w:r>
    </w:p>
    <w:p w:rsidR="00387A07" w:rsidRPr="00AA03FE" w:rsidRDefault="00387A07" w:rsidP="00387A07">
      <w:pPr>
        <w:pStyle w:val="Didascalia"/>
      </w:pPr>
      <w:r w:rsidRPr="00AA03FE">
        <w:t xml:space="preserve">Figure 3. </w:t>
      </w:r>
      <w:fldSimple w:instr=" SEQ Figure_3. \* ARABIC ">
        <w:r w:rsidRPr="00AA03FE">
          <w:rPr>
            <w:noProof/>
          </w:rPr>
          <w:t>10</w:t>
        </w:r>
      </w:fldSimple>
      <w:r w:rsidRPr="00AA03FE">
        <w:t xml:space="preserve"> Amount of Herceptin absorbed on the surface of PLGA nanoparticles at different incubation times.</w:t>
      </w:r>
    </w:p>
    <w:tbl>
      <w:tblPr>
        <w:tblStyle w:val="Grigliatabella"/>
        <w:tblpPr w:leftFromText="141" w:rightFromText="141" w:vertAnchor="text" w:horzAnchor="page" w:tblpXSpec="center" w:tblpY="73"/>
        <w:tblW w:w="0" w:type="auto"/>
        <w:tblBorders>
          <w:insideH w:val="none" w:sz="0" w:space="0" w:color="auto"/>
          <w:insideV w:val="none" w:sz="0" w:space="0" w:color="auto"/>
        </w:tblBorders>
        <w:shd w:val="clear" w:color="auto" w:fill="F2F2F2" w:themeFill="background1" w:themeFillShade="F2"/>
        <w:tblLook w:val="04A0"/>
      </w:tblPr>
      <w:tblGrid>
        <w:gridCol w:w="1809"/>
        <w:gridCol w:w="1644"/>
        <w:gridCol w:w="1134"/>
        <w:gridCol w:w="1304"/>
        <w:gridCol w:w="1304"/>
      </w:tblGrid>
      <w:tr w:rsidR="00387A07" w:rsidRPr="00AA03FE" w:rsidTr="00387A07">
        <w:trPr>
          <w:trHeight w:val="510"/>
        </w:trPr>
        <w:tc>
          <w:tcPr>
            <w:tcW w:w="1809" w:type="dxa"/>
            <w:tcBorders>
              <w:top w:val="single" w:sz="4" w:space="0" w:color="000000" w:themeColor="text1"/>
              <w:left w:val="nil"/>
              <w:bottom w:val="single" w:sz="4" w:space="0" w:color="auto"/>
            </w:tcBorders>
            <w:shd w:val="clear" w:color="auto" w:fill="F2F2F2" w:themeFill="background1" w:themeFillShade="F2"/>
            <w:vAlign w:val="center"/>
          </w:tcPr>
          <w:p w:rsidR="00387A07" w:rsidRPr="00AA03FE" w:rsidRDefault="00387A07" w:rsidP="00387A07">
            <w:pPr>
              <w:jc w:val="center"/>
              <w:rPr>
                <w:rFonts w:cstheme="minorHAnsi"/>
                <w:b/>
              </w:rPr>
            </w:pPr>
            <w:r w:rsidRPr="00AA03FE">
              <w:rPr>
                <w:rFonts w:cstheme="minorHAnsi"/>
                <w:b/>
              </w:rPr>
              <w:t>Incubation time (h)</w:t>
            </w:r>
          </w:p>
        </w:tc>
        <w:tc>
          <w:tcPr>
            <w:tcW w:w="1644" w:type="dxa"/>
            <w:tcBorders>
              <w:top w:val="single" w:sz="4" w:space="0" w:color="000000" w:themeColor="text1"/>
              <w:bottom w:val="single" w:sz="4" w:space="0" w:color="auto"/>
            </w:tcBorders>
            <w:shd w:val="clear" w:color="auto" w:fill="F2F2F2" w:themeFill="background1" w:themeFillShade="F2"/>
            <w:vAlign w:val="center"/>
          </w:tcPr>
          <w:p w:rsidR="00387A07" w:rsidRPr="00AA03FE" w:rsidRDefault="00387A07" w:rsidP="00387A07">
            <w:pPr>
              <w:jc w:val="center"/>
              <w:rPr>
                <w:rFonts w:cstheme="minorHAnsi"/>
                <w:b/>
              </w:rPr>
            </w:pPr>
            <w:r w:rsidRPr="00AA03FE">
              <w:rPr>
                <w:rFonts w:cstheme="minorHAnsi"/>
                <w:b/>
              </w:rPr>
              <w:t>Adsorbed HER (µg)</w:t>
            </w:r>
          </w:p>
        </w:tc>
        <w:tc>
          <w:tcPr>
            <w:tcW w:w="1134" w:type="dxa"/>
            <w:tcBorders>
              <w:top w:val="single" w:sz="4" w:space="0" w:color="000000" w:themeColor="text1"/>
              <w:bottom w:val="single" w:sz="4" w:space="0" w:color="auto"/>
            </w:tcBorders>
            <w:shd w:val="clear" w:color="auto" w:fill="F2F2F2" w:themeFill="background1" w:themeFillShade="F2"/>
            <w:vAlign w:val="center"/>
          </w:tcPr>
          <w:p w:rsidR="00387A07" w:rsidRPr="00AA03FE" w:rsidRDefault="00387A07" w:rsidP="00387A07">
            <w:pPr>
              <w:jc w:val="center"/>
              <w:rPr>
                <w:rFonts w:cstheme="minorHAnsi"/>
                <w:b/>
              </w:rPr>
            </w:pPr>
            <w:r w:rsidRPr="00AA03FE">
              <w:rPr>
                <w:rFonts w:cstheme="minorHAnsi"/>
                <w:b/>
              </w:rPr>
              <w:t>Size [nm]</w:t>
            </w:r>
          </w:p>
        </w:tc>
        <w:tc>
          <w:tcPr>
            <w:tcW w:w="1304" w:type="dxa"/>
            <w:tcBorders>
              <w:top w:val="single" w:sz="4" w:space="0" w:color="000000" w:themeColor="text1"/>
              <w:bottom w:val="single" w:sz="4" w:space="0" w:color="auto"/>
            </w:tcBorders>
            <w:shd w:val="clear" w:color="auto" w:fill="F2F2F2" w:themeFill="background1" w:themeFillShade="F2"/>
            <w:vAlign w:val="center"/>
          </w:tcPr>
          <w:p w:rsidR="00387A07" w:rsidRPr="00AA03FE" w:rsidRDefault="00387A07" w:rsidP="00387A07">
            <w:pPr>
              <w:jc w:val="center"/>
              <w:rPr>
                <w:rFonts w:cstheme="minorHAnsi"/>
                <w:b/>
              </w:rPr>
            </w:pPr>
            <w:r w:rsidRPr="00AA03FE">
              <w:rPr>
                <w:rFonts w:cstheme="minorHAnsi"/>
                <w:b/>
              </w:rPr>
              <w:t>PDI</w:t>
            </w:r>
          </w:p>
        </w:tc>
        <w:tc>
          <w:tcPr>
            <w:tcW w:w="1304" w:type="dxa"/>
            <w:tcBorders>
              <w:top w:val="single" w:sz="4" w:space="0" w:color="000000" w:themeColor="text1"/>
              <w:bottom w:val="single" w:sz="4" w:space="0" w:color="auto"/>
              <w:right w:val="nil"/>
            </w:tcBorders>
            <w:shd w:val="clear" w:color="auto" w:fill="F2F2F2" w:themeFill="background1" w:themeFillShade="F2"/>
            <w:vAlign w:val="center"/>
          </w:tcPr>
          <w:p w:rsidR="00387A07" w:rsidRPr="00AA03FE" w:rsidRDefault="00387A07" w:rsidP="00387A07">
            <w:pPr>
              <w:jc w:val="center"/>
              <w:rPr>
                <w:rFonts w:cstheme="minorHAnsi"/>
                <w:b/>
              </w:rPr>
            </w:pPr>
            <w:r w:rsidRPr="00AA03FE">
              <w:rPr>
                <w:rFonts w:cstheme="minorHAnsi"/>
                <w:b/>
              </w:rPr>
              <w:t>Zeta Pot. [mV]</w:t>
            </w:r>
          </w:p>
        </w:tc>
      </w:tr>
      <w:tr w:rsidR="00387A07" w:rsidRPr="00AA03FE" w:rsidTr="00387A07">
        <w:trPr>
          <w:trHeight w:val="227"/>
        </w:trPr>
        <w:tc>
          <w:tcPr>
            <w:tcW w:w="1809" w:type="dxa"/>
            <w:tcBorders>
              <w:top w:val="single" w:sz="4" w:space="0" w:color="auto"/>
              <w:left w:val="nil"/>
              <w:bottom w:val="nil"/>
            </w:tcBorders>
            <w:shd w:val="clear" w:color="auto" w:fill="F2F2F2" w:themeFill="background1" w:themeFillShade="F2"/>
            <w:vAlign w:val="center"/>
          </w:tcPr>
          <w:p w:rsidR="00387A07" w:rsidRPr="00AA03FE" w:rsidRDefault="00387A07" w:rsidP="00387A07">
            <w:pPr>
              <w:jc w:val="center"/>
              <w:rPr>
                <w:rFonts w:cstheme="minorHAnsi"/>
                <w:b/>
              </w:rPr>
            </w:pPr>
            <w:r w:rsidRPr="00AA03FE">
              <w:rPr>
                <w:rFonts w:cstheme="minorHAnsi"/>
                <w:b/>
              </w:rPr>
              <w:t>1</w:t>
            </w:r>
          </w:p>
        </w:tc>
        <w:tc>
          <w:tcPr>
            <w:tcW w:w="1644" w:type="dxa"/>
            <w:tcBorders>
              <w:top w:val="single" w:sz="4" w:space="0" w:color="auto"/>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0.5 </w:t>
            </w:r>
            <w:r w:rsidRPr="00AA03FE">
              <w:rPr>
                <w:rFonts w:cstheme="minorHAnsi"/>
                <w:color w:val="000000"/>
              </w:rPr>
              <w:t>± 0.3</w:t>
            </w:r>
          </w:p>
        </w:tc>
        <w:tc>
          <w:tcPr>
            <w:tcW w:w="1134" w:type="dxa"/>
            <w:tcBorders>
              <w:top w:val="single" w:sz="4" w:space="0" w:color="auto"/>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220 </w:t>
            </w:r>
            <w:r w:rsidRPr="00AA03FE">
              <w:rPr>
                <w:rFonts w:cstheme="minorHAnsi"/>
                <w:color w:val="000000"/>
              </w:rPr>
              <w:t>± 4</w:t>
            </w:r>
          </w:p>
        </w:tc>
        <w:tc>
          <w:tcPr>
            <w:tcW w:w="1304" w:type="dxa"/>
            <w:tcBorders>
              <w:top w:val="single" w:sz="4" w:space="0" w:color="auto"/>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0.14 </w:t>
            </w:r>
            <w:r w:rsidRPr="00AA03FE">
              <w:rPr>
                <w:rFonts w:cstheme="minorHAnsi"/>
                <w:color w:val="000000"/>
              </w:rPr>
              <w:t>± 0.01</w:t>
            </w:r>
          </w:p>
        </w:tc>
        <w:tc>
          <w:tcPr>
            <w:tcW w:w="1304" w:type="dxa"/>
            <w:tcBorders>
              <w:top w:val="single" w:sz="4" w:space="0" w:color="auto"/>
              <w:bottom w:val="nil"/>
              <w:right w:val="nil"/>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1.4 </w:t>
            </w:r>
            <w:r w:rsidRPr="00AA03FE">
              <w:rPr>
                <w:rFonts w:cstheme="minorHAnsi"/>
                <w:color w:val="000000"/>
              </w:rPr>
              <w:t>± 0.2</w:t>
            </w:r>
          </w:p>
        </w:tc>
      </w:tr>
      <w:tr w:rsidR="00387A07" w:rsidRPr="00AA03FE" w:rsidTr="00387A07">
        <w:trPr>
          <w:trHeight w:val="227"/>
        </w:trPr>
        <w:tc>
          <w:tcPr>
            <w:tcW w:w="1809" w:type="dxa"/>
            <w:tcBorders>
              <w:top w:val="nil"/>
              <w:left w:val="nil"/>
              <w:bottom w:val="nil"/>
            </w:tcBorders>
            <w:shd w:val="clear" w:color="auto" w:fill="F2F2F2" w:themeFill="background1" w:themeFillShade="F2"/>
            <w:vAlign w:val="center"/>
          </w:tcPr>
          <w:p w:rsidR="00387A07" w:rsidRPr="00AA03FE" w:rsidRDefault="00387A07" w:rsidP="00387A07">
            <w:pPr>
              <w:jc w:val="center"/>
              <w:rPr>
                <w:rFonts w:cstheme="minorHAnsi"/>
                <w:b/>
              </w:rPr>
            </w:pPr>
            <w:r w:rsidRPr="00AA03FE">
              <w:rPr>
                <w:rFonts w:cstheme="minorHAnsi"/>
                <w:b/>
              </w:rPr>
              <w:t>6</w:t>
            </w:r>
          </w:p>
        </w:tc>
        <w:tc>
          <w:tcPr>
            <w:tcW w:w="1644" w:type="dxa"/>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0.7 </w:t>
            </w:r>
            <w:r w:rsidRPr="00AA03FE">
              <w:rPr>
                <w:rFonts w:cstheme="minorHAnsi"/>
                <w:color w:val="000000"/>
              </w:rPr>
              <w:t>± 0.5</w:t>
            </w:r>
          </w:p>
        </w:tc>
        <w:tc>
          <w:tcPr>
            <w:tcW w:w="1134" w:type="dxa"/>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242 </w:t>
            </w:r>
            <w:r w:rsidRPr="00AA03FE">
              <w:rPr>
                <w:rFonts w:cstheme="minorHAnsi"/>
                <w:color w:val="000000"/>
              </w:rPr>
              <w:t>± 2</w:t>
            </w:r>
          </w:p>
        </w:tc>
        <w:tc>
          <w:tcPr>
            <w:tcW w:w="1304" w:type="dxa"/>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0.17 </w:t>
            </w:r>
            <w:r w:rsidRPr="00AA03FE">
              <w:rPr>
                <w:rFonts w:cstheme="minorHAnsi"/>
                <w:color w:val="000000"/>
              </w:rPr>
              <w:t>± 0.03</w:t>
            </w:r>
          </w:p>
        </w:tc>
        <w:tc>
          <w:tcPr>
            <w:tcW w:w="1304" w:type="dxa"/>
            <w:tcBorders>
              <w:top w:val="nil"/>
              <w:bottom w:val="nil"/>
              <w:right w:val="nil"/>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-0.4 </w:t>
            </w:r>
            <w:r w:rsidRPr="00AA03FE">
              <w:rPr>
                <w:rFonts w:cstheme="minorHAnsi"/>
                <w:color w:val="000000"/>
              </w:rPr>
              <w:t>± 0.1</w:t>
            </w:r>
          </w:p>
        </w:tc>
      </w:tr>
      <w:tr w:rsidR="00387A07" w:rsidRPr="00AA03FE" w:rsidTr="00387A07">
        <w:trPr>
          <w:trHeight w:val="227"/>
        </w:trPr>
        <w:tc>
          <w:tcPr>
            <w:tcW w:w="1809" w:type="dxa"/>
            <w:tcBorders>
              <w:top w:val="nil"/>
              <w:left w:val="nil"/>
              <w:bottom w:val="single" w:sz="4" w:space="0" w:color="000000" w:themeColor="text1"/>
            </w:tcBorders>
            <w:shd w:val="clear" w:color="auto" w:fill="F2F2F2" w:themeFill="background1" w:themeFillShade="F2"/>
            <w:vAlign w:val="center"/>
          </w:tcPr>
          <w:p w:rsidR="00387A07" w:rsidRPr="00AA03FE" w:rsidRDefault="00387A07" w:rsidP="00387A07">
            <w:pPr>
              <w:jc w:val="center"/>
              <w:rPr>
                <w:rFonts w:cstheme="minorHAnsi"/>
                <w:b/>
              </w:rPr>
            </w:pPr>
            <w:r w:rsidRPr="00AA03FE">
              <w:rPr>
                <w:rFonts w:cstheme="minorHAnsi"/>
                <w:b/>
              </w:rPr>
              <w:t>24</w:t>
            </w:r>
          </w:p>
        </w:tc>
        <w:tc>
          <w:tcPr>
            <w:tcW w:w="1644" w:type="dxa"/>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1.8 </w:t>
            </w:r>
            <w:r w:rsidRPr="00AA03FE">
              <w:rPr>
                <w:rFonts w:cstheme="minorHAnsi"/>
                <w:color w:val="000000"/>
              </w:rPr>
              <w:t>± 0.9</w:t>
            </w:r>
          </w:p>
        </w:tc>
        <w:tc>
          <w:tcPr>
            <w:tcW w:w="1134" w:type="dxa"/>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240 </w:t>
            </w:r>
            <w:r w:rsidRPr="00AA03FE">
              <w:rPr>
                <w:rFonts w:cstheme="minorHAnsi"/>
                <w:color w:val="000000"/>
              </w:rPr>
              <w:t>± 3</w:t>
            </w:r>
          </w:p>
        </w:tc>
        <w:tc>
          <w:tcPr>
            <w:tcW w:w="1304" w:type="dxa"/>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0.15 </w:t>
            </w:r>
            <w:r w:rsidRPr="00AA03FE">
              <w:rPr>
                <w:rFonts w:cstheme="minorHAnsi"/>
                <w:color w:val="000000"/>
              </w:rPr>
              <w:t>± 0.02</w:t>
            </w:r>
          </w:p>
        </w:tc>
        <w:tc>
          <w:tcPr>
            <w:tcW w:w="1304" w:type="dxa"/>
            <w:tcBorders>
              <w:top w:val="nil"/>
              <w:bottom w:val="single" w:sz="4" w:space="0" w:color="000000" w:themeColor="text1"/>
              <w:right w:val="nil"/>
            </w:tcBorders>
            <w:shd w:val="clear" w:color="auto" w:fill="F2F2F2" w:themeFill="background1" w:themeFillShade="F2"/>
            <w:vAlign w:val="center"/>
          </w:tcPr>
          <w:p w:rsidR="00387A07" w:rsidRPr="00AA03FE" w:rsidRDefault="00387A07" w:rsidP="00387A07">
            <w:pPr>
              <w:jc w:val="center"/>
              <w:rPr>
                <w:rFonts w:cstheme="minorHAnsi"/>
              </w:rPr>
            </w:pPr>
            <w:r w:rsidRPr="00AA03FE">
              <w:rPr>
                <w:rFonts w:cstheme="minorHAnsi"/>
              </w:rPr>
              <w:t xml:space="preserve">-0.2 </w:t>
            </w:r>
            <w:r w:rsidRPr="00AA03FE">
              <w:rPr>
                <w:rFonts w:cstheme="minorHAnsi"/>
                <w:color w:val="000000"/>
              </w:rPr>
              <w:t>±0.1</w:t>
            </w:r>
          </w:p>
        </w:tc>
      </w:tr>
    </w:tbl>
    <w:p w:rsidR="00387A07" w:rsidRPr="00AA03FE" w:rsidRDefault="00387A07" w:rsidP="00387A07">
      <w:pPr>
        <w:spacing w:line="360" w:lineRule="auto"/>
        <w:rPr>
          <w:rFonts w:ascii="Arial" w:hAnsi="Arial" w:cs="Arial"/>
          <w:sz w:val="24"/>
          <w:szCs w:val="24"/>
        </w:rPr>
      </w:pPr>
    </w:p>
    <w:p w:rsidR="00387A07" w:rsidRPr="00AA03FE" w:rsidRDefault="00387A07" w:rsidP="00387A07">
      <w:pPr>
        <w:spacing w:line="360" w:lineRule="auto"/>
        <w:rPr>
          <w:rFonts w:ascii="Arial" w:hAnsi="Arial" w:cs="Arial"/>
          <w:sz w:val="24"/>
          <w:szCs w:val="24"/>
        </w:rPr>
      </w:pPr>
    </w:p>
    <w:p w:rsidR="00387A07" w:rsidRPr="00AA03FE" w:rsidRDefault="00387A07" w:rsidP="00387A07">
      <w:pPr>
        <w:pStyle w:val="Didascalia"/>
      </w:pPr>
    </w:p>
    <w:p w:rsidR="00387A07" w:rsidRPr="00AA03FE" w:rsidRDefault="00387A07" w:rsidP="00387A07">
      <w:pPr>
        <w:pStyle w:val="Didascalia"/>
        <w:rPr>
          <w:rFonts w:ascii="Arial" w:hAnsi="Arial" w:cs="Arial"/>
          <w:sz w:val="24"/>
          <w:szCs w:val="24"/>
        </w:rPr>
      </w:pPr>
      <w:r w:rsidRPr="00AA03FE">
        <w:t xml:space="preserve">Table 3. </w:t>
      </w:r>
      <w:fldSimple w:instr=" SEQ Table_3. \* ARABIC ">
        <w:r w:rsidRPr="00AA03FE">
          <w:rPr>
            <w:noProof/>
          </w:rPr>
          <w:t>8</w:t>
        </w:r>
      </w:fldSimple>
      <w:r w:rsidRPr="00AA03FE">
        <w:t xml:space="preserve"> Size, PDI, zeta potential after and amount of herceptin on the surface of nps after different incubation times in the presence of monoclonal antibody.</w:t>
      </w:r>
    </w:p>
    <w:p w:rsidR="00387A07" w:rsidRPr="00AA03FE" w:rsidRDefault="00387A07" w:rsidP="00387A07">
      <w:pPr>
        <w:spacing w:before="200" w:line="360" w:lineRule="auto"/>
        <w:rPr>
          <w:rFonts w:ascii="Arial" w:hAnsi="Arial" w:cs="Arial"/>
          <w:b/>
          <w:sz w:val="24"/>
          <w:szCs w:val="24"/>
        </w:rPr>
      </w:pPr>
      <w:r w:rsidRPr="00AA03FE">
        <w:rPr>
          <w:rFonts w:ascii="Arial" w:hAnsi="Arial" w:cs="Arial"/>
          <w:b/>
          <w:sz w:val="24"/>
          <w:szCs w:val="24"/>
        </w:rPr>
        <w:t>3.3.5.2 Preparation of Her-coated nanoparticles</w:t>
      </w:r>
    </w:p>
    <w:p w:rsidR="00387A07" w:rsidRPr="00AA03FE" w:rsidRDefault="00387A07" w:rsidP="00387A07">
      <w:pPr>
        <w:spacing w:before="120" w:after="0" w:line="360" w:lineRule="auto"/>
        <w:jc w:val="both"/>
        <w:rPr>
          <w:rFonts w:ascii="Arial" w:hAnsi="Arial" w:cs="Arial"/>
          <w:sz w:val="24"/>
          <w:szCs w:val="24"/>
        </w:rPr>
      </w:pPr>
      <w:r w:rsidRPr="00AA03FE">
        <w:rPr>
          <w:rFonts w:ascii="Arial" w:hAnsi="Arial" w:cs="Arial"/>
          <w:sz w:val="24"/>
          <w:szCs w:val="24"/>
        </w:rPr>
        <w:t xml:space="preserve">Size and zeta potential analysis was performed on particles prepared with all five polymers before and after 6 hours of incubation in the presence of Herceptin. Results are summarized in table 3.9 and show that in every case the surface charge of nanoparticles changed towards less negative values. </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 xml:space="preserve">This indicates that the surface decoration was achieved successfully, as confirmed by the increase of the mean diameter. </w:t>
      </w:r>
    </w:p>
    <w:p w:rsidR="00387A07" w:rsidRPr="00AA03FE" w:rsidRDefault="00387A07" w:rsidP="00387A07">
      <w:pPr>
        <w:spacing w:before="120" w:line="360" w:lineRule="auto"/>
        <w:jc w:val="both"/>
        <w:rPr>
          <w:rFonts w:ascii="Arial" w:hAnsi="Arial" w:cs="Arial"/>
          <w:sz w:val="24"/>
          <w:szCs w:val="24"/>
        </w:rPr>
      </w:pPr>
    </w:p>
    <w:p w:rsidR="00387A07" w:rsidRPr="00AA03FE" w:rsidRDefault="00387A07" w:rsidP="00387A07">
      <w:pPr>
        <w:spacing w:before="120" w:line="360" w:lineRule="auto"/>
        <w:jc w:val="both"/>
        <w:rPr>
          <w:rFonts w:ascii="Arial" w:hAnsi="Arial" w:cs="Arial"/>
          <w:sz w:val="24"/>
          <w:szCs w:val="24"/>
        </w:rPr>
      </w:pPr>
    </w:p>
    <w:tbl>
      <w:tblPr>
        <w:tblStyle w:val="Grigliatabella"/>
        <w:tblW w:w="9326" w:type="dxa"/>
        <w:jc w:val="center"/>
        <w:tblInd w:w="108" w:type="dxa"/>
        <w:tblBorders>
          <w:insideH w:val="none" w:sz="0" w:space="0" w:color="auto"/>
          <w:insideV w:val="none" w:sz="0" w:space="0" w:color="auto"/>
        </w:tblBorders>
        <w:shd w:val="clear" w:color="auto" w:fill="F2F2F2" w:themeFill="background1" w:themeFillShade="F2"/>
        <w:tblLook w:val="04A0"/>
      </w:tblPr>
      <w:tblGrid>
        <w:gridCol w:w="1247"/>
        <w:gridCol w:w="1020"/>
        <w:gridCol w:w="1247"/>
        <w:gridCol w:w="1191"/>
        <w:gridCol w:w="9"/>
        <w:gridCol w:w="1008"/>
        <w:gridCol w:w="1235"/>
        <w:gridCol w:w="12"/>
        <w:gridCol w:w="1077"/>
        <w:gridCol w:w="56"/>
        <w:gridCol w:w="1224"/>
      </w:tblGrid>
      <w:tr w:rsidR="00387A07" w:rsidRPr="00AA03FE" w:rsidTr="00387A07">
        <w:trPr>
          <w:trHeight w:val="300"/>
          <w:jc w:val="center"/>
        </w:trPr>
        <w:tc>
          <w:tcPr>
            <w:tcW w:w="1247" w:type="dxa"/>
            <w:vMerge w:val="restart"/>
            <w:tcBorders>
              <w:top w:val="single" w:sz="4" w:space="0" w:color="000000" w:themeColor="text1"/>
              <w:left w:val="nil"/>
              <w:bottom w:val="nil"/>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lastRenderedPageBreak/>
              <w:t>MATERIAL</w:t>
            </w:r>
          </w:p>
        </w:tc>
        <w:tc>
          <w:tcPr>
            <w:tcW w:w="3467" w:type="dxa"/>
            <w:gridSpan w:val="4"/>
            <w:tcBorders>
              <w:top w:val="single" w:sz="4" w:space="0" w:color="000000" w:themeColor="text1"/>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Plain particles</w:t>
            </w:r>
          </w:p>
        </w:tc>
        <w:tc>
          <w:tcPr>
            <w:tcW w:w="4612" w:type="dxa"/>
            <w:gridSpan w:val="6"/>
            <w:tcBorders>
              <w:top w:val="single" w:sz="4" w:space="0" w:color="000000" w:themeColor="text1"/>
              <w:left w:val="single" w:sz="4" w:space="0" w:color="auto"/>
              <w:bottom w:val="single" w:sz="4" w:space="0" w:color="auto"/>
              <w:right w:val="nil"/>
            </w:tcBorders>
            <w:shd w:val="clear" w:color="auto" w:fill="F2F2F2" w:themeFill="background1" w:themeFillShade="F2"/>
            <w:vAlign w:val="center"/>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HER coated particles</w:t>
            </w:r>
          </w:p>
        </w:tc>
      </w:tr>
      <w:tr w:rsidR="00387A07" w:rsidRPr="00AA03FE" w:rsidTr="00387A07">
        <w:trPr>
          <w:trHeight w:val="397"/>
          <w:jc w:val="center"/>
        </w:trPr>
        <w:tc>
          <w:tcPr>
            <w:tcW w:w="1247" w:type="dxa"/>
            <w:vMerge/>
            <w:tcBorders>
              <w:top w:val="nil"/>
              <w:left w:val="nil"/>
              <w:bottom w:val="single" w:sz="4" w:space="0" w:color="auto"/>
            </w:tcBorders>
            <w:shd w:val="clear" w:color="auto" w:fill="F2F2F2" w:themeFill="background1" w:themeFillShade="F2"/>
            <w:noWrap/>
            <w:hideMark/>
          </w:tcPr>
          <w:p w:rsidR="00387A07" w:rsidRPr="00AA03FE" w:rsidRDefault="00387A07" w:rsidP="00387A07">
            <w:pPr>
              <w:jc w:val="center"/>
              <w:rPr>
                <w:rFonts w:cstheme="minorHAnsi"/>
                <w:b/>
                <w:color w:val="000000"/>
                <w:lang w:eastAsia="it-IT"/>
              </w:rPr>
            </w:pPr>
          </w:p>
        </w:tc>
        <w:tc>
          <w:tcPr>
            <w:tcW w:w="1020" w:type="dxa"/>
            <w:tcBorders>
              <w:top w:val="single" w:sz="4" w:space="0" w:color="auto"/>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Size [nm]</w:t>
            </w:r>
          </w:p>
        </w:tc>
        <w:tc>
          <w:tcPr>
            <w:tcW w:w="1247" w:type="dxa"/>
            <w:tcBorders>
              <w:top w:val="single" w:sz="4" w:space="0" w:color="auto"/>
              <w:bottom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PDI</w:t>
            </w:r>
          </w:p>
        </w:tc>
        <w:tc>
          <w:tcPr>
            <w:tcW w:w="1191" w:type="dxa"/>
            <w:tcBorders>
              <w:top w:val="single" w:sz="4" w:space="0" w:color="auto"/>
              <w:bottom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Zeta Pot.</w:t>
            </w:r>
          </w:p>
          <w:p w:rsidR="00387A07" w:rsidRPr="00AA03FE" w:rsidRDefault="00387A07" w:rsidP="00387A07">
            <w:pPr>
              <w:jc w:val="center"/>
              <w:rPr>
                <w:rFonts w:cstheme="minorHAnsi"/>
                <w:b/>
                <w:color w:val="000000"/>
                <w:lang w:eastAsia="it-IT"/>
              </w:rPr>
            </w:pPr>
            <w:r w:rsidRPr="00AA03FE">
              <w:rPr>
                <w:rFonts w:cstheme="minorHAnsi"/>
                <w:b/>
                <w:color w:val="000000"/>
                <w:lang w:eastAsia="it-IT"/>
              </w:rPr>
              <w:t>[mV]</w:t>
            </w:r>
          </w:p>
        </w:tc>
        <w:tc>
          <w:tcPr>
            <w:tcW w:w="1017" w:type="dxa"/>
            <w:gridSpan w:val="2"/>
            <w:tcBorders>
              <w:top w:val="single" w:sz="4" w:space="0" w:color="auto"/>
              <w:left w:val="single" w:sz="4" w:space="0" w:color="auto"/>
              <w:bottom w:val="single" w:sz="4" w:space="0" w:color="auto"/>
            </w:tcBorders>
            <w:shd w:val="clear" w:color="auto" w:fill="F2F2F2" w:themeFill="background1" w:themeFillShade="F2"/>
            <w:vAlign w:val="center"/>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Size  [nm]</w:t>
            </w:r>
          </w:p>
        </w:tc>
        <w:tc>
          <w:tcPr>
            <w:tcW w:w="1235" w:type="dxa"/>
            <w:tcBorders>
              <w:top w:val="single" w:sz="4" w:space="0" w:color="auto"/>
              <w:bottom w:val="single" w:sz="4" w:space="0" w:color="auto"/>
            </w:tcBorders>
            <w:shd w:val="clear" w:color="auto" w:fill="F2F2F2" w:themeFill="background1" w:themeFillShade="F2"/>
            <w:vAlign w:val="center"/>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PDI</w:t>
            </w:r>
          </w:p>
        </w:tc>
        <w:tc>
          <w:tcPr>
            <w:tcW w:w="1145" w:type="dxa"/>
            <w:gridSpan w:val="3"/>
            <w:tcBorders>
              <w:top w:val="single" w:sz="4" w:space="0" w:color="auto"/>
              <w:bottom w:val="single" w:sz="4" w:space="0" w:color="auto"/>
              <w:right w:val="nil"/>
            </w:tcBorders>
            <w:shd w:val="clear" w:color="auto" w:fill="F2F2F2" w:themeFill="background1" w:themeFillShade="F2"/>
            <w:vAlign w:val="center"/>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Zeta Pot.</w:t>
            </w:r>
          </w:p>
          <w:p w:rsidR="00387A07" w:rsidRPr="00AA03FE" w:rsidRDefault="00387A07" w:rsidP="00387A07">
            <w:pPr>
              <w:jc w:val="center"/>
              <w:rPr>
                <w:rFonts w:cstheme="minorHAnsi"/>
                <w:b/>
                <w:color w:val="000000"/>
                <w:lang w:eastAsia="it-IT"/>
              </w:rPr>
            </w:pPr>
            <w:r w:rsidRPr="00AA03FE">
              <w:rPr>
                <w:rFonts w:cstheme="minorHAnsi"/>
                <w:b/>
                <w:color w:val="000000"/>
                <w:lang w:eastAsia="it-IT"/>
              </w:rPr>
              <w:t>[mV]</w:t>
            </w:r>
          </w:p>
        </w:tc>
        <w:tc>
          <w:tcPr>
            <w:tcW w:w="1224" w:type="dxa"/>
            <w:tcBorders>
              <w:top w:val="single" w:sz="4" w:space="0" w:color="auto"/>
              <w:bottom w:val="single" w:sz="4" w:space="0" w:color="auto"/>
              <w:right w:val="nil"/>
            </w:tcBorders>
            <w:shd w:val="clear" w:color="auto" w:fill="F2F2F2" w:themeFill="background1" w:themeFillShade="F2"/>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 xml:space="preserve">Her on </w:t>
            </w:r>
          </w:p>
          <w:p w:rsidR="00387A07" w:rsidRPr="00AA03FE" w:rsidRDefault="00387A07" w:rsidP="00387A07">
            <w:pPr>
              <w:jc w:val="center"/>
              <w:rPr>
                <w:rFonts w:cstheme="minorHAnsi"/>
                <w:b/>
                <w:color w:val="000000"/>
                <w:lang w:eastAsia="it-IT"/>
              </w:rPr>
            </w:pPr>
            <w:r w:rsidRPr="00AA03FE">
              <w:rPr>
                <w:rFonts w:cstheme="minorHAnsi"/>
                <w:b/>
                <w:color w:val="000000"/>
                <w:lang w:eastAsia="it-IT"/>
              </w:rPr>
              <w:t xml:space="preserve"> surface (</w:t>
            </w:r>
            <w:r w:rsidRPr="00AA03FE">
              <w:rPr>
                <w:rFonts w:ascii="Calibri" w:hAnsi="Calibri" w:cs="Calibri"/>
                <w:b/>
                <w:color w:val="000000"/>
                <w:lang w:eastAsia="it-IT"/>
              </w:rPr>
              <w:t>µ</w:t>
            </w:r>
            <w:r w:rsidRPr="00AA03FE">
              <w:rPr>
                <w:rFonts w:cstheme="minorHAnsi"/>
                <w:b/>
                <w:color w:val="000000"/>
                <w:lang w:eastAsia="it-IT"/>
              </w:rPr>
              <w:t>g)</w:t>
            </w:r>
          </w:p>
        </w:tc>
      </w:tr>
      <w:tr w:rsidR="00387A07" w:rsidRPr="00AA03FE" w:rsidTr="00387A07">
        <w:trPr>
          <w:trHeight w:val="300"/>
          <w:jc w:val="center"/>
        </w:trPr>
        <w:tc>
          <w:tcPr>
            <w:tcW w:w="1247" w:type="dxa"/>
            <w:tcBorders>
              <w:top w:val="single" w:sz="4" w:space="0" w:color="auto"/>
              <w:left w:val="nil"/>
              <w:bottom w:val="nil"/>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C-BC2000</w:t>
            </w:r>
          </w:p>
        </w:tc>
        <w:tc>
          <w:tcPr>
            <w:tcW w:w="1020" w:type="dxa"/>
            <w:tcBorders>
              <w:top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197 ± 2</w:t>
            </w:r>
          </w:p>
        </w:tc>
        <w:tc>
          <w:tcPr>
            <w:tcW w:w="1247" w:type="dxa"/>
            <w:tcBorders>
              <w:top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0.11 ± 0.02</w:t>
            </w:r>
          </w:p>
        </w:tc>
        <w:tc>
          <w:tcPr>
            <w:tcW w:w="1191" w:type="dxa"/>
            <w:tcBorders>
              <w:top w:val="single" w:sz="4" w:space="0" w:color="auto"/>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-12.2 ± 0.6</w:t>
            </w:r>
          </w:p>
        </w:tc>
        <w:tc>
          <w:tcPr>
            <w:tcW w:w="1017" w:type="dxa"/>
            <w:gridSpan w:val="2"/>
            <w:tcBorders>
              <w:top w:val="single" w:sz="4" w:space="0" w:color="auto"/>
              <w:left w:val="single" w:sz="4" w:space="0" w:color="auto"/>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201 </w:t>
            </w:r>
            <w:r w:rsidRPr="00AA03FE">
              <w:rPr>
                <w:rFonts w:cstheme="minorHAnsi"/>
                <w:color w:val="000000"/>
              </w:rPr>
              <w:t>± 2</w:t>
            </w:r>
          </w:p>
        </w:tc>
        <w:tc>
          <w:tcPr>
            <w:tcW w:w="1247" w:type="dxa"/>
            <w:gridSpan w:val="2"/>
            <w:tcBorders>
              <w:top w:val="single" w:sz="4" w:space="0" w:color="auto"/>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0.12 </w:t>
            </w:r>
            <w:r w:rsidRPr="00AA03FE">
              <w:rPr>
                <w:rFonts w:cstheme="minorHAnsi"/>
                <w:color w:val="000000"/>
              </w:rPr>
              <w:t>±0.05</w:t>
            </w:r>
          </w:p>
        </w:tc>
        <w:tc>
          <w:tcPr>
            <w:tcW w:w="1077" w:type="dxa"/>
            <w:tcBorders>
              <w:top w:val="single" w:sz="4" w:space="0" w:color="auto"/>
              <w:bottom w:val="nil"/>
              <w:right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-5.3 </w:t>
            </w:r>
            <w:r w:rsidRPr="00AA03FE">
              <w:rPr>
                <w:rFonts w:cstheme="minorHAnsi"/>
                <w:color w:val="000000"/>
              </w:rPr>
              <w:t>± 0.4</w:t>
            </w:r>
          </w:p>
        </w:tc>
        <w:tc>
          <w:tcPr>
            <w:tcW w:w="1280" w:type="dxa"/>
            <w:gridSpan w:val="2"/>
            <w:tcBorders>
              <w:top w:val="single" w:sz="4" w:space="0" w:color="auto"/>
              <w:bottom w:val="nil"/>
              <w:right w:val="nil"/>
            </w:tcBorders>
            <w:shd w:val="clear" w:color="auto" w:fill="F2F2F2" w:themeFill="background1" w:themeFillShade="F2"/>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1.3 </w:t>
            </w:r>
            <w:r w:rsidRPr="00AA03FE">
              <w:rPr>
                <w:rFonts w:ascii="Calibri" w:hAnsi="Calibri" w:cs="Calibri"/>
                <w:color w:val="000000"/>
                <w:lang w:eastAsia="it-IT"/>
              </w:rPr>
              <w:t>± 0.8</w:t>
            </w:r>
          </w:p>
        </w:tc>
      </w:tr>
      <w:tr w:rsidR="00387A07" w:rsidRPr="00AA03FE" w:rsidTr="00387A07">
        <w:trPr>
          <w:trHeight w:val="300"/>
          <w:jc w:val="center"/>
        </w:trPr>
        <w:tc>
          <w:tcPr>
            <w:tcW w:w="1247" w:type="dxa"/>
            <w:tcBorders>
              <w:top w:val="nil"/>
              <w:left w:val="nil"/>
              <w:bottom w:val="nil"/>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NS-BC2000</w:t>
            </w:r>
          </w:p>
        </w:tc>
        <w:tc>
          <w:tcPr>
            <w:tcW w:w="1020" w:type="dxa"/>
            <w:tcBorders>
              <w:bottom w:val="nil"/>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178 ± 1</w:t>
            </w:r>
          </w:p>
        </w:tc>
        <w:tc>
          <w:tcPr>
            <w:tcW w:w="1247" w:type="dxa"/>
            <w:tcBorders>
              <w:bottom w:val="nil"/>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0.11 ± 0.03</w:t>
            </w:r>
          </w:p>
        </w:tc>
        <w:tc>
          <w:tcPr>
            <w:tcW w:w="1191" w:type="dxa"/>
            <w:tcBorders>
              <w:bottom w:val="nil"/>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-9.4 ± 0.4</w:t>
            </w:r>
          </w:p>
        </w:tc>
        <w:tc>
          <w:tcPr>
            <w:tcW w:w="1017" w:type="dxa"/>
            <w:gridSpan w:val="2"/>
            <w:tcBorders>
              <w:left w:val="single" w:sz="4" w:space="0" w:color="auto"/>
              <w:bottom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223 </w:t>
            </w:r>
            <w:r w:rsidRPr="00AA03FE">
              <w:rPr>
                <w:rFonts w:cstheme="minorHAnsi"/>
                <w:color w:val="000000"/>
              </w:rPr>
              <w:t>± 12</w:t>
            </w:r>
          </w:p>
        </w:tc>
        <w:tc>
          <w:tcPr>
            <w:tcW w:w="1247" w:type="dxa"/>
            <w:gridSpan w:val="2"/>
            <w:tcBorders>
              <w:bottom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0.15 </w:t>
            </w:r>
            <w:r w:rsidRPr="00AA03FE">
              <w:rPr>
                <w:rFonts w:cstheme="minorHAnsi"/>
                <w:color w:val="000000"/>
              </w:rPr>
              <w:t>± 0.01</w:t>
            </w:r>
          </w:p>
        </w:tc>
        <w:tc>
          <w:tcPr>
            <w:tcW w:w="1077" w:type="dxa"/>
            <w:tcBorders>
              <w:top w:val="nil"/>
              <w:bottom w:val="nil"/>
              <w:right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-3.5 </w:t>
            </w:r>
            <w:r w:rsidRPr="00AA03FE">
              <w:rPr>
                <w:rFonts w:cstheme="minorHAnsi"/>
                <w:color w:val="000000"/>
              </w:rPr>
              <w:t>± 1.1</w:t>
            </w:r>
          </w:p>
        </w:tc>
        <w:tc>
          <w:tcPr>
            <w:tcW w:w="1280" w:type="dxa"/>
            <w:gridSpan w:val="2"/>
            <w:tcBorders>
              <w:top w:val="nil"/>
              <w:bottom w:val="nil"/>
              <w:right w:val="nil"/>
            </w:tcBorders>
            <w:shd w:val="clear" w:color="auto" w:fill="F2F2F2" w:themeFill="background1" w:themeFillShade="F2"/>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3.9 </w:t>
            </w:r>
            <w:r w:rsidRPr="00AA03FE">
              <w:rPr>
                <w:rFonts w:ascii="Calibri" w:hAnsi="Calibri" w:cs="Calibri"/>
                <w:color w:val="000000"/>
                <w:lang w:eastAsia="it-IT"/>
              </w:rPr>
              <w:t>± 0.6</w:t>
            </w:r>
          </w:p>
        </w:tc>
      </w:tr>
      <w:tr w:rsidR="00387A07" w:rsidRPr="00AA03FE" w:rsidTr="00387A07">
        <w:trPr>
          <w:trHeight w:val="300"/>
          <w:jc w:val="center"/>
        </w:trPr>
        <w:tc>
          <w:tcPr>
            <w:tcW w:w="1247" w:type="dxa"/>
            <w:tcBorders>
              <w:top w:val="nil"/>
              <w:left w:val="nil"/>
              <w:bottom w:val="nil"/>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PCL</w:t>
            </w:r>
          </w:p>
        </w:tc>
        <w:tc>
          <w:tcPr>
            <w:tcW w:w="1020" w:type="dxa"/>
            <w:tcBorders>
              <w:top w:val="nil"/>
              <w:bottom w:val="nil"/>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204 ± 3</w:t>
            </w:r>
          </w:p>
        </w:tc>
        <w:tc>
          <w:tcPr>
            <w:tcW w:w="1247" w:type="dxa"/>
            <w:tcBorders>
              <w:top w:val="nil"/>
              <w:bottom w:val="nil"/>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0.06 ± 0.01</w:t>
            </w:r>
          </w:p>
        </w:tc>
        <w:tc>
          <w:tcPr>
            <w:tcW w:w="1191" w:type="dxa"/>
            <w:tcBorders>
              <w:top w:val="nil"/>
              <w:bottom w:val="nil"/>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-9.6 ± 0.4</w:t>
            </w:r>
          </w:p>
        </w:tc>
        <w:tc>
          <w:tcPr>
            <w:tcW w:w="1017" w:type="dxa"/>
            <w:gridSpan w:val="2"/>
            <w:tcBorders>
              <w:top w:val="nil"/>
              <w:left w:val="single" w:sz="4" w:space="0" w:color="auto"/>
              <w:bottom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240 </w:t>
            </w:r>
            <w:r w:rsidRPr="00AA03FE">
              <w:rPr>
                <w:rFonts w:cstheme="minorHAnsi"/>
                <w:color w:val="000000"/>
              </w:rPr>
              <w:t>± 4</w:t>
            </w:r>
          </w:p>
        </w:tc>
        <w:tc>
          <w:tcPr>
            <w:tcW w:w="1247" w:type="dxa"/>
            <w:gridSpan w:val="2"/>
            <w:tcBorders>
              <w:top w:val="nil"/>
              <w:bottom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0.07</w:t>
            </w:r>
            <w:r w:rsidRPr="00AA03FE">
              <w:rPr>
                <w:rFonts w:cstheme="minorHAnsi"/>
                <w:color w:val="000000"/>
              </w:rPr>
              <w:t>±0.01</w:t>
            </w:r>
          </w:p>
        </w:tc>
        <w:tc>
          <w:tcPr>
            <w:tcW w:w="1077" w:type="dxa"/>
            <w:tcBorders>
              <w:top w:val="nil"/>
              <w:bottom w:val="nil"/>
              <w:right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-1.1 </w:t>
            </w:r>
            <w:r w:rsidRPr="00AA03FE">
              <w:rPr>
                <w:rFonts w:cstheme="minorHAnsi"/>
                <w:color w:val="000000"/>
              </w:rPr>
              <w:t>±0.1</w:t>
            </w:r>
          </w:p>
        </w:tc>
        <w:tc>
          <w:tcPr>
            <w:tcW w:w="1280" w:type="dxa"/>
            <w:gridSpan w:val="2"/>
            <w:tcBorders>
              <w:top w:val="nil"/>
              <w:bottom w:val="nil"/>
              <w:right w:val="nil"/>
            </w:tcBorders>
            <w:shd w:val="clear" w:color="auto" w:fill="F2F2F2" w:themeFill="background1" w:themeFillShade="F2"/>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4.2 </w:t>
            </w:r>
            <w:r w:rsidRPr="00AA03FE">
              <w:rPr>
                <w:rFonts w:ascii="Calibri" w:hAnsi="Calibri" w:cs="Calibri"/>
                <w:color w:val="000000"/>
                <w:lang w:eastAsia="it-IT"/>
              </w:rPr>
              <w:t>± 0.6</w:t>
            </w:r>
          </w:p>
        </w:tc>
      </w:tr>
      <w:tr w:rsidR="00387A07" w:rsidRPr="00AA03FE" w:rsidTr="00387A07">
        <w:trPr>
          <w:trHeight w:val="300"/>
          <w:jc w:val="center"/>
        </w:trPr>
        <w:tc>
          <w:tcPr>
            <w:tcW w:w="1247" w:type="dxa"/>
            <w:tcBorders>
              <w:top w:val="nil"/>
              <w:left w:val="nil"/>
              <w:bottom w:val="nil"/>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PLGA</w:t>
            </w:r>
          </w:p>
        </w:tc>
        <w:tc>
          <w:tcPr>
            <w:tcW w:w="1020" w:type="dxa"/>
            <w:tcBorders>
              <w:top w:val="nil"/>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182 ± 1</w:t>
            </w:r>
          </w:p>
        </w:tc>
        <w:tc>
          <w:tcPr>
            <w:tcW w:w="1247" w:type="dxa"/>
            <w:tcBorders>
              <w:top w:val="nil"/>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0.07 ± 0.03</w:t>
            </w:r>
          </w:p>
        </w:tc>
        <w:tc>
          <w:tcPr>
            <w:tcW w:w="1191" w:type="dxa"/>
            <w:tcBorders>
              <w:top w:val="nil"/>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-24.4 ± 0.4</w:t>
            </w:r>
          </w:p>
        </w:tc>
        <w:tc>
          <w:tcPr>
            <w:tcW w:w="1017" w:type="dxa"/>
            <w:gridSpan w:val="2"/>
            <w:tcBorders>
              <w:top w:val="nil"/>
              <w:left w:val="single" w:sz="4" w:space="0" w:color="auto"/>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242 </w:t>
            </w:r>
            <w:r w:rsidRPr="00AA03FE">
              <w:rPr>
                <w:rFonts w:cstheme="minorHAnsi"/>
                <w:color w:val="000000"/>
              </w:rPr>
              <w:t>± 2</w:t>
            </w:r>
          </w:p>
        </w:tc>
        <w:tc>
          <w:tcPr>
            <w:tcW w:w="1247" w:type="dxa"/>
            <w:gridSpan w:val="2"/>
            <w:tcBorders>
              <w:top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0.17 </w:t>
            </w:r>
            <w:r w:rsidRPr="00AA03FE">
              <w:rPr>
                <w:rFonts w:cstheme="minorHAnsi"/>
                <w:color w:val="000000"/>
              </w:rPr>
              <w:t>± 0.03</w:t>
            </w:r>
          </w:p>
        </w:tc>
        <w:tc>
          <w:tcPr>
            <w:tcW w:w="1077" w:type="dxa"/>
            <w:tcBorders>
              <w:top w:val="nil"/>
              <w:bottom w:val="nil"/>
              <w:right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-0.4 </w:t>
            </w:r>
            <w:r w:rsidRPr="00AA03FE">
              <w:rPr>
                <w:rFonts w:cstheme="minorHAnsi"/>
                <w:color w:val="000000"/>
              </w:rPr>
              <w:t>± 0.1</w:t>
            </w:r>
          </w:p>
        </w:tc>
        <w:tc>
          <w:tcPr>
            <w:tcW w:w="1280" w:type="dxa"/>
            <w:gridSpan w:val="2"/>
            <w:tcBorders>
              <w:top w:val="nil"/>
              <w:bottom w:val="nil"/>
              <w:right w:val="nil"/>
            </w:tcBorders>
            <w:shd w:val="clear" w:color="auto" w:fill="F2F2F2" w:themeFill="background1" w:themeFillShade="F2"/>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0.7 </w:t>
            </w:r>
            <w:r w:rsidRPr="00AA03FE">
              <w:rPr>
                <w:rFonts w:ascii="Calibri" w:hAnsi="Calibri" w:cs="Calibri"/>
                <w:color w:val="000000"/>
                <w:lang w:eastAsia="it-IT"/>
              </w:rPr>
              <w:t>± 0.5</w:t>
            </w:r>
          </w:p>
        </w:tc>
      </w:tr>
      <w:tr w:rsidR="00387A07" w:rsidRPr="00AA03FE" w:rsidTr="00387A07">
        <w:trPr>
          <w:trHeight w:val="300"/>
          <w:jc w:val="center"/>
        </w:trPr>
        <w:tc>
          <w:tcPr>
            <w:tcW w:w="1247" w:type="dxa"/>
            <w:tcBorders>
              <w:top w:val="nil"/>
              <w:left w:val="nil"/>
              <w:bottom w:val="single" w:sz="4" w:space="0" w:color="000000" w:themeColor="text1"/>
            </w:tcBorders>
            <w:shd w:val="clear" w:color="auto" w:fill="F2F2F2" w:themeFill="background1" w:themeFillShade="F2"/>
            <w:noWrap/>
            <w:vAlign w:val="center"/>
            <w:hideMark/>
          </w:tcPr>
          <w:p w:rsidR="00387A07" w:rsidRPr="00AA03FE" w:rsidRDefault="00387A07" w:rsidP="00387A07">
            <w:pPr>
              <w:jc w:val="center"/>
              <w:rPr>
                <w:rFonts w:cstheme="minorHAnsi"/>
                <w:b/>
                <w:color w:val="000000"/>
                <w:lang w:eastAsia="it-IT"/>
              </w:rPr>
            </w:pPr>
            <w:r w:rsidRPr="00AA03FE">
              <w:rPr>
                <w:rFonts w:cstheme="minorHAnsi"/>
                <w:b/>
                <w:color w:val="000000"/>
                <w:lang w:eastAsia="it-IT"/>
              </w:rPr>
              <w:t>PLA</w:t>
            </w:r>
          </w:p>
        </w:tc>
        <w:tc>
          <w:tcPr>
            <w:tcW w:w="1020" w:type="dxa"/>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193 ± 2</w:t>
            </w:r>
          </w:p>
        </w:tc>
        <w:tc>
          <w:tcPr>
            <w:tcW w:w="1247" w:type="dxa"/>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0.14 ± 0.02</w:t>
            </w:r>
          </w:p>
        </w:tc>
        <w:tc>
          <w:tcPr>
            <w:tcW w:w="1191" w:type="dxa"/>
            <w:tcBorders>
              <w:bottom w:val="single" w:sz="4" w:space="0" w:color="000000" w:themeColor="text1"/>
              <w:right w:val="single" w:sz="4" w:space="0" w:color="auto"/>
            </w:tcBorders>
            <w:shd w:val="clear" w:color="auto" w:fill="F2F2F2" w:themeFill="background1" w:themeFillShade="F2"/>
            <w:noWrap/>
            <w:vAlign w:val="center"/>
            <w:hideMark/>
          </w:tcPr>
          <w:p w:rsidR="00387A07" w:rsidRPr="00AA03FE" w:rsidRDefault="00387A07" w:rsidP="00387A07">
            <w:pPr>
              <w:jc w:val="center"/>
              <w:rPr>
                <w:rFonts w:cstheme="minorHAnsi"/>
                <w:color w:val="000000"/>
              </w:rPr>
            </w:pPr>
            <w:r w:rsidRPr="00AA03FE">
              <w:rPr>
                <w:rFonts w:cstheme="minorHAnsi"/>
                <w:color w:val="000000"/>
              </w:rPr>
              <w:t>-22.0 ± 0.9</w:t>
            </w:r>
          </w:p>
        </w:tc>
        <w:tc>
          <w:tcPr>
            <w:tcW w:w="1017" w:type="dxa"/>
            <w:gridSpan w:val="2"/>
            <w:tcBorders>
              <w:left w:val="single" w:sz="4" w:space="0" w:color="auto"/>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231 </w:t>
            </w:r>
            <w:r w:rsidRPr="00AA03FE">
              <w:rPr>
                <w:rFonts w:cstheme="minorHAnsi"/>
                <w:color w:val="000000"/>
              </w:rPr>
              <w:t>± 2</w:t>
            </w:r>
          </w:p>
        </w:tc>
        <w:tc>
          <w:tcPr>
            <w:tcW w:w="1247" w:type="dxa"/>
            <w:gridSpan w:val="2"/>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0.13 </w:t>
            </w:r>
            <w:r w:rsidRPr="00AA03FE">
              <w:rPr>
                <w:rFonts w:cstheme="minorHAnsi"/>
                <w:color w:val="000000"/>
              </w:rPr>
              <w:t>± 0.03</w:t>
            </w:r>
          </w:p>
        </w:tc>
        <w:tc>
          <w:tcPr>
            <w:tcW w:w="1077" w:type="dxa"/>
            <w:tcBorders>
              <w:top w:val="nil"/>
              <w:bottom w:val="single" w:sz="4" w:space="0" w:color="000000" w:themeColor="text1"/>
              <w:right w:val="nil"/>
            </w:tcBorders>
            <w:shd w:val="clear" w:color="auto" w:fill="F2F2F2" w:themeFill="background1" w:themeFillShade="F2"/>
            <w:vAlign w:val="center"/>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-0.7 </w:t>
            </w:r>
            <w:r w:rsidRPr="00AA03FE">
              <w:rPr>
                <w:rFonts w:cstheme="minorHAnsi"/>
                <w:color w:val="000000"/>
              </w:rPr>
              <w:t>± 0.1</w:t>
            </w:r>
          </w:p>
        </w:tc>
        <w:tc>
          <w:tcPr>
            <w:tcW w:w="1280" w:type="dxa"/>
            <w:gridSpan w:val="2"/>
            <w:tcBorders>
              <w:top w:val="nil"/>
              <w:bottom w:val="single" w:sz="4" w:space="0" w:color="000000" w:themeColor="text1"/>
              <w:right w:val="nil"/>
            </w:tcBorders>
            <w:shd w:val="clear" w:color="auto" w:fill="F2F2F2" w:themeFill="background1" w:themeFillShade="F2"/>
          </w:tcPr>
          <w:p w:rsidR="00387A07" w:rsidRPr="00AA03FE" w:rsidRDefault="00387A07" w:rsidP="00387A07">
            <w:pPr>
              <w:jc w:val="center"/>
              <w:rPr>
                <w:rFonts w:cstheme="minorHAnsi"/>
                <w:color w:val="000000"/>
                <w:lang w:eastAsia="it-IT"/>
              </w:rPr>
            </w:pPr>
            <w:r w:rsidRPr="00AA03FE">
              <w:rPr>
                <w:rFonts w:cstheme="minorHAnsi"/>
                <w:color w:val="000000"/>
                <w:lang w:eastAsia="it-IT"/>
              </w:rPr>
              <w:t xml:space="preserve">2.5 </w:t>
            </w:r>
            <w:r w:rsidRPr="00AA03FE">
              <w:rPr>
                <w:rFonts w:ascii="Calibri" w:hAnsi="Calibri" w:cs="Calibri"/>
                <w:color w:val="000000"/>
                <w:lang w:eastAsia="it-IT"/>
              </w:rPr>
              <w:t>± 0.2</w:t>
            </w:r>
          </w:p>
        </w:tc>
      </w:tr>
    </w:tbl>
    <w:p w:rsidR="00387A07" w:rsidRPr="00AA03FE" w:rsidRDefault="00387A07" w:rsidP="00387A07">
      <w:pPr>
        <w:pStyle w:val="Didascalia"/>
        <w:spacing w:before="200"/>
        <w:rPr>
          <w:rFonts w:ascii="Arial" w:hAnsi="Arial" w:cs="Arial"/>
          <w:sz w:val="24"/>
          <w:szCs w:val="24"/>
        </w:rPr>
      </w:pPr>
      <w:r w:rsidRPr="00AA03FE">
        <w:t xml:space="preserve">Table 3. </w:t>
      </w:r>
      <w:fldSimple w:instr=" SEQ Table_3. \* ARABIC ">
        <w:r w:rsidRPr="00AA03FE">
          <w:rPr>
            <w:noProof/>
          </w:rPr>
          <w:t>9</w:t>
        </w:r>
      </w:fldSimple>
      <w:r w:rsidRPr="00AA03FE">
        <w:t xml:space="preserve"> Changes in size, PDI and zeta potential of nanoparticles prepared with different polymers, and amount of Herceptin oresent on the surface of the carriers after 6 hours of incubation in the presence of mAb.</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 xml:space="preserve">The amount of Herceptin on the surface of nanoparticles after 6 hours of incubation was also measured for all polymers, showing that </w:t>
      </w:r>
      <w:r w:rsidRPr="00AA03FE">
        <w:rPr>
          <w:rFonts w:ascii="Arial" w:hAnsi="Arial" w:cs="Arial"/>
          <w:sz w:val="24"/>
          <w:szCs w:val="24"/>
          <w:lang w:val="en-US"/>
        </w:rPr>
        <w:t xml:space="preserve">PCL and the polyesterurethane NS-BC2000 exhibit the higher amount of antibody on their surface. Accordingly these two polymers exhibit the higher increment in their mean diameter after surface decoration.   </w:t>
      </w:r>
    </w:p>
    <w:p w:rsidR="00387A07" w:rsidRPr="00AA03FE" w:rsidRDefault="00387A07" w:rsidP="00387A07">
      <w:pPr>
        <w:spacing w:before="240" w:after="240" w:line="360" w:lineRule="auto"/>
        <w:jc w:val="both"/>
        <w:rPr>
          <w:rFonts w:ascii="Arial" w:hAnsi="Arial" w:cs="Arial"/>
          <w:b/>
          <w:sz w:val="24"/>
          <w:szCs w:val="24"/>
          <w:lang w:val="en-US"/>
        </w:rPr>
      </w:pPr>
      <w:r w:rsidRPr="00AA03FE">
        <w:rPr>
          <w:rFonts w:ascii="Arial" w:hAnsi="Arial" w:cs="Arial"/>
          <w:b/>
          <w:sz w:val="24"/>
          <w:szCs w:val="24"/>
          <w:lang w:val="en-US"/>
        </w:rPr>
        <w:t>3.3.6 Drug release profiles</w:t>
      </w:r>
    </w:p>
    <w:p w:rsidR="00387A07" w:rsidRPr="00AA03FE" w:rsidRDefault="00387A07" w:rsidP="00387A07">
      <w:pPr>
        <w:spacing w:before="240" w:after="240" w:line="360" w:lineRule="auto"/>
        <w:jc w:val="both"/>
        <w:rPr>
          <w:rFonts w:ascii="Arial" w:hAnsi="Arial" w:cs="Arial"/>
          <w:sz w:val="24"/>
          <w:szCs w:val="24"/>
          <w:lang w:val="en-US"/>
        </w:rPr>
      </w:pPr>
      <w:r w:rsidRPr="00AA03FE">
        <w:rPr>
          <w:rFonts w:ascii="Arial" w:hAnsi="Arial" w:cs="Arial"/>
          <w:sz w:val="24"/>
          <w:szCs w:val="24"/>
          <w:lang w:val="en-US"/>
        </w:rPr>
        <w:t xml:space="preserve">Figure 3.11 and table 3.10 and 3.11 show the release kinetics and the amount of released drug at each time point, expressed in </w:t>
      </w:r>
      <w:r w:rsidRPr="00AA03FE">
        <w:rPr>
          <w:rFonts w:ascii="Calibri" w:hAnsi="Calibri" w:cs="Calibri"/>
          <w:sz w:val="24"/>
          <w:szCs w:val="24"/>
          <w:lang w:val="en-US"/>
        </w:rPr>
        <w:t>µ</w:t>
      </w:r>
      <w:r w:rsidRPr="00AA03FE">
        <w:rPr>
          <w:rFonts w:ascii="Arial" w:hAnsi="Arial" w:cs="Arial"/>
          <w:sz w:val="24"/>
          <w:szCs w:val="24"/>
          <w:lang w:val="en-US"/>
        </w:rPr>
        <w:t xml:space="preserve">g and as percent of encapsulated drug from HER-coated and uncoated nanoparticles prepared with different polymers. Results for PCL nanoparticles are not reported, since a small release from these carriers was observed only after the first day of incubation for non coated particles. </w:t>
      </w:r>
    </w:p>
    <w:p w:rsidR="00387A07" w:rsidRPr="00AA03FE" w:rsidRDefault="00387A07" w:rsidP="00387A07">
      <w:pPr>
        <w:spacing w:before="240" w:after="240" w:line="360" w:lineRule="auto"/>
        <w:jc w:val="both"/>
        <w:rPr>
          <w:rFonts w:ascii="Arial" w:hAnsi="Arial" w:cs="Arial"/>
          <w:b/>
          <w:sz w:val="24"/>
          <w:szCs w:val="24"/>
          <w:lang w:val="it-IT"/>
        </w:rPr>
      </w:pPr>
      <w:r w:rsidRPr="00AA03FE">
        <w:rPr>
          <w:rFonts w:ascii="Arial" w:hAnsi="Arial" w:cs="Arial"/>
          <w:b/>
          <w:noProof/>
          <w:sz w:val="24"/>
          <w:szCs w:val="24"/>
          <w:lang w:val="it-IT" w:eastAsia="it-IT"/>
        </w:rPr>
        <w:drawing>
          <wp:inline distT="0" distB="0" distL="0" distR="0">
            <wp:extent cx="5975985" cy="3641725"/>
            <wp:effectExtent l="0" t="0" r="0" b="0"/>
            <wp:docPr id="150" name="Immagine 1" descr="rilasci cap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lasci cap 3.png"/>
                    <pic:cNvPicPr/>
                  </pic:nvPicPr>
                  <pic:blipFill>
                    <a:blip r:embed="rId52"/>
                    <a:stretch>
                      <a:fillRect/>
                    </a:stretch>
                  </pic:blipFill>
                  <pic:spPr>
                    <a:xfrm>
                      <a:off x="0" y="0"/>
                      <a:ext cx="5975985" cy="3641725"/>
                    </a:xfrm>
                    <a:prstGeom prst="rect">
                      <a:avLst/>
                    </a:prstGeom>
                  </pic:spPr>
                </pic:pic>
              </a:graphicData>
            </a:graphic>
          </wp:inline>
        </w:drawing>
      </w:r>
    </w:p>
    <w:p w:rsidR="00387A07" w:rsidRPr="00AA03FE" w:rsidRDefault="00387A07" w:rsidP="00387A07">
      <w:pPr>
        <w:pStyle w:val="Didascalia"/>
        <w:rPr>
          <w:rFonts w:ascii="Arial" w:hAnsi="Arial" w:cs="Arial"/>
          <w:b w:val="0"/>
          <w:sz w:val="24"/>
          <w:szCs w:val="24"/>
          <w:lang w:val="en-US"/>
        </w:rPr>
      </w:pPr>
      <w:r w:rsidRPr="00AA03FE">
        <w:rPr>
          <w:lang w:val="en-US"/>
        </w:rPr>
        <w:lastRenderedPageBreak/>
        <w:t xml:space="preserve">Figure 3. </w:t>
      </w:r>
      <w:r w:rsidR="00860AC7" w:rsidRPr="00AA03FE">
        <w:fldChar w:fldCharType="begin"/>
      </w:r>
      <w:r w:rsidRPr="00AA03FE">
        <w:rPr>
          <w:lang w:val="en-US"/>
        </w:rPr>
        <w:instrText xml:space="preserve"> SEQ Figure_3. \* ARABIC </w:instrText>
      </w:r>
      <w:r w:rsidR="00860AC7" w:rsidRPr="00AA03FE">
        <w:fldChar w:fldCharType="separate"/>
      </w:r>
      <w:r w:rsidRPr="00AA03FE">
        <w:rPr>
          <w:noProof/>
          <w:lang w:val="en-US"/>
        </w:rPr>
        <w:t>11</w:t>
      </w:r>
      <w:r w:rsidR="00860AC7" w:rsidRPr="00AA03FE">
        <w:fldChar w:fldCharType="end"/>
      </w:r>
      <w:r w:rsidRPr="00AA03FE">
        <w:rPr>
          <w:lang w:val="en-US"/>
        </w:rPr>
        <w:t xml:space="preserve"> Release profiles from HER-coated and non-coated nanoparticles prepared with different polymers</w:t>
      </w:r>
    </w:p>
    <w:p w:rsidR="00387A07" w:rsidRPr="00AA03FE" w:rsidRDefault="00387A07" w:rsidP="00387A07">
      <w:pPr>
        <w:spacing w:before="120" w:after="0" w:line="360" w:lineRule="auto"/>
        <w:jc w:val="both"/>
        <w:rPr>
          <w:rFonts w:ascii="Arial" w:hAnsi="Arial" w:cs="Arial"/>
          <w:sz w:val="24"/>
          <w:szCs w:val="24"/>
          <w:lang w:val="en-US"/>
        </w:rPr>
      </w:pPr>
      <w:r w:rsidRPr="00AA03FE">
        <w:rPr>
          <w:rFonts w:ascii="Arial" w:hAnsi="Arial" w:cs="Arial"/>
          <w:sz w:val="24"/>
          <w:szCs w:val="24"/>
          <w:lang w:val="en-US"/>
        </w:rPr>
        <w:t xml:space="preserve">Paclitaxel release rate is slower for Herceptin-coated nanoparticles, since the presence of the antibody may result in a barrier to water permeation into the polymeric core thus lowering the diffusion rate of the drug [14]. </w:t>
      </w:r>
    </w:p>
    <w:p w:rsidR="00387A07" w:rsidRPr="00AA03FE" w:rsidRDefault="00387A07" w:rsidP="00387A07">
      <w:pPr>
        <w:spacing w:after="240" w:line="360" w:lineRule="auto"/>
        <w:jc w:val="both"/>
        <w:rPr>
          <w:rFonts w:ascii="Arial" w:hAnsi="Arial" w:cs="Arial"/>
          <w:sz w:val="24"/>
          <w:szCs w:val="24"/>
          <w:lang w:val="en-US"/>
        </w:rPr>
      </w:pPr>
      <w:r w:rsidRPr="00AA03FE">
        <w:rPr>
          <w:rFonts w:ascii="Arial" w:hAnsi="Arial" w:cs="Arial"/>
          <w:sz w:val="24"/>
          <w:szCs w:val="24"/>
          <w:lang w:val="en-US"/>
        </w:rPr>
        <w:t xml:space="preserve">Appreciable drug release can be noticed after the second day from HER-coated PLGA, PLA and C-BC2000 nanoparticles while HER-coated NS-BC2000 nanoparticles start releasing their content from the first day of incubation. </w:t>
      </w:r>
    </w:p>
    <w:tbl>
      <w:tblPr>
        <w:tblStyle w:val="Grigliatabella"/>
        <w:tblW w:w="0" w:type="auto"/>
        <w:jc w:val="center"/>
        <w:shd w:val="clear" w:color="auto" w:fill="F2F2F2" w:themeFill="background1" w:themeFillShade="F2"/>
        <w:tblLook w:val="04A0"/>
      </w:tblPr>
      <w:tblGrid>
        <w:gridCol w:w="1587"/>
        <w:gridCol w:w="1587"/>
        <w:gridCol w:w="1587"/>
        <w:gridCol w:w="1587"/>
        <w:gridCol w:w="1361"/>
      </w:tblGrid>
      <w:tr w:rsidR="00387A07" w:rsidRPr="00AA03FE" w:rsidTr="00387A07">
        <w:trPr>
          <w:jc w:val="center"/>
        </w:trPr>
        <w:tc>
          <w:tcPr>
            <w:tcW w:w="1587" w:type="dxa"/>
            <w:tcBorders>
              <w:top w:val="single" w:sz="4" w:space="0" w:color="auto"/>
              <w:left w:val="nil"/>
              <w:bottom w:val="single" w:sz="4" w:space="0" w:color="auto"/>
              <w:right w:val="nil"/>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Release(days)</w:t>
            </w:r>
          </w:p>
        </w:tc>
        <w:tc>
          <w:tcPr>
            <w:tcW w:w="1587" w:type="dxa"/>
            <w:tcBorders>
              <w:top w:val="single" w:sz="4" w:space="0" w:color="auto"/>
              <w:left w:val="nil"/>
              <w:bottom w:val="single" w:sz="4" w:space="0" w:color="auto"/>
              <w:right w:val="nil"/>
            </w:tcBorders>
            <w:shd w:val="clear" w:color="auto" w:fill="F2F2F2" w:themeFill="background1" w:themeFillShade="F2"/>
          </w:tcPr>
          <w:p w:rsidR="00387A07" w:rsidRPr="00AA03FE" w:rsidRDefault="00387A07" w:rsidP="00387A07">
            <w:pPr>
              <w:jc w:val="center"/>
              <w:rPr>
                <w:rFonts w:cstheme="minorHAnsi"/>
                <w:b/>
              </w:rPr>
            </w:pPr>
            <w:r w:rsidRPr="00AA03FE">
              <w:rPr>
                <w:rFonts w:cstheme="minorHAnsi"/>
                <w:b/>
              </w:rPr>
              <w:t>1</w:t>
            </w:r>
          </w:p>
        </w:tc>
        <w:tc>
          <w:tcPr>
            <w:tcW w:w="1587" w:type="dxa"/>
            <w:tcBorders>
              <w:top w:val="single" w:sz="4" w:space="0" w:color="auto"/>
              <w:left w:val="nil"/>
              <w:bottom w:val="single" w:sz="4" w:space="0" w:color="auto"/>
              <w:right w:val="nil"/>
            </w:tcBorders>
            <w:shd w:val="clear" w:color="auto" w:fill="F2F2F2" w:themeFill="background1" w:themeFillShade="F2"/>
          </w:tcPr>
          <w:p w:rsidR="00387A07" w:rsidRPr="00AA03FE" w:rsidRDefault="00387A07" w:rsidP="00387A07">
            <w:pPr>
              <w:jc w:val="center"/>
              <w:rPr>
                <w:rFonts w:cstheme="minorHAnsi"/>
                <w:b/>
              </w:rPr>
            </w:pPr>
            <w:r w:rsidRPr="00AA03FE">
              <w:rPr>
                <w:rFonts w:cstheme="minorHAnsi"/>
                <w:b/>
              </w:rPr>
              <w:t>2</w:t>
            </w:r>
          </w:p>
        </w:tc>
        <w:tc>
          <w:tcPr>
            <w:tcW w:w="1587" w:type="dxa"/>
            <w:tcBorders>
              <w:top w:val="single" w:sz="4" w:space="0" w:color="auto"/>
              <w:left w:val="nil"/>
              <w:bottom w:val="single" w:sz="4" w:space="0" w:color="auto"/>
              <w:right w:val="nil"/>
            </w:tcBorders>
            <w:shd w:val="clear" w:color="auto" w:fill="F2F2F2" w:themeFill="background1" w:themeFillShade="F2"/>
          </w:tcPr>
          <w:p w:rsidR="00387A07" w:rsidRPr="00AA03FE" w:rsidRDefault="00387A07" w:rsidP="00387A07">
            <w:pPr>
              <w:jc w:val="center"/>
              <w:rPr>
                <w:rFonts w:cstheme="minorHAnsi"/>
                <w:b/>
              </w:rPr>
            </w:pPr>
            <w:r w:rsidRPr="00AA03FE">
              <w:rPr>
                <w:rFonts w:cstheme="minorHAnsi"/>
                <w:b/>
              </w:rPr>
              <w:t>3</w:t>
            </w:r>
          </w:p>
        </w:tc>
        <w:tc>
          <w:tcPr>
            <w:tcW w:w="1361" w:type="dxa"/>
            <w:tcBorders>
              <w:top w:val="single" w:sz="4" w:space="0" w:color="auto"/>
              <w:left w:val="nil"/>
              <w:bottom w:val="single" w:sz="4" w:space="0" w:color="auto"/>
              <w:right w:val="nil"/>
            </w:tcBorders>
            <w:shd w:val="clear" w:color="auto" w:fill="F2F2F2" w:themeFill="background1" w:themeFillShade="F2"/>
          </w:tcPr>
          <w:p w:rsidR="00387A07" w:rsidRPr="00AA03FE" w:rsidRDefault="00387A07" w:rsidP="00387A07">
            <w:pPr>
              <w:jc w:val="center"/>
              <w:rPr>
                <w:rFonts w:cstheme="minorHAnsi"/>
                <w:b/>
              </w:rPr>
            </w:pPr>
            <w:r w:rsidRPr="00AA03FE">
              <w:rPr>
                <w:rFonts w:cstheme="minorHAnsi"/>
                <w:b/>
              </w:rPr>
              <w:t>4</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top w:val="single" w:sz="4" w:space="0" w:color="auto"/>
              <w:bottom w:val="single" w:sz="4" w:space="0" w:color="auto"/>
            </w:tcBorders>
            <w:shd w:val="clear" w:color="auto" w:fill="F2F2F2" w:themeFill="background1" w:themeFillShade="F2"/>
          </w:tcPr>
          <w:p w:rsidR="00387A07" w:rsidRPr="00AA03FE" w:rsidRDefault="00387A07" w:rsidP="00387A07">
            <w:pPr>
              <w:jc w:val="center"/>
              <w:rPr>
                <w:rFonts w:cstheme="minorHAnsi"/>
              </w:rPr>
            </w:pPr>
          </w:p>
        </w:tc>
        <w:tc>
          <w:tcPr>
            <w:tcW w:w="6122" w:type="dxa"/>
            <w:gridSpan w:val="4"/>
            <w:tcBorders>
              <w:top w:val="single" w:sz="4" w:space="0" w:color="auto"/>
              <w:bottom w:val="single" w:sz="4" w:space="0" w:color="auto"/>
            </w:tcBorders>
            <w:shd w:val="clear" w:color="auto" w:fill="F2F2F2" w:themeFill="background1" w:themeFillShade="F2"/>
          </w:tcPr>
          <w:p w:rsidR="00387A07" w:rsidRPr="00AA03FE" w:rsidRDefault="00387A07" w:rsidP="00387A07">
            <w:pPr>
              <w:jc w:val="center"/>
              <w:rPr>
                <w:rFonts w:cstheme="minorHAnsi"/>
                <w:b/>
              </w:rPr>
            </w:pPr>
            <w:r w:rsidRPr="00AA03FE">
              <w:rPr>
                <w:rFonts w:cstheme="minorHAnsi"/>
                <w:b/>
              </w:rPr>
              <w:t>Uncoated nanoparticles</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top w:val="single" w:sz="4" w:space="0" w:color="auto"/>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PLGA</w:t>
            </w:r>
          </w:p>
        </w:tc>
        <w:tc>
          <w:tcPr>
            <w:tcW w:w="1587" w:type="dxa"/>
            <w:tcBorders>
              <w:top w:val="single" w:sz="4" w:space="0" w:color="auto"/>
              <w:left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0.50 ± 0.09</w:t>
            </w:r>
          </w:p>
        </w:tc>
        <w:tc>
          <w:tcPr>
            <w:tcW w:w="1587" w:type="dxa"/>
            <w:tcBorders>
              <w:top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5.30 ± 1.20</w:t>
            </w:r>
          </w:p>
        </w:tc>
        <w:tc>
          <w:tcPr>
            <w:tcW w:w="1587" w:type="dxa"/>
            <w:tcBorders>
              <w:top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10.20 ± 1.12</w:t>
            </w:r>
          </w:p>
        </w:tc>
        <w:tc>
          <w:tcPr>
            <w:tcW w:w="1361" w:type="dxa"/>
            <w:tcBorders>
              <w:top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10.3 ± 1.0</w:t>
            </w:r>
          </w:p>
        </w:tc>
      </w:tr>
      <w:tr w:rsidR="00387A07" w:rsidRPr="00AA03FE" w:rsidTr="00387A07">
        <w:trPr>
          <w:jc w:val="center"/>
        </w:trPr>
        <w:tc>
          <w:tcPr>
            <w:tcW w:w="1587" w:type="dxa"/>
            <w:tcBorders>
              <w:top w:val="nil"/>
              <w:left w:val="nil"/>
              <w:bottom w:val="nil"/>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PLA</w:t>
            </w:r>
          </w:p>
        </w:tc>
        <w:tc>
          <w:tcPr>
            <w:tcW w:w="1587" w:type="dxa"/>
            <w:tcBorders>
              <w:top w:val="nil"/>
              <w:left w:val="single" w:sz="4" w:space="0" w:color="auto"/>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1.81 ± 0.02</w:t>
            </w:r>
          </w:p>
        </w:tc>
        <w:tc>
          <w:tcPr>
            <w:tcW w:w="1587" w:type="dxa"/>
            <w:tcBorders>
              <w:top w:val="nil"/>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2.09 ± 0.28</w:t>
            </w:r>
          </w:p>
        </w:tc>
        <w:tc>
          <w:tcPr>
            <w:tcW w:w="1587" w:type="dxa"/>
            <w:tcBorders>
              <w:top w:val="nil"/>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2.42 ± 0.34</w:t>
            </w:r>
          </w:p>
        </w:tc>
        <w:tc>
          <w:tcPr>
            <w:tcW w:w="1361" w:type="dxa"/>
            <w:tcBorders>
              <w:top w:val="nil"/>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3.13 ± 0.51</w:t>
            </w:r>
          </w:p>
        </w:tc>
      </w:tr>
      <w:tr w:rsidR="00387A07" w:rsidRPr="00AA03FE" w:rsidTr="00387A07">
        <w:trPr>
          <w:jc w:val="center"/>
        </w:trPr>
        <w:tc>
          <w:tcPr>
            <w:tcW w:w="1587" w:type="dxa"/>
            <w:tcBorders>
              <w:top w:val="nil"/>
              <w:left w:val="nil"/>
              <w:bottom w:val="nil"/>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PCL</w:t>
            </w:r>
          </w:p>
        </w:tc>
        <w:tc>
          <w:tcPr>
            <w:tcW w:w="1587" w:type="dxa"/>
            <w:tcBorders>
              <w:top w:val="nil"/>
              <w:left w:val="single" w:sz="4" w:space="0" w:color="auto"/>
              <w:bottom w:val="nil"/>
              <w:right w:val="nil"/>
            </w:tcBorders>
            <w:shd w:val="clear" w:color="auto" w:fill="F2F2F2" w:themeFill="background1" w:themeFillShade="F2"/>
            <w:vAlign w:val="center"/>
          </w:tcPr>
          <w:p w:rsidR="00387A07" w:rsidRPr="00AA03FE" w:rsidRDefault="00387A07" w:rsidP="00387A07">
            <w:pPr>
              <w:rPr>
                <w:rFonts w:cstheme="minorHAnsi"/>
              </w:rPr>
            </w:pPr>
            <w:r w:rsidRPr="00AA03FE">
              <w:rPr>
                <w:rFonts w:cstheme="minorHAnsi"/>
              </w:rPr>
              <w:t xml:space="preserve">3.28 </w:t>
            </w:r>
            <w:r w:rsidRPr="00AA03FE">
              <w:rPr>
                <w:rFonts w:cstheme="minorHAnsi"/>
                <w:lang w:val="it-IT" w:eastAsia="it-IT"/>
              </w:rPr>
              <w:t>± 0.72</w:t>
            </w:r>
          </w:p>
        </w:tc>
        <w:tc>
          <w:tcPr>
            <w:tcW w:w="1587" w:type="dxa"/>
            <w:tcBorders>
              <w:top w:val="nil"/>
              <w:left w:val="nil"/>
              <w:bottom w:val="nil"/>
              <w:right w:val="nil"/>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tcBorders>
              <w:top w:val="nil"/>
              <w:left w:val="nil"/>
              <w:bottom w:val="nil"/>
              <w:right w:val="nil"/>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361" w:type="dxa"/>
            <w:tcBorders>
              <w:top w:val="nil"/>
              <w:left w:val="nil"/>
              <w:bottom w:val="nil"/>
              <w:right w:val="nil"/>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r>
      <w:tr w:rsidR="00387A07" w:rsidRPr="00AA03FE" w:rsidTr="00387A07">
        <w:trPr>
          <w:jc w:val="center"/>
        </w:trPr>
        <w:tc>
          <w:tcPr>
            <w:tcW w:w="1587" w:type="dxa"/>
            <w:tcBorders>
              <w:top w:val="nil"/>
              <w:left w:val="nil"/>
              <w:bottom w:val="nil"/>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C-BC 2000</w:t>
            </w:r>
          </w:p>
        </w:tc>
        <w:tc>
          <w:tcPr>
            <w:tcW w:w="1587" w:type="dxa"/>
            <w:tcBorders>
              <w:top w:val="nil"/>
              <w:left w:val="single" w:sz="4" w:space="0" w:color="auto"/>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14.73 ± 3.24</w:t>
            </w:r>
          </w:p>
        </w:tc>
        <w:tc>
          <w:tcPr>
            <w:tcW w:w="1587" w:type="dxa"/>
            <w:tcBorders>
              <w:top w:val="nil"/>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18.01 ± 1.08</w:t>
            </w:r>
          </w:p>
        </w:tc>
        <w:tc>
          <w:tcPr>
            <w:tcW w:w="1587" w:type="dxa"/>
            <w:tcBorders>
              <w:top w:val="nil"/>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26.38 ± 0.80</w:t>
            </w:r>
          </w:p>
        </w:tc>
        <w:tc>
          <w:tcPr>
            <w:tcW w:w="1361" w:type="dxa"/>
            <w:tcBorders>
              <w:top w:val="nil"/>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35.46 ± 1.01</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bottom w:val="single" w:sz="4" w:space="0" w:color="auto"/>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NS-BC2000</w:t>
            </w:r>
          </w:p>
        </w:tc>
        <w:tc>
          <w:tcPr>
            <w:tcW w:w="1587" w:type="dxa"/>
            <w:tcBorders>
              <w:left w:val="single" w:sz="4" w:space="0" w:color="auto"/>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5.39 ± 0.47</w:t>
            </w:r>
          </w:p>
        </w:tc>
        <w:tc>
          <w:tcPr>
            <w:tcW w:w="1587" w:type="dxa"/>
            <w:tcBorders>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5.39 ± 0.51</w:t>
            </w:r>
          </w:p>
        </w:tc>
        <w:tc>
          <w:tcPr>
            <w:tcW w:w="1587" w:type="dxa"/>
            <w:tcBorders>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6.80 ± 0.61</w:t>
            </w:r>
          </w:p>
        </w:tc>
        <w:tc>
          <w:tcPr>
            <w:tcW w:w="1361" w:type="dxa"/>
            <w:tcBorders>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7.87 ± 0.52</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top w:val="single" w:sz="4" w:space="0" w:color="auto"/>
              <w:bottom w:val="single" w:sz="4" w:space="0" w:color="auto"/>
            </w:tcBorders>
            <w:shd w:val="clear" w:color="auto" w:fill="F2F2F2" w:themeFill="background1" w:themeFillShade="F2"/>
          </w:tcPr>
          <w:p w:rsidR="00387A07" w:rsidRPr="00AA03FE" w:rsidRDefault="00387A07" w:rsidP="00387A07">
            <w:pPr>
              <w:jc w:val="center"/>
              <w:rPr>
                <w:rFonts w:cstheme="minorHAnsi"/>
                <w:b/>
              </w:rPr>
            </w:pPr>
          </w:p>
        </w:tc>
        <w:tc>
          <w:tcPr>
            <w:tcW w:w="6122" w:type="dxa"/>
            <w:gridSpan w:val="4"/>
            <w:tcBorders>
              <w:top w:val="single" w:sz="4" w:space="0" w:color="auto"/>
              <w:bottom w:val="single" w:sz="4" w:space="0" w:color="auto"/>
            </w:tcBorders>
            <w:shd w:val="clear" w:color="auto" w:fill="F2F2F2" w:themeFill="background1" w:themeFillShade="F2"/>
          </w:tcPr>
          <w:p w:rsidR="00387A07" w:rsidRPr="00AA03FE" w:rsidRDefault="00387A07" w:rsidP="00387A07">
            <w:pPr>
              <w:jc w:val="center"/>
              <w:rPr>
                <w:rFonts w:cstheme="minorHAnsi"/>
                <w:b/>
              </w:rPr>
            </w:pPr>
            <w:r w:rsidRPr="00AA03FE">
              <w:rPr>
                <w:rFonts w:cstheme="minorHAnsi"/>
                <w:b/>
              </w:rPr>
              <w:t>Herceptin-coated nanoparticles</w:t>
            </w:r>
          </w:p>
        </w:tc>
      </w:tr>
      <w:tr w:rsidR="00387A07" w:rsidRPr="00AA03FE" w:rsidTr="00387A07">
        <w:trPr>
          <w:jc w:val="center"/>
        </w:trPr>
        <w:tc>
          <w:tcPr>
            <w:tcW w:w="1587" w:type="dxa"/>
            <w:tcBorders>
              <w:top w:val="single" w:sz="4" w:space="0" w:color="auto"/>
              <w:left w:val="nil"/>
              <w:bottom w:val="nil"/>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PLGA H</w:t>
            </w:r>
          </w:p>
        </w:tc>
        <w:tc>
          <w:tcPr>
            <w:tcW w:w="1587" w:type="dxa"/>
            <w:tcBorders>
              <w:top w:val="single" w:sz="4" w:space="0" w:color="auto"/>
              <w:left w:val="single" w:sz="4" w:space="0" w:color="auto"/>
              <w:bottom w:val="nil"/>
              <w:right w:val="nil"/>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tcBorders>
              <w:top w:val="single" w:sz="4" w:space="0" w:color="auto"/>
              <w:left w:val="nil"/>
              <w:bottom w:val="nil"/>
              <w:right w:val="nil"/>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tcBorders>
              <w:top w:val="single" w:sz="4" w:space="0" w:color="auto"/>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rPr>
              <w:t xml:space="preserve">0.59 </w:t>
            </w:r>
            <w:r w:rsidRPr="00AA03FE">
              <w:rPr>
                <w:rFonts w:cstheme="minorHAnsi"/>
                <w:lang w:val="it-IT" w:eastAsia="it-IT"/>
              </w:rPr>
              <w:t>± 0.01</w:t>
            </w:r>
          </w:p>
        </w:tc>
        <w:tc>
          <w:tcPr>
            <w:tcW w:w="1361" w:type="dxa"/>
            <w:tcBorders>
              <w:top w:val="single" w:sz="4" w:space="0" w:color="auto"/>
              <w:left w:val="nil"/>
              <w:bottom w:val="nil"/>
              <w:right w:val="nil"/>
            </w:tcBorders>
            <w:shd w:val="clear" w:color="auto" w:fill="F2F2F2" w:themeFill="background1" w:themeFillShade="F2"/>
            <w:vAlign w:val="bottom"/>
          </w:tcPr>
          <w:p w:rsidR="00387A07" w:rsidRPr="00AA03FE" w:rsidRDefault="00387A07" w:rsidP="00387A07">
            <w:pPr>
              <w:rPr>
                <w:rFonts w:cstheme="minorHAnsi"/>
                <w:lang w:val="it-IT" w:eastAsia="it-IT"/>
              </w:rPr>
            </w:pPr>
            <w:r w:rsidRPr="00AA03FE">
              <w:rPr>
                <w:rFonts w:cstheme="minorHAnsi"/>
                <w:lang w:val="it-IT" w:eastAsia="it-IT"/>
              </w:rPr>
              <w:t>0.63 ± 0.00</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PLA H</w:t>
            </w:r>
          </w:p>
        </w:tc>
        <w:tc>
          <w:tcPr>
            <w:tcW w:w="1587" w:type="dxa"/>
            <w:tcBorders>
              <w:left w:val="single" w:sz="4" w:space="0" w:color="auto"/>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0.10 ± 0.05</w:t>
            </w:r>
          </w:p>
        </w:tc>
        <w:tc>
          <w:tcPr>
            <w:tcW w:w="1361" w:type="dxa"/>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0.37 ± 0.09</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PCL H</w:t>
            </w:r>
          </w:p>
        </w:tc>
        <w:tc>
          <w:tcPr>
            <w:tcW w:w="1587" w:type="dxa"/>
            <w:tcBorders>
              <w:left w:val="single" w:sz="4" w:space="0" w:color="auto"/>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361" w:type="dxa"/>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C-BC 2000 H</w:t>
            </w:r>
          </w:p>
        </w:tc>
        <w:tc>
          <w:tcPr>
            <w:tcW w:w="1587" w:type="dxa"/>
            <w:tcBorders>
              <w:left w:val="single" w:sz="4" w:space="0" w:color="auto"/>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0.02 ± 0.00</w:t>
            </w:r>
          </w:p>
        </w:tc>
        <w:tc>
          <w:tcPr>
            <w:tcW w:w="1587" w:type="dxa"/>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4.02 ± 0.25</w:t>
            </w:r>
          </w:p>
        </w:tc>
        <w:tc>
          <w:tcPr>
            <w:tcW w:w="1361" w:type="dxa"/>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7.09 ± 0.76</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bottom w:val="single" w:sz="4" w:space="0" w:color="auto"/>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NS-BC2000 H</w:t>
            </w:r>
          </w:p>
        </w:tc>
        <w:tc>
          <w:tcPr>
            <w:tcW w:w="1587" w:type="dxa"/>
            <w:tcBorders>
              <w:left w:val="single" w:sz="4" w:space="0" w:color="auto"/>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0.81 ± 0.06</w:t>
            </w:r>
          </w:p>
        </w:tc>
        <w:tc>
          <w:tcPr>
            <w:tcW w:w="1587" w:type="dxa"/>
            <w:tcBorders>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0.81 ± 0.06</w:t>
            </w:r>
          </w:p>
        </w:tc>
        <w:tc>
          <w:tcPr>
            <w:tcW w:w="1587" w:type="dxa"/>
            <w:tcBorders>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0.90 ± 0.01</w:t>
            </w:r>
          </w:p>
        </w:tc>
        <w:tc>
          <w:tcPr>
            <w:tcW w:w="1361" w:type="dxa"/>
            <w:tcBorders>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0.90 ± 0.01</w:t>
            </w:r>
          </w:p>
        </w:tc>
      </w:tr>
    </w:tbl>
    <w:p w:rsidR="00387A07" w:rsidRPr="00AA03FE" w:rsidRDefault="00387A07" w:rsidP="00387A07">
      <w:pPr>
        <w:pStyle w:val="Didascalia"/>
        <w:spacing w:before="120"/>
        <w:rPr>
          <w:rFonts w:ascii="Arial" w:hAnsi="Arial" w:cs="Arial"/>
          <w:sz w:val="24"/>
          <w:szCs w:val="24"/>
          <w:lang w:val="en-US"/>
        </w:rPr>
      </w:pPr>
      <w:r w:rsidRPr="00AA03FE">
        <w:t xml:space="preserve">Table 3. </w:t>
      </w:r>
      <w:fldSimple w:instr=" SEQ Table_3. \* ARABIC ">
        <w:r w:rsidRPr="00AA03FE">
          <w:rPr>
            <w:noProof/>
          </w:rPr>
          <w:t>10</w:t>
        </w:r>
      </w:fldSimple>
      <w:r w:rsidRPr="00AA03FE">
        <w:t xml:space="preserve"> Cumulative drug release from nanoparticles prepared with different polymers, expressed as % of the encapsulated drug.</w:t>
      </w:r>
    </w:p>
    <w:tbl>
      <w:tblPr>
        <w:tblStyle w:val="Grigliatabella"/>
        <w:tblW w:w="0" w:type="auto"/>
        <w:jc w:val="center"/>
        <w:shd w:val="clear" w:color="auto" w:fill="F2F2F2" w:themeFill="background1" w:themeFillShade="F2"/>
        <w:tblLook w:val="04A0"/>
      </w:tblPr>
      <w:tblGrid>
        <w:gridCol w:w="1587"/>
        <w:gridCol w:w="1587"/>
        <w:gridCol w:w="1587"/>
        <w:gridCol w:w="1587"/>
        <w:gridCol w:w="1361"/>
      </w:tblGrid>
      <w:tr w:rsidR="00387A07" w:rsidRPr="00AA03FE" w:rsidTr="00387A07">
        <w:trPr>
          <w:jc w:val="center"/>
        </w:trPr>
        <w:tc>
          <w:tcPr>
            <w:tcW w:w="1587" w:type="dxa"/>
            <w:tcBorders>
              <w:top w:val="single" w:sz="4" w:space="0" w:color="auto"/>
              <w:left w:val="nil"/>
              <w:bottom w:val="single" w:sz="4" w:space="0" w:color="auto"/>
              <w:right w:val="nil"/>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Release(days)</w:t>
            </w:r>
          </w:p>
        </w:tc>
        <w:tc>
          <w:tcPr>
            <w:tcW w:w="1587" w:type="dxa"/>
            <w:tcBorders>
              <w:top w:val="single" w:sz="4" w:space="0" w:color="auto"/>
              <w:left w:val="nil"/>
              <w:bottom w:val="single" w:sz="4" w:space="0" w:color="auto"/>
              <w:right w:val="nil"/>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1</w:t>
            </w:r>
          </w:p>
        </w:tc>
        <w:tc>
          <w:tcPr>
            <w:tcW w:w="1587" w:type="dxa"/>
            <w:tcBorders>
              <w:top w:val="single" w:sz="4" w:space="0" w:color="auto"/>
              <w:left w:val="nil"/>
              <w:bottom w:val="single" w:sz="4" w:space="0" w:color="auto"/>
              <w:right w:val="nil"/>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2</w:t>
            </w:r>
          </w:p>
        </w:tc>
        <w:tc>
          <w:tcPr>
            <w:tcW w:w="1587" w:type="dxa"/>
            <w:tcBorders>
              <w:top w:val="single" w:sz="4" w:space="0" w:color="auto"/>
              <w:left w:val="nil"/>
              <w:bottom w:val="single" w:sz="4" w:space="0" w:color="auto"/>
              <w:right w:val="nil"/>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3</w:t>
            </w:r>
          </w:p>
        </w:tc>
        <w:tc>
          <w:tcPr>
            <w:tcW w:w="1361" w:type="dxa"/>
            <w:tcBorders>
              <w:top w:val="single" w:sz="4" w:space="0" w:color="auto"/>
              <w:left w:val="nil"/>
              <w:bottom w:val="single" w:sz="4" w:space="0" w:color="auto"/>
              <w:right w:val="nil"/>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4</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top w:val="single" w:sz="4" w:space="0" w:color="auto"/>
              <w:bottom w:val="single" w:sz="4" w:space="0" w:color="auto"/>
            </w:tcBorders>
            <w:shd w:val="clear" w:color="auto" w:fill="F2F2F2" w:themeFill="background1" w:themeFillShade="F2"/>
          </w:tcPr>
          <w:p w:rsidR="00387A07" w:rsidRPr="00AA03FE" w:rsidRDefault="00387A07" w:rsidP="00387A07">
            <w:pPr>
              <w:jc w:val="center"/>
              <w:rPr>
                <w:rFonts w:cstheme="minorHAnsi"/>
              </w:rPr>
            </w:pPr>
          </w:p>
        </w:tc>
        <w:tc>
          <w:tcPr>
            <w:tcW w:w="6122" w:type="dxa"/>
            <w:gridSpan w:val="4"/>
            <w:tcBorders>
              <w:top w:val="single" w:sz="4" w:space="0" w:color="auto"/>
              <w:bottom w:val="single" w:sz="4" w:space="0" w:color="auto"/>
            </w:tcBorders>
            <w:shd w:val="clear" w:color="auto" w:fill="F2F2F2" w:themeFill="background1" w:themeFillShade="F2"/>
          </w:tcPr>
          <w:p w:rsidR="00387A07" w:rsidRPr="00AA03FE" w:rsidRDefault="00387A07" w:rsidP="00387A07">
            <w:pPr>
              <w:jc w:val="center"/>
              <w:rPr>
                <w:rFonts w:cstheme="minorHAnsi"/>
                <w:b/>
              </w:rPr>
            </w:pPr>
            <w:r w:rsidRPr="00AA03FE">
              <w:rPr>
                <w:rFonts w:cstheme="minorHAnsi"/>
                <w:b/>
              </w:rPr>
              <w:t>Uncoated nanoparticles</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top w:val="single" w:sz="4" w:space="0" w:color="auto"/>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PLGA</w:t>
            </w:r>
          </w:p>
        </w:tc>
        <w:tc>
          <w:tcPr>
            <w:tcW w:w="1587" w:type="dxa"/>
            <w:tcBorders>
              <w:top w:val="single" w:sz="4" w:space="0" w:color="auto"/>
              <w:left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0.52 ± 0.09</w:t>
            </w:r>
          </w:p>
        </w:tc>
        <w:tc>
          <w:tcPr>
            <w:tcW w:w="1587" w:type="dxa"/>
            <w:tcBorders>
              <w:top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1.49 ± 0.32</w:t>
            </w:r>
          </w:p>
        </w:tc>
        <w:tc>
          <w:tcPr>
            <w:tcW w:w="1587" w:type="dxa"/>
            <w:tcBorders>
              <w:top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2.85 ± 0.31</w:t>
            </w:r>
          </w:p>
        </w:tc>
        <w:tc>
          <w:tcPr>
            <w:tcW w:w="1361" w:type="dxa"/>
            <w:tcBorders>
              <w:top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2.88 ± 0.29</w:t>
            </w:r>
          </w:p>
        </w:tc>
      </w:tr>
      <w:tr w:rsidR="00387A07" w:rsidRPr="00AA03FE" w:rsidTr="00387A07">
        <w:trPr>
          <w:jc w:val="center"/>
        </w:trPr>
        <w:tc>
          <w:tcPr>
            <w:tcW w:w="1587" w:type="dxa"/>
            <w:tcBorders>
              <w:top w:val="nil"/>
              <w:left w:val="nil"/>
              <w:bottom w:val="nil"/>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PLA</w:t>
            </w:r>
          </w:p>
        </w:tc>
        <w:tc>
          <w:tcPr>
            <w:tcW w:w="1587" w:type="dxa"/>
            <w:tcBorders>
              <w:top w:val="nil"/>
              <w:left w:val="single" w:sz="4" w:space="0" w:color="auto"/>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0.40 ± 0.01</w:t>
            </w:r>
          </w:p>
        </w:tc>
        <w:tc>
          <w:tcPr>
            <w:tcW w:w="1587" w:type="dxa"/>
            <w:tcBorders>
              <w:top w:val="nil"/>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0.46 ± 0.06</w:t>
            </w:r>
          </w:p>
        </w:tc>
        <w:tc>
          <w:tcPr>
            <w:tcW w:w="1587" w:type="dxa"/>
            <w:tcBorders>
              <w:top w:val="nil"/>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0.53 ± 0.07</w:t>
            </w:r>
          </w:p>
        </w:tc>
        <w:tc>
          <w:tcPr>
            <w:tcW w:w="1361" w:type="dxa"/>
            <w:tcBorders>
              <w:top w:val="nil"/>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0.69 ± 0.11</w:t>
            </w:r>
          </w:p>
        </w:tc>
      </w:tr>
      <w:tr w:rsidR="00387A07" w:rsidRPr="00AA03FE" w:rsidTr="00387A07">
        <w:trPr>
          <w:jc w:val="center"/>
        </w:trPr>
        <w:tc>
          <w:tcPr>
            <w:tcW w:w="1587" w:type="dxa"/>
            <w:tcBorders>
              <w:top w:val="nil"/>
              <w:left w:val="nil"/>
              <w:bottom w:val="nil"/>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PCL</w:t>
            </w:r>
          </w:p>
        </w:tc>
        <w:tc>
          <w:tcPr>
            <w:tcW w:w="1587" w:type="dxa"/>
            <w:tcBorders>
              <w:top w:val="nil"/>
              <w:left w:val="single" w:sz="4" w:space="0" w:color="auto"/>
              <w:bottom w:val="nil"/>
              <w:right w:val="nil"/>
            </w:tcBorders>
            <w:shd w:val="clear" w:color="auto" w:fill="F2F2F2" w:themeFill="background1" w:themeFillShade="F2"/>
            <w:vAlign w:val="center"/>
          </w:tcPr>
          <w:p w:rsidR="00387A07" w:rsidRPr="00AA03FE" w:rsidRDefault="00387A07" w:rsidP="00387A07">
            <w:pPr>
              <w:rPr>
                <w:rFonts w:cstheme="minorHAnsi"/>
              </w:rPr>
            </w:pPr>
            <w:r w:rsidRPr="00AA03FE">
              <w:rPr>
                <w:rFonts w:cstheme="minorHAnsi"/>
              </w:rPr>
              <w:t xml:space="preserve">0.98 </w:t>
            </w:r>
            <w:r w:rsidRPr="00AA03FE">
              <w:rPr>
                <w:rFonts w:cstheme="minorHAnsi"/>
                <w:lang w:val="it-IT" w:eastAsia="it-IT"/>
              </w:rPr>
              <w:t xml:space="preserve">±0.21 </w:t>
            </w:r>
            <w:r w:rsidRPr="00AA03FE">
              <w:rPr>
                <w:rFonts w:cstheme="minorHAnsi"/>
              </w:rPr>
              <w:t xml:space="preserve"> </w:t>
            </w:r>
          </w:p>
        </w:tc>
        <w:tc>
          <w:tcPr>
            <w:tcW w:w="1587" w:type="dxa"/>
            <w:tcBorders>
              <w:top w:val="nil"/>
              <w:left w:val="nil"/>
              <w:bottom w:val="nil"/>
              <w:right w:val="nil"/>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tcBorders>
              <w:top w:val="nil"/>
              <w:left w:val="nil"/>
              <w:bottom w:val="nil"/>
              <w:right w:val="nil"/>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361" w:type="dxa"/>
            <w:tcBorders>
              <w:top w:val="nil"/>
              <w:left w:val="nil"/>
              <w:bottom w:val="nil"/>
              <w:right w:val="nil"/>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r>
      <w:tr w:rsidR="00387A07" w:rsidRPr="00AA03FE" w:rsidTr="00387A07">
        <w:trPr>
          <w:jc w:val="center"/>
        </w:trPr>
        <w:tc>
          <w:tcPr>
            <w:tcW w:w="1587" w:type="dxa"/>
            <w:tcBorders>
              <w:top w:val="nil"/>
              <w:left w:val="nil"/>
              <w:bottom w:val="nil"/>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C-BC 2000</w:t>
            </w:r>
          </w:p>
        </w:tc>
        <w:tc>
          <w:tcPr>
            <w:tcW w:w="1587" w:type="dxa"/>
            <w:tcBorders>
              <w:top w:val="nil"/>
              <w:left w:val="single" w:sz="4" w:space="0" w:color="auto"/>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2.50 ± 0.55</w:t>
            </w:r>
          </w:p>
        </w:tc>
        <w:tc>
          <w:tcPr>
            <w:tcW w:w="1587" w:type="dxa"/>
            <w:tcBorders>
              <w:top w:val="nil"/>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3.06 ± 0.18</w:t>
            </w:r>
          </w:p>
        </w:tc>
        <w:tc>
          <w:tcPr>
            <w:tcW w:w="1587" w:type="dxa"/>
            <w:tcBorders>
              <w:top w:val="nil"/>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4.48 ± 0.14</w:t>
            </w:r>
          </w:p>
        </w:tc>
        <w:tc>
          <w:tcPr>
            <w:tcW w:w="1361" w:type="dxa"/>
            <w:tcBorders>
              <w:top w:val="nil"/>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6.03 ± 0.17</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bottom w:val="single" w:sz="4" w:space="0" w:color="auto"/>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NS-BC2000</w:t>
            </w:r>
          </w:p>
        </w:tc>
        <w:tc>
          <w:tcPr>
            <w:tcW w:w="1587" w:type="dxa"/>
            <w:tcBorders>
              <w:left w:val="single" w:sz="4" w:space="0" w:color="auto"/>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1.02 ± 0.09</w:t>
            </w:r>
          </w:p>
        </w:tc>
        <w:tc>
          <w:tcPr>
            <w:tcW w:w="1587" w:type="dxa"/>
            <w:tcBorders>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1.02 ± 0.09</w:t>
            </w:r>
          </w:p>
        </w:tc>
        <w:tc>
          <w:tcPr>
            <w:tcW w:w="1587" w:type="dxa"/>
            <w:tcBorders>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1.29 ± 0.13</w:t>
            </w:r>
          </w:p>
        </w:tc>
        <w:tc>
          <w:tcPr>
            <w:tcW w:w="1361" w:type="dxa"/>
            <w:tcBorders>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1.50 ± 0.09</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top w:val="single" w:sz="4" w:space="0" w:color="auto"/>
              <w:bottom w:val="single" w:sz="4" w:space="0" w:color="auto"/>
            </w:tcBorders>
            <w:shd w:val="clear" w:color="auto" w:fill="F2F2F2" w:themeFill="background1" w:themeFillShade="F2"/>
          </w:tcPr>
          <w:p w:rsidR="00387A07" w:rsidRPr="00AA03FE" w:rsidRDefault="00387A07" w:rsidP="00387A07">
            <w:pPr>
              <w:jc w:val="center"/>
              <w:rPr>
                <w:rFonts w:cstheme="minorHAnsi"/>
                <w:b/>
              </w:rPr>
            </w:pPr>
          </w:p>
        </w:tc>
        <w:tc>
          <w:tcPr>
            <w:tcW w:w="6122" w:type="dxa"/>
            <w:gridSpan w:val="4"/>
            <w:tcBorders>
              <w:top w:val="single" w:sz="4" w:space="0" w:color="auto"/>
              <w:bottom w:val="single" w:sz="4" w:space="0" w:color="auto"/>
            </w:tcBorders>
            <w:shd w:val="clear" w:color="auto" w:fill="F2F2F2" w:themeFill="background1" w:themeFillShade="F2"/>
          </w:tcPr>
          <w:p w:rsidR="00387A07" w:rsidRPr="00AA03FE" w:rsidRDefault="00387A07" w:rsidP="00387A07">
            <w:pPr>
              <w:jc w:val="center"/>
              <w:rPr>
                <w:rFonts w:cstheme="minorHAnsi"/>
                <w:b/>
              </w:rPr>
            </w:pPr>
            <w:r w:rsidRPr="00AA03FE">
              <w:rPr>
                <w:rFonts w:cstheme="minorHAnsi"/>
                <w:b/>
              </w:rPr>
              <w:t>Herceptin-coated nanoparticles</w:t>
            </w:r>
          </w:p>
        </w:tc>
      </w:tr>
      <w:tr w:rsidR="00387A07" w:rsidRPr="00AA03FE" w:rsidTr="00387A07">
        <w:trPr>
          <w:jc w:val="center"/>
        </w:trPr>
        <w:tc>
          <w:tcPr>
            <w:tcW w:w="1587" w:type="dxa"/>
            <w:tcBorders>
              <w:top w:val="single" w:sz="4" w:space="0" w:color="auto"/>
              <w:left w:val="nil"/>
              <w:bottom w:val="nil"/>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PLGA H</w:t>
            </w:r>
          </w:p>
        </w:tc>
        <w:tc>
          <w:tcPr>
            <w:tcW w:w="1587" w:type="dxa"/>
            <w:tcBorders>
              <w:top w:val="single" w:sz="4" w:space="0" w:color="auto"/>
              <w:left w:val="single" w:sz="4" w:space="0" w:color="auto"/>
              <w:bottom w:val="nil"/>
              <w:right w:val="nil"/>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tcBorders>
              <w:top w:val="single" w:sz="4" w:space="0" w:color="auto"/>
              <w:left w:val="nil"/>
              <w:bottom w:val="nil"/>
              <w:right w:val="nil"/>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tcBorders>
              <w:top w:val="single" w:sz="4" w:space="0" w:color="auto"/>
              <w:left w:val="nil"/>
              <w:bottom w:val="nil"/>
              <w:right w:val="nil"/>
            </w:tcBorders>
            <w:shd w:val="clear" w:color="auto" w:fill="F2F2F2" w:themeFill="background1" w:themeFillShade="F2"/>
          </w:tcPr>
          <w:p w:rsidR="00387A07" w:rsidRPr="00AA03FE" w:rsidRDefault="00387A07" w:rsidP="00387A07">
            <w:pPr>
              <w:rPr>
                <w:rFonts w:cstheme="minorHAnsi"/>
              </w:rPr>
            </w:pPr>
            <w:r w:rsidRPr="00AA03FE">
              <w:rPr>
                <w:rFonts w:cstheme="minorHAnsi"/>
              </w:rPr>
              <w:t xml:space="preserve">0.17 </w:t>
            </w:r>
            <w:r w:rsidRPr="00AA03FE">
              <w:rPr>
                <w:rFonts w:cstheme="minorHAnsi"/>
                <w:lang w:val="it-IT" w:eastAsia="it-IT"/>
              </w:rPr>
              <w:t>± 0.00</w:t>
            </w:r>
          </w:p>
        </w:tc>
        <w:tc>
          <w:tcPr>
            <w:tcW w:w="1361" w:type="dxa"/>
            <w:tcBorders>
              <w:top w:val="single" w:sz="4" w:space="0" w:color="auto"/>
              <w:left w:val="nil"/>
              <w:bottom w:val="nil"/>
              <w:right w:val="nil"/>
            </w:tcBorders>
            <w:shd w:val="clear" w:color="auto" w:fill="F2F2F2" w:themeFill="background1" w:themeFillShade="F2"/>
            <w:vAlign w:val="bottom"/>
          </w:tcPr>
          <w:p w:rsidR="00387A07" w:rsidRPr="00AA03FE" w:rsidRDefault="00387A07" w:rsidP="00387A07">
            <w:pPr>
              <w:rPr>
                <w:rFonts w:cstheme="minorHAnsi"/>
                <w:lang w:val="it-IT" w:eastAsia="it-IT"/>
              </w:rPr>
            </w:pPr>
            <w:r w:rsidRPr="00AA03FE">
              <w:rPr>
                <w:rFonts w:cstheme="minorHAnsi"/>
                <w:lang w:val="it-IT" w:eastAsia="it-IT"/>
              </w:rPr>
              <w:t>0.18 ± 0.00</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PLA H</w:t>
            </w:r>
          </w:p>
        </w:tc>
        <w:tc>
          <w:tcPr>
            <w:tcW w:w="1587" w:type="dxa"/>
            <w:tcBorders>
              <w:left w:val="single" w:sz="4" w:space="0" w:color="auto"/>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shd w:val="clear" w:color="auto" w:fill="F2F2F2" w:themeFill="background1" w:themeFillShade="F2"/>
          </w:tcPr>
          <w:p w:rsidR="00387A07" w:rsidRPr="00AA03FE" w:rsidRDefault="00387A07" w:rsidP="00387A07">
            <w:pPr>
              <w:rPr>
                <w:rFonts w:cstheme="minorHAnsi"/>
              </w:rPr>
            </w:pPr>
            <w:r w:rsidRPr="00AA03FE">
              <w:rPr>
                <w:rFonts w:cstheme="minorHAnsi"/>
              </w:rPr>
              <w:t xml:space="preserve">0.02 </w:t>
            </w:r>
            <w:r w:rsidRPr="00AA03FE">
              <w:rPr>
                <w:rFonts w:cstheme="minorHAnsi"/>
                <w:lang w:val="it-IT" w:eastAsia="it-IT"/>
              </w:rPr>
              <w:t>± 0.01</w:t>
            </w:r>
          </w:p>
        </w:tc>
        <w:tc>
          <w:tcPr>
            <w:tcW w:w="1361" w:type="dxa"/>
            <w:shd w:val="clear" w:color="auto" w:fill="F2F2F2" w:themeFill="background1" w:themeFillShade="F2"/>
          </w:tcPr>
          <w:p w:rsidR="00387A07" w:rsidRPr="00AA03FE" w:rsidRDefault="00387A07" w:rsidP="00387A07">
            <w:pPr>
              <w:rPr>
                <w:rFonts w:cstheme="minorHAnsi"/>
              </w:rPr>
            </w:pPr>
            <w:r w:rsidRPr="00AA03FE">
              <w:rPr>
                <w:rFonts w:cstheme="minorHAnsi"/>
              </w:rPr>
              <w:t xml:space="preserve">0.08 </w:t>
            </w:r>
            <w:r w:rsidRPr="00AA03FE">
              <w:rPr>
                <w:rFonts w:cstheme="minorHAnsi"/>
                <w:lang w:val="it-IT" w:eastAsia="it-IT"/>
              </w:rPr>
              <w:t>± 0.02</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PCL H</w:t>
            </w:r>
          </w:p>
        </w:tc>
        <w:tc>
          <w:tcPr>
            <w:tcW w:w="1587" w:type="dxa"/>
            <w:tcBorders>
              <w:left w:val="single" w:sz="4" w:space="0" w:color="auto"/>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361" w:type="dxa"/>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C-BC 2000 H</w:t>
            </w:r>
          </w:p>
        </w:tc>
        <w:tc>
          <w:tcPr>
            <w:tcW w:w="1587" w:type="dxa"/>
            <w:tcBorders>
              <w:left w:val="single" w:sz="4" w:space="0" w:color="auto"/>
            </w:tcBorders>
            <w:shd w:val="clear" w:color="auto" w:fill="F2F2F2" w:themeFill="background1" w:themeFillShade="F2"/>
          </w:tcPr>
          <w:p w:rsidR="00387A07" w:rsidRPr="00AA03FE" w:rsidRDefault="00387A07" w:rsidP="00387A07">
            <w:pPr>
              <w:jc w:val="center"/>
              <w:rPr>
                <w:rFonts w:cstheme="minorHAnsi"/>
              </w:rPr>
            </w:pPr>
            <w:r w:rsidRPr="00AA03FE">
              <w:rPr>
                <w:rFonts w:cstheme="minorHAnsi"/>
              </w:rPr>
              <w:t>/</w:t>
            </w:r>
          </w:p>
        </w:tc>
        <w:tc>
          <w:tcPr>
            <w:tcW w:w="1587" w:type="dxa"/>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0.003 ± 0.001</w:t>
            </w:r>
          </w:p>
        </w:tc>
        <w:tc>
          <w:tcPr>
            <w:tcW w:w="1587" w:type="dxa"/>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0.68 ± 0.04</w:t>
            </w:r>
          </w:p>
        </w:tc>
        <w:tc>
          <w:tcPr>
            <w:tcW w:w="1361" w:type="dxa"/>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1,21 ± 0,13</w:t>
            </w:r>
          </w:p>
        </w:tc>
      </w:tr>
      <w:tr w:rsidR="00387A07" w:rsidRPr="00AA03FE" w:rsidTr="00387A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587" w:type="dxa"/>
            <w:tcBorders>
              <w:bottom w:val="single" w:sz="4" w:space="0" w:color="auto"/>
              <w:right w:val="single" w:sz="4" w:space="0" w:color="auto"/>
            </w:tcBorders>
            <w:shd w:val="clear" w:color="auto" w:fill="F2F2F2" w:themeFill="background1" w:themeFillShade="F2"/>
          </w:tcPr>
          <w:p w:rsidR="00387A07" w:rsidRPr="00AA03FE" w:rsidRDefault="00387A07" w:rsidP="00387A07">
            <w:pPr>
              <w:rPr>
                <w:rFonts w:cstheme="minorHAnsi"/>
                <w:b/>
              </w:rPr>
            </w:pPr>
            <w:r w:rsidRPr="00AA03FE">
              <w:rPr>
                <w:rFonts w:cstheme="minorHAnsi"/>
                <w:b/>
              </w:rPr>
              <w:t>NS-BC2000 H</w:t>
            </w:r>
          </w:p>
        </w:tc>
        <w:tc>
          <w:tcPr>
            <w:tcW w:w="1587" w:type="dxa"/>
            <w:tcBorders>
              <w:left w:val="single" w:sz="4" w:space="0" w:color="auto"/>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0.15 ± 0.01</w:t>
            </w:r>
          </w:p>
        </w:tc>
        <w:tc>
          <w:tcPr>
            <w:tcW w:w="1587" w:type="dxa"/>
            <w:tcBorders>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0.15 ± 0.01</w:t>
            </w:r>
          </w:p>
        </w:tc>
        <w:tc>
          <w:tcPr>
            <w:tcW w:w="1587" w:type="dxa"/>
            <w:tcBorders>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0.17 ± 0.02</w:t>
            </w:r>
          </w:p>
        </w:tc>
        <w:tc>
          <w:tcPr>
            <w:tcW w:w="1361" w:type="dxa"/>
            <w:tcBorders>
              <w:bottom w:val="single" w:sz="4" w:space="0" w:color="auto"/>
            </w:tcBorders>
            <w:shd w:val="clear" w:color="auto" w:fill="F2F2F2" w:themeFill="background1" w:themeFillShade="F2"/>
          </w:tcPr>
          <w:p w:rsidR="00387A07" w:rsidRPr="00AA03FE" w:rsidRDefault="00387A07" w:rsidP="00387A07">
            <w:pPr>
              <w:rPr>
                <w:rFonts w:cstheme="minorHAnsi"/>
              </w:rPr>
            </w:pPr>
            <w:r w:rsidRPr="00AA03FE">
              <w:rPr>
                <w:rFonts w:cstheme="minorHAnsi"/>
                <w:lang w:val="it-IT" w:eastAsia="it-IT"/>
              </w:rPr>
              <w:t>0,17 ± 0.02</w:t>
            </w:r>
          </w:p>
        </w:tc>
      </w:tr>
    </w:tbl>
    <w:p w:rsidR="00387A07" w:rsidRPr="00AA03FE" w:rsidRDefault="00387A07" w:rsidP="00387A07">
      <w:pPr>
        <w:pStyle w:val="Didascalia"/>
        <w:spacing w:before="120"/>
        <w:rPr>
          <w:rFonts w:ascii="Arial" w:hAnsi="Arial" w:cs="Arial"/>
          <w:sz w:val="24"/>
          <w:szCs w:val="24"/>
          <w:lang w:val="en-US"/>
        </w:rPr>
      </w:pPr>
      <w:r w:rsidRPr="00AA03FE">
        <w:t xml:space="preserve">Table 3. </w:t>
      </w:r>
      <w:fldSimple w:instr=" SEQ Table_3. \* ARABIC ">
        <w:r w:rsidRPr="00AA03FE">
          <w:rPr>
            <w:noProof/>
          </w:rPr>
          <w:t>11</w:t>
        </w:r>
      </w:fldSimple>
      <w:r w:rsidRPr="00AA03FE">
        <w:t xml:space="preserve"> Cumulative drug release from nanoparticles prepared with different polymers (</w:t>
      </w:r>
      <w:r w:rsidRPr="00AA03FE">
        <w:rPr>
          <w:rFonts w:ascii="Calibri" w:hAnsi="Calibri" w:cs="Calibri"/>
        </w:rPr>
        <w:t>µ</w:t>
      </w:r>
      <w:r w:rsidRPr="00AA03FE">
        <w:t>g)</w:t>
      </w:r>
    </w:p>
    <w:p w:rsidR="00387A07" w:rsidRPr="00AA03FE" w:rsidRDefault="00387A07" w:rsidP="00387A07">
      <w:pPr>
        <w:spacing w:line="360" w:lineRule="auto"/>
        <w:jc w:val="both"/>
        <w:rPr>
          <w:rFonts w:ascii="Arial" w:hAnsi="Arial" w:cs="Arial"/>
          <w:sz w:val="24"/>
          <w:szCs w:val="24"/>
          <w:lang w:val="en-US"/>
        </w:rPr>
      </w:pPr>
      <w:r w:rsidRPr="00AA03FE">
        <w:rPr>
          <w:rFonts w:ascii="Arial" w:hAnsi="Arial" w:cs="Arial"/>
          <w:sz w:val="24"/>
          <w:szCs w:val="24"/>
          <w:lang w:val="en-US"/>
        </w:rPr>
        <w:t>A small burst release can be noticed for non coated nanoparticles followed by different profiles, depending on the material used. The moderate initial burst is needed to suppress the growth of cancer cells at the beginning of the treatment [14]. C-BC2000 nanoparticles are able to release a higher amount of drug at each time point, compared to particles prepared with other polymers.</w:t>
      </w:r>
    </w:p>
    <w:p w:rsidR="00387A07" w:rsidRPr="00AA03FE" w:rsidRDefault="00387A07" w:rsidP="00387A07">
      <w:pPr>
        <w:spacing w:line="360" w:lineRule="auto"/>
        <w:jc w:val="both"/>
        <w:rPr>
          <w:rFonts w:ascii="Arial" w:hAnsi="Arial" w:cs="Arial"/>
          <w:sz w:val="24"/>
          <w:szCs w:val="24"/>
          <w:lang w:val="en-US"/>
        </w:rPr>
      </w:pPr>
    </w:p>
    <w:p w:rsidR="00387A07" w:rsidRPr="00AA03FE" w:rsidRDefault="00387A07" w:rsidP="00387A07">
      <w:pPr>
        <w:spacing w:before="240" w:after="240" w:line="360" w:lineRule="auto"/>
        <w:jc w:val="both"/>
        <w:rPr>
          <w:rFonts w:ascii="Arial" w:hAnsi="Arial" w:cs="Arial"/>
          <w:b/>
          <w:sz w:val="24"/>
          <w:szCs w:val="24"/>
          <w:lang w:val="en-US"/>
        </w:rPr>
      </w:pPr>
      <w:r w:rsidRPr="00AA03FE">
        <w:rPr>
          <w:rFonts w:ascii="Arial" w:hAnsi="Arial" w:cs="Arial"/>
          <w:b/>
          <w:sz w:val="24"/>
          <w:szCs w:val="24"/>
          <w:lang w:val="en-US"/>
        </w:rPr>
        <w:lastRenderedPageBreak/>
        <w:t xml:space="preserve">3.3.7 Quantitative </w:t>
      </w:r>
      <w:r w:rsidRPr="00AA03FE">
        <w:rPr>
          <w:rFonts w:ascii="Arial" w:hAnsi="Arial" w:cs="Arial"/>
          <w:b/>
          <w:i/>
          <w:sz w:val="24"/>
          <w:szCs w:val="24"/>
          <w:lang w:val="en-US"/>
        </w:rPr>
        <w:t xml:space="preserve">in vitro </w:t>
      </w:r>
      <w:r w:rsidRPr="00AA03FE">
        <w:rPr>
          <w:rFonts w:ascii="Arial" w:hAnsi="Arial" w:cs="Arial"/>
          <w:b/>
          <w:sz w:val="24"/>
          <w:szCs w:val="24"/>
          <w:lang w:val="en-US"/>
        </w:rPr>
        <w:t>cellular uptake</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A quantitative investigation has been conducted by measuring the percentage of dye-loaded nanoparticles internalized by SKBR3 and MCF7 cells. </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The cells were exposed to the same concentration of Herceptin-coated and uncoated particles (1mg/ml) for 2 hours. </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Results from cellular uptake studies are summarized in figure 3.12 A and B, showing the uptake from MCF7 and SKBR3 cells respectively, for plain and Herceptin-coated nanoparticles.</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For MCF7 cells, which show a moderate expression of the HER-2 receptors, the presence of the antibody on the surface of nanoparticles does not cause a detectable increase of cellular internalization for PCL and PLA particles. Only a slight increase in cellular uptake can be observed for Herceptin-coated carriers made of PLGA and the two polyesterurethanes, C-BC2000 and NS-BC2000 (fig. 3.12A).  </w:t>
      </w:r>
    </w:p>
    <w:p w:rsidR="00387A07" w:rsidRPr="00AA03FE" w:rsidRDefault="00860AC7" w:rsidP="00387A07">
      <w:pPr>
        <w:spacing w:line="360" w:lineRule="auto"/>
        <w:jc w:val="center"/>
        <w:rPr>
          <w:rFonts w:ascii="Arial" w:hAnsi="Arial" w:cs="Arial"/>
          <w:sz w:val="24"/>
          <w:szCs w:val="24"/>
          <w:lang w:val="it-IT"/>
        </w:rPr>
      </w:pPr>
      <w:r>
        <w:rPr>
          <w:rFonts w:ascii="Arial" w:hAnsi="Arial" w:cs="Arial"/>
          <w:noProof/>
          <w:sz w:val="24"/>
          <w:szCs w:val="24"/>
          <w:lang w:val="it-IT" w:eastAsia="it-IT"/>
        </w:rPr>
        <w:pict>
          <v:shapetype id="_x0000_t202" coordsize="21600,21600" o:spt="202" path="m,l,21600r21600,l21600,xe">
            <v:stroke joinstyle="miter"/>
            <v:path gradientshapeok="t" o:connecttype="rect"/>
          </v:shapetype>
          <v:shape id="_x0000_s1026" type="#_x0000_t202" style="position:absolute;left:0;text-align:left;margin-left:354.95pt;margin-top:6.2pt;width:21pt;height:23.25pt;z-index:251657728" stroked="f">
            <v:textbox>
              <w:txbxContent>
                <w:p w:rsidR="009925A1" w:rsidRPr="001C5FE6" w:rsidRDefault="009925A1" w:rsidP="00387A07">
                  <w:pPr>
                    <w:jc w:val="center"/>
                    <w:rPr>
                      <w:rFonts w:ascii="Arial" w:hAnsi="Arial" w:cs="Arial"/>
                      <w:b/>
                      <w:color w:val="FF0000"/>
                      <w:sz w:val="24"/>
                      <w:szCs w:val="24"/>
                      <w:lang w:val="it-IT"/>
                    </w:rPr>
                  </w:pPr>
                  <w:r w:rsidRPr="001C5FE6">
                    <w:rPr>
                      <w:rFonts w:ascii="Arial" w:hAnsi="Arial" w:cs="Arial"/>
                      <w:b/>
                      <w:color w:val="FF0000"/>
                      <w:sz w:val="24"/>
                      <w:szCs w:val="24"/>
                      <w:lang w:val="it-IT"/>
                    </w:rPr>
                    <w:t>A</w:t>
                  </w:r>
                </w:p>
              </w:txbxContent>
            </v:textbox>
          </v:shape>
        </w:pict>
      </w:r>
      <w:r w:rsidR="00387A07" w:rsidRPr="00AA03FE">
        <w:rPr>
          <w:rFonts w:ascii="Arial" w:hAnsi="Arial" w:cs="Arial"/>
          <w:noProof/>
          <w:sz w:val="24"/>
          <w:szCs w:val="24"/>
          <w:lang w:val="it-IT" w:eastAsia="it-IT"/>
        </w:rPr>
        <w:drawing>
          <wp:inline distT="0" distB="0" distL="0" distR="0">
            <wp:extent cx="3827571" cy="2295525"/>
            <wp:effectExtent l="0" t="0" r="0" b="0"/>
            <wp:docPr id="151" name="Immagine 13" descr="uptake MCF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ptake MCF7.png"/>
                    <pic:cNvPicPr/>
                  </pic:nvPicPr>
                  <pic:blipFill>
                    <a:blip r:embed="rId53"/>
                    <a:stretch>
                      <a:fillRect/>
                    </a:stretch>
                  </pic:blipFill>
                  <pic:spPr>
                    <a:xfrm>
                      <a:off x="0" y="0"/>
                      <a:ext cx="3829482" cy="2296671"/>
                    </a:xfrm>
                    <a:prstGeom prst="rect">
                      <a:avLst/>
                    </a:prstGeom>
                  </pic:spPr>
                </pic:pic>
              </a:graphicData>
            </a:graphic>
          </wp:inline>
        </w:drawing>
      </w:r>
    </w:p>
    <w:p w:rsidR="00387A07" w:rsidRPr="00AA03FE" w:rsidRDefault="00860AC7" w:rsidP="00387A07">
      <w:pPr>
        <w:spacing w:line="360" w:lineRule="auto"/>
        <w:jc w:val="center"/>
        <w:rPr>
          <w:rFonts w:ascii="Arial" w:hAnsi="Arial" w:cs="Arial"/>
          <w:sz w:val="24"/>
          <w:szCs w:val="24"/>
          <w:lang w:val="it-IT"/>
        </w:rPr>
      </w:pPr>
      <w:r>
        <w:rPr>
          <w:rFonts w:ascii="Arial" w:hAnsi="Arial" w:cs="Arial"/>
          <w:noProof/>
          <w:sz w:val="24"/>
          <w:szCs w:val="24"/>
          <w:lang w:val="it-IT" w:eastAsia="it-IT"/>
        </w:rPr>
        <w:pict>
          <v:shape id="_x0000_s1027" type="#_x0000_t202" style="position:absolute;left:0;text-align:left;margin-left:361.6pt;margin-top:9.75pt;width:21pt;height:23.25pt;z-index:251658752" stroked="f">
            <v:textbox>
              <w:txbxContent>
                <w:p w:rsidR="009925A1" w:rsidRPr="001C5FE6" w:rsidRDefault="009925A1" w:rsidP="00387A07">
                  <w:pPr>
                    <w:jc w:val="center"/>
                    <w:rPr>
                      <w:rFonts w:ascii="Arial" w:hAnsi="Arial" w:cs="Arial"/>
                      <w:b/>
                      <w:color w:val="FF0000"/>
                      <w:sz w:val="24"/>
                      <w:szCs w:val="24"/>
                      <w:lang w:val="it-IT"/>
                    </w:rPr>
                  </w:pPr>
                  <w:r>
                    <w:rPr>
                      <w:rFonts w:ascii="Arial" w:hAnsi="Arial" w:cs="Arial"/>
                      <w:b/>
                      <w:color w:val="FF0000"/>
                      <w:sz w:val="24"/>
                      <w:szCs w:val="24"/>
                      <w:lang w:val="it-IT"/>
                    </w:rPr>
                    <w:t>B</w:t>
                  </w:r>
                </w:p>
              </w:txbxContent>
            </v:textbox>
          </v:shape>
        </w:pict>
      </w:r>
      <w:r w:rsidR="00387A07" w:rsidRPr="00AA03FE">
        <w:rPr>
          <w:rFonts w:ascii="Arial" w:hAnsi="Arial" w:cs="Arial"/>
          <w:noProof/>
          <w:sz w:val="24"/>
          <w:szCs w:val="24"/>
          <w:lang w:val="it-IT" w:eastAsia="it-IT"/>
        </w:rPr>
        <w:drawing>
          <wp:inline distT="0" distB="0" distL="0" distR="0">
            <wp:extent cx="3857625" cy="2313549"/>
            <wp:effectExtent l="0" t="0" r="0" b="0"/>
            <wp:docPr id="152" name="Immagine 14" descr="Uptake skbr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ptake skbr 3.png"/>
                    <pic:cNvPicPr/>
                  </pic:nvPicPr>
                  <pic:blipFill>
                    <a:blip r:embed="rId54"/>
                    <a:stretch>
                      <a:fillRect/>
                    </a:stretch>
                  </pic:blipFill>
                  <pic:spPr>
                    <a:xfrm>
                      <a:off x="0" y="0"/>
                      <a:ext cx="3860820" cy="2315465"/>
                    </a:xfrm>
                    <a:prstGeom prst="rect">
                      <a:avLst/>
                    </a:prstGeom>
                  </pic:spPr>
                </pic:pic>
              </a:graphicData>
            </a:graphic>
          </wp:inline>
        </w:drawing>
      </w:r>
    </w:p>
    <w:p w:rsidR="00387A07" w:rsidRPr="00AA03FE" w:rsidRDefault="00387A07" w:rsidP="00387A07">
      <w:pPr>
        <w:pStyle w:val="Didascalia"/>
        <w:rPr>
          <w:rFonts w:ascii="Arial" w:hAnsi="Arial" w:cs="Arial"/>
          <w:sz w:val="24"/>
          <w:szCs w:val="24"/>
          <w:lang w:val="en-US"/>
        </w:rPr>
      </w:pPr>
      <w:r w:rsidRPr="00AA03FE">
        <w:t xml:space="preserve">Figure 3. </w:t>
      </w:r>
      <w:fldSimple w:instr=" SEQ Figure_3. \* ARABIC ">
        <w:r w:rsidRPr="00AA03FE">
          <w:rPr>
            <w:noProof/>
          </w:rPr>
          <w:t>12</w:t>
        </w:r>
      </w:fldSimple>
      <w:r w:rsidRPr="00AA03FE">
        <w:t xml:space="preserve"> Celluar uptake efficiency of dye-loaded, Herceptin-coated or uncoated particles prepared with different polymers, for MCF 7 cells (A) and SKBR3 cells (B) .</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lastRenderedPageBreak/>
        <w:t xml:space="preserve">Moreover, MCF7 cells show less particles uptake when compared to SKBR3 cells for both Herceptin coated and uncoated particles, regardless of constituent material of the matrix. </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On the other hand surface-coated particles show increased internalization, when compared to uncoated ones, for SKBR3 cells which are of high HER-2 receptors over-expression. This behavior is observed for all polymers, excepted PLA, for which the presence of the antibody on the surface did not increase endocytosis.  </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For both cell lines, higher cellular internalization can be observed for nanoparticles prepared with the two novel polyesterurethanes, confirming that these materials can be optimal candidates as matrix-forming materials for nanoparticles. </w:t>
      </w:r>
    </w:p>
    <w:p w:rsidR="00387A07" w:rsidRPr="00AA03FE" w:rsidRDefault="00387A07" w:rsidP="00387A07">
      <w:pPr>
        <w:spacing w:before="240" w:after="240" w:line="360" w:lineRule="auto"/>
        <w:jc w:val="both"/>
        <w:rPr>
          <w:rFonts w:ascii="Arial" w:hAnsi="Arial" w:cs="Arial"/>
          <w:b/>
          <w:sz w:val="24"/>
          <w:szCs w:val="24"/>
          <w:lang w:val="en-US"/>
        </w:rPr>
      </w:pPr>
      <w:r w:rsidRPr="00AA03FE">
        <w:rPr>
          <w:rFonts w:ascii="Arial" w:hAnsi="Arial" w:cs="Arial"/>
          <w:b/>
          <w:sz w:val="24"/>
          <w:szCs w:val="24"/>
          <w:lang w:val="en-US"/>
        </w:rPr>
        <w:t>3.3.8 In vitro cellular uptake: confocal microscopy study</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The cellular uptake efficiency of Herceptin- coated and non coated particles was further investigated by confocal microscopy, on both SKBR3 and MCF7 cell lines to visualize the penetration of nanoparticles into the cells and to verify the targeting effect.</w:t>
      </w:r>
    </w:p>
    <w:p w:rsidR="00387A07" w:rsidRPr="00AA03FE" w:rsidRDefault="00387A07" w:rsidP="00387A07">
      <w:pPr>
        <w:spacing w:after="120" w:line="360" w:lineRule="auto"/>
        <w:jc w:val="both"/>
        <w:rPr>
          <w:rFonts w:ascii="Arial" w:hAnsi="Arial" w:cs="Arial"/>
          <w:sz w:val="24"/>
          <w:szCs w:val="24"/>
          <w:lang w:val="en-US"/>
        </w:rPr>
      </w:pPr>
      <w:r w:rsidRPr="00AA03FE">
        <w:rPr>
          <w:rFonts w:ascii="Arial" w:hAnsi="Arial" w:cs="Arial"/>
          <w:sz w:val="24"/>
          <w:szCs w:val="24"/>
          <w:lang w:val="en-US"/>
        </w:rPr>
        <w:t xml:space="preserve">The results are shown in figure 3.13 for MCF7 and in figure 3.14 for SKBR3. </w:t>
      </w:r>
    </w:p>
    <w:p w:rsidR="00387A07" w:rsidRPr="00AA03FE" w:rsidRDefault="00387A07" w:rsidP="00387A07">
      <w:pPr>
        <w:spacing w:line="360" w:lineRule="auto"/>
        <w:jc w:val="center"/>
        <w:rPr>
          <w:rFonts w:ascii="Arial" w:hAnsi="Arial" w:cs="Arial"/>
          <w:sz w:val="24"/>
          <w:szCs w:val="24"/>
          <w:lang w:val="en-US"/>
        </w:rPr>
      </w:pPr>
      <w:r w:rsidRPr="00AA03FE">
        <w:rPr>
          <w:rFonts w:ascii="Arial" w:hAnsi="Arial" w:cs="Arial"/>
          <w:noProof/>
          <w:sz w:val="24"/>
          <w:szCs w:val="24"/>
          <w:lang w:val="it-IT" w:eastAsia="it-IT"/>
        </w:rPr>
        <w:drawing>
          <wp:inline distT="0" distB="0" distL="0" distR="0">
            <wp:extent cx="6120130" cy="4201795"/>
            <wp:effectExtent l="19050" t="0" r="0" b="0"/>
            <wp:docPr id="32" name="Immagine 31" descr="Immagin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1.png"/>
                    <pic:cNvPicPr/>
                  </pic:nvPicPr>
                  <pic:blipFill>
                    <a:blip r:embed="rId55"/>
                    <a:stretch>
                      <a:fillRect/>
                    </a:stretch>
                  </pic:blipFill>
                  <pic:spPr>
                    <a:xfrm>
                      <a:off x="0" y="0"/>
                      <a:ext cx="6120130" cy="4201795"/>
                    </a:xfrm>
                    <a:prstGeom prst="rect">
                      <a:avLst/>
                    </a:prstGeom>
                  </pic:spPr>
                </pic:pic>
              </a:graphicData>
            </a:graphic>
          </wp:inline>
        </w:drawing>
      </w:r>
    </w:p>
    <w:p w:rsidR="00387A07" w:rsidRPr="00AA03FE" w:rsidRDefault="00387A07" w:rsidP="00387A07">
      <w:pPr>
        <w:pStyle w:val="Didascalia"/>
        <w:jc w:val="both"/>
      </w:pPr>
      <w:r w:rsidRPr="00AA03FE">
        <w:t xml:space="preserve">Figure 3. </w:t>
      </w:r>
      <w:fldSimple w:instr=" SEQ Figure_3. \* ARABIC ">
        <w:r w:rsidRPr="00AA03FE">
          <w:rPr>
            <w:noProof/>
          </w:rPr>
          <w:t>13</w:t>
        </w:r>
      </w:fldSimple>
      <w:r w:rsidRPr="00AA03FE">
        <w:t xml:space="preserve"> Confocal microscopy on MCF7 cells: images are obtained from the merged channels for red (nuclei) and green (Coumarin dye inside nanoparticles). </w:t>
      </w:r>
    </w:p>
    <w:p w:rsidR="00387A07" w:rsidRPr="00AA03FE" w:rsidRDefault="00387A07" w:rsidP="00387A07">
      <w:pPr>
        <w:spacing w:after="0" w:line="360" w:lineRule="auto"/>
        <w:jc w:val="both"/>
        <w:rPr>
          <w:rFonts w:ascii="Arial" w:hAnsi="Arial" w:cs="Arial"/>
          <w:b/>
          <w:color w:val="FF0000"/>
          <w:sz w:val="24"/>
          <w:szCs w:val="24"/>
          <w:lang w:val="en-US"/>
        </w:rPr>
      </w:pPr>
      <w:r w:rsidRPr="00AA03FE">
        <w:rPr>
          <w:rFonts w:ascii="Arial" w:hAnsi="Arial" w:cs="Arial"/>
          <w:b/>
          <w:noProof/>
          <w:color w:val="FF0000"/>
          <w:sz w:val="24"/>
          <w:szCs w:val="24"/>
          <w:lang w:val="it-IT" w:eastAsia="it-IT"/>
        </w:rPr>
        <w:lastRenderedPageBreak/>
        <w:drawing>
          <wp:inline distT="0" distB="0" distL="0" distR="0">
            <wp:extent cx="6120130" cy="4437380"/>
            <wp:effectExtent l="19050" t="0" r="0" b="0"/>
            <wp:docPr id="46" name="Immagine 45" descr="Immagin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2.png"/>
                    <pic:cNvPicPr/>
                  </pic:nvPicPr>
                  <pic:blipFill>
                    <a:blip r:embed="rId56"/>
                    <a:stretch>
                      <a:fillRect/>
                    </a:stretch>
                  </pic:blipFill>
                  <pic:spPr>
                    <a:xfrm>
                      <a:off x="0" y="0"/>
                      <a:ext cx="6120130" cy="4437380"/>
                    </a:xfrm>
                    <a:prstGeom prst="rect">
                      <a:avLst/>
                    </a:prstGeom>
                  </pic:spPr>
                </pic:pic>
              </a:graphicData>
            </a:graphic>
          </wp:inline>
        </w:drawing>
      </w:r>
    </w:p>
    <w:p w:rsidR="00387A07" w:rsidRPr="00AA03FE" w:rsidRDefault="00387A07" w:rsidP="00387A07">
      <w:pPr>
        <w:pStyle w:val="Didascalia"/>
        <w:rPr>
          <w:rFonts w:ascii="Arial" w:hAnsi="Arial" w:cs="Arial"/>
          <w:sz w:val="24"/>
          <w:szCs w:val="24"/>
          <w:lang w:val="en-US"/>
        </w:rPr>
      </w:pPr>
      <w:r w:rsidRPr="00AA03FE">
        <w:t xml:space="preserve">Figure 3. </w:t>
      </w:r>
      <w:fldSimple w:instr=" SEQ Figure_3. \* ARABIC ">
        <w:r w:rsidRPr="00AA03FE">
          <w:rPr>
            <w:noProof/>
          </w:rPr>
          <w:t>14</w:t>
        </w:r>
      </w:fldSimple>
      <w:r w:rsidRPr="00AA03FE">
        <w:t xml:space="preserve"> Confocal microscopy on SKBR3 cells: images are obtained from the merged channels for red (nuclei) and green (Coumarin dye inside nanoparticles).</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Confocal analysis shows that nanoparticles localize in the cell’s cytoplasm, since the nucleus (red) appears circumvented by the green fluorescence of the coumarin6 dye present inside the particles. </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A more intense green fluorescence can be observed for Herceptin-coated nanoparticles for SKBR-3 and MCF-7 cells, indicating that a targeting effect can be achieved on both cell lines.</w:t>
      </w:r>
    </w:p>
    <w:p w:rsidR="00387A07" w:rsidRPr="00AA03FE" w:rsidRDefault="00387A07" w:rsidP="00387A07">
      <w:pPr>
        <w:spacing w:before="240" w:after="240" w:line="360" w:lineRule="auto"/>
        <w:jc w:val="both"/>
        <w:rPr>
          <w:rFonts w:ascii="Arial" w:hAnsi="Arial" w:cs="Arial"/>
          <w:b/>
          <w:sz w:val="24"/>
          <w:szCs w:val="24"/>
          <w:lang w:val="en-US"/>
        </w:rPr>
      </w:pPr>
      <w:r w:rsidRPr="00AA03FE">
        <w:rPr>
          <w:rFonts w:ascii="Arial" w:hAnsi="Arial" w:cs="Arial"/>
          <w:b/>
          <w:sz w:val="24"/>
          <w:szCs w:val="24"/>
          <w:lang w:val="en-US"/>
        </w:rPr>
        <w:t>3.3.9 In vitro cytotoxicity</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Quantitative analysis of the cytotoxicity of different Paclitaxel-containing nanoparticles formulations with or without mAb coating, was performed on SKBR3 cells.</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A comparison between coated and uncoated samples for each polymer, is presented in figure 3.15.</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Uncoated particles show a similar behavior for all polymers, with a dose-dependent cytotoxic effect. In fact the percent of living cells linearly decreases with increasing drug dose. This is particularly evident for C-BC2000 non coated nanoparticles, which show the </w:t>
      </w:r>
      <w:r w:rsidRPr="00AA03FE">
        <w:rPr>
          <w:rFonts w:ascii="Arial" w:hAnsi="Arial" w:cs="Arial"/>
          <w:sz w:val="24"/>
          <w:szCs w:val="24"/>
          <w:lang w:val="en-US"/>
        </w:rPr>
        <w:lastRenderedPageBreak/>
        <w:t xml:space="preserve">highest cytotoxic activity against SKBR3 tumor cells especially at high drug doses. A Paclitaxel dose of 2.5µg/ml encapsulated into C-BC2000 uncoated particles possessed the ability to kill more than 50% of cancer cells during the first day of treatment. </w:t>
      </w:r>
    </w:p>
    <w:p w:rsidR="00387A07" w:rsidRPr="00AA03FE" w:rsidRDefault="00387A07" w:rsidP="00387A07">
      <w:pPr>
        <w:spacing w:line="360" w:lineRule="auto"/>
        <w:jc w:val="both"/>
        <w:rPr>
          <w:rFonts w:ascii="Arial" w:hAnsi="Arial" w:cs="Arial"/>
          <w:sz w:val="24"/>
          <w:szCs w:val="24"/>
          <w:lang w:val="en-US"/>
        </w:rPr>
      </w:pPr>
      <w:r w:rsidRPr="00AA03FE">
        <w:rPr>
          <w:rFonts w:ascii="Arial" w:hAnsi="Arial" w:cs="Arial"/>
          <w:noProof/>
          <w:sz w:val="24"/>
          <w:szCs w:val="24"/>
          <w:lang w:val="it-IT" w:eastAsia="it-IT"/>
        </w:rPr>
        <w:drawing>
          <wp:inline distT="0" distB="0" distL="0" distR="0">
            <wp:extent cx="5975985" cy="5386070"/>
            <wp:effectExtent l="0" t="0" r="0" b="0"/>
            <wp:docPr id="154" name="Immagine 18" descr="CITOTOSSICIT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TOTOSSICITà.png"/>
                    <pic:cNvPicPr/>
                  </pic:nvPicPr>
                  <pic:blipFill>
                    <a:blip r:embed="rId57"/>
                    <a:stretch>
                      <a:fillRect/>
                    </a:stretch>
                  </pic:blipFill>
                  <pic:spPr>
                    <a:xfrm>
                      <a:off x="0" y="0"/>
                      <a:ext cx="5975985" cy="5386070"/>
                    </a:xfrm>
                    <a:prstGeom prst="rect">
                      <a:avLst/>
                    </a:prstGeom>
                  </pic:spPr>
                </pic:pic>
              </a:graphicData>
            </a:graphic>
          </wp:inline>
        </w:drawing>
      </w:r>
    </w:p>
    <w:p w:rsidR="00387A07" w:rsidRPr="00AA03FE" w:rsidRDefault="00387A07" w:rsidP="00387A07">
      <w:pPr>
        <w:pStyle w:val="Didascalia"/>
        <w:rPr>
          <w:rFonts w:ascii="Arial" w:hAnsi="Arial" w:cs="Arial"/>
          <w:sz w:val="24"/>
          <w:szCs w:val="24"/>
          <w:lang w:val="en-US"/>
        </w:rPr>
      </w:pPr>
      <w:r w:rsidRPr="00AA03FE">
        <w:t>Figure 3. 15 Cytotoxicity of different PX-nanoformulations.</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At a fixed Paclitaxel dose, Herceptin-coated particles did not show increased cytotoxicity when compared to their uncoated counterparts. This indicates that the presence of the antibody on the surface of nanoparticles does not increase its activity in killing tumor cells, though increasing the extent of cellular internalization. These results are in accordance with what observed from the drug release tests, which showed that the presence of the mAb coating on the surface of nanoparticles resulted in a delayed release profile of the encapsulated drug, especially during the first day. For coated particles, cytotoxicity is also dependent on the matrix-forming material, since the amount of Herceptin on the surface is correlated with the polymer used to prepare nanoparticles.  </w:t>
      </w:r>
    </w:p>
    <w:p w:rsidR="00387A07" w:rsidRPr="00AA03FE" w:rsidRDefault="00387A07" w:rsidP="00387A07">
      <w:pPr>
        <w:spacing w:before="240" w:after="240" w:line="360" w:lineRule="auto"/>
        <w:jc w:val="both"/>
        <w:rPr>
          <w:rFonts w:ascii="Arial" w:hAnsi="Arial" w:cs="Arial"/>
          <w:b/>
          <w:sz w:val="28"/>
          <w:szCs w:val="28"/>
        </w:rPr>
      </w:pPr>
      <w:r w:rsidRPr="00AA03FE">
        <w:rPr>
          <w:rFonts w:ascii="Arial" w:hAnsi="Arial" w:cs="Arial"/>
          <w:b/>
          <w:sz w:val="28"/>
          <w:szCs w:val="28"/>
        </w:rPr>
        <w:lastRenderedPageBreak/>
        <w:t>3.4 Conclusions</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In this chapter, nanoparticles with different polymers were successfully prepared by a modified single emulsion solvent extraction evaporation method for the active targeting of HER2 over-expressing breast cancer cells.</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Regardless of the polymer used, all particles exhibited a spherical morphology and a small size, which could be exploited for the passive targeting of cancer cells through the EPR effect [4].</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 xml:space="preserve">To further increase targeting ability of these carriers, Herceptin, a monoclonal antibody known to selective bind to HER-2 over-expressing cells like pancreatic and breast cancer cells, was introduced on the surface of nanoparticles as a coating, through hydrophilic/hydrophobic interactions between the negatively charged polymer surface and the positively charged protein. </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Surface modification was successfully achieved, as demonstrated by changes in size and zeta potential of the particles [20,26]. The amount of Herceptin on the surface of the carriers was measured by standard Bradford assay, confirming the presence of the antibody  on nanoparticles.</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 xml:space="preserve">The targeting ability of the carriers was measured by quantifying cellular uptake on two different breast cancer cell lines: MCF7 which have moderate expression of the HER2 receptor and SKBR3, which exhibit high over-expression of the same receptor. Results showed that the presence of the mAb on the particles surface led to increased cellular internalization, regardless of the polymer used to prepare nanoparticles, for both cell lines. Moreover, Paclitaxel, one of the most potent anti-neoplastic drugs, was encapsulated inside nanoparticles, and the cytotoxicity of these drug nanoformulations was evaluated at three different drug concentrations (0.25; 1and 2.5 µg/ml) for both plain and HER-coated particles. </w:t>
      </w:r>
      <w:r w:rsidRPr="00AA03FE">
        <w:rPr>
          <w:rFonts w:ascii="Arial" w:hAnsi="Arial" w:cs="Arial"/>
          <w:i/>
          <w:sz w:val="24"/>
          <w:szCs w:val="24"/>
        </w:rPr>
        <w:t>In vitro</w:t>
      </w:r>
      <w:r w:rsidRPr="00AA03FE">
        <w:rPr>
          <w:rFonts w:ascii="Arial" w:hAnsi="Arial" w:cs="Arial"/>
          <w:sz w:val="24"/>
          <w:szCs w:val="24"/>
        </w:rPr>
        <w:t xml:space="preserve"> cytoxicity results showed that antibody-coated nanoparticles, which exhibited a delayed release profile, also had lower cytotoxicity against SKBR-3 cells. On the other hand, uncoated carriers showed a dose-dependent cytotoxic activity regardless of the polymer used. </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Two novel biodegradable polyesterurethanes prepared with different chain extenders were proposed as matrix-forming materials for nanoparticles, obtaining satisfactory results. In fact PU nanoparticles, exhibited higher cellular internalization, targeting ability and cytoxic activity on SKBR-3 cells.</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lastRenderedPageBreak/>
        <w:t xml:space="preserve">Results indicate that these new materials show superior properties, when compared to standard, traditionally used matrix-forming materials. In this work, polyurethanes were synthesised with two different chain extenders: </w:t>
      </w:r>
      <w:r w:rsidRPr="00AA03FE">
        <w:rPr>
          <w:rStyle w:val="MacchinadascrivereHTML"/>
          <w:rFonts w:ascii="Arial" w:eastAsiaTheme="minorHAnsi" w:hAnsi="Arial" w:cs="Arial"/>
          <w:sz w:val="24"/>
          <w:szCs w:val="24"/>
        </w:rPr>
        <w:t>1,4-cyclohexane dimethanol CDM and N-Boc-serinol for C-BC2000 and NS-BC2000 respectively. The latter posses protected functional amino groups (NH</w:t>
      </w:r>
      <w:r w:rsidRPr="00AA03FE">
        <w:rPr>
          <w:rStyle w:val="MacchinadascrivereHTML"/>
          <w:rFonts w:ascii="Arial" w:eastAsiaTheme="minorHAnsi" w:hAnsi="Arial" w:cs="Arial"/>
          <w:sz w:val="24"/>
          <w:szCs w:val="24"/>
          <w:vertAlign w:val="subscript"/>
        </w:rPr>
        <w:t>2</w:t>
      </w:r>
      <w:r w:rsidRPr="00AA03FE">
        <w:rPr>
          <w:rStyle w:val="MacchinadascrivereHTML"/>
          <w:rFonts w:ascii="Arial" w:eastAsiaTheme="minorHAnsi" w:hAnsi="Arial" w:cs="Arial"/>
          <w:sz w:val="24"/>
          <w:szCs w:val="24"/>
        </w:rPr>
        <w:t xml:space="preserve">) which, after de-protection, could be exploited for future chemical coupling of antibodies or other targeting moieties. </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sz w:val="24"/>
          <w:szCs w:val="24"/>
        </w:rPr>
        <w:t>All this considered, PUs may be considered as optimal candidate for the preparation of nanoparticles, since they offer the possibility to modulate the final properties, by controlling their chemical composition [27]. Their potential as matrix-forming materials for novel nanomedicine formulations is therefore demonstrated.</w:t>
      </w:r>
    </w:p>
    <w:p w:rsidR="00387A07" w:rsidRPr="00AA03FE" w:rsidRDefault="00387A07" w:rsidP="00387A07">
      <w:pPr>
        <w:spacing w:before="240" w:after="240" w:line="360" w:lineRule="auto"/>
        <w:jc w:val="both"/>
        <w:rPr>
          <w:rFonts w:ascii="Arial" w:hAnsi="Arial" w:cs="Arial"/>
          <w:b/>
          <w:sz w:val="28"/>
          <w:szCs w:val="28"/>
        </w:rPr>
      </w:pPr>
      <w:r w:rsidRPr="00AA03FE">
        <w:rPr>
          <w:rFonts w:ascii="Arial" w:hAnsi="Arial" w:cs="Arial"/>
          <w:b/>
          <w:sz w:val="28"/>
          <w:szCs w:val="28"/>
        </w:rPr>
        <w:t>References</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iCs/>
          <w:sz w:val="24"/>
          <w:szCs w:val="24"/>
          <w:lang w:val="en-US"/>
        </w:rPr>
        <w:t xml:space="preserve">[1] Haley B. et al </w:t>
      </w:r>
      <w:r w:rsidRPr="00AA03FE">
        <w:rPr>
          <w:rFonts w:ascii="Arial" w:hAnsi="Arial" w:cs="Arial"/>
          <w:b/>
          <w:iCs/>
          <w:sz w:val="24"/>
          <w:szCs w:val="24"/>
          <w:lang w:val="en-US"/>
        </w:rPr>
        <w:t>2008</w:t>
      </w:r>
      <w:r w:rsidRPr="00AA03FE">
        <w:rPr>
          <w:rFonts w:ascii="Arial" w:hAnsi="Arial" w:cs="Arial"/>
          <w:iCs/>
          <w:sz w:val="24"/>
          <w:szCs w:val="24"/>
          <w:lang w:val="en-US"/>
        </w:rPr>
        <w:t xml:space="preserve"> Urologic Oncology: Seminars and Original Investigations 26:57</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[3] Hans ML. et al. </w:t>
      </w:r>
      <w:r w:rsidRPr="00AA03FE">
        <w:rPr>
          <w:rFonts w:ascii="Arial" w:hAnsi="Arial" w:cs="Arial"/>
          <w:b/>
          <w:sz w:val="24"/>
          <w:szCs w:val="24"/>
          <w:lang w:val="en-US"/>
        </w:rPr>
        <w:t>2002</w:t>
      </w:r>
      <w:r w:rsidRPr="00AA03FE">
        <w:rPr>
          <w:rFonts w:ascii="Arial" w:hAnsi="Arial" w:cs="Arial"/>
          <w:sz w:val="24"/>
          <w:szCs w:val="24"/>
          <w:lang w:val="en-US"/>
        </w:rPr>
        <w:t xml:space="preserve"> Current Opinion in Solid State and Materials Science 6:319</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[4] Parveen S. et al </w:t>
      </w:r>
      <w:r w:rsidRPr="00AA03FE">
        <w:rPr>
          <w:rFonts w:ascii="Arial" w:hAnsi="Arial" w:cs="Arial"/>
          <w:b/>
          <w:sz w:val="24"/>
          <w:szCs w:val="24"/>
          <w:lang w:val="en-US"/>
        </w:rPr>
        <w:t>2011</w:t>
      </w:r>
      <w:r w:rsidRPr="00AA03FE">
        <w:rPr>
          <w:rFonts w:ascii="Arial" w:hAnsi="Arial" w:cs="Arial"/>
          <w:sz w:val="24"/>
          <w:szCs w:val="24"/>
          <w:lang w:val="en-US"/>
        </w:rPr>
        <w:t xml:space="preserve"> Nanomedicine: Nanotechnology, Biology, and Medicine in press</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[5]  McGuire WP. </w:t>
      </w:r>
      <w:r w:rsidRPr="00AA03FE">
        <w:rPr>
          <w:rFonts w:ascii="Arial" w:hAnsi="Arial" w:cs="Arial"/>
          <w:b/>
          <w:sz w:val="24"/>
          <w:szCs w:val="24"/>
          <w:lang w:val="en-US"/>
        </w:rPr>
        <w:t>2003</w:t>
      </w:r>
      <w:r w:rsidRPr="00AA03FE">
        <w:rPr>
          <w:rFonts w:ascii="Arial" w:hAnsi="Arial" w:cs="Arial"/>
          <w:sz w:val="24"/>
          <w:szCs w:val="24"/>
          <w:lang w:val="en-US"/>
        </w:rPr>
        <w:t xml:space="preserve"> Br. J. Cancer 89(3):S3</w:t>
      </w:r>
    </w:p>
    <w:p w:rsidR="00387A07" w:rsidRPr="00AA03FE" w:rsidRDefault="00387A07" w:rsidP="00387A07">
      <w:pPr>
        <w:spacing w:after="0" w:line="360" w:lineRule="auto"/>
        <w:jc w:val="both"/>
        <w:rPr>
          <w:rFonts w:ascii="Arial" w:hAnsi="Arial" w:cs="Arial"/>
          <w:sz w:val="24"/>
          <w:szCs w:val="24"/>
          <w:lang w:val="it-IT"/>
        </w:rPr>
      </w:pPr>
      <w:r w:rsidRPr="00AA03FE">
        <w:rPr>
          <w:rFonts w:ascii="Arial" w:hAnsi="Arial" w:cs="Arial"/>
          <w:sz w:val="24"/>
          <w:szCs w:val="24"/>
          <w:lang w:val="en-US"/>
        </w:rPr>
        <w:t xml:space="preserve">[6] [Parveen S. et al. </w:t>
      </w:r>
      <w:r w:rsidRPr="00AA03FE">
        <w:rPr>
          <w:rFonts w:ascii="Arial" w:hAnsi="Arial" w:cs="Arial"/>
          <w:b/>
          <w:sz w:val="24"/>
          <w:szCs w:val="24"/>
          <w:lang w:val="en-US"/>
        </w:rPr>
        <w:t>2008</w:t>
      </w:r>
      <w:r w:rsidRPr="00AA03FE">
        <w:rPr>
          <w:rFonts w:ascii="Arial" w:hAnsi="Arial" w:cs="Arial"/>
          <w:sz w:val="24"/>
          <w:szCs w:val="24"/>
          <w:lang w:val="en-US"/>
        </w:rPr>
        <w:t xml:space="preserve"> J. Drug Target. </w:t>
      </w:r>
      <w:r w:rsidRPr="00AA03FE">
        <w:rPr>
          <w:rFonts w:ascii="Arial" w:hAnsi="Arial" w:cs="Arial"/>
          <w:sz w:val="24"/>
          <w:szCs w:val="24"/>
          <w:lang w:val="it-IT"/>
        </w:rPr>
        <w:t>16:108].</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it-IT"/>
        </w:rPr>
        <w:t xml:space="preserve">[7] Garnett MC et al. </w:t>
      </w:r>
      <w:r w:rsidRPr="00AA03FE">
        <w:rPr>
          <w:rFonts w:ascii="Arial" w:hAnsi="Arial" w:cs="Arial"/>
          <w:b/>
          <w:sz w:val="24"/>
          <w:szCs w:val="24"/>
          <w:lang w:val="it-IT"/>
        </w:rPr>
        <w:t>2001</w:t>
      </w:r>
      <w:r w:rsidRPr="00AA03FE">
        <w:rPr>
          <w:rFonts w:ascii="Arial" w:hAnsi="Arial" w:cs="Arial"/>
          <w:sz w:val="24"/>
          <w:szCs w:val="24"/>
          <w:lang w:val="it-IT"/>
        </w:rPr>
        <w:t xml:space="preserve"> Adv. Drug del. </w:t>
      </w:r>
      <w:r w:rsidRPr="00AA03FE">
        <w:rPr>
          <w:rFonts w:ascii="Arial" w:hAnsi="Arial" w:cs="Arial"/>
          <w:sz w:val="24"/>
          <w:szCs w:val="24"/>
          <w:lang w:val="en-US"/>
        </w:rPr>
        <w:t>Rev. 53:171</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[8] Lambert JM </w:t>
      </w:r>
      <w:r w:rsidRPr="00AA03FE">
        <w:rPr>
          <w:rFonts w:ascii="Arial" w:hAnsi="Arial" w:cs="Arial"/>
          <w:b/>
          <w:sz w:val="24"/>
          <w:szCs w:val="24"/>
          <w:lang w:val="en-US"/>
        </w:rPr>
        <w:t>2005</w:t>
      </w:r>
      <w:r w:rsidRPr="00AA03FE">
        <w:rPr>
          <w:rFonts w:ascii="Arial" w:hAnsi="Arial" w:cs="Arial"/>
          <w:sz w:val="24"/>
          <w:szCs w:val="24"/>
          <w:lang w:val="en-US"/>
        </w:rPr>
        <w:t xml:space="preserve"> Curr. Opin. Pharmacol. 5:543</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[9] Kohler G. et al. </w:t>
      </w:r>
      <w:r w:rsidRPr="00AA03FE">
        <w:rPr>
          <w:rFonts w:ascii="Arial" w:hAnsi="Arial" w:cs="Arial"/>
          <w:b/>
          <w:sz w:val="24"/>
          <w:szCs w:val="24"/>
          <w:lang w:val="en-US"/>
        </w:rPr>
        <w:t>1975</w:t>
      </w:r>
      <w:r w:rsidRPr="00AA03FE">
        <w:rPr>
          <w:rFonts w:ascii="Arial" w:hAnsi="Arial" w:cs="Arial"/>
          <w:sz w:val="24"/>
          <w:szCs w:val="24"/>
          <w:lang w:val="en-US"/>
        </w:rPr>
        <w:t xml:space="preserve"> Nature 256:495 </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[10]Funaro A. et al. </w:t>
      </w:r>
      <w:r w:rsidRPr="00AA03FE">
        <w:rPr>
          <w:rFonts w:ascii="Arial" w:hAnsi="Arial" w:cs="Arial"/>
          <w:b/>
          <w:sz w:val="24"/>
          <w:szCs w:val="24"/>
          <w:lang w:val="en-US"/>
        </w:rPr>
        <w:t>2000</w:t>
      </w:r>
      <w:r w:rsidRPr="00AA03FE">
        <w:rPr>
          <w:rFonts w:ascii="Arial" w:hAnsi="Arial" w:cs="Arial"/>
          <w:sz w:val="24"/>
          <w:szCs w:val="24"/>
          <w:lang w:val="en-US"/>
        </w:rPr>
        <w:t xml:space="preserve"> Biotechnol. Adv.18:385</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[11] Kocbek P. et al. </w:t>
      </w:r>
      <w:r w:rsidRPr="00AA03FE">
        <w:rPr>
          <w:rFonts w:ascii="Arial" w:hAnsi="Arial" w:cs="Arial"/>
          <w:b/>
          <w:sz w:val="24"/>
          <w:szCs w:val="24"/>
          <w:lang w:val="en-US"/>
        </w:rPr>
        <w:t>2007</w:t>
      </w:r>
      <w:r w:rsidRPr="00AA03FE">
        <w:rPr>
          <w:rFonts w:ascii="Arial" w:hAnsi="Arial" w:cs="Arial"/>
          <w:sz w:val="24"/>
          <w:szCs w:val="24"/>
          <w:lang w:val="en-US"/>
        </w:rPr>
        <w:t xml:space="preserve"> J. Control. Rel. 120:18</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[12] [Cirstoiu-Hapca A. et al. </w:t>
      </w:r>
      <w:r w:rsidRPr="00AA03FE">
        <w:rPr>
          <w:rFonts w:ascii="Arial" w:hAnsi="Arial" w:cs="Arial"/>
          <w:b/>
          <w:sz w:val="24"/>
          <w:szCs w:val="24"/>
          <w:lang w:val="en-US"/>
        </w:rPr>
        <w:t>2010</w:t>
      </w:r>
      <w:r w:rsidRPr="00AA03FE">
        <w:rPr>
          <w:rFonts w:ascii="Arial" w:hAnsi="Arial" w:cs="Arial"/>
          <w:sz w:val="24"/>
          <w:szCs w:val="24"/>
          <w:lang w:val="en-US"/>
        </w:rPr>
        <w:t xml:space="preserve"> J. Control. Rel. 144:324</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[13] Pabari RM. Et al. </w:t>
      </w:r>
      <w:r w:rsidRPr="00AA03FE">
        <w:rPr>
          <w:rFonts w:ascii="Arial" w:hAnsi="Arial" w:cs="Arial"/>
          <w:b/>
          <w:sz w:val="24"/>
          <w:szCs w:val="24"/>
          <w:lang w:val="en-US"/>
        </w:rPr>
        <w:t xml:space="preserve">2011 </w:t>
      </w:r>
      <w:r w:rsidRPr="00AA03FE">
        <w:rPr>
          <w:rFonts w:ascii="Arial" w:hAnsi="Arial" w:cs="Arial"/>
          <w:sz w:val="24"/>
          <w:szCs w:val="24"/>
          <w:lang w:val="en-US"/>
        </w:rPr>
        <w:t>Pharmaceutics 3:510</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en-US"/>
        </w:rPr>
        <w:t xml:space="preserve">[14] Y. Liu et al. </w:t>
      </w:r>
      <w:r w:rsidRPr="00AA03FE">
        <w:rPr>
          <w:rFonts w:ascii="Arial" w:hAnsi="Arial" w:cs="Arial"/>
          <w:b/>
          <w:sz w:val="24"/>
          <w:szCs w:val="24"/>
          <w:lang w:val="en-US"/>
        </w:rPr>
        <w:t>2010</w:t>
      </w:r>
      <w:r w:rsidRPr="00AA03FE">
        <w:rPr>
          <w:rFonts w:ascii="Arial" w:hAnsi="Arial" w:cs="Arial"/>
          <w:sz w:val="24"/>
          <w:szCs w:val="24"/>
          <w:lang w:val="en-US"/>
        </w:rPr>
        <w:t xml:space="preserve"> Biomaterials 31:9145</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lang w:val="it-IT"/>
        </w:rPr>
        <w:t xml:space="preserve">[15] Arya G. et al. </w:t>
      </w:r>
      <w:r w:rsidRPr="00AA03FE">
        <w:rPr>
          <w:rFonts w:ascii="Arial" w:hAnsi="Arial" w:cs="Arial"/>
          <w:b/>
          <w:sz w:val="24"/>
          <w:szCs w:val="24"/>
          <w:lang w:val="it-IT"/>
        </w:rPr>
        <w:t>2011</w:t>
      </w:r>
      <w:r w:rsidRPr="00AA03FE">
        <w:rPr>
          <w:rFonts w:ascii="Arial" w:hAnsi="Arial" w:cs="Arial"/>
          <w:sz w:val="24"/>
          <w:szCs w:val="24"/>
          <w:lang w:val="it-IT"/>
        </w:rPr>
        <w:t xml:space="preserve"> Nanomed. </w:t>
      </w:r>
      <w:r w:rsidRPr="00AA03FE">
        <w:rPr>
          <w:rFonts w:ascii="Arial" w:hAnsi="Arial" w:cs="Arial"/>
          <w:sz w:val="24"/>
          <w:szCs w:val="24"/>
          <w:lang w:val="en-US"/>
        </w:rPr>
        <w:t>Nanotech. biol. med. 7:859</w:t>
      </w:r>
    </w:p>
    <w:p w:rsidR="00387A07" w:rsidRPr="00AA03FE" w:rsidRDefault="00387A07" w:rsidP="00387A07">
      <w:pPr>
        <w:spacing w:after="0" w:line="360" w:lineRule="auto"/>
        <w:jc w:val="both"/>
        <w:rPr>
          <w:rStyle w:val="MacchinadascrivereHTML"/>
          <w:rFonts w:ascii="Arial" w:eastAsiaTheme="minorHAnsi" w:hAnsi="Arial" w:cs="Arial"/>
          <w:sz w:val="24"/>
          <w:szCs w:val="24"/>
          <w:lang w:val="en-US"/>
        </w:rPr>
      </w:pPr>
      <w:r w:rsidRPr="00AA03FE">
        <w:rPr>
          <w:rFonts w:ascii="Arial" w:hAnsi="Arial" w:cs="Arial"/>
          <w:sz w:val="24"/>
          <w:szCs w:val="24"/>
          <w:lang w:val="en-US"/>
        </w:rPr>
        <w:t xml:space="preserve">[16] Cerrai P. et al. </w:t>
      </w:r>
      <w:r w:rsidRPr="00AA03FE">
        <w:rPr>
          <w:rFonts w:ascii="Arial" w:hAnsi="Arial" w:cs="Arial"/>
          <w:b/>
          <w:sz w:val="24"/>
          <w:szCs w:val="24"/>
          <w:lang w:val="en-US"/>
        </w:rPr>
        <w:t>1994</w:t>
      </w:r>
      <w:r w:rsidRPr="00AA03FE">
        <w:rPr>
          <w:rFonts w:ascii="Arial" w:hAnsi="Arial" w:cs="Arial"/>
          <w:color w:val="000000"/>
          <w:sz w:val="24"/>
          <w:szCs w:val="24"/>
          <w:lang w:val="en-US"/>
        </w:rPr>
        <w:t xml:space="preserve"> </w:t>
      </w:r>
      <w:r w:rsidRPr="00AA03FE">
        <w:rPr>
          <w:rFonts w:ascii="Arial" w:hAnsi="Arial" w:cs="Arial"/>
          <w:sz w:val="24"/>
          <w:szCs w:val="24"/>
          <w:lang w:val="en-US"/>
        </w:rPr>
        <w:t>J. Mat. Sci. Mat. Med., 5:33</w:t>
      </w:r>
    </w:p>
    <w:p w:rsidR="00387A07" w:rsidRPr="00AA03FE" w:rsidRDefault="00387A07" w:rsidP="00387A07">
      <w:pPr>
        <w:spacing w:after="0" w:line="360" w:lineRule="auto"/>
        <w:jc w:val="both"/>
        <w:rPr>
          <w:rFonts w:ascii="Arial" w:hAnsi="Arial" w:cs="Arial"/>
          <w:sz w:val="26"/>
          <w:szCs w:val="26"/>
        </w:rPr>
      </w:pPr>
      <w:r w:rsidRPr="00AA03FE">
        <w:rPr>
          <w:rStyle w:val="MacchinadascrivereHTML"/>
          <w:rFonts w:ascii="Arial" w:eastAsiaTheme="minorHAnsi" w:hAnsi="Arial" w:cs="Arial"/>
          <w:sz w:val="24"/>
          <w:szCs w:val="24"/>
          <w:lang w:val="en-US"/>
        </w:rPr>
        <w:t xml:space="preserve">[17] </w:t>
      </w:r>
      <w:r w:rsidRPr="00AA03FE">
        <w:rPr>
          <w:rFonts w:ascii="Arial" w:hAnsi="Arial" w:cs="Arial"/>
          <w:sz w:val="26"/>
          <w:szCs w:val="26"/>
        </w:rPr>
        <w:t>Rechichi A. et Al.</w:t>
      </w:r>
      <w:r w:rsidRPr="00AA03FE">
        <w:rPr>
          <w:rFonts w:ascii="Arial" w:hAnsi="Arial" w:cs="Arial"/>
          <w:color w:val="241F20"/>
          <w:sz w:val="26"/>
          <w:szCs w:val="26"/>
        </w:rPr>
        <w:t xml:space="preserve"> </w:t>
      </w:r>
      <w:r w:rsidRPr="00AA03FE">
        <w:rPr>
          <w:rFonts w:ascii="Arial" w:hAnsi="Arial" w:cs="Arial"/>
          <w:b/>
          <w:sz w:val="26"/>
          <w:szCs w:val="26"/>
        </w:rPr>
        <w:t xml:space="preserve">2008 </w:t>
      </w:r>
      <w:r w:rsidRPr="00AA03FE">
        <w:rPr>
          <w:rFonts w:ascii="Arial" w:hAnsi="Arial" w:cs="Arial"/>
          <w:sz w:val="26"/>
          <w:szCs w:val="26"/>
        </w:rPr>
        <w:t>J. Biomedical Mat. Res. Part A 84: 847</w:t>
      </w:r>
    </w:p>
    <w:p w:rsidR="00387A07" w:rsidRPr="00AA03FE" w:rsidRDefault="00387A07" w:rsidP="00387A07">
      <w:pPr>
        <w:spacing w:after="0" w:line="360" w:lineRule="auto"/>
        <w:jc w:val="both"/>
        <w:rPr>
          <w:rFonts w:ascii="Arial" w:hAnsi="Arial" w:cs="Arial"/>
          <w:color w:val="000000"/>
          <w:sz w:val="24"/>
          <w:szCs w:val="24"/>
        </w:rPr>
      </w:pPr>
      <w:r w:rsidRPr="00AA03FE">
        <w:rPr>
          <w:rFonts w:ascii="Arial" w:hAnsi="Arial" w:cs="Arial"/>
          <w:sz w:val="26"/>
          <w:szCs w:val="26"/>
        </w:rPr>
        <w:t xml:space="preserve">[18] </w:t>
      </w:r>
      <w:r w:rsidRPr="00AA03FE">
        <w:rPr>
          <w:rFonts w:ascii="Arial" w:hAnsi="Arial" w:cs="Arial"/>
          <w:color w:val="000000"/>
          <w:sz w:val="24"/>
          <w:szCs w:val="24"/>
        </w:rPr>
        <w:t xml:space="preserve">Illum L. et al. </w:t>
      </w:r>
      <w:r w:rsidRPr="00AA03FE">
        <w:rPr>
          <w:rFonts w:ascii="Arial" w:hAnsi="Arial" w:cs="Arial"/>
          <w:b/>
          <w:color w:val="000000"/>
          <w:sz w:val="24"/>
          <w:szCs w:val="24"/>
        </w:rPr>
        <w:t>1983</w:t>
      </w:r>
      <w:r w:rsidRPr="00AA03FE">
        <w:rPr>
          <w:rFonts w:ascii="Arial" w:hAnsi="Arial" w:cs="Arial"/>
          <w:color w:val="000000"/>
          <w:sz w:val="24"/>
          <w:szCs w:val="24"/>
        </w:rPr>
        <w:t xml:space="preserve"> Int. J. Pharm. 17:65</w:t>
      </w:r>
    </w:p>
    <w:p w:rsidR="00387A07" w:rsidRPr="00AA03FE" w:rsidRDefault="00387A07" w:rsidP="00387A07">
      <w:pPr>
        <w:spacing w:after="0" w:line="360" w:lineRule="auto"/>
        <w:jc w:val="both"/>
        <w:rPr>
          <w:rFonts w:ascii="Arial" w:hAnsi="Arial" w:cs="Arial"/>
          <w:iCs/>
          <w:sz w:val="24"/>
          <w:szCs w:val="24"/>
          <w:lang w:val="en-US"/>
        </w:rPr>
      </w:pPr>
      <w:r w:rsidRPr="00AA03FE">
        <w:rPr>
          <w:rFonts w:ascii="Arial" w:hAnsi="Arial" w:cs="Arial"/>
          <w:color w:val="000000"/>
          <w:sz w:val="24"/>
          <w:szCs w:val="24"/>
        </w:rPr>
        <w:t xml:space="preserve">[19] </w:t>
      </w:r>
      <w:r w:rsidRPr="00AA03FE">
        <w:rPr>
          <w:rFonts w:ascii="Arial" w:hAnsi="Arial" w:cs="Arial"/>
          <w:iCs/>
          <w:sz w:val="24"/>
          <w:szCs w:val="24"/>
          <w:lang w:val="en-US"/>
        </w:rPr>
        <w:t xml:space="preserve">M. Gaumet et al. </w:t>
      </w:r>
      <w:r w:rsidRPr="00AA03FE">
        <w:rPr>
          <w:rFonts w:ascii="Arial" w:hAnsi="Arial" w:cs="Arial"/>
          <w:b/>
          <w:iCs/>
          <w:sz w:val="24"/>
          <w:szCs w:val="24"/>
          <w:lang w:val="en-US"/>
        </w:rPr>
        <w:t>2008</w:t>
      </w:r>
      <w:r w:rsidRPr="00AA03FE">
        <w:rPr>
          <w:rFonts w:ascii="Arial" w:hAnsi="Arial" w:cs="Arial"/>
          <w:iCs/>
          <w:sz w:val="24"/>
          <w:szCs w:val="24"/>
          <w:lang w:val="en-US"/>
        </w:rPr>
        <w:t xml:space="preserve"> Eur. J. Pharm. Biopharm. 69:1</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iCs/>
          <w:sz w:val="24"/>
          <w:szCs w:val="24"/>
          <w:lang w:val="en-US"/>
        </w:rPr>
        <w:t xml:space="preserve">[20] </w:t>
      </w:r>
      <w:r w:rsidRPr="00AA03FE">
        <w:rPr>
          <w:rFonts w:ascii="Arial" w:hAnsi="Arial" w:cs="Arial"/>
          <w:sz w:val="24"/>
          <w:szCs w:val="24"/>
          <w:lang w:val="en-US"/>
        </w:rPr>
        <w:t xml:space="preserve">C. Cai et al. </w:t>
      </w:r>
      <w:r w:rsidRPr="00AA03FE">
        <w:rPr>
          <w:rFonts w:ascii="Arial" w:hAnsi="Arial" w:cs="Arial"/>
          <w:b/>
          <w:sz w:val="24"/>
          <w:szCs w:val="24"/>
          <w:lang w:val="en-US"/>
        </w:rPr>
        <w:t>2008</w:t>
      </w:r>
      <w:r w:rsidRPr="00AA03FE">
        <w:rPr>
          <w:rFonts w:ascii="Arial" w:hAnsi="Arial" w:cs="Arial"/>
          <w:sz w:val="24"/>
          <w:szCs w:val="24"/>
          <w:lang w:val="en-US"/>
        </w:rPr>
        <w:t xml:space="preserve"> Eur. J. Pharm. Biopharm. 69: 31</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 xml:space="preserve">[21] Goppert TM. </w:t>
      </w:r>
      <w:r w:rsidRPr="00AA03FE">
        <w:rPr>
          <w:rFonts w:ascii="Arial" w:hAnsi="Arial" w:cs="Arial"/>
          <w:b/>
          <w:bCs/>
          <w:sz w:val="24"/>
          <w:szCs w:val="24"/>
        </w:rPr>
        <w:t>2005</w:t>
      </w:r>
      <w:r w:rsidRPr="00AA03FE">
        <w:rPr>
          <w:rFonts w:ascii="Arial" w:hAnsi="Arial" w:cs="Arial"/>
          <w:bCs/>
          <w:sz w:val="24"/>
          <w:szCs w:val="24"/>
        </w:rPr>
        <w:t xml:space="preserve"> Eur. J. Pharm. Biopharm. 60:361</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bCs/>
          <w:sz w:val="24"/>
          <w:szCs w:val="24"/>
        </w:rPr>
        <w:t xml:space="preserve">[22] </w:t>
      </w:r>
      <w:r w:rsidRPr="00AA03FE">
        <w:rPr>
          <w:rFonts w:ascii="Arial" w:hAnsi="Arial" w:cs="Arial"/>
          <w:iCs/>
          <w:sz w:val="24"/>
          <w:szCs w:val="24"/>
          <w:lang w:val="en-US"/>
        </w:rPr>
        <w:t>Vanderoort J.</w:t>
      </w:r>
      <w:r w:rsidRPr="00AA03FE">
        <w:rPr>
          <w:rFonts w:ascii="Arial" w:hAnsi="Arial" w:cs="Arial"/>
          <w:sz w:val="24"/>
          <w:szCs w:val="24"/>
          <w:lang w:val="en-US"/>
        </w:rPr>
        <w:t xml:space="preserve"> </w:t>
      </w:r>
      <w:r w:rsidRPr="00AA03FE">
        <w:rPr>
          <w:rFonts w:ascii="Arial" w:hAnsi="Arial" w:cs="Arial"/>
          <w:b/>
          <w:sz w:val="24"/>
          <w:szCs w:val="24"/>
          <w:lang w:val="en-US"/>
        </w:rPr>
        <w:t>2002</w:t>
      </w:r>
      <w:r w:rsidRPr="00AA03FE">
        <w:rPr>
          <w:rFonts w:ascii="Arial" w:hAnsi="Arial" w:cs="Arial"/>
          <w:sz w:val="24"/>
          <w:szCs w:val="24"/>
          <w:lang w:val="en-US"/>
        </w:rPr>
        <w:t xml:space="preserve"> </w:t>
      </w:r>
      <w:r w:rsidRPr="00AA03FE">
        <w:rPr>
          <w:rFonts w:ascii="Arial" w:hAnsi="Arial" w:cs="Arial"/>
          <w:iCs/>
          <w:sz w:val="24"/>
          <w:szCs w:val="24"/>
          <w:lang w:val="en-US"/>
        </w:rPr>
        <w:t xml:space="preserve">Int. J. Pharm. </w:t>
      </w:r>
      <w:r w:rsidRPr="00AA03FE">
        <w:rPr>
          <w:rFonts w:ascii="Arial" w:hAnsi="Arial" w:cs="Arial"/>
          <w:sz w:val="24"/>
          <w:szCs w:val="24"/>
          <w:lang w:val="en-US"/>
        </w:rPr>
        <w:t>238:77</w:t>
      </w:r>
    </w:p>
    <w:p w:rsidR="00387A07" w:rsidRPr="00AA03FE" w:rsidRDefault="00387A07" w:rsidP="00387A07">
      <w:pPr>
        <w:spacing w:after="0" w:line="360" w:lineRule="auto"/>
        <w:jc w:val="both"/>
        <w:rPr>
          <w:rFonts w:ascii="Arial" w:hAnsi="Arial" w:cs="Arial"/>
          <w:bCs/>
          <w:sz w:val="24"/>
          <w:szCs w:val="24"/>
        </w:rPr>
      </w:pPr>
      <w:r w:rsidRPr="00AA03FE">
        <w:rPr>
          <w:rFonts w:ascii="Arial" w:hAnsi="Arial" w:cs="Arial"/>
          <w:bCs/>
          <w:sz w:val="24"/>
          <w:szCs w:val="24"/>
        </w:rPr>
        <w:t xml:space="preserve">[23] Scholes, P.D </w:t>
      </w:r>
      <w:r w:rsidRPr="00AA03FE">
        <w:rPr>
          <w:rFonts w:ascii="Arial" w:hAnsi="Arial" w:cs="Arial"/>
          <w:b/>
          <w:bCs/>
          <w:sz w:val="24"/>
          <w:szCs w:val="24"/>
        </w:rPr>
        <w:t>1999</w:t>
      </w:r>
      <w:r w:rsidRPr="00AA03FE">
        <w:rPr>
          <w:rFonts w:ascii="Arial" w:hAnsi="Arial" w:cs="Arial"/>
          <w:bCs/>
          <w:sz w:val="24"/>
          <w:szCs w:val="24"/>
        </w:rPr>
        <w:t xml:space="preserve"> Int. J. Pharm. 59:261</w:t>
      </w:r>
    </w:p>
    <w:p w:rsidR="00387A07" w:rsidRPr="00AA03FE" w:rsidRDefault="00387A07" w:rsidP="00387A07">
      <w:pPr>
        <w:spacing w:after="0" w:line="360" w:lineRule="auto"/>
        <w:jc w:val="both"/>
        <w:rPr>
          <w:rFonts w:ascii="Arial" w:hAnsi="Arial" w:cs="Arial"/>
          <w:sz w:val="24"/>
          <w:szCs w:val="24"/>
          <w:lang w:val="en-US"/>
        </w:rPr>
      </w:pPr>
      <w:r w:rsidRPr="00AA03FE">
        <w:rPr>
          <w:rFonts w:ascii="Arial" w:hAnsi="Arial" w:cs="Arial"/>
          <w:bCs/>
          <w:sz w:val="24"/>
          <w:szCs w:val="24"/>
        </w:rPr>
        <w:lastRenderedPageBreak/>
        <w:t xml:space="preserve">[24] </w:t>
      </w:r>
      <w:r w:rsidRPr="00AA03FE">
        <w:rPr>
          <w:rFonts w:ascii="Arial" w:hAnsi="Arial" w:cs="Arial"/>
          <w:iCs/>
          <w:sz w:val="24"/>
          <w:szCs w:val="24"/>
          <w:lang w:val="en-US"/>
        </w:rPr>
        <w:t>Coombes A. et al</w:t>
      </w:r>
      <w:r w:rsidRPr="00AA03FE">
        <w:rPr>
          <w:rFonts w:ascii="Arial" w:hAnsi="Arial" w:cs="Arial"/>
          <w:sz w:val="24"/>
          <w:szCs w:val="24"/>
          <w:lang w:val="en-US"/>
        </w:rPr>
        <w:t xml:space="preserve">. </w:t>
      </w:r>
      <w:r w:rsidRPr="00AA03FE">
        <w:rPr>
          <w:rFonts w:ascii="Arial" w:hAnsi="Arial" w:cs="Arial"/>
          <w:b/>
          <w:sz w:val="24"/>
          <w:szCs w:val="24"/>
          <w:lang w:val="en-US"/>
        </w:rPr>
        <w:t>1998</w:t>
      </w:r>
      <w:r w:rsidRPr="00AA03FE">
        <w:rPr>
          <w:rFonts w:ascii="Arial" w:hAnsi="Arial" w:cs="Arial"/>
          <w:sz w:val="24"/>
          <w:szCs w:val="24"/>
          <w:lang w:val="en-US"/>
        </w:rPr>
        <w:t xml:space="preserve"> </w:t>
      </w:r>
      <w:r w:rsidRPr="00AA03FE">
        <w:rPr>
          <w:rFonts w:ascii="Arial" w:hAnsi="Arial" w:cs="Arial"/>
          <w:iCs/>
          <w:sz w:val="24"/>
          <w:szCs w:val="24"/>
          <w:lang w:val="en-US"/>
        </w:rPr>
        <w:t xml:space="preserve">J. Control. Release </w:t>
      </w:r>
      <w:r w:rsidRPr="00AA03FE">
        <w:rPr>
          <w:rFonts w:ascii="Arial" w:hAnsi="Arial" w:cs="Arial"/>
          <w:sz w:val="24"/>
          <w:szCs w:val="24"/>
          <w:lang w:val="en-US"/>
        </w:rPr>
        <w:t>52:311</w:t>
      </w:r>
    </w:p>
    <w:p w:rsidR="00387A07" w:rsidRPr="00AA03FE" w:rsidRDefault="00387A07" w:rsidP="00387A07">
      <w:pPr>
        <w:spacing w:after="0" w:line="360" w:lineRule="auto"/>
        <w:jc w:val="both"/>
        <w:rPr>
          <w:rFonts w:ascii="Arial" w:hAnsi="Arial" w:cs="Arial"/>
          <w:iCs/>
          <w:sz w:val="24"/>
          <w:szCs w:val="24"/>
          <w:lang w:val="en-US"/>
        </w:rPr>
      </w:pPr>
      <w:r w:rsidRPr="00AA03FE">
        <w:rPr>
          <w:rFonts w:ascii="Arial" w:hAnsi="Arial" w:cs="Arial"/>
          <w:sz w:val="24"/>
          <w:szCs w:val="24"/>
          <w:lang w:val="en-US"/>
        </w:rPr>
        <w:t xml:space="preserve">[25] </w:t>
      </w:r>
      <w:r w:rsidRPr="00AA03FE">
        <w:rPr>
          <w:rFonts w:ascii="Arial" w:hAnsi="Arial" w:cs="Arial"/>
          <w:iCs/>
          <w:sz w:val="24"/>
          <w:szCs w:val="24"/>
          <w:lang w:val="en-US"/>
        </w:rPr>
        <w:t xml:space="preserve">Ye M. et al. </w:t>
      </w:r>
      <w:r w:rsidRPr="00AA03FE">
        <w:rPr>
          <w:rFonts w:ascii="Arial" w:hAnsi="Arial" w:cs="Arial"/>
          <w:b/>
          <w:iCs/>
          <w:sz w:val="24"/>
          <w:szCs w:val="24"/>
          <w:lang w:val="en-US"/>
        </w:rPr>
        <w:t>2010</w:t>
      </w:r>
      <w:r w:rsidRPr="00AA03FE">
        <w:rPr>
          <w:rFonts w:ascii="Arial" w:hAnsi="Arial" w:cs="Arial"/>
          <w:iCs/>
          <w:sz w:val="24"/>
          <w:szCs w:val="24"/>
          <w:lang w:val="en-US"/>
        </w:rPr>
        <w:t xml:space="preserve"> J. Control. Release 146:241</w:t>
      </w:r>
    </w:p>
    <w:p w:rsidR="00387A07" w:rsidRPr="00AA03FE" w:rsidRDefault="00387A07" w:rsidP="00387A07">
      <w:pPr>
        <w:spacing w:after="0" w:line="360" w:lineRule="auto"/>
        <w:jc w:val="both"/>
        <w:rPr>
          <w:rFonts w:ascii="Arial" w:hAnsi="Arial" w:cs="Arial"/>
          <w:sz w:val="24"/>
          <w:szCs w:val="24"/>
        </w:rPr>
      </w:pPr>
      <w:r w:rsidRPr="00AA03FE">
        <w:rPr>
          <w:rFonts w:ascii="Arial" w:hAnsi="Arial" w:cs="Arial"/>
          <w:iCs/>
          <w:sz w:val="24"/>
          <w:szCs w:val="24"/>
          <w:lang w:val="en-US"/>
        </w:rPr>
        <w:t xml:space="preserve">[26] </w:t>
      </w:r>
      <w:r w:rsidRPr="00AA03FE">
        <w:rPr>
          <w:rFonts w:ascii="Arial" w:hAnsi="Arial" w:cs="Arial"/>
          <w:sz w:val="24"/>
          <w:szCs w:val="24"/>
        </w:rPr>
        <w:t xml:space="preserve">Calvo P et al. </w:t>
      </w:r>
      <w:r w:rsidRPr="00AA03FE">
        <w:rPr>
          <w:rFonts w:ascii="Arial" w:hAnsi="Arial" w:cs="Arial"/>
          <w:b/>
          <w:sz w:val="24"/>
          <w:szCs w:val="24"/>
        </w:rPr>
        <w:t>1997</w:t>
      </w:r>
      <w:r w:rsidRPr="00AA03FE">
        <w:rPr>
          <w:rFonts w:ascii="Arial" w:hAnsi="Arial" w:cs="Arial"/>
          <w:sz w:val="24"/>
          <w:szCs w:val="24"/>
        </w:rPr>
        <w:t xml:space="preserve"> Biomaterials 18:1305</w:t>
      </w:r>
    </w:p>
    <w:p w:rsidR="00387A07" w:rsidRPr="004518B3" w:rsidRDefault="00387A07" w:rsidP="00387A07">
      <w:pPr>
        <w:spacing w:after="0" w:line="360" w:lineRule="auto"/>
        <w:jc w:val="both"/>
        <w:rPr>
          <w:rFonts w:ascii="Arial" w:hAnsi="Arial" w:cs="Arial"/>
          <w:sz w:val="24"/>
          <w:szCs w:val="24"/>
          <w:lang w:val="en-US"/>
        </w:rPr>
      </w:pPr>
      <w:r w:rsidRPr="00AA03FE">
        <w:rPr>
          <w:rFonts w:ascii="Arial" w:hAnsi="Arial" w:cs="Arial"/>
          <w:sz w:val="24"/>
          <w:szCs w:val="24"/>
        </w:rPr>
        <w:t xml:space="preserve">[27] Lamba NMK et al. </w:t>
      </w:r>
      <w:r w:rsidRPr="00AA03FE">
        <w:rPr>
          <w:rFonts w:ascii="Arial" w:hAnsi="Arial" w:cs="Arial"/>
          <w:b/>
          <w:sz w:val="24"/>
          <w:szCs w:val="24"/>
        </w:rPr>
        <w:t>1998</w:t>
      </w:r>
      <w:r w:rsidRPr="00AA03FE">
        <w:rPr>
          <w:rFonts w:ascii="Arial" w:hAnsi="Arial" w:cs="Arial"/>
          <w:sz w:val="24"/>
          <w:szCs w:val="24"/>
        </w:rPr>
        <w:t xml:space="preserve"> in Polyurethanes in biomedical applications CRC press</w:t>
      </w:r>
      <w:r>
        <w:rPr>
          <w:rFonts w:ascii="Arial" w:hAnsi="Arial" w:cs="Arial"/>
          <w:sz w:val="24"/>
          <w:szCs w:val="24"/>
        </w:rPr>
        <w:t xml:space="preserve">  </w:t>
      </w:r>
    </w:p>
    <w:p w:rsidR="00387A07" w:rsidRDefault="00387A07" w:rsidP="00387A07">
      <w:pPr>
        <w:spacing w:line="360" w:lineRule="auto"/>
        <w:jc w:val="right"/>
        <w:rPr>
          <w:rFonts w:ascii="Arial" w:hAnsi="Arial" w:cs="Arial"/>
          <w:b/>
          <w:sz w:val="120"/>
          <w:szCs w:val="120"/>
          <w:lang w:val="en-US"/>
        </w:rPr>
      </w:pPr>
    </w:p>
    <w:p w:rsidR="00387A07" w:rsidRDefault="00387A07" w:rsidP="00387A07">
      <w:pPr>
        <w:spacing w:line="360" w:lineRule="auto"/>
        <w:jc w:val="right"/>
        <w:rPr>
          <w:rFonts w:ascii="Arial" w:hAnsi="Arial" w:cs="Arial"/>
          <w:b/>
          <w:sz w:val="120"/>
          <w:szCs w:val="120"/>
          <w:lang w:val="en-US"/>
        </w:rPr>
      </w:pPr>
    </w:p>
    <w:p w:rsidR="00387A07" w:rsidRDefault="00387A07" w:rsidP="00387A07">
      <w:pPr>
        <w:spacing w:line="360" w:lineRule="auto"/>
        <w:jc w:val="right"/>
        <w:rPr>
          <w:rFonts w:ascii="Arial" w:hAnsi="Arial" w:cs="Arial"/>
          <w:b/>
          <w:sz w:val="120"/>
          <w:szCs w:val="120"/>
          <w:lang w:val="en-US"/>
        </w:rPr>
      </w:pPr>
    </w:p>
    <w:p w:rsidR="00387A07" w:rsidRDefault="00387A07" w:rsidP="00387A07">
      <w:pPr>
        <w:spacing w:line="360" w:lineRule="auto"/>
        <w:jc w:val="right"/>
        <w:rPr>
          <w:rFonts w:ascii="Arial" w:hAnsi="Arial" w:cs="Arial"/>
          <w:b/>
          <w:sz w:val="120"/>
          <w:szCs w:val="120"/>
          <w:lang w:val="en-US"/>
        </w:rPr>
      </w:pPr>
    </w:p>
    <w:p w:rsidR="00387A07" w:rsidRDefault="00387A07" w:rsidP="00387A07">
      <w:pPr>
        <w:tabs>
          <w:tab w:val="left" w:pos="1785"/>
        </w:tabs>
        <w:rPr>
          <w:lang w:val="en-US"/>
        </w:rPr>
      </w:pPr>
    </w:p>
    <w:p w:rsidR="00387A07" w:rsidRDefault="00387A07" w:rsidP="00387A07">
      <w:pPr>
        <w:tabs>
          <w:tab w:val="left" w:pos="1785"/>
        </w:tabs>
        <w:rPr>
          <w:lang w:val="en-US"/>
        </w:rPr>
      </w:pPr>
    </w:p>
    <w:p w:rsidR="00387A07" w:rsidRDefault="00387A07" w:rsidP="00387A07">
      <w:pPr>
        <w:tabs>
          <w:tab w:val="left" w:pos="1785"/>
        </w:tabs>
        <w:rPr>
          <w:lang w:val="en-US"/>
        </w:rPr>
      </w:pPr>
    </w:p>
    <w:p w:rsidR="00387A07" w:rsidRDefault="00387A07" w:rsidP="00387A07">
      <w:pPr>
        <w:tabs>
          <w:tab w:val="left" w:pos="1785"/>
        </w:tabs>
        <w:rPr>
          <w:lang w:val="en-US"/>
        </w:rPr>
      </w:pPr>
    </w:p>
    <w:p w:rsidR="00387A07" w:rsidRDefault="00387A07" w:rsidP="00387A07">
      <w:pPr>
        <w:tabs>
          <w:tab w:val="left" w:pos="1785"/>
        </w:tabs>
        <w:rPr>
          <w:lang w:val="en-US"/>
        </w:rPr>
      </w:pPr>
    </w:p>
    <w:p w:rsidR="00387A07" w:rsidRDefault="00387A07" w:rsidP="00387A07">
      <w:pPr>
        <w:tabs>
          <w:tab w:val="left" w:pos="1785"/>
        </w:tabs>
        <w:rPr>
          <w:lang w:val="en-US"/>
        </w:rPr>
      </w:pPr>
    </w:p>
    <w:p w:rsidR="00387A07" w:rsidRDefault="00387A07" w:rsidP="00387A07">
      <w:pPr>
        <w:tabs>
          <w:tab w:val="left" w:pos="1785"/>
        </w:tabs>
        <w:rPr>
          <w:lang w:val="en-US"/>
        </w:rPr>
      </w:pPr>
    </w:p>
    <w:p w:rsidR="00387A07" w:rsidRDefault="00387A07"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550A30">
      <w:pPr>
        <w:jc w:val="right"/>
        <w:rPr>
          <w:rFonts w:ascii="Arial" w:hAnsi="Arial" w:cs="Arial"/>
          <w:b/>
          <w:color w:val="4F81BD" w:themeColor="accent1"/>
          <w:sz w:val="124"/>
          <w:szCs w:val="124"/>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Pr="00DC0DB7" w:rsidRDefault="00550A30" w:rsidP="00550A30">
      <w:pPr>
        <w:spacing w:line="360" w:lineRule="auto"/>
        <w:jc w:val="right"/>
        <w:rPr>
          <w:rFonts w:ascii="Arial" w:hAnsi="Arial" w:cs="Arial"/>
          <w:b/>
          <w:color w:val="002060"/>
          <w:sz w:val="120"/>
          <w:szCs w:val="120"/>
          <w:lang w:val="en-US"/>
        </w:rPr>
      </w:pPr>
      <w:r w:rsidRPr="00DC0DB7">
        <w:rPr>
          <w:rFonts w:ascii="Arial" w:hAnsi="Arial" w:cs="Arial"/>
          <w:b/>
          <w:color w:val="002060"/>
          <w:sz w:val="120"/>
          <w:szCs w:val="120"/>
          <w:lang w:val="en-US"/>
        </w:rPr>
        <w:t>Section III</w:t>
      </w: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550A30">
      <w:pPr>
        <w:pStyle w:val="Titolo1"/>
        <w:spacing w:line="360" w:lineRule="auto"/>
        <w:jc w:val="right"/>
        <w:rPr>
          <w:rFonts w:ascii="Arial" w:hAnsi="Arial" w:cs="Arial"/>
          <w:sz w:val="124"/>
          <w:szCs w:val="124"/>
          <w:lang w:val="en-US"/>
        </w:rPr>
      </w:pPr>
    </w:p>
    <w:p w:rsidR="00550A30" w:rsidRPr="00986F06" w:rsidRDefault="00550A30" w:rsidP="00550A30">
      <w:pPr>
        <w:pStyle w:val="Titolo1"/>
        <w:spacing w:line="360" w:lineRule="auto"/>
        <w:jc w:val="right"/>
        <w:rPr>
          <w:rFonts w:ascii="Arial" w:hAnsi="Arial" w:cs="Arial"/>
          <w:color w:val="002060"/>
          <w:sz w:val="124"/>
          <w:szCs w:val="124"/>
          <w:lang w:val="en-US"/>
        </w:rPr>
      </w:pPr>
      <w:r w:rsidRPr="00986F06">
        <w:rPr>
          <w:rFonts w:ascii="Arial" w:hAnsi="Arial" w:cs="Arial"/>
          <w:color w:val="002060"/>
          <w:sz w:val="124"/>
          <w:szCs w:val="124"/>
          <w:lang w:val="en-US"/>
        </w:rPr>
        <w:t>Chapter 4</w:t>
      </w:r>
    </w:p>
    <w:p w:rsidR="00550A30" w:rsidRPr="008F3CEA" w:rsidRDefault="00550A30" w:rsidP="00550A30">
      <w:pPr>
        <w:rPr>
          <w:lang w:val="en-US"/>
        </w:rPr>
      </w:pPr>
    </w:p>
    <w:p w:rsidR="00550A30" w:rsidRPr="008F3CEA" w:rsidRDefault="00550A30" w:rsidP="00550A30">
      <w:pPr>
        <w:spacing w:line="360" w:lineRule="auto"/>
        <w:jc w:val="right"/>
        <w:rPr>
          <w:rFonts w:ascii="Arial" w:hAnsi="Arial" w:cs="Arial"/>
          <w:b/>
          <w:sz w:val="50"/>
          <w:szCs w:val="50"/>
          <w:lang w:val="en-US"/>
        </w:rPr>
      </w:pPr>
      <w:r w:rsidRPr="008F3CEA">
        <w:rPr>
          <w:rFonts w:ascii="Arial" w:hAnsi="Arial" w:cs="Arial"/>
          <w:b/>
          <w:sz w:val="50"/>
          <w:szCs w:val="50"/>
          <w:lang w:val="en-US"/>
        </w:rPr>
        <w:t>Innovative bioactive and biodegradable polymeric bone cements for the repair of vertebral injuries.</w:t>
      </w:r>
    </w:p>
    <w:p w:rsidR="00550A30" w:rsidRPr="008F3CEA" w:rsidRDefault="00550A30" w:rsidP="00550A30">
      <w:pPr>
        <w:spacing w:line="360" w:lineRule="auto"/>
        <w:jc w:val="both"/>
        <w:rPr>
          <w:rFonts w:ascii="Arial" w:hAnsi="Arial" w:cs="Arial"/>
          <w:sz w:val="24"/>
          <w:szCs w:val="24"/>
          <w:lang w:val="en-US"/>
        </w:rPr>
      </w:pPr>
    </w:p>
    <w:p w:rsidR="00550A30" w:rsidRPr="008F3CEA" w:rsidRDefault="00550A30" w:rsidP="00550A30">
      <w:pPr>
        <w:pStyle w:val="Testonormale"/>
        <w:spacing w:before="240" w:after="240" w:line="360" w:lineRule="auto"/>
        <w:jc w:val="both"/>
        <w:rPr>
          <w:rFonts w:ascii="Arial" w:hAnsi="Arial" w:cs="Arial"/>
          <w:b/>
          <w:sz w:val="28"/>
          <w:szCs w:val="28"/>
          <w:lang w:val="en-GB"/>
        </w:rPr>
      </w:pPr>
      <w:r w:rsidRPr="008F3CEA">
        <w:rPr>
          <w:rFonts w:ascii="Arial" w:hAnsi="Arial" w:cs="Arial"/>
          <w:b/>
          <w:sz w:val="28"/>
          <w:szCs w:val="28"/>
          <w:lang w:val="en-GB"/>
        </w:rPr>
        <w:t>Abstract</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GB"/>
        </w:rPr>
        <w:t xml:space="preserve">Vertebral fractures, weather caused by age-related diseases or by trauma, often result in pain, significant physiological and functional impairment and deformity of the spine, which in turn leads to a decreased ventilatory capacity and shortened life expectancy [1]. Kyphoplasty and vertebroplasty are the most diffused percutaneous methods for the repair of vertebral injuries [2]. Both methods involve the use of bone cements (typically </w:t>
      </w:r>
      <w:r w:rsidRPr="008F3CEA">
        <w:rPr>
          <w:rFonts w:ascii="Arial" w:hAnsi="Arial" w:cs="Arial"/>
          <w:lang w:val="en-US"/>
        </w:rPr>
        <w:t>polymethyl methacrylate</w:t>
      </w:r>
      <w:r w:rsidRPr="008F3CEA">
        <w:rPr>
          <w:rFonts w:ascii="Arial" w:hAnsi="Arial" w:cs="Arial"/>
          <w:color w:val="231F20"/>
          <w:lang w:val="en-US"/>
        </w:rPr>
        <w:t xml:space="preserve"> PMMA) to restore the load-bearing capacity and stiffness of the bone [3]. To overcome limitations associated with use of PMMA (such as poor Osseo-integration, absence of biologic potential to stimulate remodeling and potential monomer toxicity) a new biomimetic and biocompatible bone cement is proposed. This material is based on an organic phase, composed of chitosan (CH) and collagen, cross linked with genipin (GP), and on an inorganic bioactive </w:t>
      </w:r>
      <w:r w:rsidRPr="008F3CEA">
        <w:rPr>
          <w:rFonts w:ascii="Arial" w:hAnsi="Arial" w:cs="Arial"/>
          <w:color w:val="231F20"/>
        </w:rPr>
        <w:t>β</w:t>
      </w:r>
      <w:r w:rsidRPr="008F3CEA">
        <w:rPr>
          <w:rFonts w:ascii="Arial" w:hAnsi="Arial" w:cs="Arial"/>
          <w:color w:val="231F20"/>
          <w:lang w:val="en-US"/>
        </w:rPr>
        <w:t xml:space="preserve"> tricalcium phosphate-based phase. Different </w:t>
      </w:r>
      <w:r w:rsidRPr="008F3CEA">
        <w:rPr>
          <w:rFonts w:ascii="Arial" w:hAnsi="Arial" w:cs="Arial"/>
          <w:color w:val="231F20"/>
          <w:lang w:val="en-US"/>
        </w:rPr>
        <w:lastRenderedPageBreak/>
        <w:t xml:space="preserve">compositions were tested, by varying the organic/inorganic phase ratio and the amount of cross linker. The proposed material showed good bioactivity after 14 days of soaking in simulated body fluids (SBF), good mechanical properties and dissolution behavior, as well as a low setting and hardening point. Moreover, the addition of Indomethacin (IND) loaded nanoparticles to the cement composition, added the ability to face post-operative infections, since the release rate of the drug is compatible with post-operative infections raising kinetics. </w:t>
      </w:r>
      <w:r w:rsidRPr="008F3CEA">
        <w:rPr>
          <w:rFonts w:ascii="Arial" w:hAnsi="Arial" w:cs="Arial"/>
          <w:lang w:val="en-US"/>
        </w:rPr>
        <w:t>The proposed material appears to be a promising candidate as injectable bioactive bone substitute for guided bone regeneration.</w:t>
      </w:r>
    </w:p>
    <w:p w:rsidR="00550A30" w:rsidRPr="008F3CEA" w:rsidRDefault="00550A30" w:rsidP="00550A30">
      <w:pPr>
        <w:spacing w:before="240" w:after="240" w:line="360" w:lineRule="auto"/>
        <w:jc w:val="both"/>
        <w:rPr>
          <w:rFonts w:ascii="Arial" w:hAnsi="Arial" w:cs="Arial"/>
          <w:b/>
          <w:sz w:val="28"/>
          <w:szCs w:val="28"/>
          <w:lang w:val="en-US"/>
        </w:rPr>
      </w:pPr>
      <w:r w:rsidRPr="008F3CEA">
        <w:rPr>
          <w:rFonts w:ascii="Arial" w:hAnsi="Arial" w:cs="Arial"/>
          <w:b/>
          <w:sz w:val="28"/>
          <w:szCs w:val="28"/>
          <w:lang w:val="en-US"/>
        </w:rPr>
        <w:t xml:space="preserve">4.1 </w:t>
      </w:r>
      <w:r w:rsidRPr="008F3CEA">
        <w:rPr>
          <w:rFonts w:ascii="Arial" w:hAnsi="Arial" w:cs="Arial"/>
          <w:b/>
          <w:sz w:val="28"/>
          <w:szCs w:val="28"/>
        </w:rPr>
        <w:t>Introduction</w:t>
      </w:r>
      <w:r w:rsidRPr="008F3CEA">
        <w:rPr>
          <w:rFonts w:ascii="Arial" w:hAnsi="Arial" w:cs="Arial"/>
          <w:b/>
          <w:sz w:val="28"/>
          <w:szCs w:val="28"/>
          <w:lang w:val="en-US"/>
        </w:rPr>
        <w:t xml:space="preserve"> </w:t>
      </w:r>
    </w:p>
    <w:p w:rsidR="00550A30" w:rsidRPr="008F3CEA" w:rsidRDefault="00550A30" w:rsidP="00550A30">
      <w:pPr>
        <w:autoSpaceDE w:val="0"/>
        <w:autoSpaceDN w:val="0"/>
        <w:adjustRightInd w:val="0"/>
        <w:spacing w:after="0" w:line="360" w:lineRule="auto"/>
        <w:jc w:val="both"/>
        <w:rPr>
          <w:rFonts w:ascii="Arial" w:hAnsi="Arial" w:cs="Arial"/>
          <w:color w:val="231F20"/>
          <w:sz w:val="24"/>
          <w:szCs w:val="24"/>
          <w:lang w:val="en-US"/>
        </w:rPr>
      </w:pPr>
      <w:r w:rsidRPr="008F3CEA">
        <w:rPr>
          <w:rFonts w:ascii="Arial" w:hAnsi="Arial" w:cs="Arial"/>
          <w:color w:val="231F20"/>
          <w:sz w:val="24"/>
          <w:szCs w:val="24"/>
          <w:lang w:val="en-US"/>
        </w:rPr>
        <w:t xml:space="preserve">The increased life expectancy in the developed countries has led to a serious rise in the number of musculoskeletal disorders, such as osteoporosis and osteoarthritis </w:t>
      </w:r>
      <w:r w:rsidRPr="008F3CEA">
        <w:rPr>
          <w:rFonts w:ascii="Arial" w:hAnsi="Arial" w:cs="Arial"/>
          <w:color w:val="2E3093"/>
          <w:sz w:val="24"/>
          <w:szCs w:val="24"/>
          <w:lang w:val="en-US"/>
        </w:rPr>
        <w:t>[1]</w:t>
      </w:r>
      <w:r w:rsidRPr="008F3CEA">
        <w:rPr>
          <w:rFonts w:ascii="Arial" w:hAnsi="Arial" w:cs="Arial"/>
          <w:color w:val="231F20"/>
          <w:sz w:val="24"/>
          <w:szCs w:val="24"/>
          <w:lang w:val="en-US"/>
        </w:rPr>
        <w:t>.</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rPr>
        <w:t>Osteoporosis is a systemic skeletal disease characterized by low bone mass and micro-architectural deterioration, with a consequent increase in bone fragility and susceptibility to fracture. These fractures include the vertebral body, distal forearm and proximal femur and</w:t>
      </w:r>
      <w:r w:rsidRPr="008F3CEA">
        <w:rPr>
          <w:rFonts w:ascii="Arial" w:hAnsi="Arial" w:cs="Arial"/>
          <w:sz w:val="24"/>
          <w:szCs w:val="24"/>
          <w:lang w:val="en-US"/>
        </w:rPr>
        <w:t xml:space="preserve"> may cause considerable morbidity and mortality [4].</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More than 700000 osteoporotic vertebral compression fractures (VCFs) are estimated each year in the United States which are associated with significant physiologic and functional impairment [5-7].</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A vertebral fracture, whether originating from osteoporosis or trauma, can be the cause of pain, disability and neurological deficit. Multiple vertebral compression fractures can,</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beside pain, lead to a considerable shortening and deformity of the spine, which in turn results in postural instability and decreased ventilatory capacity [8].</w:t>
      </w:r>
    </w:p>
    <w:p w:rsidR="00550A30" w:rsidRPr="008F3CEA" w:rsidRDefault="00550A30" w:rsidP="00550A30">
      <w:pPr>
        <w:autoSpaceDE w:val="0"/>
        <w:autoSpaceDN w:val="0"/>
        <w:adjustRightInd w:val="0"/>
        <w:spacing w:after="0" w:line="360" w:lineRule="auto"/>
        <w:jc w:val="both"/>
        <w:rPr>
          <w:rFonts w:ascii="Arial" w:hAnsi="Arial" w:cs="Arial"/>
          <w:color w:val="231F20"/>
          <w:sz w:val="24"/>
          <w:szCs w:val="24"/>
          <w:lang w:val="en-US"/>
        </w:rPr>
      </w:pPr>
      <w:r w:rsidRPr="008F3CEA">
        <w:rPr>
          <w:rFonts w:ascii="Arial" w:hAnsi="Arial" w:cs="Arial"/>
          <w:sz w:val="24"/>
          <w:szCs w:val="24"/>
          <w:lang w:val="en-US"/>
        </w:rPr>
        <w:t xml:space="preserve">Different treatments have been proposed for vertebral injuries, such as </w:t>
      </w:r>
      <w:r w:rsidRPr="008F3CEA">
        <w:rPr>
          <w:rFonts w:ascii="Arial" w:hAnsi="Arial" w:cs="Arial"/>
          <w:color w:val="231F20"/>
          <w:sz w:val="24"/>
          <w:szCs w:val="24"/>
          <w:lang w:val="en-US"/>
        </w:rPr>
        <w:t>open surgery and non-operative management, including medications and bracing. Unfortunately, large numbers of patients report intractable pain and inability to return to activities. The limitations of non-operative management have fostered increasing interest in new,</w:t>
      </w:r>
      <w:r w:rsidRPr="008F3CEA">
        <w:t xml:space="preserve"> </w:t>
      </w:r>
      <w:r w:rsidRPr="008F3CEA">
        <w:rPr>
          <w:rFonts w:ascii="Arial" w:hAnsi="Arial" w:cs="Arial"/>
          <w:color w:val="231F20"/>
          <w:sz w:val="24"/>
          <w:szCs w:val="24"/>
          <w:lang w:val="en-US"/>
        </w:rPr>
        <w:t>percutaneous methods of fracture stabilization that allow early return to activity and do not require fixation in weak bone [</w:t>
      </w:r>
      <w:r w:rsidRPr="008F3CEA">
        <w:rPr>
          <w:rFonts w:ascii="Arial" w:hAnsi="Arial" w:cs="Arial"/>
          <w:iCs/>
          <w:color w:val="231F20"/>
          <w:sz w:val="24"/>
          <w:szCs w:val="24"/>
          <w:lang w:val="en-US"/>
        </w:rPr>
        <w:t>2</w:t>
      </w:r>
      <w:r w:rsidRPr="008F3CEA">
        <w:rPr>
          <w:rFonts w:ascii="Arial" w:hAnsi="Arial" w:cs="Arial"/>
          <w:color w:val="231F20"/>
          <w:sz w:val="24"/>
          <w:szCs w:val="24"/>
          <w:lang w:val="en-US"/>
        </w:rPr>
        <w:t>].</w:t>
      </w:r>
    </w:p>
    <w:p w:rsidR="00550A30" w:rsidRPr="008F3CEA" w:rsidRDefault="00550A30" w:rsidP="00550A30">
      <w:pPr>
        <w:autoSpaceDE w:val="0"/>
        <w:autoSpaceDN w:val="0"/>
        <w:adjustRightInd w:val="0"/>
        <w:spacing w:after="0" w:line="360" w:lineRule="auto"/>
        <w:jc w:val="both"/>
        <w:rPr>
          <w:rFonts w:ascii="Arial" w:hAnsi="Arial" w:cs="Arial"/>
          <w:color w:val="231F20"/>
          <w:sz w:val="24"/>
          <w:szCs w:val="24"/>
          <w:lang w:val="en-US"/>
        </w:rPr>
      </w:pPr>
      <w:r w:rsidRPr="008F3CEA">
        <w:rPr>
          <w:rFonts w:ascii="Arial" w:hAnsi="Arial" w:cs="Arial"/>
          <w:color w:val="231F20"/>
          <w:sz w:val="24"/>
          <w:szCs w:val="24"/>
          <w:lang w:val="en-US"/>
        </w:rPr>
        <w:t>The most common percutaneous methods are</w:t>
      </w:r>
      <w:r w:rsidRPr="008F3CEA">
        <w:t xml:space="preserve"> </w:t>
      </w:r>
      <w:r w:rsidRPr="008F3CEA">
        <w:rPr>
          <w:rFonts w:ascii="Arial" w:hAnsi="Arial" w:cs="Arial"/>
          <w:color w:val="231F20"/>
          <w:sz w:val="24"/>
          <w:szCs w:val="24"/>
          <w:lang w:val="en-US"/>
        </w:rPr>
        <w:t>vertebroplasty and kyphoplasty. Both of them involve the use of injectable bone cements (in particular polymethylmethacrylate - PMMA) to restore the load-bearing capacity and stiffness of the treated vertebral body [9-11].</w:t>
      </w:r>
    </w:p>
    <w:p w:rsidR="00550A30" w:rsidRPr="008F3CEA" w:rsidRDefault="00550A30" w:rsidP="00550A30">
      <w:pPr>
        <w:autoSpaceDE w:val="0"/>
        <w:autoSpaceDN w:val="0"/>
        <w:adjustRightInd w:val="0"/>
        <w:spacing w:after="0" w:line="360" w:lineRule="auto"/>
        <w:jc w:val="both"/>
        <w:rPr>
          <w:rFonts w:ascii="Arial" w:hAnsi="Arial" w:cs="Arial"/>
          <w:color w:val="231F20"/>
          <w:sz w:val="24"/>
          <w:szCs w:val="24"/>
          <w:lang w:val="en-US"/>
        </w:rPr>
      </w:pPr>
      <w:r w:rsidRPr="008F3CEA">
        <w:rPr>
          <w:rFonts w:ascii="Arial" w:hAnsi="Arial" w:cs="Arial"/>
          <w:color w:val="231F20"/>
          <w:sz w:val="24"/>
          <w:szCs w:val="24"/>
          <w:lang w:val="en-US"/>
        </w:rPr>
        <w:lastRenderedPageBreak/>
        <w:t>Vertebroplasty involves the injection of PMMA into the compressed vertebral body [12]. Kyphoplasty employs a balloon tamp to create a void in the vertebral body and restore physiological height [13]. Viscous PMMA is then applied into the created defect These procedures are well tolerated and associated with high rates of pain relief [14].</w:t>
      </w:r>
    </w:p>
    <w:p w:rsidR="00550A30" w:rsidRPr="008F3CEA" w:rsidRDefault="00550A30" w:rsidP="00550A30">
      <w:pPr>
        <w:autoSpaceDE w:val="0"/>
        <w:autoSpaceDN w:val="0"/>
        <w:adjustRightInd w:val="0"/>
        <w:spacing w:after="0" w:line="360" w:lineRule="auto"/>
        <w:jc w:val="both"/>
        <w:rPr>
          <w:rFonts w:ascii="Arial" w:hAnsi="Arial" w:cs="Arial"/>
          <w:color w:val="231F20"/>
          <w:sz w:val="24"/>
          <w:szCs w:val="24"/>
          <w:lang w:val="en-US"/>
        </w:rPr>
      </w:pPr>
      <w:r w:rsidRPr="008F3CEA">
        <w:rPr>
          <w:rFonts w:ascii="Arial" w:hAnsi="Arial" w:cs="Arial"/>
          <w:color w:val="231F20"/>
          <w:sz w:val="24"/>
          <w:szCs w:val="24"/>
          <w:lang w:val="en-US"/>
        </w:rPr>
        <w:t xml:space="preserve">Polymethylmethacrylate bone cements have been used for many years for the fixation of the metal and plastic components of joint replacement. PMMA has been reported to be bioinert and to show good biocompatibility over long-term follow-up. Several inherent advantages of PMMA include familiarity for orthopedic surgeons, ease of handling, good biomechanical strength and stiffness, and cost-effectiveness [15]. </w:t>
      </w:r>
    </w:p>
    <w:p w:rsidR="00550A30" w:rsidRPr="008F3CEA" w:rsidRDefault="00550A30" w:rsidP="00550A30">
      <w:pPr>
        <w:spacing w:after="0" w:line="360" w:lineRule="auto"/>
        <w:jc w:val="both"/>
        <w:rPr>
          <w:rFonts w:ascii="Arial" w:hAnsi="Arial" w:cs="Arial"/>
          <w:b/>
          <w:color w:val="FF0000"/>
          <w:sz w:val="24"/>
          <w:szCs w:val="24"/>
          <w:lang w:val="en-US"/>
        </w:rPr>
      </w:pPr>
      <w:r w:rsidRPr="008F3CEA">
        <w:rPr>
          <w:rFonts w:ascii="Arial" w:hAnsi="Arial" w:cs="Arial"/>
          <w:color w:val="231F20"/>
          <w:sz w:val="24"/>
          <w:szCs w:val="24"/>
          <w:lang w:val="en-US"/>
        </w:rPr>
        <w:t>On the other hand, several problems associated with the use of PMMA have been reported, including: (i) absence of biologic potential to remodel or integrate into the surrounding bone, resulting in</w:t>
      </w:r>
      <w:r w:rsidRPr="008F3CEA">
        <w:rPr>
          <w:rFonts w:ascii="Arial" w:hAnsi="Arial" w:cs="Arial"/>
          <w:sz w:val="24"/>
          <w:szCs w:val="24"/>
        </w:rPr>
        <w:t xml:space="preserve"> the formation of a fibrous layer between the bone surface and the cement [3]</w:t>
      </w:r>
      <w:r w:rsidRPr="008F3CEA">
        <w:rPr>
          <w:rFonts w:ascii="Arial" w:hAnsi="Arial" w:cs="Arial"/>
          <w:color w:val="231F20"/>
          <w:sz w:val="24"/>
          <w:szCs w:val="24"/>
          <w:lang w:val="en-US"/>
        </w:rPr>
        <w:t>, (ii) no direct bone apposition, (iii) excessive inherent stiffness, (iv) high polymerization temperature, and (v) potential monomer toxicity. Although good clinical results have been reported for both vertebroplasty and kyphoplasty procedures, it is still unclear whether some component of the pain relief is secondary to the mechanical stabilization, chemical toxicity, or thermal necrosis of surrounding tissues and nerve ends [3].</w:t>
      </w:r>
    </w:p>
    <w:p w:rsidR="00550A30" w:rsidRPr="008F3CEA" w:rsidRDefault="00550A30" w:rsidP="00550A30">
      <w:pPr>
        <w:autoSpaceDE w:val="0"/>
        <w:autoSpaceDN w:val="0"/>
        <w:adjustRightInd w:val="0"/>
        <w:spacing w:after="0" w:line="360" w:lineRule="auto"/>
        <w:jc w:val="both"/>
        <w:rPr>
          <w:rFonts w:ascii="Arial" w:hAnsi="Arial" w:cs="Arial"/>
          <w:i/>
          <w:color w:val="231F20"/>
          <w:sz w:val="24"/>
          <w:szCs w:val="24"/>
          <w:lang w:val="en-US"/>
        </w:rPr>
      </w:pPr>
      <w:r w:rsidRPr="008F3CEA">
        <w:rPr>
          <w:rFonts w:ascii="Arial" w:hAnsi="Arial" w:cs="Arial"/>
          <w:color w:val="231F20"/>
          <w:sz w:val="24"/>
          <w:szCs w:val="24"/>
          <w:lang w:val="en-US"/>
        </w:rPr>
        <w:t>To overcome limitations associated with the use of PMMA, bioactive and biodegradable bone cements have been proposed. These bone cements are generally based on bioactive calcium phosphate compounds, like Hydroxyapatite (HA), β tricalcium phosphate (βTCP) or bioactive glasses [17]</w:t>
      </w:r>
      <w:r w:rsidRPr="008F3CEA">
        <w:rPr>
          <w:rFonts w:ascii="Arial" w:hAnsi="Arial" w:cs="Arial"/>
          <w:i/>
          <w:color w:val="231F20"/>
          <w:sz w:val="24"/>
          <w:szCs w:val="24"/>
          <w:lang w:val="en-US"/>
        </w:rPr>
        <w:t>.</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iCs/>
          <w:sz w:val="24"/>
          <w:szCs w:val="24"/>
          <w:lang w:val="en-US"/>
        </w:rPr>
        <w:t>These materials possess numerous advantages, such</w:t>
      </w:r>
      <w:r w:rsidRPr="008F3CEA">
        <w:rPr>
          <w:rFonts w:ascii="Arial" w:hAnsi="Arial" w:cs="Arial"/>
          <w:i/>
          <w:iCs/>
          <w:sz w:val="24"/>
          <w:szCs w:val="24"/>
          <w:lang w:val="en-US"/>
        </w:rPr>
        <w:t xml:space="preserve"> </w:t>
      </w:r>
      <w:r w:rsidRPr="008F3CEA">
        <w:rPr>
          <w:rFonts w:ascii="Arial" w:hAnsi="Arial" w:cs="Arial"/>
          <w:iCs/>
          <w:sz w:val="24"/>
          <w:szCs w:val="24"/>
          <w:lang w:val="en-US"/>
        </w:rPr>
        <w:t>as</w:t>
      </w:r>
      <w:r w:rsidRPr="008F3CEA">
        <w:rPr>
          <w:rFonts w:ascii="Arial" w:hAnsi="Arial" w:cs="Arial"/>
          <w:sz w:val="24"/>
          <w:szCs w:val="24"/>
          <w:lang w:val="en-US"/>
        </w:rPr>
        <w:t xml:space="preserve"> self-setting ability in vivo,  injectability (which allows cement implantation by means of minimally invasive surgical techniques) and the ability of perfectly fit the implant site, which assures good bone–material contact, even in geometrically complex defects. </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Moreover the low-temperature setting allows incorporation of different drugs: from antibiotics and anti-inflammatory drugs to growth factors which are able to stimulate certain biological responses. This aspect gives a great potential to this type of materials for the controlled drug delivery in target sites of the skeletal system [</w:t>
      </w:r>
      <w:r w:rsidRPr="008F3CEA">
        <w:rPr>
          <w:rFonts w:ascii="Arial" w:hAnsi="Arial" w:cs="Arial"/>
          <w:color w:val="231F20"/>
          <w:sz w:val="24"/>
          <w:szCs w:val="24"/>
          <w:lang w:val="en-US"/>
        </w:rPr>
        <w:t>17</w:t>
      </w:r>
      <w:r w:rsidRPr="008F3CEA">
        <w:rPr>
          <w:rFonts w:ascii="Arial" w:hAnsi="Arial" w:cs="Arial"/>
          <w:sz w:val="24"/>
          <w:szCs w:val="24"/>
          <w:lang w:val="en-US"/>
        </w:rPr>
        <w:t>].</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In this chapter the preparation and characterization of a new biodegradable and bioactive bone cement is described. </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This material is composed of an organic phase made of chitosan (CH), which is expected to improve the injectability, as well as of β tricalcium phosphate as inorganic phase able to </w:t>
      </w:r>
      <w:r w:rsidRPr="008F3CEA">
        <w:rPr>
          <w:rFonts w:ascii="Arial" w:hAnsi="Arial" w:cs="Arial"/>
          <w:sz w:val="24"/>
          <w:szCs w:val="24"/>
          <w:lang w:val="en-US"/>
        </w:rPr>
        <w:lastRenderedPageBreak/>
        <w:t>increase the bioactivity (i.e. the ability to stimulate new bone deposition) of the material [18].</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Genipin (GP) was selected as cross-linker for chitosan, due to its natural origin and biocompatibility [19].</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The cement composition was optimized to obtain the desired hardening time and dissolution rate and then reinforced with collagen, which is known to confer biomimetic ability and to increase the mechanical strength [20] of the material.</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Moreover, anti-inflammatory properties were given by including Indometacin-loaded biodegradable nanoparticles based on Poly(ε-caprolactone) (PCL) in the cement composition.</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Nanoparticles were prepared by the Solvent Displacement Method [21] and their size, encapsulation efficiency as well as release profiles were characterized.</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Injectability, compressive strength and bioactivity of the final cement composition were also investigated.</w:t>
      </w:r>
    </w:p>
    <w:p w:rsidR="00550A30" w:rsidRPr="008F3CEA" w:rsidRDefault="00550A30" w:rsidP="00550A30">
      <w:pPr>
        <w:spacing w:before="240" w:after="240" w:line="360" w:lineRule="auto"/>
        <w:jc w:val="both"/>
        <w:rPr>
          <w:rFonts w:ascii="Arial" w:hAnsi="Arial" w:cs="Arial"/>
          <w:b/>
          <w:sz w:val="28"/>
          <w:szCs w:val="28"/>
        </w:rPr>
      </w:pPr>
      <w:r w:rsidRPr="008F3CEA">
        <w:rPr>
          <w:rFonts w:ascii="Arial" w:hAnsi="Arial" w:cs="Arial"/>
          <w:b/>
          <w:sz w:val="28"/>
          <w:szCs w:val="28"/>
        </w:rPr>
        <w:t>4.2 Materials &amp; methods</w:t>
      </w:r>
    </w:p>
    <w:p w:rsidR="00550A30" w:rsidRPr="008F3CEA" w:rsidRDefault="00550A30" w:rsidP="00550A30">
      <w:pPr>
        <w:spacing w:before="240" w:after="240" w:line="360" w:lineRule="auto"/>
        <w:jc w:val="both"/>
        <w:rPr>
          <w:rFonts w:ascii="Arial" w:hAnsi="Arial" w:cs="Arial"/>
          <w:b/>
          <w:sz w:val="24"/>
          <w:szCs w:val="24"/>
        </w:rPr>
      </w:pPr>
      <w:r w:rsidRPr="008F3CEA">
        <w:rPr>
          <w:rFonts w:ascii="Arial" w:hAnsi="Arial" w:cs="Arial"/>
          <w:b/>
          <w:sz w:val="24"/>
          <w:szCs w:val="24"/>
        </w:rPr>
        <w:t>4.2.1 Materials</w:t>
      </w:r>
    </w:p>
    <w:p w:rsidR="00550A30" w:rsidRPr="008F3CEA" w:rsidRDefault="00550A30" w:rsidP="00550A30">
      <w:pPr>
        <w:pStyle w:val="Titolo1"/>
        <w:spacing w:before="0" w:line="360" w:lineRule="auto"/>
        <w:jc w:val="both"/>
        <w:rPr>
          <w:rFonts w:ascii="Arial" w:hAnsi="Arial" w:cs="Arial"/>
          <w:b w:val="0"/>
          <w:color w:val="auto"/>
          <w:sz w:val="24"/>
          <w:szCs w:val="24"/>
        </w:rPr>
      </w:pPr>
      <w:r w:rsidRPr="008F3CEA">
        <w:rPr>
          <w:rFonts w:ascii="Arial" w:hAnsi="Arial" w:cs="Arial"/>
          <w:b w:val="0"/>
          <w:color w:val="auto"/>
          <w:sz w:val="24"/>
          <w:szCs w:val="24"/>
        </w:rPr>
        <w:t xml:space="preserve">Chitosan (Mn 1000, 75%-85% deacetilation), collagen (from calf skin), </w:t>
      </w:r>
      <w:r w:rsidRPr="008F3CEA">
        <w:rPr>
          <w:rFonts w:ascii="Arial" w:eastAsiaTheme="minorHAnsi" w:hAnsi="Arial" w:cs="Arial"/>
          <w:b w:val="0"/>
          <w:color w:val="auto"/>
          <w:sz w:val="24"/>
          <w:szCs w:val="24"/>
          <w:lang w:val="en-US"/>
        </w:rPr>
        <w:t>β tricalcium phosphate</w:t>
      </w:r>
      <w:r w:rsidRPr="008F3CEA">
        <w:rPr>
          <w:rFonts w:ascii="Arial" w:hAnsi="Arial" w:cs="Arial"/>
          <w:b w:val="0"/>
          <w:color w:val="auto"/>
          <w:sz w:val="24"/>
          <w:szCs w:val="24"/>
        </w:rPr>
        <w:t xml:space="preserve"> (310.2 g/mol), tween80, vitamin E TPGS and Indomethacin were all purchased from Sigma Aldrich Italy. Simulated Body Fluids (SBF) were prepared according to the protocol proposed by Kokubo et al [22]. </w:t>
      </w:r>
    </w:p>
    <w:p w:rsidR="00550A30" w:rsidRPr="008F3CEA" w:rsidRDefault="00550A30" w:rsidP="00550A30">
      <w:pPr>
        <w:spacing w:after="0" w:line="360" w:lineRule="auto"/>
        <w:jc w:val="both"/>
        <w:rPr>
          <w:rFonts w:ascii="Arial" w:hAnsi="Arial" w:cs="Arial"/>
          <w:sz w:val="24"/>
          <w:szCs w:val="24"/>
        </w:rPr>
      </w:pPr>
      <w:r w:rsidRPr="008F3CEA">
        <w:rPr>
          <w:rFonts w:ascii="Arial" w:hAnsi="Arial" w:cs="Arial"/>
          <w:sz w:val="24"/>
          <w:szCs w:val="24"/>
        </w:rPr>
        <w:t>Poly(ε-caprolactone) (Mn 30000) was from Polysciences Inc, Genipin was supplied by Challange Bioproducts Co, Taichung – Taiwan.</w:t>
      </w:r>
    </w:p>
    <w:p w:rsidR="00550A30" w:rsidRPr="008F3CEA" w:rsidRDefault="00550A30" w:rsidP="00550A30">
      <w:pPr>
        <w:spacing w:after="0" w:line="360" w:lineRule="auto"/>
        <w:jc w:val="both"/>
        <w:rPr>
          <w:rFonts w:ascii="Arial" w:hAnsi="Arial" w:cs="Arial"/>
          <w:sz w:val="24"/>
          <w:szCs w:val="24"/>
        </w:rPr>
      </w:pPr>
      <w:r w:rsidRPr="008F3CEA">
        <w:rPr>
          <w:rFonts w:ascii="Arial" w:hAnsi="Arial" w:cs="Arial"/>
          <w:sz w:val="24"/>
          <w:szCs w:val="24"/>
        </w:rPr>
        <w:t>All other reagents and solvents were from Sigma Aldrich Italy. Solvents were of analytical grade. Deionized water was produced by a Millipore purification system.</w:t>
      </w:r>
    </w:p>
    <w:p w:rsidR="00550A30" w:rsidRPr="008F3CEA" w:rsidRDefault="00550A30" w:rsidP="00550A30">
      <w:pPr>
        <w:spacing w:before="240" w:after="240" w:line="360" w:lineRule="auto"/>
        <w:jc w:val="both"/>
        <w:rPr>
          <w:rFonts w:ascii="Arial" w:hAnsi="Arial" w:cs="Arial"/>
          <w:b/>
          <w:color w:val="000000"/>
          <w:sz w:val="24"/>
          <w:szCs w:val="24"/>
          <w:lang w:eastAsia="it-IT"/>
        </w:rPr>
      </w:pPr>
      <w:r w:rsidRPr="008F3CEA">
        <w:rPr>
          <w:rFonts w:ascii="Arial" w:hAnsi="Arial" w:cs="Arial"/>
          <w:b/>
          <w:color w:val="000000"/>
          <w:sz w:val="24"/>
          <w:szCs w:val="24"/>
          <w:lang w:eastAsia="it-IT"/>
        </w:rPr>
        <w:t>4.2.2 Preparation of Chitosan/βTCP bone cement: optimization of processing parameters.</w:t>
      </w:r>
    </w:p>
    <w:p w:rsidR="00550A30" w:rsidRPr="008F3CEA" w:rsidRDefault="00550A30" w:rsidP="00550A30">
      <w:pPr>
        <w:spacing w:after="0" w:line="360" w:lineRule="auto"/>
        <w:jc w:val="both"/>
        <w:rPr>
          <w:rFonts w:ascii="Arial" w:hAnsi="Arial" w:cs="Arial"/>
          <w:color w:val="000000"/>
          <w:sz w:val="24"/>
          <w:szCs w:val="24"/>
          <w:lang w:eastAsia="it-IT"/>
        </w:rPr>
      </w:pPr>
      <w:r w:rsidRPr="008F3CEA">
        <w:rPr>
          <w:rFonts w:ascii="Arial" w:hAnsi="Arial" w:cs="Arial"/>
          <w:color w:val="000000"/>
          <w:sz w:val="24"/>
          <w:szCs w:val="24"/>
          <w:lang w:eastAsia="it-IT"/>
        </w:rPr>
        <w:t>Crosslinking and hardening properties of different CH/βTCP blends were analyzed in order to optimise the ratio between the two components, as well as the amount of crosslinking agent (GP) with respect to the initial amount of chitosan.</w:t>
      </w:r>
    </w:p>
    <w:p w:rsidR="00550A30" w:rsidRPr="008F3CEA" w:rsidRDefault="00550A30" w:rsidP="00550A30">
      <w:pPr>
        <w:spacing w:after="120" w:line="360" w:lineRule="auto"/>
        <w:jc w:val="both"/>
        <w:rPr>
          <w:rFonts w:ascii="Arial" w:hAnsi="Arial" w:cs="Arial"/>
          <w:color w:val="000000"/>
          <w:sz w:val="24"/>
          <w:szCs w:val="24"/>
          <w:lang w:eastAsia="it-IT"/>
        </w:rPr>
      </w:pPr>
      <w:r w:rsidRPr="008F3CEA">
        <w:rPr>
          <w:rFonts w:ascii="Arial" w:hAnsi="Arial" w:cs="Arial"/>
          <w:color w:val="000000"/>
          <w:sz w:val="24"/>
          <w:szCs w:val="24"/>
          <w:lang w:eastAsia="it-IT"/>
        </w:rPr>
        <w:t>Five different CH/βTCP ratios (90/10, 70/30, 50/50, 30/70, 10/90 w/w) and four Genipin concentrations (2.5%, 3.5%, 5%, 7.5% w/w) were tested (see table 4.1).</w:t>
      </w:r>
    </w:p>
    <w:p w:rsidR="00550A30" w:rsidRPr="008F3CEA" w:rsidRDefault="00550A30" w:rsidP="00550A30">
      <w:pPr>
        <w:spacing w:after="120" w:line="360" w:lineRule="auto"/>
        <w:jc w:val="both"/>
        <w:rPr>
          <w:rFonts w:ascii="Arial" w:hAnsi="Arial" w:cs="Arial"/>
          <w:color w:val="000000"/>
          <w:sz w:val="24"/>
          <w:szCs w:val="24"/>
          <w:lang w:eastAsia="it-IT"/>
        </w:rPr>
      </w:pPr>
    </w:p>
    <w:tbl>
      <w:tblPr>
        <w:tblStyle w:val="Grigliatabella"/>
        <w:tblW w:w="0" w:type="auto"/>
        <w:jc w:val="center"/>
        <w:shd w:val="clear" w:color="auto" w:fill="EEECE1" w:themeFill="background2"/>
        <w:tblLook w:val="04A0"/>
      </w:tblPr>
      <w:tblGrid>
        <w:gridCol w:w="1757"/>
        <w:gridCol w:w="1757"/>
        <w:gridCol w:w="1757"/>
        <w:gridCol w:w="1757"/>
        <w:gridCol w:w="1757"/>
      </w:tblGrid>
      <w:tr w:rsidR="00550A30" w:rsidRPr="008F3CEA" w:rsidTr="009925A1">
        <w:trPr>
          <w:trHeight w:val="340"/>
          <w:jc w:val="center"/>
        </w:trPr>
        <w:tc>
          <w:tcPr>
            <w:tcW w:w="1757" w:type="dxa"/>
            <w:vMerge w:val="restart"/>
            <w:tcBorders>
              <w:right w:val="single" w:sz="4" w:space="0" w:color="auto"/>
            </w:tcBorders>
            <w:shd w:val="clear" w:color="auto" w:fill="EEECE1" w:themeFill="background2"/>
          </w:tcPr>
          <w:p w:rsidR="00550A30" w:rsidRPr="008F3CEA" w:rsidRDefault="00550A30" w:rsidP="009925A1">
            <w:pPr>
              <w:jc w:val="center"/>
              <w:rPr>
                <w:rFonts w:cstheme="minorHAnsi"/>
                <w:b/>
                <w:color w:val="000000"/>
                <w:lang w:eastAsia="it-IT"/>
              </w:rPr>
            </w:pPr>
            <w:r w:rsidRPr="008F3CEA">
              <w:rPr>
                <w:rFonts w:cstheme="minorHAnsi"/>
                <w:b/>
                <w:color w:val="000000"/>
                <w:lang w:eastAsia="it-IT"/>
              </w:rPr>
              <w:t>CH-TCP ratio (w/w)</w:t>
            </w:r>
          </w:p>
        </w:tc>
        <w:tc>
          <w:tcPr>
            <w:tcW w:w="7028" w:type="dxa"/>
            <w:gridSpan w:val="4"/>
            <w:tcBorders>
              <w:left w:val="single" w:sz="4" w:space="0" w:color="auto"/>
            </w:tcBorders>
            <w:shd w:val="clear" w:color="auto" w:fill="EEECE1" w:themeFill="background2"/>
          </w:tcPr>
          <w:p w:rsidR="00550A30" w:rsidRPr="008F3CEA" w:rsidRDefault="00550A30" w:rsidP="009925A1">
            <w:pPr>
              <w:jc w:val="center"/>
              <w:rPr>
                <w:rFonts w:cstheme="minorHAnsi"/>
                <w:b/>
                <w:color w:val="000000"/>
                <w:lang w:eastAsia="it-IT"/>
              </w:rPr>
            </w:pPr>
            <w:r w:rsidRPr="008F3CEA">
              <w:rPr>
                <w:rFonts w:cstheme="minorHAnsi"/>
                <w:b/>
                <w:color w:val="000000"/>
                <w:lang w:eastAsia="it-IT"/>
              </w:rPr>
              <w:t>GP concentration (w/w)</w:t>
            </w:r>
          </w:p>
        </w:tc>
      </w:tr>
      <w:tr w:rsidR="00550A30" w:rsidRPr="008F3CEA" w:rsidTr="009925A1">
        <w:trPr>
          <w:trHeight w:val="340"/>
          <w:jc w:val="center"/>
        </w:trPr>
        <w:tc>
          <w:tcPr>
            <w:tcW w:w="1757" w:type="dxa"/>
            <w:vMerge/>
            <w:tcBorders>
              <w:bottom w:val="single" w:sz="4" w:space="0" w:color="000000" w:themeColor="text1"/>
              <w:right w:val="single" w:sz="4" w:space="0" w:color="auto"/>
            </w:tcBorders>
            <w:shd w:val="clear" w:color="auto" w:fill="EEECE1" w:themeFill="background2"/>
          </w:tcPr>
          <w:p w:rsidR="00550A30" w:rsidRPr="008F3CEA" w:rsidRDefault="00550A30" w:rsidP="009925A1">
            <w:pPr>
              <w:jc w:val="both"/>
              <w:rPr>
                <w:rFonts w:cstheme="minorHAnsi"/>
                <w:b/>
                <w:color w:val="000000"/>
                <w:lang w:eastAsia="it-IT"/>
              </w:rPr>
            </w:pPr>
          </w:p>
        </w:tc>
        <w:tc>
          <w:tcPr>
            <w:tcW w:w="1757" w:type="dxa"/>
            <w:tcBorders>
              <w:left w:val="single" w:sz="4" w:space="0" w:color="auto"/>
              <w:bottom w:val="single" w:sz="4" w:space="0" w:color="000000" w:themeColor="text1"/>
              <w:right w:val="single" w:sz="4" w:space="0" w:color="auto"/>
            </w:tcBorders>
            <w:shd w:val="clear" w:color="auto" w:fill="EEECE1" w:themeFill="background2"/>
          </w:tcPr>
          <w:p w:rsidR="00550A30" w:rsidRPr="008F3CEA" w:rsidRDefault="00550A30" w:rsidP="009925A1">
            <w:pPr>
              <w:jc w:val="both"/>
              <w:rPr>
                <w:rFonts w:cstheme="minorHAnsi"/>
                <w:b/>
                <w:color w:val="000000"/>
                <w:lang w:eastAsia="it-IT"/>
              </w:rPr>
            </w:pPr>
            <w:r w:rsidRPr="008F3CEA">
              <w:rPr>
                <w:rFonts w:cstheme="minorHAnsi"/>
                <w:b/>
                <w:color w:val="000000"/>
                <w:lang w:eastAsia="it-IT"/>
              </w:rPr>
              <w:t>2.5%</w:t>
            </w:r>
          </w:p>
        </w:tc>
        <w:tc>
          <w:tcPr>
            <w:tcW w:w="1757" w:type="dxa"/>
            <w:tcBorders>
              <w:left w:val="single" w:sz="4" w:space="0" w:color="auto"/>
              <w:bottom w:val="single" w:sz="4" w:space="0" w:color="000000" w:themeColor="text1"/>
              <w:right w:val="single" w:sz="4" w:space="0" w:color="auto"/>
            </w:tcBorders>
            <w:shd w:val="clear" w:color="auto" w:fill="EEECE1" w:themeFill="background2"/>
          </w:tcPr>
          <w:p w:rsidR="00550A30" w:rsidRPr="008F3CEA" w:rsidRDefault="00550A30" w:rsidP="009925A1">
            <w:pPr>
              <w:jc w:val="both"/>
              <w:rPr>
                <w:rFonts w:cstheme="minorHAnsi"/>
                <w:b/>
                <w:color w:val="000000"/>
                <w:lang w:eastAsia="it-IT"/>
              </w:rPr>
            </w:pPr>
            <w:r w:rsidRPr="008F3CEA">
              <w:rPr>
                <w:rFonts w:cstheme="minorHAnsi"/>
                <w:b/>
                <w:color w:val="000000"/>
                <w:lang w:eastAsia="it-IT"/>
              </w:rPr>
              <w:t>3.5%</w:t>
            </w:r>
          </w:p>
        </w:tc>
        <w:tc>
          <w:tcPr>
            <w:tcW w:w="1757" w:type="dxa"/>
            <w:tcBorders>
              <w:left w:val="single" w:sz="4" w:space="0" w:color="auto"/>
              <w:bottom w:val="single" w:sz="4" w:space="0" w:color="000000" w:themeColor="text1"/>
              <w:right w:val="single" w:sz="4" w:space="0" w:color="auto"/>
            </w:tcBorders>
            <w:shd w:val="clear" w:color="auto" w:fill="EEECE1" w:themeFill="background2"/>
          </w:tcPr>
          <w:p w:rsidR="00550A30" w:rsidRPr="008F3CEA" w:rsidRDefault="00550A30" w:rsidP="009925A1">
            <w:pPr>
              <w:jc w:val="both"/>
              <w:rPr>
                <w:rFonts w:cstheme="minorHAnsi"/>
                <w:b/>
                <w:color w:val="000000"/>
                <w:lang w:eastAsia="it-IT"/>
              </w:rPr>
            </w:pPr>
            <w:r w:rsidRPr="008F3CEA">
              <w:rPr>
                <w:rFonts w:cstheme="minorHAnsi"/>
                <w:b/>
                <w:color w:val="000000"/>
                <w:lang w:eastAsia="it-IT"/>
              </w:rPr>
              <w:t>5%</w:t>
            </w:r>
          </w:p>
        </w:tc>
        <w:tc>
          <w:tcPr>
            <w:tcW w:w="1757" w:type="dxa"/>
            <w:tcBorders>
              <w:left w:val="single" w:sz="4" w:space="0" w:color="auto"/>
              <w:bottom w:val="single" w:sz="4" w:space="0" w:color="000000" w:themeColor="text1"/>
            </w:tcBorders>
            <w:shd w:val="clear" w:color="auto" w:fill="EEECE1" w:themeFill="background2"/>
          </w:tcPr>
          <w:p w:rsidR="00550A30" w:rsidRPr="008F3CEA" w:rsidRDefault="00550A30" w:rsidP="009925A1">
            <w:pPr>
              <w:jc w:val="both"/>
              <w:rPr>
                <w:rFonts w:cstheme="minorHAnsi"/>
                <w:b/>
                <w:color w:val="000000"/>
                <w:lang w:eastAsia="it-IT"/>
              </w:rPr>
            </w:pPr>
            <w:r w:rsidRPr="008F3CEA">
              <w:rPr>
                <w:rFonts w:cstheme="minorHAnsi"/>
                <w:b/>
                <w:color w:val="000000"/>
                <w:lang w:eastAsia="it-IT"/>
              </w:rPr>
              <w:t>7.5%</w:t>
            </w:r>
          </w:p>
        </w:tc>
      </w:tr>
      <w:tr w:rsidR="00550A30" w:rsidRPr="008F3CEA" w:rsidTr="009925A1">
        <w:trPr>
          <w:trHeight w:val="340"/>
          <w:jc w:val="center"/>
        </w:trPr>
        <w:tc>
          <w:tcPr>
            <w:tcW w:w="1757" w:type="dxa"/>
            <w:tcBorders>
              <w:bottom w:val="nil"/>
              <w:right w:val="single" w:sz="4" w:space="0" w:color="auto"/>
            </w:tcBorders>
            <w:shd w:val="clear" w:color="auto" w:fill="EEECE1" w:themeFill="background2"/>
          </w:tcPr>
          <w:p w:rsidR="00550A30" w:rsidRPr="008F3CEA" w:rsidRDefault="00550A30" w:rsidP="009925A1">
            <w:pPr>
              <w:jc w:val="both"/>
              <w:rPr>
                <w:rFonts w:cstheme="minorHAnsi"/>
                <w:b/>
                <w:color w:val="000000"/>
                <w:lang w:eastAsia="it-IT"/>
              </w:rPr>
            </w:pPr>
            <w:r w:rsidRPr="008F3CEA">
              <w:rPr>
                <w:rFonts w:cstheme="minorHAnsi"/>
                <w:b/>
                <w:color w:val="000000"/>
                <w:lang w:eastAsia="it-IT"/>
              </w:rPr>
              <w:t>90/10</w:t>
            </w:r>
          </w:p>
        </w:tc>
        <w:tc>
          <w:tcPr>
            <w:tcW w:w="1757" w:type="dxa"/>
            <w:tcBorders>
              <w:left w:val="single" w:sz="4" w:space="0" w:color="auto"/>
              <w:bottom w:val="nil"/>
              <w:right w:val="single" w:sz="4" w:space="0" w:color="auto"/>
            </w:tcBorders>
            <w:shd w:val="clear" w:color="auto" w:fill="EEECE1" w:themeFill="background2"/>
          </w:tcPr>
          <w:p w:rsidR="00550A30" w:rsidRPr="008F3CEA" w:rsidRDefault="00550A30" w:rsidP="009925A1">
            <w:pPr>
              <w:jc w:val="both"/>
              <w:rPr>
                <w:rFonts w:cstheme="minorHAnsi"/>
                <w:color w:val="000000"/>
                <w:lang w:eastAsia="it-IT"/>
              </w:rPr>
            </w:pPr>
            <w:r w:rsidRPr="008F3CEA">
              <w:rPr>
                <w:rFonts w:cstheme="minorHAnsi"/>
                <w:color w:val="000000"/>
                <w:lang w:eastAsia="it-IT"/>
              </w:rPr>
              <w:t>90/10_ GP2.5</w:t>
            </w:r>
          </w:p>
        </w:tc>
        <w:tc>
          <w:tcPr>
            <w:tcW w:w="1757" w:type="dxa"/>
            <w:tcBorders>
              <w:left w:val="single" w:sz="4" w:space="0" w:color="auto"/>
              <w:bottom w:val="nil"/>
              <w:right w:val="single" w:sz="4" w:space="0" w:color="auto"/>
            </w:tcBorders>
            <w:shd w:val="clear" w:color="auto" w:fill="EEECE1" w:themeFill="background2"/>
          </w:tcPr>
          <w:p w:rsidR="00550A30" w:rsidRPr="008F3CEA" w:rsidRDefault="00550A30" w:rsidP="009925A1">
            <w:pPr>
              <w:jc w:val="both"/>
              <w:rPr>
                <w:rFonts w:cstheme="minorHAnsi"/>
                <w:color w:val="000000"/>
                <w:lang w:eastAsia="it-IT"/>
              </w:rPr>
            </w:pPr>
            <w:r w:rsidRPr="008F3CEA">
              <w:rPr>
                <w:rFonts w:cstheme="minorHAnsi"/>
                <w:color w:val="000000"/>
                <w:lang w:eastAsia="it-IT"/>
              </w:rPr>
              <w:t>90/10_ GP3.5</w:t>
            </w:r>
          </w:p>
        </w:tc>
        <w:tc>
          <w:tcPr>
            <w:tcW w:w="1757" w:type="dxa"/>
            <w:tcBorders>
              <w:left w:val="single" w:sz="4" w:space="0" w:color="auto"/>
              <w:bottom w:val="nil"/>
              <w:right w:val="single" w:sz="4" w:space="0" w:color="auto"/>
            </w:tcBorders>
            <w:shd w:val="clear" w:color="auto" w:fill="EEECE1" w:themeFill="background2"/>
          </w:tcPr>
          <w:p w:rsidR="00550A30" w:rsidRPr="008F3CEA" w:rsidRDefault="00550A30" w:rsidP="009925A1">
            <w:pPr>
              <w:jc w:val="both"/>
              <w:rPr>
                <w:rFonts w:cstheme="minorHAnsi"/>
                <w:color w:val="000000"/>
                <w:lang w:eastAsia="it-IT"/>
              </w:rPr>
            </w:pPr>
            <w:r w:rsidRPr="008F3CEA">
              <w:rPr>
                <w:rFonts w:cstheme="minorHAnsi"/>
                <w:color w:val="000000"/>
                <w:lang w:eastAsia="it-IT"/>
              </w:rPr>
              <w:t>90/10_ GP5</w:t>
            </w:r>
          </w:p>
        </w:tc>
        <w:tc>
          <w:tcPr>
            <w:tcW w:w="1757" w:type="dxa"/>
            <w:tcBorders>
              <w:left w:val="single" w:sz="4" w:space="0" w:color="auto"/>
              <w:bottom w:val="nil"/>
            </w:tcBorders>
            <w:shd w:val="clear" w:color="auto" w:fill="EEECE1" w:themeFill="background2"/>
          </w:tcPr>
          <w:p w:rsidR="00550A30" w:rsidRPr="008F3CEA" w:rsidRDefault="00550A30" w:rsidP="009925A1">
            <w:pPr>
              <w:jc w:val="both"/>
              <w:rPr>
                <w:rFonts w:cstheme="minorHAnsi"/>
                <w:color w:val="000000"/>
                <w:lang w:eastAsia="it-IT"/>
              </w:rPr>
            </w:pPr>
            <w:r w:rsidRPr="008F3CEA">
              <w:rPr>
                <w:rFonts w:cstheme="minorHAnsi"/>
                <w:color w:val="000000"/>
                <w:lang w:eastAsia="it-IT"/>
              </w:rPr>
              <w:t>90/10_ GP7.5</w:t>
            </w:r>
          </w:p>
        </w:tc>
      </w:tr>
      <w:tr w:rsidR="00550A30" w:rsidRPr="008F3CEA" w:rsidTr="009925A1">
        <w:trPr>
          <w:trHeight w:val="340"/>
          <w:jc w:val="center"/>
        </w:trPr>
        <w:tc>
          <w:tcPr>
            <w:tcW w:w="1757" w:type="dxa"/>
            <w:tcBorders>
              <w:top w:val="nil"/>
              <w:bottom w:val="nil"/>
              <w:right w:val="single" w:sz="4" w:space="0" w:color="auto"/>
            </w:tcBorders>
            <w:shd w:val="clear" w:color="auto" w:fill="EEECE1" w:themeFill="background2"/>
          </w:tcPr>
          <w:p w:rsidR="00550A30" w:rsidRPr="008F3CEA" w:rsidRDefault="00550A30" w:rsidP="009925A1">
            <w:pPr>
              <w:jc w:val="both"/>
              <w:rPr>
                <w:rFonts w:cstheme="minorHAnsi"/>
                <w:b/>
                <w:color w:val="000000"/>
                <w:lang w:eastAsia="it-IT"/>
              </w:rPr>
            </w:pPr>
            <w:r w:rsidRPr="008F3CEA">
              <w:rPr>
                <w:rFonts w:cstheme="minorHAnsi"/>
                <w:b/>
                <w:color w:val="000000"/>
                <w:lang w:eastAsia="it-IT"/>
              </w:rPr>
              <w:t>70/30</w:t>
            </w:r>
          </w:p>
        </w:tc>
        <w:tc>
          <w:tcPr>
            <w:tcW w:w="1757" w:type="dxa"/>
            <w:tcBorders>
              <w:top w:val="nil"/>
              <w:left w:val="single" w:sz="4" w:space="0" w:color="auto"/>
              <w:bottom w:val="nil"/>
              <w:right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70/30_ GP2.5</w:t>
            </w:r>
          </w:p>
        </w:tc>
        <w:tc>
          <w:tcPr>
            <w:tcW w:w="1757" w:type="dxa"/>
            <w:tcBorders>
              <w:top w:val="nil"/>
              <w:left w:val="single" w:sz="4" w:space="0" w:color="auto"/>
              <w:bottom w:val="nil"/>
              <w:right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70/30_ GP3.5</w:t>
            </w:r>
          </w:p>
        </w:tc>
        <w:tc>
          <w:tcPr>
            <w:tcW w:w="1757" w:type="dxa"/>
            <w:tcBorders>
              <w:top w:val="nil"/>
              <w:left w:val="single" w:sz="4" w:space="0" w:color="auto"/>
              <w:bottom w:val="nil"/>
              <w:right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70/30_ GP5</w:t>
            </w:r>
          </w:p>
        </w:tc>
        <w:tc>
          <w:tcPr>
            <w:tcW w:w="1757" w:type="dxa"/>
            <w:tcBorders>
              <w:top w:val="nil"/>
              <w:left w:val="single" w:sz="4" w:space="0" w:color="auto"/>
              <w:bottom w:val="nil"/>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70/30_ GP7.5</w:t>
            </w:r>
          </w:p>
        </w:tc>
      </w:tr>
      <w:tr w:rsidR="00550A30" w:rsidRPr="008F3CEA" w:rsidTr="009925A1">
        <w:trPr>
          <w:trHeight w:val="340"/>
          <w:jc w:val="center"/>
        </w:trPr>
        <w:tc>
          <w:tcPr>
            <w:tcW w:w="1757" w:type="dxa"/>
            <w:tcBorders>
              <w:top w:val="nil"/>
              <w:bottom w:val="nil"/>
              <w:right w:val="single" w:sz="4" w:space="0" w:color="auto"/>
            </w:tcBorders>
            <w:shd w:val="clear" w:color="auto" w:fill="EEECE1" w:themeFill="background2"/>
          </w:tcPr>
          <w:p w:rsidR="00550A30" w:rsidRPr="008F3CEA" w:rsidRDefault="00550A30" w:rsidP="009925A1">
            <w:pPr>
              <w:jc w:val="both"/>
              <w:rPr>
                <w:rFonts w:cstheme="minorHAnsi"/>
                <w:b/>
                <w:color w:val="000000"/>
                <w:lang w:eastAsia="it-IT"/>
              </w:rPr>
            </w:pPr>
            <w:r w:rsidRPr="008F3CEA">
              <w:rPr>
                <w:rFonts w:cstheme="minorHAnsi"/>
                <w:b/>
                <w:color w:val="000000"/>
                <w:lang w:eastAsia="it-IT"/>
              </w:rPr>
              <w:t>50/50</w:t>
            </w:r>
          </w:p>
        </w:tc>
        <w:tc>
          <w:tcPr>
            <w:tcW w:w="1757" w:type="dxa"/>
            <w:tcBorders>
              <w:top w:val="nil"/>
              <w:left w:val="single" w:sz="4" w:space="0" w:color="auto"/>
              <w:bottom w:val="nil"/>
              <w:right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50/50_ GP2.5</w:t>
            </w:r>
          </w:p>
        </w:tc>
        <w:tc>
          <w:tcPr>
            <w:tcW w:w="1757" w:type="dxa"/>
            <w:tcBorders>
              <w:top w:val="nil"/>
              <w:left w:val="single" w:sz="4" w:space="0" w:color="auto"/>
              <w:bottom w:val="nil"/>
              <w:right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50/50_ GP3.5</w:t>
            </w:r>
          </w:p>
        </w:tc>
        <w:tc>
          <w:tcPr>
            <w:tcW w:w="1757" w:type="dxa"/>
            <w:tcBorders>
              <w:top w:val="nil"/>
              <w:left w:val="single" w:sz="4" w:space="0" w:color="auto"/>
              <w:bottom w:val="nil"/>
              <w:right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50/50_ GP5</w:t>
            </w:r>
          </w:p>
        </w:tc>
        <w:tc>
          <w:tcPr>
            <w:tcW w:w="1757" w:type="dxa"/>
            <w:tcBorders>
              <w:top w:val="nil"/>
              <w:left w:val="single" w:sz="4" w:space="0" w:color="auto"/>
              <w:bottom w:val="nil"/>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50/50_ GP7.5</w:t>
            </w:r>
          </w:p>
        </w:tc>
      </w:tr>
      <w:tr w:rsidR="00550A30" w:rsidRPr="008F3CEA" w:rsidTr="009925A1">
        <w:trPr>
          <w:trHeight w:val="340"/>
          <w:jc w:val="center"/>
        </w:trPr>
        <w:tc>
          <w:tcPr>
            <w:tcW w:w="1757" w:type="dxa"/>
            <w:tcBorders>
              <w:top w:val="nil"/>
              <w:bottom w:val="nil"/>
              <w:right w:val="single" w:sz="4" w:space="0" w:color="auto"/>
            </w:tcBorders>
            <w:shd w:val="clear" w:color="auto" w:fill="EEECE1" w:themeFill="background2"/>
          </w:tcPr>
          <w:p w:rsidR="00550A30" w:rsidRPr="008F3CEA" w:rsidRDefault="00550A30" w:rsidP="009925A1">
            <w:pPr>
              <w:jc w:val="both"/>
              <w:rPr>
                <w:rFonts w:cstheme="minorHAnsi"/>
                <w:b/>
                <w:color w:val="000000"/>
                <w:lang w:eastAsia="it-IT"/>
              </w:rPr>
            </w:pPr>
            <w:r w:rsidRPr="008F3CEA">
              <w:rPr>
                <w:rFonts w:cstheme="minorHAnsi"/>
                <w:b/>
                <w:color w:val="000000"/>
                <w:lang w:eastAsia="it-IT"/>
              </w:rPr>
              <w:t>30/70</w:t>
            </w:r>
          </w:p>
        </w:tc>
        <w:tc>
          <w:tcPr>
            <w:tcW w:w="1757" w:type="dxa"/>
            <w:tcBorders>
              <w:top w:val="nil"/>
              <w:left w:val="single" w:sz="4" w:space="0" w:color="auto"/>
              <w:bottom w:val="nil"/>
              <w:right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30/70_ GP2.5</w:t>
            </w:r>
          </w:p>
        </w:tc>
        <w:tc>
          <w:tcPr>
            <w:tcW w:w="1757" w:type="dxa"/>
            <w:tcBorders>
              <w:top w:val="nil"/>
              <w:left w:val="single" w:sz="4" w:space="0" w:color="auto"/>
              <w:bottom w:val="nil"/>
              <w:right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30/70_ GP3.5</w:t>
            </w:r>
          </w:p>
        </w:tc>
        <w:tc>
          <w:tcPr>
            <w:tcW w:w="1757" w:type="dxa"/>
            <w:tcBorders>
              <w:top w:val="nil"/>
              <w:left w:val="single" w:sz="4" w:space="0" w:color="auto"/>
              <w:bottom w:val="nil"/>
              <w:right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30/70_ GP5</w:t>
            </w:r>
          </w:p>
        </w:tc>
        <w:tc>
          <w:tcPr>
            <w:tcW w:w="1757" w:type="dxa"/>
            <w:tcBorders>
              <w:top w:val="nil"/>
              <w:left w:val="single" w:sz="4" w:space="0" w:color="auto"/>
              <w:bottom w:val="nil"/>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30/70_ GP7.5</w:t>
            </w:r>
          </w:p>
        </w:tc>
      </w:tr>
      <w:tr w:rsidR="00550A30" w:rsidRPr="008F3CEA" w:rsidTr="009925A1">
        <w:trPr>
          <w:trHeight w:val="340"/>
          <w:jc w:val="center"/>
        </w:trPr>
        <w:tc>
          <w:tcPr>
            <w:tcW w:w="1757" w:type="dxa"/>
            <w:tcBorders>
              <w:top w:val="nil"/>
              <w:bottom w:val="single" w:sz="4" w:space="0" w:color="auto"/>
              <w:right w:val="single" w:sz="4" w:space="0" w:color="auto"/>
            </w:tcBorders>
            <w:shd w:val="clear" w:color="auto" w:fill="EEECE1" w:themeFill="background2"/>
          </w:tcPr>
          <w:p w:rsidR="00550A30" w:rsidRPr="008F3CEA" w:rsidRDefault="00550A30" w:rsidP="009925A1">
            <w:pPr>
              <w:jc w:val="both"/>
              <w:rPr>
                <w:rFonts w:cstheme="minorHAnsi"/>
                <w:b/>
                <w:color w:val="000000"/>
                <w:lang w:eastAsia="it-IT"/>
              </w:rPr>
            </w:pPr>
            <w:r w:rsidRPr="008F3CEA">
              <w:rPr>
                <w:rFonts w:cstheme="minorHAnsi"/>
                <w:b/>
                <w:color w:val="000000"/>
                <w:lang w:eastAsia="it-IT"/>
              </w:rPr>
              <w:t>10/90</w:t>
            </w:r>
          </w:p>
        </w:tc>
        <w:tc>
          <w:tcPr>
            <w:tcW w:w="1757" w:type="dxa"/>
            <w:tcBorders>
              <w:top w:val="nil"/>
              <w:left w:val="single" w:sz="4" w:space="0" w:color="auto"/>
              <w:bottom w:val="single" w:sz="4" w:space="0" w:color="auto"/>
              <w:right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10/90_ GP2.5</w:t>
            </w:r>
          </w:p>
        </w:tc>
        <w:tc>
          <w:tcPr>
            <w:tcW w:w="1757" w:type="dxa"/>
            <w:tcBorders>
              <w:top w:val="nil"/>
              <w:left w:val="single" w:sz="4" w:space="0" w:color="auto"/>
              <w:bottom w:val="single" w:sz="4" w:space="0" w:color="auto"/>
              <w:right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10/90_ GP3.5</w:t>
            </w:r>
          </w:p>
        </w:tc>
        <w:tc>
          <w:tcPr>
            <w:tcW w:w="1757" w:type="dxa"/>
            <w:tcBorders>
              <w:top w:val="nil"/>
              <w:left w:val="single" w:sz="4" w:space="0" w:color="auto"/>
              <w:bottom w:val="single" w:sz="4" w:space="0" w:color="auto"/>
              <w:right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10/90_ GP5</w:t>
            </w:r>
          </w:p>
        </w:tc>
        <w:tc>
          <w:tcPr>
            <w:tcW w:w="1757" w:type="dxa"/>
            <w:tcBorders>
              <w:top w:val="nil"/>
              <w:left w:val="single" w:sz="4" w:space="0" w:color="auto"/>
              <w:bottom w:val="single" w:sz="4" w:space="0" w:color="auto"/>
            </w:tcBorders>
            <w:shd w:val="clear" w:color="auto" w:fill="EEECE1" w:themeFill="background2"/>
          </w:tcPr>
          <w:p w:rsidR="00550A30" w:rsidRPr="008F3CEA" w:rsidRDefault="00550A30" w:rsidP="009925A1">
            <w:pPr>
              <w:rPr>
                <w:rFonts w:cstheme="minorHAnsi"/>
              </w:rPr>
            </w:pPr>
            <w:r w:rsidRPr="008F3CEA">
              <w:rPr>
                <w:rFonts w:cstheme="minorHAnsi"/>
                <w:color w:val="000000"/>
                <w:lang w:eastAsia="it-IT"/>
              </w:rPr>
              <w:t>10/90_ GP7.5</w:t>
            </w:r>
          </w:p>
        </w:tc>
      </w:tr>
    </w:tbl>
    <w:p w:rsidR="00550A30" w:rsidRPr="008F3CEA" w:rsidRDefault="00550A30" w:rsidP="00550A30">
      <w:pPr>
        <w:pStyle w:val="Didascalia"/>
        <w:spacing w:before="120"/>
        <w:rPr>
          <w:rFonts w:ascii="Arial" w:hAnsi="Arial" w:cs="Arial"/>
          <w:b w:val="0"/>
          <w:color w:val="000000"/>
          <w:sz w:val="24"/>
          <w:szCs w:val="24"/>
          <w:lang w:eastAsia="it-IT"/>
        </w:rPr>
      </w:pPr>
      <w:r w:rsidRPr="008F3CEA">
        <w:t xml:space="preserve">Table 4. </w:t>
      </w:r>
      <w:fldSimple w:instr=" SEQ Table_4. \* ARABIC ">
        <w:r w:rsidRPr="008F3CEA">
          <w:rPr>
            <w:noProof/>
          </w:rPr>
          <w:t>1</w:t>
        </w:r>
      </w:fldSimple>
      <w:r w:rsidRPr="008F3CEA">
        <w:t xml:space="preserve"> Sample nomenclature according to the concentration of cross linking agent and to the ratio of organic/inolrganic phase </w:t>
      </w:r>
      <w:r w:rsidRPr="008F3CEA">
        <w:rPr>
          <w:rFonts w:ascii="Arial" w:hAnsi="Arial" w:cs="Arial"/>
          <w:color w:val="000000"/>
          <w:sz w:val="24"/>
          <w:szCs w:val="24"/>
          <w:lang w:eastAsia="it-IT"/>
        </w:rPr>
        <w:t xml:space="preserve"> </w:t>
      </w:r>
      <w:r w:rsidRPr="008F3CEA">
        <w:rPr>
          <w:rFonts w:ascii="Arial" w:hAnsi="Arial" w:cs="Arial"/>
          <w:b w:val="0"/>
          <w:color w:val="000000"/>
          <w:sz w:val="24"/>
          <w:szCs w:val="24"/>
          <w:lang w:eastAsia="it-IT"/>
        </w:rPr>
        <w:t xml:space="preserve"> </w:t>
      </w:r>
    </w:p>
    <w:p w:rsidR="00550A30" w:rsidRPr="008F3CEA" w:rsidRDefault="00550A30" w:rsidP="00550A30">
      <w:pPr>
        <w:spacing w:after="0" w:line="360" w:lineRule="auto"/>
        <w:jc w:val="both"/>
        <w:rPr>
          <w:rFonts w:ascii="Arial" w:hAnsi="Arial" w:cs="Arial"/>
          <w:sz w:val="24"/>
          <w:szCs w:val="24"/>
          <w:lang w:eastAsia="it-IT"/>
        </w:rPr>
      </w:pPr>
      <w:r w:rsidRPr="008F3CEA">
        <w:rPr>
          <w:rFonts w:ascii="Arial" w:hAnsi="Arial" w:cs="Arial"/>
          <w:sz w:val="24"/>
          <w:szCs w:val="24"/>
          <w:lang w:eastAsia="it-IT"/>
        </w:rPr>
        <w:t>Chitosan (2%w/v) was dissolved in 0.5M acetic acid under magnetic stirring for 12 hours. The pH of the solution was adjusted to 6 by addition of 1M NaOH.</w:t>
      </w:r>
    </w:p>
    <w:p w:rsidR="00550A30" w:rsidRPr="008F3CEA" w:rsidRDefault="00550A30" w:rsidP="00550A30">
      <w:pPr>
        <w:spacing w:after="0" w:line="360" w:lineRule="auto"/>
        <w:jc w:val="both"/>
        <w:rPr>
          <w:rFonts w:ascii="Arial" w:hAnsi="Arial" w:cs="Arial"/>
          <w:sz w:val="24"/>
          <w:szCs w:val="24"/>
          <w:lang w:eastAsia="it-IT"/>
        </w:rPr>
      </w:pPr>
      <w:r w:rsidRPr="008F3CEA">
        <w:rPr>
          <w:rFonts w:ascii="Arial" w:hAnsi="Arial" w:cs="Arial"/>
          <w:sz w:val="24"/>
          <w:szCs w:val="24"/>
          <w:lang w:eastAsia="it-IT"/>
        </w:rPr>
        <w:t>Blends were prepared by adding the inorganic phase (βTCP) and the cross-linker (GP) to known amount of the chitosan solution, under magnetic stirring at 40°C.</w:t>
      </w:r>
    </w:p>
    <w:p w:rsidR="00550A30" w:rsidRPr="008F3CEA" w:rsidRDefault="00550A30" w:rsidP="00550A30">
      <w:pPr>
        <w:spacing w:after="0" w:line="360" w:lineRule="auto"/>
        <w:jc w:val="both"/>
        <w:rPr>
          <w:rFonts w:ascii="Arial" w:hAnsi="Arial" w:cs="Arial"/>
          <w:sz w:val="24"/>
          <w:szCs w:val="24"/>
          <w:lang w:eastAsia="it-IT"/>
        </w:rPr>
      </w:pPr>
      <w:r w:rsidRPr="008F3CEA">
        <w:rPr>
          <w:rFonts w:ascii="Arial" w:hAnsi="Arial" w:cs="Arial"/>
          <w:sz w:val="24"/>
          <w:szCs w:val="24"/>
          <w:lang w:eastAsia="it-IT"/>
        </w:rPr>
        <w:t>The obtained solutions were kept under stirring until complete setting was achieved, then poured into 24 well plates and incubated at 37°C for 24 hours to complete the cross linking reaction. Samples were stored at 4°C and used for further analysis.</w:t>
      </w:r>
    </w:p>
    <w:p w:rsidR="00550A30" w:rsidRPr="008F3CEA" w:rsidRDefault="00550A30" w:rsidP="00550A30">
      <w:pPr>
        <w:spacing w:before="240" w:after="240" w:line="360" w:lineRule="auto"/>
        <w:jc w:val="both"/>
        <w:rPr>
          <w:rFonts w:ascii="Arial" w:hAnsi="Arial" w:cs="Arial"/>
          <w:b/>
          <w:sz w:val="24"/>
          <w:szCs w:val="24"/>
        </w:rPr>
      </w:pPr>
      <w:r w:rsidRPr="008F3CEA">
        <w:rPr>
          <w:rFonts w:ascii="Arial" w:hAnsi="Arial" w:cs="Arial"/>
          <w:b/>
          <w:sz w:val="24"/>
          <w:szCs w:val="24"/>
        </w:rPr>
        <w:t>4.2.3 Dissolution tests</w:t>
      </w:r>
    </w:p>
    <w:p w:rsidR="00550A30" w:rsidRPr="008F3CEA" w:rsidRDefault="00550A30" w:rsidP="00550A30">
      <w:pPr>
        <w:spacing w:after="0" w:line="360" w:lineRule="auto"/>
        <w:jc w:val="both"/>
        <w:rPr>
          <w:rFonts w:ascii="Arial" w:hAnsi="Arial" w:cs="Arial"/>
          <w:sz w:val="24"/>
          <w:szCs w:val="24"/>
        </w:rPr>
      </w:pPr>
      <w:r w:rsidRPr="008F3CEA">
        <w:rPr>
          <w:rFonts w:ascii="Arial" w:hAnsi="Arial" w:cs="Arial"/>
          <w:sz w:val="24"/>
          <w:szCs w:val="24"/>
        </w:rPr>
        <w:t>Dried samples were accurately weighted immersed in 5ml of 0,1M Phosphate buffer (PBS, pH 7.4) and incubated at 37°C for 3, 7 and 14 days.</w:t>
      </w:r>
    </w:p>
    <w:p w:rsidR="00550A30" w:rsidRPr="008F3CEA" w:rsidRDefault="00550A30" w:rsidP="00550A30">
      <w:pPr>
        <w:spacing w:after="0" w:line="360" w:lineRule="auto"/>
        <w:jc w:val="both"/>
        <w:rPr>
          <w:rFonts w:ascii="Arial" w:hAnsi="Arial" w:cs="Arial"/>
          <w:sz w:val="24"/>
          <w:szCs w:val="24"/>
        </w:rPr>
      </w:pPr>
      <w:r w:rsidRPr="008F3CEA">
        <w:rPr>
          <w:rFonts w:ascii="Arial" w:hAnsi="Arial" w:cs="Arial"/>
          <w:sz w:val="24"/>
          <w:szCs w:val="24"/>
        </w:rPr>
        <w:t>After each time period, samples were washed several times with de-ionized distilled water, dried for 48/72 hours and then weighed.</w:t>
      </w:r>
    </w:p>
    <w:p w:rsidR="00550A30" w:rsidRPr="008F3CEA" w:rsidRDefault="00550A30" w:rsidP="00550A30">
      <w:pPr>
        <w:spacing w:after="120" w:line="360" w:lineRule="auto"/>
        <w:jc w:val="both"/>
        <w:rPr>
          <w:rFonts w:ascii="Arial" w:hAnsi="Arial" w:cs="Arial"/>
          <w:sz w:val="24"/>
          <w:szCs w:val="24"/>
        </w:rPr>
      </w:pPr>
      <w:r w:rsidRPr="008F3CEA">
        <w:rPr>
          <w:rFonts w:ascii="Arial" w:hAnsi="Arial" w:cs="Arial"/>
          <w:sz w:val="24"/>
          <w:szCs w:val="24"/>
        </w:rPr>
        <w:t>Weight loss was measured as follows:</w:t>
      </w:r>
    </w:p>
    <w:p w:rsidR="00550A30" w:rsidRPr="008F3CEA" w:rsidRDefault="00550A30" w:rsidP="00550A30">
      <w:pPr>
        <w:spacing w:after="0" w:line="360" w:lineRule="auto"/>
        <w:jc w:val="center"/>
        <w:rPr>
          <w:rFonts w:ascii="Arial" w:hAnsi="Arial" w:cs="Arial"/>
          <w:sz w:val="24"/>
          <w:szCs w:val="24"/>
        </w:rPr>
      </w:pPr>
      <m:oMathPara>
        <m:oMath>
          <m:r>
            <w:rPr>
              <w:rFonts w:ascii="Cambria Math" w:hAnsi="Cambria Math" w:cs="Arial"/>
              <w:sz w:val="24"/>
              <w:szCs w:val="24"/>
            </w:rPr>
            <m:t>%D=</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W</m:t>
                  </m:r>
                </m:e>
                <m:sub>
                  <m:r>
                    <w:rPr>
                      <w:rFonts w:ascii="Cambria Math" w:hAnsi="Cambria Math" w:cs="Arial"/>
                      <w:sz w:val="24"/>
                      <w:szCs w:val="24"/>
                    </w:rPr>
                    <m:t>i</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W</m:t>
                  </m:r>
                </m:e>
                <m:sub>
                  <m:r>
                    <w:rPr>
                      <w:rFonts w:ascii="Cambria Math" w:hAnsi="Cambria Math" w:cs="Arial"/>
                      <w:sz w:val="24"/>
                      <w:szCs w:val="24"/>
                    </w:rPr>
                    <m:t>f</m:t>
                  </m:r>
                </m:sub>
              </m:sSub>
            </m:num>
            <m:den>
              <m:sSub>
                <m:sSubPr>
                  <m:ctrlPr>
                    <w:rPr>
                      <w:rFonts w:ascii="Cambria Math" w:hAnsi="Cambria Math" w:cs="Arial"/>
                      <w:i/>
                      <w:sz w:val="24"/>
                      <w:szCs w:val="24"/>
                    </w:rPr>
                  </m:ctrlPr>
                </m:sSubPr>
                <m:e>
                  <m:r>
                    <w:rPr>
                      <w:rFonts w:ascii="Cambria Math" w:hAnsi="Cambria Math" w:cs="Arial"/>
                      <w:sz w:val="24"/>
                      <w:szCs w:val="24"/>
                    </w:rPr>
                    <m:t>W</m:t>
                  </m:r>
                </m:e>
                <m:sub>
                  <m:r>
                    <w:rPr>
                      <w:rFonts w:ascii="Cambria Math" w:hAnsi="Cambria Math" w:cs="Arial"/>
                      <w:sz w:val="24"/>
                      <w:szCs w:val="24"/>
                    </w:rPr>
                    <m:t>i</m:t>
                  </m:r>
                </m:sub>
              </m:sSub>
            </m:den>
          </m:f>
          <m:r>
            <w:rPr>
              <w:rFonts w:ascii="Cambria Math" w:hAnsi="Cambria Math" w:cs="Arial"/>
              <w:sz w:val="24"/>
              <w:szCs w:val="24"/>
            </w:rPr>
            <m:t>*100          Eq 4.1</m:t>
          </m:r>
        </m:oMath>
      </m:oMathPara>
    </w:p>
    <w:p w:rsidR="00550A30" w:rsidRPr="008F3CEA" w:rsidRDefault="00550A30" w:rsidP="00550A30">
      <w:pPr>
        <w:spacing w:before="120" w:after="0" w:line="360" w:lineRule="auto"/>
        <w:jc w:val="both"/>
        <w:rPr>
          <w:rFonts w:ascii="Arial" w:hAnsi="Arial" w:cs="Arial"/>
          <w:sz w:val="24"/>
          <w:szCs w:val="24"/>
          <w:lang w:eastAsia="it-IT"/>
        </w:rPr>
      </w:pPr>
      <w:r w:rsidRPr="008F3CEA">
        <w:rPr>
          <w:rFonts w:ascii="Arial" w:hAnsi="Arial" w:cs="Arial"/>
          <w:sz w:val="24"/>
          <w:szCs w:val="24"/>
          <w:lang w:eastAsia="it-IT"/>
        </w:rPr>
        <w:t>Where W</w:t>
      </w:r>
      <w:r w:rsidRPr="008F3CEA">
        <w:rPr>
          <w:rFonts w:ascii="Arial" w:hAnsi="Arial" w:cs="Arial"/>
          <w:sz w:val="24"/>
          <w:szCs w:val="24"/>
          <w:vertAlign w:val="subscript"/>
          <w:lang w:eastAsia="it-IT"/>
        </w:rPr>
        <w:t xml:space="preserve">i </w:t>
      </w:r>
      <w:r w:rsidRPr="008F3CEA">
        <w:rPr>
          <w:rFonts w:ascii="Arial" w:hAnsi="Arial" w:cs="Arial"/>
          <w:sz w:val="24"/>
          <w:szCs w:val="24"/>
          <w:lang w:eastAsia="it-IT"/>
        </w:rPr>
        <w:t>and W</w:t>
      </w:r>
      <w:r w:rsidRPr="008F3CEA">
        <w:rPr>
          <w:rFonts w:ascii="Arial" w:hAnsi="Arial" w:cs="Arial"/>
          <w:sz w:val="24"/>
          <w:szCs w:val="24"/>
          <w:vertAlign w:val="subscript"/>
          <w:lang w:eastAsia="it-IT"/>
        </w:rPr>
        <w:t>f</w:t>
      </w:r>
      <w:r w:rsidRPr="008F3CEA">
        <w:rPr>
          <w:rFonts w:ascii="Arial" w:hAnsi="Arial" w:cs="Arial"/>
          <w:sz w:val="24"/>
          <w:szCs w:val="24"/>
          <w:lang w:eastAsia="it-IT"/>
        </w:rPr>
        <w:t xml:space="preserve"> are the initial and final weight of each sample, respectively.</w:t>
      </w:r>
    </w:p>
    <w:p w:rsidR="00550A30" w:rsidRPr="008F3CEA" w:rsidRDefault="00550A30" w:rsidP="00550A30">
      <w:pPr>
        <w:spacing w:after="0" w:line="360" w:lineRule="auto"/>
        <w:jc w:val="both"/>
        <w:rPr>
          <w:rFonts w:ascii="Arial" w:hAnsi="Arial" w:cs="Arial"/>
          <w:sz w:val="24"/>
          <w:szCs w:val="24"/>
          <w:lang w:eastAsia="it-IT"/>
        </w:rPr>
      </w:pPr>
      <w:r w:rsidRPr="008F3CEA">
        <w:rPr>
          <w:rFonts w:ascii="Arial" w:hAnsi="Arial" w:cs="Arial"/>
          <w:sz w:val="24"/>
          <w:szCs w:val="24"/>
          <w:lang w:eastAsia="it-IT"/>
        </w:rPr>
        <w:t xml:space="preserve">Experiments were carried out in triplicate and results are expressed as mean ± standard deviation. </w:t>
      </w:r>
    </w:p>
    <w:p w:rsidR="00550A30" w:rsidRPr="008F3CEA" w:rsidRDefault="00550A30" w:rsidP="00550A30">
      <w:pPr>
        <w:spacing w:before="240" w:after="240" w:line="360" w:lineRule="auto"/>
        <w:jc w:val="both"/>
        <w:rPr>
          <w:rFonts w:ascii="Arial" w:hAnsi="Arial" w:cs="Arial"/>
          <w:b/>
          <w:sz w:val="24"/>
          <w:szCs w:val="24"/>
          <w:lang w:val="en-US"/>
        </w:rPr>
      </w:pPr>
      <w:r w:rsidRPr="008F3CEA">
        <w:rPr>
          <w:rFonts w:ascii="Arial" w:hAnsi="Arial" w:cs="Arial"/>
          <w:b/>
          <w:sz w:val="24"/>
          <w:szCs w:val="24"/>
          <w:lang w:val="en-US"/>
        </w:rPr>
        <w:t>4.2.4 Bioactivity assessment</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To assess the bioactivity, all samples were immersed in simulated body fluids (SBF pH 7,4) and incubated at 37°C for 14 and 30 days.</w:t>
      </w:r>
    </w:p>
    <w:p w:rsidR="00550A30" w:rsidRPr="008F3CEA" w:rsidRDefault="00550A30" w:rsidP="00550A30">
      <w:pPr>
        <w:spacing w:after="120" w:line="360" w:lineRule="auto"/>
        <w:jc w:val="both"/>
        <w:rPr>
          <w:rFonts w:ascii="Arial" w:hAnsi="Arial" w:cs="Arial"/>
          <w:sz w:val="24"/>
          <w:szCs w:val="24"/>
          <w:lang w:val="en-US"/>
        </w:rPr>
      </w:pPr>
      <w:r w:rsidRPr="008F3CEA">
        <w:rPr>
          <w:rFonts w:ascii="Arial" w:hAnsi="Arial" w:cs="Arial"/>
          <w:sz w:val="24"/>
          <w:szCs w:val="24"/>
          <w:lang w:val="en-US"/>
        </w:rPr>
        <w:lastRenderedPageBreak/>
        <w:t>SBF was prepared according to the protocol proposed by Kokubo et al. [22] at 37°C, by adding the following reagents (Sigma Aldrich) in de-ionized distilled water:</w:t>
      </w:r>
    </w:p>
    <w:p w:rsidR="00550A30" w:rsidRPr="008F3CEA" w:rsidRDefault="00550A30" w:rsidP="00550A30">
      <w:pPr>
        <w:spacing w:after="0" w:line="360" w:lineRule="auto"/>
        <w:rPr>
          <w:rFonts w:ascii="Arial" w:hAnsi="Arial" w:cs="Arial"/>
          <w:sz w:val="24"/>
          <w:szCs w:val="24"/>
          <w:lang w:val="en-US"/>
        </w:rPr>
      </w:pPr>
      <w:r w:rsidRPr="008F3CEA">
        <w:rPr>
          <w:rFonts w:ascii="Arial" w:hAnsi="Arial" w:cs="Arial"/>
          <w:sz w:val="24"/>
          <w:szCs w:val="24"/>
          <w:lang w:val="en-US"/>
        </w:rPr>
        <w:t>1. NaCl (8.035 g)</w:t>
      </w:r>
    </w:p>
    <w:p w:rsidR="00550A30" w:rsidRPr="008F3CEA" w:rsidRDefault="00550A30" w:rsidP="00550A30">
      <w:pPr>
        <w:spacing w:after="0" w:line="360" w:lineRule="auto"/>
        <w:rPr>
          <w:rFonts w:ascii="Arial" w:hAnsi="Arial" w:cs="Arial"/>
          <w:sz w:val="24"/>
          <w:szCs w:val="24"/>
          <w:lang w:val="en-US"/>
        </w:rPr>
      </w:pPr>
      <w:r w:rsidRPr="008F3CEA">
        <w:rPr>
          <w:rFonts w:ascii="Arial" w:hAnsi="Arial" w:cs="Arial"/>
          <w:sz w:val="24"/>
          <w:szCs w:val="24"/>
          <w:lang w:val="en-US"/>
        </w:rPr>
        <w:t>2. NaHCO</w:t>
      </w:r>
      <w:r w:rsidRPr="008F3CEA">
        <w:rPr>
          <w:rFonts w:ascii="Arial" w:hAnsi="Arial" w:cs="Arial"/>
          <w:sz w:val="24"/>
          <w:szCs w:val="24"/>
          <w:vertAlign w:val="subscript"/>
          <w:lang w:val="en-US"/>
        </w:rPr>
        <w:t>3</w:t>
      </w:r>
      <w:r w:rsidRPr="008F3CEA">
        <w:rPr>
          <w:rFonts w:ascii="Arial" w:hAnsi="Arial" w:cs="Arial"/>
          <w:sz w:val="24"/>
          <w:szCs w:val="24"/>
          <w:lang w:val="en-US"/>
        </w:rPr>
        <w:t xml:space="preserve"> (0.355 g)</w:t>
      </w:r>
    </w:p>
    <w:p w:rsidR="00550A30" w:rsidRPr="008F3CEA" w:rsidRDefault="00550A30" w:rsidP="00550A30">
      <w:pPr>
        <w:spacing w:after="0" w:line="360" w:lineRule="auto"/>
        <w:rPr>
          <w:rFonts w:ascii="Arial" w:hAnsi="Arial" w:cs="Arial"/>
          <w:sz w:val="24"/>
          <w:szCs w:val="24"/>
          <w:lang w:val="en-US"/>
        </w:rPr>
      </w:pPr>
      <w:r w:rsidRPr="008F3CEA">
        <w:rPr>
          <w:rFonts w:ascii="Arial" w:hAnsi="Arial" w:cs="Arial"/>
          <w:sz w:val="24"/>
          <w:szCs w:val="24"/>
          <w:lang w:val="en-US"/>
        </w:rPr>
        <w:t>3. KCl (0.225 g)</w:t>
      </w:r>
    </w:p>
    <w:p w:rsidR="00550A30" w:rsidRPr="008F3CEA" w:rsidRDefault="00550A30" w:rsidP="00550A30">
      <w:pPr>
        <w:spacing w:after="0" w:line="360" w:lineRule="auto"/>
        <w:rPr>
          <w:rFonts w:ascii="Arial" w:hAnsi="Arial" w:cs="Arial"/>
          <w:sz w:val="24"/>
          <w:szCs w:val="24"/>
          <w:lang w:val="it-IT"/>
        </w:rPr>
      </w:pPr>
      <w:r w:rsidRPr="008F3CEA">
        <w:rPr>
          <w:rFonts w:ascii="Arial" w:hAnsi="Arial" w:cs="Arial"/>
          <w:sz w:val="24"/>
          <w:szCs w:val="24"/>
          <w:lang w:val="it-IT"/>
        </w:rPr>
        <w:t>4. K</w:t>
      </w:r>
      <w:r w:rsidRPr="008F3CEA">
        <w:rPr>
          <w:rFonts w:ascii="Arial" w:hAnsi="Arial" w:cs="Arial"/>
          <w:sz w:val="24"/>
          <w:szCs w:val="24"/>
          <w:vertAlign w:val="subscript"/>
          <w:lang w:val="it-IT"/>
        </w:rPr>
        <w:t>2</w:t>
      </w:r>
      <w:r w:rsidRPr="008F3CEA">
        <w:rPr>
          <w:rFonts w:ascii="Arial" w:hAnsi="Arial" w:cs="Arial"/>
          <w:sz w:val="24"/>
          <w:szCs w:val="24"/>
          <w:lang w:val="it-IT"/>
        </w:rPr>
        <w:t>HPO</w:t>
      </w:r>
      <w:r w:rsidRPr="008F3CEA">
        <w:rPr>
          <w:rFonts w:ascii="Arial" w:hAnsi="Arial" w:cs="Arial"/>
          <w:sz w:val="24"/>
          <w:szCs w:val="24"/>
          <w:vertAlign w:val="subscript"/>
          <w:lang w:val="it-IT"/>
        </w:rPr>
        <w:t>4</w:t>
      </w:r>
      <w:r w:rsidRPr="008F3CEA">
        <w:rPr>
          <w:rFonts w:ascii="Arial" w:hAnsi="Arial" w:cs="Arial"/>
          <w:sz w:val="24"/>
          <w:szCs w:val="24"/>
          <w:lang w:val="it-IT"/>
        </w:rPr>
        <w:t xml:space="preserve"> 3H</w:t>
      </w:r>
      <w:r w:rsidRPr="008F3CEA">
        <w:rPr>
          <w:rFonts w:ascii="Arial" w:hAnsi="Arial" w:cs="Arial"/>
          <w:sz w:val="24"/>
          <w:szCs w:val="24"/>
          <w:vertAlign w:val="subscript"/>
          <w:lang w:val="it-IT"/>
        </w:rPr>
        <w:t>2</w:t>
      </w:r>
      <w:r w:rsidRPr="008F3CEA">
        <w:rPr>
          <w:rFonts w:ascii="Arial" w:hAnsi="Arial" w:cs="Arial"/>
          <w:sz w:val="24"/>
          <w:szCs w:val="24"/>
          <w:lang w:val="it-IT"/>
        </w:rPr>
        <w:t>O (0.231g)</w:t>
      </w:r>
    </w:p>
    <w:p w:rsidR="00550A30" w:rsidRPr="008F3CEA" w:rsidRDefault="00550A30" w:rsidP="00550A30">
      <w:pPr>
        <w:spacing w:after="0" w:line="360" w:lineRule="auto"/>
        <w:rPr>
          <w:rFonts w:ascii="Arial" w:hAnsi="Arial" w:cs="Arial"/>
          <w:sz w:val="24"/>
          <w:szCs w:val="24"/>
          <w:lang w:val="it-IT"/>
        </w:rPr>
      </w:pPr>
      <w:r w:rsidRPr="008F3CEA">
        <w:rPr>
          <w:rFonts w:ascii="Arial" w:hAnsi="Arial" w:cs="Arial"/>
          <w:sz w:val="24"/>
          <w:szCs w:val="24"/>
          <w:lang w:val="it-IT"/>
        </w:rPr>
        <w:t>5. MgCl</w:t>
      </w:r>
      <w:r w:rsidRPr="008F3CEA">
        <w:rPr>
          <w:rFonts w:ascii="Arial" w:hAnsi="Arial" w:cs="Arial"/>
          <w:sz w:val="24"/>
          <w:szCs w:val="24"/>
          <w:vertAlign w:val="subscript"/>
          <w:lang w:val="it-IT"/>
        </w:rPr>
        <w:t>2</w:t>
      </w:r>
      <w:r w:rsidRPr="008F3CEA">
        <w:rPr>
          <w:rFonts w:ascii="Arial" w:hAnsi="Arial" w:cs="Arial"/>
          <w:sz w:val="24"/>
          <w:szCs w:val="24"/>
          <w:lang w:val="it-IT"/>
        </w:rPr>
        <w:t xml:space="preserve"> 6H</w:t>
      </w:r>
      <w:r w:rsidRPr="008F3CEA">
        <w:rPr>
          <w:rFonts w:ascii="Arial" w:hAnsi="Arial" w:cs="Arial"/>
          <w:sz w:val="24"/>
          <w:szCs w:val="24"/>
          <w:vertAlign w:val="subscript"/>
          <w:lang w:val="it-IT"/>
        </w:rPr>
        <w:t>2</w:t>
      </w:r>
      <w:r w:rsidRPr="008F3CEA">
        <w:rPr>
          <w:rFonts w:ascii="Arial" w:hAnsi="Arial" w:cs="Arial"/>
          <w:sz w:val="24"/>
          <w:szCs w:val="24"/>
          <w:lang w:val="it-IT"/>
        </w:rPr>
        <w:t>O (0.311g)</w:t>
      </w:r>
    </w:p>
    <w:p w:rsidR="00550A30" w:rsidRPr="008F3CEA" w:rsidRDefault="00550A30" w:rsidP="00550A30">
      <w:pPr>
        <w:spacing w:after="0" w:line="360" w:lineRule="auto"/>
        <w:rPr>
          <w:rFonts w:ascii="Arial" w:hAnsi="Arial" w:cs="Arial"/>
          <w:sz w:val="24"/>
          <w:szCs w:val="24"/>
          <w:lang w:val="en-US"/>
        </w:rPr>
      </w:pPr>
      <w:r w:rsidRPr="008F3CEA">
        <w:rPr>
          <w:rFonts w:ascii="Arial" w:hAnsi="Arial" w:cs="Arial"/>
          <w:sz w:val="24"/>
          <w:szCs w:val="24"/>
          <w:lang w:val="en-US"/>
        </w:rPr>
        <w:t>6. CaCl</w:t>
      </w:r>
      <w:r w:rsidRPr="008F3CEA">
        <w:rPr>
          <w:rFonts w:ascii="Arial" w:hAnsi="Arial" w:cs="Arial"/>
          <w:sz w:val="24"/>
          <w:szCs w:val="24"/>
          <w:vertAlign w:val="subscript"/>
          <w:lang w:val="en-US"/>
        </w:rPr>
        <w:t>2</w:t>
      </w:r>
      <w:r w:rsidRPr="008F3CEA">
        <w:rPr>
          <w:rFonts w:ascii="Arial" w:hAnsi="Arial" w:cs="Arial"/>
          <w:sz w:val="24"/>
          <w:szCs w:val="24"/>
          <w:lang w:val="en-US"/>
        </w:rPr>
        <w:t xml:space="preserve"> (0.292 g)</w:t>
      </w:r>
    </w:p>
    <w:p w:rsidR="00550A30" w:rsidRPr="008F3CEA" w:rsidRDefault="00550A30" w:rsidP="00550A30">
      <w:pPr>
        <w:spacing w:after="0" w:line="360" w:lineRule="auto"/>
        <w:rPr>
          <w:rFonts w:ascii="Arial" w:hAnsi="Arial" w:cs="Arial"/>
          <w:sz w:val="24"/>
          <w:szCs w:val="24"/>
          <w:lang w:val="en-US"/>
        </w:rPr>
      </w:pPr>
      <w:r w:rsidRPr="008F3CEA">
        <w:rPr>
          <w:rFonts w:ascii="Arial" w:hAnsi="Arial" w:cs="Arial"/>
          <w:sz w:val="24"/>
          <w:szCs w:val="24"/>
          <w:lang w:val="en-US"/>
        </w:rPr>
        <w:t>7. Na</w:t>
      </w:r>
      <w:r w:rsidRPr="008F3CEA">
        <w:rPr>
          <w:rFonts w:ascii="Arial" w:hAnsi="Arial" w:cs="Arial"/>
          <w:sz w:val="24"/>
          <w:szCs w:val="24"/>
          <w:vertAlign w:val="subscript"/>
          <w:lang w:val="en-US"/>
        </w:rPr>
        <w:t>2</w:t>
      </w:r>
      <w:r w:rsidRPr="008F3CEA">
        <w:rPr>
          <w:rFonts w:ascii="Arial" w:hAnsi="Arial" w:cs="Arial"/>
          <w:sz w:val="24"/>
          <w:szCs w:val="24"/>
          <w:lang w:val="en-US"/>
        </w:rPr>
        <w:t>SO</w:t>
      </w:r>
      <w:r w:rsidRPr="008F3CEA">
        <w:rPr>
          <w:rFonts w:ascii="Arial" w:hAnsi="Arial" w:cs="Arial"/>
          <w:sz w:val="24"/>
          <w:szCs w:val="24"/>
          <w:vertAlign w:val="subscript"/>
          <w:lang w:val="en-US"/>
        </w:rPr>
        <w:t xml:space="preserve">4 </w:t>
      </w:r>
      <w:r w:rsidRPr="008F3CEA">
        <w:rPr>
          <w:rFonts w:ascii="Arial" w:hAnsi="Arial" w:cs="Arial"/>
          <w:sz w:val="24"/>
          <w:szCs w:val="24"/>
          <w:lang w:val="en-US"/>
        </w:rPr>
        <w:t>(0.072 g)</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The pH of the solution was adjusted to 7.4 by adding 6.118 g TRIS and 39ml HCl. </w:t>
      </w:r>
    </w:p>
    <w:p w:rsidR="00550A30" w:rsidRPr="008F3CEA" w:rsidRDefault="00550A30" w:rsidP="00550A30">
      <w:pPr>
        <w:spacing w:after="0" w:line="360" w:lineRule="auto"/>
        <w:jc w:val="both"/>
        <w:rPr>
          <w:rFonts w:ascii="Arial" w:hAnsi="Arial" w:cs="Arial"/>
          <w:sz w:val="24"/>
          <w:szCs w:val="24"/>
        </w:rPr>
      </w:pPr>
      <w:r w:rsidRPr="008F3CEA">
        <w:rPr>
          <w:rFonts w:ascii="Arial" w:hAnsi="Arial" w:cs="Arial"/>
          <w:sz w:val="24"/>
          <w:szCs w:val="24"/>
        </w:rPr>
        <w:t>After incubation, samples were washed with distilled water, dried for 72hours and prepared for scanning electron microscopy (SEM-EDS) analysis, to assess the amount of apatite (Calcium Phosphate) present on the surface which is an indicator of the ability of a material to stimulate new bone formation.</w:t>
      </w:r>
    </w:p>
    <w:p w:rsidR="00550A30" w:rsidRPr="008F3CEA" w:rsidRDefault="00550A30" w:rsidP="00550A30">
      <w:pPr>
        <w:spacing w:line="360" w:lineRule="auto"/>
        <w:jc w:val="both"/>
        <w:rPr>
          <w:rFonts w:ascii="Arial" w:eastAsia="AdvTimes" w:hAnsi="Arial" w:cs="Arial"/>
          <w:color w:val="000000"/>
          <w:sz w:val="24"/>
          <w:szCs w:val="24"/>
        </w:rPr>
      </w:pPr>
      <w:r w:rsidRPr="008F3CEA">
        <w:rPr>
          <w:rFonts w:ascii="Arial" w:hAnsi="Arial" w:cs="Arial"/>
          <w:sz w:val="24"/>
          <w:szCs w:val="24"/>
        </w:rPr>
        <w:t>For SEM analysis</w:t>
      </w:r>
      <w:r w:rsidRPr="008F3CEA">
        <w:rPr>
          <w:rFonts w:ascii="Arial" w:eastAsia="AdvTimes" w:hAnsi="Arial" w:cs="Arial"/>
          <w:color w:val="000000"/>
          <w:sz w:val="24"/>
          <w:szCs w:val="24"/>
        </w:rPr>
        <w:t xml:space="preserve"> samples were mounted on aluminium stabs and coated with gold, by using an Agar Auto Sputter Coater. The analysis was performed at a working distance of 15mm and a voltage of  20kV.  </w:t>
      </w:r>
    </w:p>
    <w:p w:rsidR="00550A30" w:rsidRPr="008F3CEA" w:rsidRDefault="00550A30" w:rsidP="00550A30">
      <w:pPr>
        <w:spacing w:before="240" w:after="240" w:line="360" w:lineRule="auto"/>
        <w:jc w:val="both"/>
        <w:rPr>
          <w:rFonts w:ascii="Arial" w:hAnsi="Arial" w:cs="Arial"/>
          <w:b/>
          <w:sz w:val="24"/>
          <w:szCs w:val="24"/>
          <w:lang w:val="en-US"/>
        </w:rPr>
      </w:pPr>
      <w:r w:rsidRPr="008F3CEA">
        <w:rPr>
          <w:rFonts w:ascii="Arial" w:hAnsi="Arial" w:cs="Arial"/>
          <w:b/>
          <w:sz w:val="24"/>
          <w:szCs w:val="24"/>
          <w:lang w:val="en-US"/>
        </w:rPr>
        <w:t>4.2.5 Compressive strength</w:t>
      </w:r>
    </w:p>
    <w:p w:rsidR="00550A30" w:rsidRPr="008F3CEA" w:rsidRDefault="00550A30" w:rsidP="00550A30">
      <w:pPr>
        <w:spacing w:after="0" w:line="360" w:lineRule="auto"/>
        <w:jc w:val="both"/>
        <w:rPr>
          <w:rFonts w:ascii="Arial" w:hAnsi="Arial" w:cs="Arial"/>
          <w:sz w:val="24"/>
          <w:szCs w:val="24"/>
        </w:rPr>
      </w:pPr>
      <w:r w:rsidRPr="008F3CEA">
        <w:rPr>
          <w:rFonts w:ascii="Arial" w:hAnsi="Arial" w:cs="Arial"/>
          <w:sz w:val="24"/>
          <w:szCs w:val="24"/>
        </w:rPr>
        <w:t>MTS testing machine was used to determine the compressive Young Modulus (E) of samples prepared with different organic/inorganic ratio an cross linker concentrations.</w:t>
      </w:r>
    </w:p>
    <w:p w:rsidR="00550A30" w:rsidRPr="008F3CEA" w:rsidRDefault="00550A30" w:rsidP="00550A30">
      <w:pPr>
        <w:spacing w:after="0" w:line="360" w:lineRule="auto"/>
        <w:jc w:val="both"/>
        <w:rPr>
          <w:rFonts w:ascii="Arial" w:hAnsi="Arial" w:cs="Arial"/>
          <w:sz w:val="24"/>
          <w:szCs w:val="24"/>
        </w:rPr>
      </w:pPr>
      <w:r w:rsidRPr="008F3CEA">
        <w:rPr>
          <w:rFonts w:ascii="Arial" w:hAnsi="Arial" w:cs="Arial"/>
          <w:sz w:val="24"/>
          <w:szCs w:val="24"/>
        </w:rPr>
        <w:t xml:space="preserve">A 10N load was applied at 1mm/min, after selecting an initial preload of 0.05N and a maximum compression of 80% of the initial height of the sample.   </w:t>
      </w:r>
    </w:p>
    <w:p w:rsidR="00550A30" w:rsidRPr="008F3CEA" w:rsidRDefault="00550A30" w:rsidP="00550A30">
      <w:pPr>
        <w:spacing w:after="0" w:line="360" w:lineRule="auto"/>
        <w:jc w:val="both"/>
        <w:rPr>
          <w:rFonts w:ascii="Arial" w:hAnsi="Arial" w:cs="Arial"/>
          <w:sz w:val="24"/>
          <w:szCs w:val="24"/>
        </w:rPr>
      </w:pPr>
      <w:r w:rsidRPr="008F3CEA">
        <w:rPr>
          <w:rFonts w:ascii="Arial" w:hAnsi="Arial" w:cs="Arial"/>
          <w:sz w:val="24"/>
          <w:szCs w:val="24"/>
        </w:rPr>
        <w:t>Young Modulus for compression was determined from the slope of the stress-strain curve in the elastic/linear region for low deformations.</w:t>
      </w:r>
    </w:p>
    <w:p w:rsidR="00550A30" w:rsidRPr="008F3CEA" w:rsidRDefault="00550A30" w:rsidP="00550A30">
      <w:pPr>
        <w:spacing w:before="240" w:after="240" w:line="360" w:lineRule="auto"/>
        <w:jc w:val="both"/>
        <w:rPr>
          <w:rFonts w:ascii="Arial" w:hAnsi="Arial" w:cs="Arial"/>
          <w:b/>
          <w:sz w:val="24"/>
          <w:szCs w:val="24"/>
        </w:rPr>
      </w:pPr>
      <w:r w:rsidRPr="008F3CEA">
        <w:rPr>
          <w:rFonts w:ascii="Arial" w:hAnsi="Arial" w:cs="Arial"/>
          <w:b/>
          <w:sz w:val="24"/>
          <w:szCs w:val="24"/>
        </w:rPr>
        <w:t>4.2.6 Preparation of Indometacin-loaded PCL nanoparticles</w:t>
      </w:r>
    </w:p>
    <w:p w:rsidR="00550A30" w:rsidRPr="008F3CEA" w:rsidRDefault="00550A30" w:rsidP="00550A30">
      <w:pPr>
        <w:spacing w:after="0" w:line="360" w:lineRule="auto"/>
        <w:jc w:val="both"/>
        <w:rPr>
          <w:rFonts w:ascii="Arial" w:hAnsi="Arial" w:cs="Arial"/>
          <w:sz w:val="24"/>
          <w:szCs w:val="24"/>
        </w:rPr>
      </w:pPr>
      <w:r w:rsidRPr="008F3CEA">
        <w:rPr>
          <w:rFonts w:ascii="Arial" w:hAnsi="Arial" w:cs="Arial"/>
          <w:sz w:val="24"/>
          <w:szCs w:val="24"/>
        </w:rPr>
        <w:t xml:space="preserve">Nanoparticles were prepared by the Solvent Displacement Technique using PCL as matrix-forming material and TWEEN 80 or Vitamin E TPGS as emulsifiers. </w:t>
      </w:r>
    </w:p>
    <w:p w:rsidR="00550A30" w:rsidRPr="008F3CEA" w:rsidRDefault="00550A30" w:rsidP="00550A30">
      <w:pPr>
        <w:spacing w:line="360" w:lineRule="auto"/>
        <w:jc w:val="both"/>
        <w:rPr>
          <w:rFonts w:ascii="Arial" w:hAnsi="Arial" w:cs="Arial"/>
          <w:sz w:val="24"/>
          <w:szCs w:val="24"/>
        </w:rPr>
      </w:pPr>
      <w:r w:rsidRPr="008F3CEA">
        <w:rPr>
          <w:rFonts w:ascii="Arial" w:hAnsi="Arial" w:cs="Arial"/>
          <w:sz w:val="24"/>
          <w:szCs w:val="24"/>
        </w:rPr>
        <w:t xml:space="preserve">For particles preparation, the polymer and the drug (3% w/w) were dissolved in 10 ml acetone and then slowly added dropwise into 20 ml of water containing the emulsifier under moderate magnetic stirring. Particles formed instantaneously for the fast diffusion of the solvent from the core of the droplets towards the water phase. Acetone was removed </w:t>
      </w:r>
      <w:r w:rsidRPr="008F3CEA">
        <w:rPr>
          <w:rFonts w:ascii="Arial" w:hAnsi="Arial" w:cs="Arial"/>
          <w:sz w:val="24"/>
          <w:szCs w:val="24"/>
        </w:rPr>
        <w:lastRenderedPageBreak/>
        <w:t xml:space="preserve">from the colloidal suspension </w:t>
      </w:r>
      <w:r w:rsidRPr="008F3CEA">
        <w:rPr>
          <w:rFonts w:ascii="Arial" w:eastAsia="AdvTimes" w:hAnsi="Arial" w:cs="Arial"/>
          <w:color w:val="000000"/>
          <w:sz w:val="24"/>
          <w:szCs w:val="24"/>
        </w:rPr>
        <w:t xml:space="preserve">under reduced </w:t>
      </w:r>
      <w:r w:rsidRPr="008F3CEA">
        <w:rPr>
          <w:rFonts w:ascii="Arial" w:eastAsia="AdvTimes" w:hAnsi="Arial" w:cs="Arial"/>
          <w:color w:val="000000"/>
          <w:sz w:val="24"/>
          <w:szCs w:val="24"/>
          <w:lang w:val="en-US"/>
        </w:rPr>
        <w:t>pressure</w:t>
      </w:r>
      <w:r w:rsidRPr="008F3CEA">
        <w:rPr>
          <w:rFonts w:ascii="Arial" w:eastAsia="AdvTimes" w:hAnsi="Arial" w:cs="Arial"/>
          <w:color w:val="000000"/>
          <w:sz w:val="24"/>
          <w:szCs w:val="24"/>
        </w:rPr>
        <w:t>,</w:t>
      </w:r>
      <w:r w:rsidRPr="008F3CEA">
        <w:rPr>
          <w:rFonts w:ascii="Arial" w:hAnsi="Arial" w:cs="Arial"/>
          <w:sz w:val="24"/>
          <w:szCs w:val="24"/>
        </w:rPr>
        <w:t xml:space="preserve"> by </w:t>
      </w:r>
      <w:r w:rsidRPr="008F3CEA">
        <w:rPr>
          <w:rFonts w:ascii="Arial" w:eastAsia="AdvTimes" w:hAnsi="Arial" w:cs="Arial"/>
          <w:color w:val="000000"/>
          <w:sz w:val="24"/>
          <w:szCs w:val="24"/>
          <w:lang w:val="en-US"/>
        </w:rPr>
        <w:t>using a ro</w:t>
      </w:r>
      <w:r w:rsidRPr="008F3CEA">
        <w:rPr>
          <w:rFonts w:ascii="Arial" w:eastAsia="AdvTimes" w:hAnsi="Arial" w:cs="Arial"/>
          <w:color w:val="000000"/>
          <w:sz w:val="24"/>
          <w:szCs w:val="24"/>
        </w:rPr>
        <w:t>tary evaporator (Buchi).</w:t>
      </w:r>
      <w:r w:rsidRPr="008F3CEA">
        <w:rPr>
          <w:rFonts w:ascii="Arial" w:eastAsia="AdvTimes" w:hAnsi="Arial" w:cs="Arial"/>
          <w:color w:val="000000"/>
          <w:sz w:val="24"/>
          <w:szCs w:val="24"/>
          <w:lang w:val="en-US"/>
        </w:rPr>
        <w:t xml:space="preserve"> </w:t>
      </w:r>
      <w:r w:rsidRPr="008F3CEA">
        <w:rPr>
          <w:rFonts w:ascii="Arial" w:hAnsi="Arial" w:cs="Arial"/>
          <w:sz w:val="24"/>
          <w:szCs w:val="24"/>
        </w:rPr>
        <w:t xml:space="preserve">After dialysis (24h) against distilled water, particles were collected by centrifugation, frozen at -80°C and freeze-dried in the presence of Trehalose as cryo-preserving agent. </w:t>
      </w:r>
    </w:p>
    <w:p w:rsidR="00550A30" w:rsidRPr="008F3CEA" w:rsidRDefault="00550A30" w:rsidP="00550A30">
      <w:pPr>
        <w:autoSpaceDE w:val="0"/>
        <w:autoSpaceDN w:val="0"/>
        <w:adjustRightInd w:val="0"/>
        <w:spacing w:before="240" w:after="240" w:line="360" w:lineRule="auto"/>
        <w:jc w:val="both"/>
        <w:rPr>
          <w:rFonts w:ascii="Arial" w:hAnsi="Arial" w:cs="Arial"/>
          <w:b/>
          <w:color w:val="000000"/>
          <w:sz w:val="24"/>
          <w:szCs w:val="24"/>
          <w:lang w:val="en-US"/>
        </w:rPr>
      </w:pPr>
      <w:r w:rsidRPr="008F3CEA">
        <w:rPr>
          <w:rFonts w:ascii="Arial" w:hAnsi="Arial" w:cs="Arial"/>
          <w:b/>
          <w:color w:val="000000"/>
          <w:sz w:val="24"/>
          <w:szCs w:val="24"/>
          <w:lang w:val="en-US"/>
        </w:rPr>
        <w:t>4.2.7 Characterization of nanoparticles</w:t>
      </w:r>
    </w:p>
    <w:p w:rsidR="00550A30" w:rsidRPr="008F3CEA" w:rsidRDefault="00550A30" w:rsidP="00550A30">
      <w:pPr>
        <w:autoSpaceDE w:val="0"/>
        <w:autoSpaceDN w:val="0"/>
        <w:adjustRightInd w:val="0"/>
        <w:spacing w:before="240" w:after="240" w:line="360" w:lineRule="auto"/>
        <w:rPr>
          <w:rFonts w:ascii="Arial" w:hAnsi="Arial" w:cs="Arial"/>
          <w:b/>
          <w:i/>
          <w:color w:val="000000"/>
          <w:sz w:val="24"/>
          <w:szCs w:val="24"/>
          <w:lang w:val="en-US"/>
        </w:rPr>
      </w:pPr>
      <w:r w:rsidRPr="008F3CEA">
        <w:rPr>
          <w:rFonts w:ascii="Arial" w:hAnsi="Arial" w:cs="Arial"/>
          <w:b/>
          <w:i/>
          <w:color w:val="000000"/>
          <w:sz w:val="24"/>
          <w:szCs w:val="24"/>
          <w:lang w:val="en-US"/>
        </w:rPr>
        <w:t>4.2.7.1 Process Yield</w:t>
      </w:r>
    </w:p>
    <w:p w:rsidR="00550A30" w:rsidRPr="008F3CEA" w:rsidRDefault="00550A30" w:rsidP="00550A30">
      <w:pPr>
        <w:spacing w:after="120" w:line="360" w:lineRule="auto"/>
        <w:jc w:val="both"/>
        <w:rPr>
          <w:rFonts w:ascii="Arial" w:hAnsi="Arial" w:cs="Arial"/>
          <w:sz w:val="24"/>
          <w:szCs w:val="24"/>
        </w:rPr>
      </w:pPr>
      <w:r w:rsidRPr="008F3CEA">
        <w:rPr>
          <w:rFonts w:ascii="Arial" w:hAnsi="Arial" w:cs="Arial"/>
          <w:sz w:val="24"/>
          <w:szCs w:val="24"/>
        </w:rPr>
        <w:t>Process Yield (R%) was calculated according to equation 4.2, where W</w:t>
      </w:r>
      <w:r w:rsidRPr="008F3CEA">
        <w:rPr>
          <w:rFonts w:ascii="Arial" w:hAnsi="Arial" w:cs="Arial"/>
          <w:i/>
          <w:sz w:val="24"/>
          <w:szCs w:val="24"/>
          <w:vertAlign w:val="subscript"/>
        </w:rPr>
        <w:t>pcl</w:t>
      </w:r>
      <w:r w:rsidRPr="008F3CEA">
        <w:rPr>
          <w:rFonts w:ascii="Arial" w:hAnsi="Arial" w:cs="Arial"/>
          <w:sz w:val="24"/>
          <w:szCs w:val="24"/>
          <w:vertAlign w:val="subscript"/>
        </w:rPr>
        <w:t xml:space="preserve"> </w:t>
      </w:r>
      <w:r w:rsidRPr="008F3CEA">
        <w:rPr>
          <w:rFonts w:ascii="Arial" w:hAnsi="Arial" w:cs="Arial"/>
          <w:sz w:val="24"/>
          <w:szCs w:val="24"/>
        </w:rPr>
        <w:t>and W</w:t>
      </w:r>
      <w:r w:rsidRPr="008F3CEA">
        <w:rPr>
          <w:rFonts w:ascii="Arial" w:hAnsi="Arial" w:cs="Arial"/>
          <w:i/>
          <w:sz w:val="24"/>
          <w:szCs w:val="24"/>
          <w:vertAlign w:val="subscript"/>
        </w:rPr>
        <w:t>Ind</w:t>
      </w:r>
      <w:r w:rsidRPr="008F3CEA">
        <w:rPr>
          <w:rFonts w:ascii="Arial" w:hAnsi="Arial" w:cs="Arial"/>
          <w:sz w:val="24"/>
          <w:szCs w:val="24"/>
        </w:rPr>
        <w:t xml:space="preserve"> are the initial weight of polymer and drug and W</w:t>
      </w:r>
      <w:r w:rsidRPr="008F3CEA">
        <w:rPr>
          <w:rFonts w:ascii="Arial" w:hAnsi="Arial" w:cs="Arial"/>
          <w:i/>
          <w:sz w:val="24"/>
          <w:szCs w:val="24"/>
          <w:vertAlign w:val="subscript"/>
        </w:rPr>
        <w:t>NPS</w:t>
      </w:r>
      <w:r w:rsidRPr="008F3CEA">
        <w:rPr>
          <w:rFonts w:ascii="Arial" w:hAnsi="Arial" w:cs="Arial"/>
          <w:sz w:val="24"/>
          <w:szCs w:val="24"/>
        </w:rPr>
        <w:t xml:space="preserve"> is the final weight of nanoparticles after freeze drying.</w:t>
      </w:r>
    </w:p>
    <w:p w:rsidR="00550A30" w:rsidRPr="008F3CEA" w:rsidRDefault="00860AC7" w:rsidP="00550A30">
      <w:pPr>
        <w:spacing w:line="360" w:lineRule="auto"/>
        <w:jc w:val="center"/>
        <w:rPr>
          <w:rFonts w:ascii="Arial" w:hAnsi="Arial" w:cs="Arial"/>
          <w:sz w:val="24"/>
          <w:szCs w:val="24"/>
        </w:rPr>
      </w:pPr>
      <m:oMathPara>
        <m:oMath>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W</m:t>
                  </m:r>
                </m:e>
                <m:sub>
                  <m:r>
                    <w:rPr>
                      <w:rFonts w:ascii="Cambria Math" w:hAnsi="Cambria Math" w:cs="Arial"/>
                      <w:sz w:val="24"/>
                      <w:szCs w:val="24"/>
                    </w:rPr>
                    <m:t>pcl</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W</m:t>
                  </m:r>
                </m:e>
                <m:sub>
                  <m:r>
                    <w:rPr>
                      <w:rFonts w:ascii="Cambria Math" w:hAnsi="Cambria Math" w:cs="Arial"/>
                      <w:sz w:val="24"/>
                      <w:szCs w:val="24"/>
                    </w:rPr>
                    <m:t>ind</m:t>
                  </m:r>
                </m:sub>
              </m:sSub>
            </m:num>
            <m:den>
              <m:sSub>
                <m:sSubPr>
                  <m:ctrlPr>
                    <w:rPr>
                      <w:rFonts w:ascii="Cambria Math" w:hAnsi="Cambria Math" w:cs="Arial"/>
                      <w:i/>
                      <w:sz w:val="24"/>
                      <w:szCs w:val="24"/>
                    </w:rPr>
                  </m:ctrlPr>
                </m:sSubPr>
                <m:e>
                  <m:r>
                    <w:rPr>
                      <w:rFonts w:ascii="Cambria Math" w:hAnsi="Cambria Math" w:cs="Arial"/>
                      <w:sz w:val="24"/>
                      <w:szCs w:val="24"/>
                    </w:rPr>
                    <m:t>W</m:t>
                  </m:r>
                </m:e>
                <m:sub>
                  <m:r>
                    <w:rPr>
                      <w:rFonts w:ascii="Cambria Math" w:hAnsi="Cambria Math" w:cs="Arial"/>
                      <w:sz w:val="24"/>
                      <w:szCs w:val="24"/>
                    </w:rPr>
                    <m:t>nps</m:t>
                  </m:r>
                </m:sub>
              </m:sSub>
            </m:den>
          </m:f>
          <m:r>
            <w:rPr>
              <w:rFonts w:ascii="Cambria Math" w:hAnsi="Cambria Math" w:cs="Arial"/>
              <w:sz w:val="24"/>
              <w:szCs w:val="24"/>
            </w:rPr>
            <m:t>*100         Eq 4.2</m:t>
          </m:r>
        </m:oMath>
      </m:oMathPara>
    </w:p>
    <w:p w:rsidR="00550A30" w:rsidRPr="008F3CEA" w:rsidRDefault="00550A30" w:rsidP="00550A30">
      <w:pPr>
        <w:autoSpaceDE w:val="0"/>
        <w:autoSpaceDN w:val="0"/>
        <w:adjustRightInd w:val="0"/>
        <w:spacing w:before="240" w:after="240" w:line="360" w:lineRule="auto"/>
        <w:jc w:val="both"/>
        <w:rPr>
          <w:rFonts w:ascii="Arial" w:eastAsia="AdvTimes" w:hAnsi="Arial" w:cs="Arial"/>
          <w:b/>
          <w:i/>
          <w:color w:val="000000"/>
          <w:sz w:val="24"/>
          <w:szCs w:val="24"/>
        </w:rPr>
      </w:pPr>
      <w:r w:rsidRPr="008F3CEA">
        <w:rPr>
          <w:rFonts w:ascii="Arial" w:eastAsia="AdvTimes" w:hAnsi="Arial" w:cs="Arial"/>
          <w:b/>
          <w:i/>
          <w:color w:val="000000"/>
          <w:sz w:val="24"/>
          <w:szCs w:val="24"/>
        </w:rPr>
        <w:t>4.2.7.2 Particle morphology</w:t>
      </w:r>
    </w:p>
    <w:p w:rsidR="00550A30" w:rsidRPr="008F3CEA" w:rsidRDefault="00550A30" w:rsidP="00550A30">
      <w:pPr>
        <w:autoSpaceDE w:val="0"/>
        <w:autoSpaceDN w:val="0"/>
        <w:adjustRightInd w:val="0"/>
        <w:spacing w:line="360" w:lineRule="auto"/>
        <w:jc w:val="both"/>
        <w:rPr>
          <w:rFonts w:ascii="Arial" w:eastAsia="AdvTimes" w:hAnsi="Arial" w:cs="Arial"/>
          <w:color w:val="000000"/>
          <w:sz w:val="24"/>
          <w:szCs w:val="24"/>
        </w:rPr>
      </w:pPr>
      <w:r w:rsidRPr="008F3CEA">
        <w:rPr>
          <w:rFonts w:ascii="Arial" w:eastAsia="AdvTimes" w:hAnsi="Arial" w:cs="Arial"/>
          <w:color w:val="000000"/>
          <w:sz w:val="24"/>
          <w:szCs w:val="24"/>
        </w:rPr>
        <w:t xml:space="preserve">NPs Morphology was examined by Scanning Electron Microscopy (SEM Leo Instruments). Particles were mounted on aluminium stabs and coated with gold, by using an Agar Auto Sputter Coater. The analysis was performed at a working distance of 10mm and a voltage of  20kV.  </w:t>
      </w:r>
    </w:p>
    <w:p w:rsidR="00550A30" w:rsidRPr="008F3CEA" w:rsidRDefault="00550A30" w:rsidP="00550A30">
      <w:pPr>
        <w:autoSpaceDE w:val="0"/>
        <w:autoSpaceDN w:val="0"/>
        <w:adjustRightInd w:val="0"/>
        <w:spacing w:before="240" w:after="240" w:line="360" w:lineRule="auto"/>
        <w:jc w:val="both"/>
        <w:rPr>
          <w:rFonts w:ascii="Arial" w:hAnsi="Arial" w:cs="Arial"/>
          <w:b/>
          <w:i/>
          <w:color w:val="000000"/>
          <w:sz w:val="24"/>
          <w:szCs w:val="24"/>
        </w:rPr>
      </w:pPr>
      <w:r w:rsidRPr="008F3CEA">
        <w:rPr>
          <w:rFonts w:ascii="Arial" w:hAnsi="Arial" w:cs="Arial"/>
          <w:b/>
          <w:i/>
          <w:color w:val="000000"/>
          <w:sz w:val="24"/>
          <w:szCs w:val="24"/>
          <w:lang w:val="en-US"/>
        </w:rPr>
        <w:t xml:space="preserve">4.2.7.3 Determination of </w:t>
      </w:r>
      <w:r w:rsidRPr="008F3CEA">
        <w:rPr>
          <w:rFonts w:ascii="Arial" w:hAnsi="Arial" w:cs="Arial"/>
          <w:b/>
          <w:i/>
          <w:color w:val="000000"/>
          <w:sz w:val="24"/>
          <w:szCs w:val="24"/>
        </w:rPr>
        <w:t>Indometacin loading and release profiles</w:t>
      </w:r>
    </w:p>
    <w:p w:rsidR="00550A30" w:rsidRPr="008F3CEA" w:rsidRDefault="00550A30" w:rsidP="00550A30">
      <w:pPr>
        <w:autoSpaceDE w:val="0"/>
        <w:autoSpaceDN w:val="0"/>
        <w:adjustRightInd w:val="0"/>
        <w:spacing w:after="120" w:line="360" w:lineRule="auto"/>
        <w:jc w:val="both"/>
        <w:rPr>
          <w:rFonts w:ascii="Arial" w:hAnsi="Arial" w:cs="Arial"/>
          <w:color w:val="000000"/>
          <w:sz w:val="24"/>
          <w:szCs w:val="24"/>
        </w:rPr>
      </w:pPr>
      <w:r w:rsidRPr="008F3CEA">
        <w:rPr>
          <w:rFonts w:ascii="Arial" w:hAnsi="Arial" w:cs="Arial"/>
          <w:color w:val="000000"/>
          <w:sz w:val="24"/>
          <w:szCs w:val="24"/>
        </w:rPr>
        <w:t xml:space="preserve">The amount of encapsulated Indometacin was quantified by using UV spectrophotometer (Perkin Elmer Lamba25) at an absorbance wavelength of 319nm. For drug loading measurements, 10mg of freeze dried nanoparticles were accurately weighed and dissolved in acetone. After solvent evaporation the encapsulated dru g was extracted with ethanol and distilled water (3:1) and its concentration analyzed. Encapsulation efficiency (EE) was determined as follows: </w:t>
      </w:r>
    </w:p>
    <w:p w:rsidR="00550A30" w:rsidRPr="008F3CEA" w:rsidRDefault="00550A30" w:rsidP="00550A30">
      <w:pPr>
        <w:autoSpaceDE w:val="0"/>
        <w:autoSpaceDN w:val="0"/>
        <w:adjustRightInd w:val="0"/>
        <w:spacing w:line="360" w:lineRule="auto"/>
        <w:jc w:val="both"/>
        <w:rPr>
          <w:rFonts w:ascii="Arial" w:hAnsi="Arial" w:cs="Arial"/>
          <w:color w:val="000000"/>
          <w:sz w:val="24"/>
          <w:szCs w:val="24"/>
        </w:rPr>
      </w:pPr>
      <m:oMathPara>
        <m:oMath>
          <m:r>
            <w:rPr>
              <w:rFonts w:ascii="Cambria Math" w:hAnsi="Cambria Math" w:cs="Arial"/>
              <w:color w:val="000000"/>
              <w:sz w:val="24"/>
              <w:szCs w:val="24"/>
            </w:rPr>
            <m:t>EE</m:t>
          </m:r>
          <m:r>
            <w:rPr>
              <w:rFonts w:ascii="Cambria Math" w:hAnsi="Arial" w:cs="Arial"/>
              <w:color w:val="000000"/>
              <w:sz w:val="24"/>
              <w:szCs w:val="24"/>
            </w:rPr>
            <m:t>%=</m:t>
          </m:r>
          <m:d>
            <m:dPr>
              <m:ctrlPr>
                <w:rPr>
                  <w:rFonts w:ascii="Cambria Math" w:hAnsi="Arial" w:cs="Arial"/>
                  <w:i/>
                  <w:color w:val="000000"/>
                  <w:sz w:val="24"/>
                  <w:szCs w:val="24"/>
                </w:rPr>
              </m:ctrlPr>
            </m:dPr>
            <m:e>
              <m:f>
                <m:fPr>
                  <m:ctrlPr>
                    <w:rPr>
                      <w:rFonts w:ascii="Cambria Math" w:hAnsi="Arial" w:cs="Arial"/>
                      <w:i/>
                      <w:color w:val="000000"/>
                      <w:sz w:val="24"/>
                      <w:szCs w:val="24"/>
                    </w:rPr>
                  </m:ctrlPr>
                </m:fPr>
                <m:num>
                  <m:sSub>
                    <m:sSubPr>
                      <m:ctrlPr>
                        <w:rPr>
                          <w:rFonts w:ascii="Cambria Math" w:hAnsi="Arial" w:cs="Arial"/>
                          <w:i/>
                          <w:color w:val="000000"/>
                          <w:sz w:val="24"/>
                          <w:szCs w:val="24"/>
                        </w:rPr>
                      </m:ctrlPr>
                    </m:sSubPr>
                    <m:e>
                      <m:r>
                        <w:rPr>
                          <w:rFonts w:ascii="Cambria Math" w:hAnsi="Cambria Math" w:cs="Arial"/>
                          <w:color w:val="000000"/>
                          <w:sz w:val="24"/>
                          <w:szCs w:val="24"/>
                        </w:rPr>
                        <m:t>W</m:t>
                      </m:r>
                    </m:e>
                    <m:sub>
                      <m:r>
                        <w:rPr>
                          <w:rFonts w:ascii="Cambria Math" w:hAnsi="Cambria Math" w:cs="Arial"/>
                          <w:color w:val="000000"/>
                          <w:sz w:val="24"/>
                          <w:szCs w:val="24"/>
                        </w:rPr>
                        <m:t>Ind</m:t>
                      </m:r>
                    </m:sub>
                  </m:sSub>
                </m:num>
                <m:den>
                  <m:sSub>
                    <m:sSubPr>
                      <m:ctrlPr>
                        <w:rPr>
                          <w:rFonts w:ascii="Cambria Math" w:hAnsi="Arial" w:cs="Arial"/>
                          <w:i/>
                          <w:color w:val="000000"/>
                          <w:sz w:val="24"/>
                          <w:szCs w:val="24"/>
                        </w:rPr>
                      </m:ctrlPr>
                    </m:sSubPr>
                    <m:e>
                      <m:r>
                        <w:rPr>
                          <w:rFonts w:ascii="Cambria Math" w:hAnsi="Cambria Math" w:cs="Arial"/>
                          <w:color w:val="000000"/>
                          <w:sz w:val="24"/>
                          <w:szCs w:val="24"/>
                        </w:rPr>
                        <m:t>W</m:t>
                      </m:r>
                    </m:e>
                    <m:sub>
                      <m:r>
                        <w:rPr>
                          <w:rFonts w:ascii="Cambria Math" w:hAnsi="Cambria Math" w:cs="Arial"/>
                          <w:color w:val="000000"/>
                          <w:sz w:val="24"/>
                          <w:szCs w:val="24"/>
                        </w:rPr>
                        <m:t>Ind-t</m:t>
                      </m:r>
                    </m:sub>
                  </m:sSub>
                </m:den>
              </m:f>
            </m:e>
          </m:d>
          <m:r>
            <w:rPr>
              <w:rFonts w:ascii="Cambria Math" w:hAnsi="Arial" w:cs="Arial"/>
              <w:color w:val="000000"/>
              <w:sz w:val="24"/>
              <w:szCs w:val="24"/>
            </w:rPr>
            <m:t>×</m:t>
          </m:r>
          <m:r>
            <w:rPr>
              <w:rFonts w:ascii="Cambria Math" w:hAnsi="Arial" w:cs="Arial"/>
              <w:color w:val="000000"/>
              <w:sz w:val="24"/>
              <w:szCs w:val="24"/>
            </w:rPr>
            <m:t>100         (Eq. 2.2)</m:t>
          </m:r>
        </m:oMath>
      </m:oMathPara>
    </w:p>
    <w:p w:rsidR="00550A30" w:rsidRPr="008F3CEA" w:rsidRDefault="00550A30" w:rsidP="00550A30">
      <w:pPr>
        <w:autoSpaceDE w:val="0"/>
        <w:autoSpaceDN w:val="0"/>
        <w:adjustRightInd w:val="0"/>
        <w:spacing w:before="120" w:after="0" w:line="360" w:lineRule="auto"/>
        <w:jc w:val="both"/>
        <w:rPr>
          <w:rFonts w:ascii="Arial" w:hAnsi="Arial" w:cs="Arial"/>
          <w:color w:val="000000"/>
          <w:sz w:val="24"/>
          <w:szCs w:val="24"/>
        </w:rPr>
      </w:pPr>
      <w:r w:rsidRPr="008F3CEA">
        <w:rPr>
          <w:rFonts w:ascii="Arial" w:hAnsi="Arial" w:cs="Arial"/>
          <w:color w:val="000000"/>
          <w:sz w:val="24"/>
          <w:szCs w:val="24"/>
        </w:rPr>
        <w:t>where, W</w:t>
      </w:r>
      <w:r w:rsidRPr="008F3CEA">
        <w:rPr>
          <w:rFonts w:ascii="Arial" w:hAnsi="Arial" w:cs="Arial"/>
          <w:color w:val="000000"/>
          <w:sz w:val="24"/>
          <w:szCs w:val="24"/>
          <w:vertAlign w:val="subscript"/>
        </w:rPr>
        <w:t xml:space="preserve">ind </w:t>
      </w:r>
      <w:r w:rsidRPr="008F3CEA">
        <w:rPr>
          <w:rFonts w:ascii="Arial" w:hAnsi="Arial" w:cs="Arial"/>
          <w:color w:val="000000"/>
          <w:sz w:val="24"/>
          <w:szCs w:val="24"/>
        </w:rPr>
        <w:t>is the weight (mg) of drug detected by UV spectroscopy and W</w:t>
      </w:r>
      <w:r w:rsidRPr="008F3CEA">
        <w:rPr>
          <w:rFonts w:ascii="Arial" w:hAnsi="Arial" w:cs="Arial"/>
          <w:color w:val="000000"/>
          <w:sz w:val="24"/>
          <w:szCs w:val="24"/>
          <w:vertAlign w:val="subscript"/>
        </w:rPr>
        <w:t xml:space="preserve">ind-t </w:t>
      </w:r>
      <w:r w:rsidRPr="008F3CEA">
        <w:rPr>
          <w:rFonts w:ascii="Arial" w:hAnsi="Arial" w:cs="Arial"/>
          <w:color w:val="000000"/>
          <w:sz w:val="24"/>
          <w:szCs w:val="24"/>
        </w:rPr>
        <w:t>is the theoretical amount of drug expected in 10mg of nanoparticles.</w:t>
      </w:r>
    </w:p>
    <w:p w:rsidR="00550A30" w:rsidRPr="008F3CEA" w:rsidRDefault="00550A30" w:rsidP="00550A30">
      <w:pPr>
        <w:autoSpaceDE w:val="0"/>
        <w:autoSpaceDN w:val="0"/>
        <w:adjustRightInd w:val="0"/>
        <w:spacing w:line="360" w:lineRule="auto"/>
        <w:jc w:val="both"/>
        <w:rPr>
          <w:rFonts w:ascii="Arial" w:hAnsi="Arial" w:cs="Arial"/>
          <w:color w:val="000000"/>
          <w:sz w:val="24"/>
          <w:szCs w:val="24"/>
        </w:rPr>
      </w:pPr>
      <w:r w:rsidRPr="008F3CEA">
        <w:rPr>
          <w:rFonts w:ascii="Arial" w:hAnsi="Arial" w:cs="Arial"/>
          <w:color w:val="000000"/>
          <w:sz w:val="24"/>
          <w:szCs w:val="24"/>
        </w:rPr>
        <w:t xml:space="preserve">For the determination of Indometacin release profiles, 10mg of nanoparticles were accurately weighted, dispersed in 1.5 ml distilled water and incubated at 37°C under </w:t>
      </w:r>
      <w:r w:rsidRPr="008F3CEA">
        <w:rPr>
          <w:rFonts w:ascii="Arial" w:hAnsi="Arial" w:cs="Arial"/>
          <w:color w:val="000000"/>
          <w:sz w:val="24"/>
          <w:szCs w:val="24"/>
        </w:rPr>
        <w:lastRenderedPageBreak/>
        <w:t>constant shaking in a IKA KS 4000</w:t>
      </w:r>
      <w:r w:rsidRPr="008F3CEA">
        <w:rPr>
          <w:color w:val="000000"/>
        </w:rPr>
        <w:t xml:space="preserve"> </w:t>
      </w:r>
      <w:r w:rsidRPr="008F3CEA">
        <w:rPr>
          <w:rFonts w:ascii="Arial" w:hAnsi="Arial" w:cs="Arial"/>
          <w:color w:val="000000"/>
          <w:sz w:val="24"/>
          <w:szCs w:val="24"/>
        </w:rPr>
        <w:t>incubator. The amount of drug released was measured daily for up to four days. At predetermined time points, the release medium was replaced with fresh water, the old solution was diluted with proper volumes of ethanol and analyzed by UV spectroscopy to determine the amount of drug released over time.</w:t>
      </w:r>
    </w:p>
    <w:p w:rsidR="00550A30" w:rsidRPr="008F3CEA" w:rsidRDefault="00550A30" w:rsidP="00550A30">
      <w:pPr>
        <w:spacing w:before="240" w:after="240" w:line="360" w:lineRule="auto"/>
        <w:jc w:val="both"/>
        <w:rPr>
          <w:rFonts w:ascii="Arial" w:hAnsi="Arial" w:cs="Arial"/>
          <w:b/>
          <w:i/>
          <w:sz w:val="24"/>
          <w:szCs w:val="24"/>
          <w:lang w:val="en-US"/>
        </w:rPr>
      </w:pPr>
      <w:r w:rsidRPr="008F3CEA">
        <w:rPr>
          <w:rFonts w:ascii="Arial" w:hAnsi="Arial" w:cs="Arial"/>
          <w:b/>
          <w:i/>
          <w:sz w:val="24"/>
          <w:szCs w:val="24"/>
          <w:lang w:val="en-US"/>
        </w:rPr>
        <w:t>4.2.7.4 DSC analysis</w:t>
      </w:r>
    </w:p>
    <w:p w:rsidR="00550A30" w:rsidRPr="008F3CEA" w:rsidRDefault="00550A30" w:rsidP="00550A30">
      <w:pPr>
        <w:spacing w:after="0" w:line="360" w:lineRule="auto"/>
        <w:jc w:val="both"/>
        <w:rPr>
          <w:rFonts w:ascii="Arial" w:hAnsi="Arial" w:cs="Arial"/>
          <w:sz w:val="24"/>
          <w:szCs w:val="24"/>
        </w:rPr>
      </w:pPr>
      <w:r w:rsidRPr="008F3CEA">
        <w:rPr>
          <w:rFonts w:ascii="Arial" w:hAnsi="Arial" w:cs="Arial"/>
          <w:sz w:val="24"/>
          <w:szCs w:val="24"/>
        </w:rPr>
        <w:t xml:space="preserve">Physical state of the encapsulated drug was studied by Differential Scanning Calorimetry (DSC) (TA Instruments DSC Q20). Approximately 5 mg of the sample were encapsulated in hermetic aluminium pans and cooled from room temperature to -20 °C. The pan was then heated from -20 °C to 200 °C at 10 °C/min, isothermally maintained at 200 °C for 3 minutes, quenched to -20°C at 10°C/min and reheated from -20 °C to 200 °C at 10 °C/min under nitrogen atmosphere. All Thermograms were analyzed using the TA Universal Analysis software. </w:t>
      </w:r>
    </w:p>
    <w:p w:rsidR="00550A30" w:rsidRPr="008F3CEA" w:rsidRDefault="00550A30" w:rsidP="00550A30">
      <w:pPr>
        <w:spacing w:line="360" w:lineRule="auto"/>
        <w:jc w:val="both"/>
        <w:rPr>
          <w:rFonts w:ascii="Arial" w:eastAsiaTheme="majorEastAsia" w:hAnsi="Arial" w:cs="Arial"/>
          <w:sz w:val="24"/>
          <w:szCs w:val="24"/>
        </w:rPr>
      </w:pPr>
      <w:r w:rsidRPr="008F3CEA">
        <w:rPr>
          <w:rFonts w:ascii="Arial" w:hAnsi="Arial" w:cs="Arial"/>
          <w:sz w:val="24"/>
          <w:szCs w:val="24"/>
          <w:lang w:val="en-US"/>
        </w:rPr>
        <w:t>DSC analysis was performed on plain and drug loaded particles, emulsifiers (Tween 80 e Vitamin E-TPGS) as well as on the polymer (PCL) and the drug (IND).</w:t>
      </w:r>
    </w:p>
    <w:p w:rsidR="00550A30" w:rsidRPr="008F3CEA" w:rsidRDefault="00550A30" w:rsidP="00550A30">
      <w:pPr>
        <w:spacing w:before="240" w:after="240" w:line="360" w:lineRule="auto"/>
        <w:jc w:val="both"/>
        <w:rPr>
          <w:rFonts w:ascii="Arial" w:hAnsi="Arial" w:cs="Arial"/>
          <w:b/>
          <w:sz w:val="24"/>
          <w:szCs w:val="24"/>
          <w:lang w:val="en-US"/>
        </w:rPr>
      </w:pPr>
      <w:r w:rsidRPr="008F3CEA">
        <w:rPr>
          <w:rFonts w:ascii="Arial" w:hAnsi="Arial" w:cs="Arial"/>
          <w:b/>
          <w:sz w:val="24"/>
          <w:szCs w:val="24"/>
          <w:lang w:val="en-US"/>
        </w:rPr>
        <w:t xml:space="preserve">4.2.8 Characterization of collagen and nanoparticles-containing bone cement </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Based on the results of the above-described characterization, the best cement composition was determined and used to prepare a reinforced material, containing nanoparticles loaded with the anti-inflammatory drug Indometacin and collagen as an additional organic phase. </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Collagen was added to better mimic the characteristics of bone tissue and to impart higher mechanical strength to the material. </w:t>
      </w:r>
    </w:p>
    <w:p w:rsidR="00550A30" w:rsidRPr="008F3CEA" w:rsidRDefault="00550A30" w:rsidP="00550A30">
      <w:pPr>
        <w:pStyle w:val="Default"/>
        <w:spacing w:after="120" w:line="360" w:lineRule="auto"/>
        <w:jc w:val="both"/>
        <w:rPr>
          <w:rFonts w:ascii="Arial" w:hAnsi="Arial" w:cs="Arial"/>
          <w:bCs/>
          <w:iCs/>
          <w:lang w:val="en-US"/>
        </w:rPr>
      </w:pPr>
      <w:r w:rsidRPr="008F3CEA">
        <w:rPr>
          <w:rFonts w:ascii="Arial" w:hAnsi="Arial" w:cs="Arial"/>
          <w:bCs/>
          <w:iCs/>
          <w:lang w:val="en-US"/>
        </w:rPr>
        <w:t>The composition of the tested material was:</w:t>
      </w:r>
    </w:p>
    <w:p w:rsidR="00550A30" w:rsidRPr="008F3CEA" w:rsidRDefault="00550A30" w:rsidP="00550A30">
      <w:pPr>
        <w:pStyle w:val="Default"/>
        <w:spacing w:line="360" w:lineRule="auto"/>
        <w:jc w:val="both"/>
        <w:rPr>
          <w:rFonts w:ascii="Arial" w:hAnsi="Arial" w:cs="Arial"/>
          <w:bCs/>
          <w:iCs/>
          <w:lang w:val="en-US"/>
        </w:rPr>
      </w:pPr>
      <w:r w:rsidRPr="008F3CEA">
        <w:rPr>
          <w:rFonts w:ascii="Arial" w:hAnsi="Arial" w:cs="Arial"/>
          <w:bCs/>
          <w:iCs/>
          <w:lang w:val="en-US"/>
        </w:rPr>
        <w:t>1. Percent of organic phase, composed of a blend of chitosan and collagen (3% w/v), of 30%</w:t>
      </w:r>
    </w:p>
    <w:p w:rsidR="00550A30" w:rsidRPr="008F3CEA" w:rsidRDefault="00550A30" w:rsidP="00550A30">
      <w:pPr>
        <w:pStyle w:val="Default"/>
        <w:spacing w:line="360" w:lineRule="auto"/>
        <w:jc w:val="both"/>
        <w:rPr>
          <w:rFonts w:ascii="Arial" w:hAnsi="Arial" w:cs="Arial"/>
          <w:bCs/>
          <w:lang w:val="en-US"/>
        </w:rPr>
      </w:pPr>
      <w:r w:rsidRPr="008F3CEA">
        <w:rPr>
          <w:rFonts w:ascii="Arial" w:hAnsi="Arial" w:cs="Arial"/>
          <w:bCs/>
          <w:lang w:val="en-US"/>
        </w:rPr>
        <w:t>2. Percent of inorganic phase (βTCP) of 70%</w:t>
      </w:r>
    </w:p>
    <w:p w:rsidR="00550A30" w:rsidRPr="008F3CEA" w:rsidRDefault="00550A30" w:rsidP="00550A30">
      <w:pPr>
        <w:pStyle w:val="Default"/>
        <w:spacing w:line="360" w:lineRule="auto"/>
        <w:jc w:val="both"/>
        <w:rPr>
          <w:rFonts w:ascii="Arial" w:hAnsi="Arial" w:cs="Arial"/>
          <w:bCs/>
          <w:lang w:val="en-US"/>
        </w:rPr>
      </w:pPr>
      <w:r w:rsidRPr="008F3CEA">
        <w:rPr>
          <w:rFonts w:ascii="Arial" w:hAnsi="Arial" w:cs="Arial"/>
          <w:bCs/>
          <w:lang w:val="en-US"/>
        </w:rPr>
        <w:t>3. 10% w/v of PCL nanoparticles, containing the anti-inflammatory agent Indomethacin</w:t>
      </w:r>
    </w:p>
    <w:p w:rsidR="00550A30" w:rsidRPr="008F3CEA" w:rsidRDefault="00550A30" w:rsidP="00550A30">
      <w:pPr>
        <w:pStyle w:val="Default"/>
        <w:spacing w:line="360" w:lineRule="auto"/>
        <w:jc w:val="both"/>
        <w:rPr>
          <w:rFonts w:ascii="Arial" w:hAnsi="Arial" w:cs="Arial"/>
          <w:bCs/>
          <w:lang w:val="en-US"/>
        </w:rPr>
      </w:pPr>
      <w:r w:rsidRPr="008F3CEA">
        <w:rPr>
          <w:rFonts w:ascii="Arial" w:hAnsi="Arial" w:cs="Arial"/>
          <w:bCs/>
          <w:lang w:val="en-US"/>
        </w:rPr>
        <w:t>4. Amount of cross-linker (Genipin) 7.5% (w/v).</w:t>
      </w:r>
    </w:p>
    <w:p w:rsidR="00550A30" w:rsidRPr="008F3CEA" w:rsidRDefault="00550A30" w:rsidP="00550A30">
      <w:pPr>
        <w:pStyle w:val="Default"/>
        <w:spacing w:line="360" w:lineRule="auto"/>
        <w:jc w:val="both"/>
        <w:rPr>
          <w:rFonts w:ascii="Arial" w:hAnsi="Arial" w:cs="Arial"/>
          <w:bCs/>
          <w:lang w:val="en-US"/>
        </w:rPr>
      </w:pPr>
      <w:r w:rsidRPr="008F3CEA">
        <w:rPr>
          <w:rFonts w:ascii="Arial" w:hAnsi="Arial" w:cs="Arial"/>
          <w:bCs/>
          <w:lang w:val="en-US"/>
        </w:rPr>
        <w:t>This material was characterized in terms of morphology, hardening time and injectability as well as mechanical strength under compression.</w:t>
      </w:r>
    </w:p>
    <w:p w:rsidR="00550A30" w:rsidRPr="008F3CEA" w:rsidRDefault="00550A30" w:rsidP="00550A30">
      <w:pPr>
        <w:pStyle w:val="Default"/>
        <w:spacing w:after="120" w:line="360" w:lineRule="auto"/>
        <w:jc w:val="both"/>
        <w:rPr>
          <w:rFonts w:ascii="Arial" w:hAnsi="Arial" w:cs="Arial"/>
          <w:lang w:val="en-US"/>
        </w:rPr>
      </w:pPr>
      <w:r w:rsidRPr="008F3CEA">
        <w:rPr>
          <w:rFonts w:ascii="Arial" w:hAnsi="Arial" w:cs="Arial"/>
          <w:bCs/>
          <w:lang w:val="en-US"/>
        </w:rPr>
        <w:t>Injectability was determined according the equation proposed by</w:t>
      </w:r>
      <w:r w:rsidRPr="008F3CEA">
        <w:rPr>
          <w:rFonts w:ascii="Arial" w:hAnsi="Arial" w:cs="Arial"/>
          <w:lang w:val="en-US"/>
        </w:rPr>
        <w:t xml:space="preserve"> Xiaopeng Qi et al [23]:</w:t>
      </w:r>
    </w:p>
    <w:p w:rsidR="00550A30" w:rsidRPr="008F3CEA" w:rsidRDefault="00550A30" w:rsidP="00550A30">
      <w:pPr>
        <w:pStyle w:val="Default"/>
        <w:spacing w:line="360" w:lineRule="auto"/>
        <w:jc w:val="both"/>
        <w:rPr>
          <w:rFonts w:ascii="Arial" w:hAnsi="Arial" w:cs="Arial"/>
          <w:lang w:val="en-US"/>
        </w:rPr>
      </w:pPr>
      <m:oMathPara>
        <m:oMath>
          <m:r>
            <w:rPr>
              <w:rFonts w:ascii="Cambria Math" w:hAnsi="Cambria Math" w:cs="Arial"/>
              <w:lang w:val="en-US"/>
            </w:rPr>
            <m:t xml:space="preserve">Injectability </m:t>
          </m:r>
          <m:d>
            <m:dPr>
              <m:ctrlPr>
                <w:rPr>
                  <w:rFonts w:ascii="Cambria Math" w:hAnsi="Cambria Math" w:cs="Arial"/>
                  <w:i/>
                  <w:lang w:val="en-US"/>
                </w:rPr>
              </m:ctrlPr>
            </m:dPr>
            <m:e>
              <m:r>
                <w:rPr>
                  <w:rFonts w:ascii="Cambria Math" w:hAnsi="Cambria Math" w:cs="Arial"/>
                  <w:lang w:val="en-US"/>
                </w:rPr>
                <m:t>%</m:t>
              </m:r>
            </m:e>
          </m:d>
          <m:r>
            <w:rPr>
              <w:rFonts w:ascii="Cambria Math" w:hAnsi="Cambria Math" w:cs="Arial"/>
              <w:lang w:val="en-US"/>
            </w:rPr>
            <m:t xml:space="preserve">= </m:t>
          </m:r>
          <m:f>
            <m:fPr>
              <m:ctrlPr>
                <w:rPr>
                  <w:rFonts w:ascii="Cambria Math" w:hAnsi="Cambria Math" w:cs="Arial"/>
                  <w:i/>
                  <w:lang w:val="en-US"/>
                </w:rPr>
              </m:ctrlPr>
            </m:fPr>
            <m:num>
              <m:r>
                <w:rPr>
                  <w:rFonts w:ascii="Cambria Math" w:hAnsi="Cambria Math" w:cs="Arial"/>
                  <w:lang w:val="en-US"/>
                </w:rPr>
                <m:t>Injected volume</m:t>
              </m:r>
            </m:num>
            <m:den>
              <m:r>
                <w:rPr>
                  <w:rFonts w:ascii="Cambria Math" w:hAnsi="Cambria Math" w:cs="Arial"/>
                  <w:lang w:val="en-US"/>
                </w:rPr>
                <m:t>Initial volume</m:t>
              </m:r>
            </m:den>
          </m:f>
          <m:r>
            <w:rPr>
              <w:rFonts w:ascii="Cambria Math" w:hAnsi="Cambria Math" w:cs="Arial"/>
              <w:lang w:val="en-US"/>
            </w:rPr>
            <m:t>*100              Eq 4.3</m:t>
          </m:r>
        </m:oMath>
      </m:oMathPara>
    </w:p>
    <w:p w:rsidR="00550A30" w:rsidRPr="008F3CEA" w:rsidRDefault="00550A30" w:rsidP="00550A30">
      <w:pPr>
        <w:pStyle w:val="Default"/>
        <w:spacing w:before="120" w:line="360" w:lineRule="auto"/>
        <w:jc w:val="both"/>
        <w:rPr>
          <w:rFonts w:ascii="Arial" w:hAnsi="Arial" w:cs="Arial"/>
          <w:lang w:val="en-US"/>
        </w:rPr>
      </w:pPr>
      <w:r w:rsidRPr="008F3CEA">
        <w:rPr>
          <w:rFonts w:ascii="Arial" w:hAnsi="Arial" w:cs="Arial"/>
          <w:lang w:val="en-US"/>
        </w:rPr>
        <w:lastRenderedPageBreak/>
        <w:t>Briefly, 5ml of bone cement solution were sucked up by using a syringe and then injected in a graduated cylinder, to measure the injected volume.</w:t>
      </w:r>
    </w:p>
    <w:p w:rsidR="00550A30" w:rsidRPr="008F3CEA" w:rsidRDefault="00550A30" w:rsidP="00550A30">
      <w:pPr>
        <w:spacing w:before="240" w:after="240" w:line="360" w:lineRule="auto"/>
        <w:jc w:val="both"/>
        <w:rPr>
          <w:rFonts w:ascii="Arial" w:hAnsi="Arial" w:cs="Arial"/>
          <w:b/>
          <w:sz w:val="28"/>
          <w:szCs w:val="28"/>
        </w:rPr>
      </w:pPr>
      <w:r w:rsidRPr="008F3CEA">
        <w:rPr>
          <w:rFonts w:ascii="Arial" w:hAnsi="Arial" w:cs="Arial"/>
          <w:b/>
          <w:sz w:val="28"/>
          <w:szCs w:val="28"/>
        </w:rPr>
        <w:t>4.3 Results &amp; Discussion</w:t>
      </w:r>
    </w:p>
    <w:p w:rsidR="00550A30" w:rsidRPr="008F3CEA" w:rsidRDefault="00550A30" w:rsidP="00550A30">
      <w:pPr>
        <w:spacing w:before="240" w:after="240" w:line="360" w:lineRule="auto"/>
        <w:jc w:val="both"/>
        <w:rPr>
          <w:rFonts w:ascii="Arial" w:hAnsi="Arial" w:cs="Arial"/>
          <w:b/>
          <w:color w:val="000000"/>
          <w:sz w:val="24"/>
          <w:szCs w:val="24"/>
          <w:lang w:eastAsia="it-IT"/>
        </w:rPr>
      </w:pPr>
      <w:r w:rsidRPr="008F3CEA">
        <w:rPr>
          <w:rFonts w:ascii="Arial" w:hAnsi="Arial" w:cs="Arial"/>
          <w:b/>
          <w:color w:val="000000"/>
          <w:sz w:val="24"/>
          <w:szCs w:val="24"/>
          <w:lang w:eastAsia="it-IT"/>
        </w:rPr>
        <w:t>4.3.1 Optimization of the processing parameters</w:t>
      </w:r>
    </w:p>
    <w:p w:rsidR="00550A30" w:rsidRPr="008F3CEA" w:rsidRDefault="00550A30" w:rsidP="00550A30">
      <w:pPr>
        <w:spacing w:before="240" w:after="240" w:line="360" w:lineRule="auto"/>
        <w:jc w:val="both"/>
        <w:rPr>
          <w:rFonts w:ascii="Arial" w:hAnsi="Arial" w:cs="Arial"/>
          <w:b/>
          <w:i/>
          <w:color w:val="000000"/>
          <w:sz w:val="24"/>
          <w:szCs w:val="24"/>
          <w:lang w:eastAsia="it-IT"/>
        </w:rPr>
      </w:pPr>
      <w:r w:rsidRPr="008F3CEA">
        <w:rPr>
          <w:rFonts w:ascii="Arial" w:hAnsi="Arial" w:cs="Arial"/>
          <w:b/>
          <w:i/>
          <w:color w:val="000000"/>
          <w:sz w:val="24"/>
          <w:szCs w:val="24"/>
          <w:lang w:eastAsia="it-IT"/>
        </w:rPr>
        <w:t>4.3.1.1 Determination of the setting time</w:t>
      </w:r>
    </w:p>
    <w:p w:rsidR="00550A30" w:rsidRPr="008F3CEA" w:rsidRDefault="00550A30" w:rsidP="00550A30">
      <w:pPr>
        <w:spacing w:after="0" w:line="360" w:lineRule="auto"/>
        <w:jc w:val="both"/>
        <w:rPr>
          <w:color w:val="000000"/>
          <w:sz w:val="23"/>
          <w:szCs w:val="23"/>
          <w:lang w:val="en-US"/>
        </w:rPr>
      </w:pPr>
      <w:r w:rsidRPr="008F3CEA">
        <w:rPr>
          <w:rFonts w:ascii="Arial" w:hAnsi="Arial" w:cs="Arial"/>
          <w:color w:val="000000"/>
          <w:sz w:val="24"/>
          <w:szCs w:val="24"/>
          <w:lang w:val="en-US" w:eastAsia="it-IT"/>
        </w:rPr>
        <w:t xml:space="preserve">To evaluate the effect of the organic/inorganic ratio and of the concentration of cross linker on the final properties of the material, setting time was recorded for all the bone cement formulations described in the previous section. </w:t>
      </w:r>
    </w:p>
    <w:p w:rsidR="00550A30" w:rsidRPr="008F3CEA" w:rsidRDefault="00550A30" w:rsidP="00550A30">
      <w:pPr>
        <w:spacing w:after="120" w:line="360" w:lineRule="auto"/>
        <w:jc w:val="both"/>
        <w:rPr>
          <w:rFonts w:ascii="Arial" w:hAnsi="Arial" w:cs="Arial"/>
          <w:color w:val="000000"/>
          <w:sz w:val="24"/>
          <w:szCs w:val="24"/>
          <w:lang w:val="en-US"/>
        </w:rPr>
      </w:pPr>
      <w:r w:rsidRPr="008F3CEA">
        <w:rPr>
          <w:rFonts w:ascii="Arial" w:hAnsi="Arial" w:cs="Arial"/>
          <w:color w:val="000000"/>
          <w:sz w:val="24"/>
          <w:szCs w:val="24"/>
          <w:lang w:val="en-US"/>
        </w:rPr>
        <w:t>Results are reported in figure 4.1 and show that setting time increases with increasing cross/linker concentration, as well as with increasing inorganic phase content.</w:t>
      </w:r>
    </w:p>
    <w:p w:rsidR="00550A30" w:rsidRPr="008F3CEA" w:rsidRDefault="00550A30" w:rsidP="00550A30">
      <w:pPr>
        <w:pStyle w:val="Paragrafoelenco"/>
        <w:spacing w:after="120" w:line="360" w:lineRule="auto"/>
        <w:ind w:left="0"/>
        <w:jc w:val="center"/>
        <w:rPr>
          <w:rFonts w:ascii="Arial" w:hAnsi="Arial" w:cs="Arial"/>
          <w:b/>
          <w:sz w:val="28"/>
          <w:szCs w:val="28"/>
        </w:rPr>
      </w:pPr>
      <w:r w:rsidRPr="008F3CEA">
        <w:rPr>
          <w:rFonts w:ascii="Arial" w:hAnsi="Arial" w:cs="Arial"/>
          <w:b/>
          <w:noProof/>
          <w:sz w:val="28"/>
          <w:szCs w:val="28"/>
          <w:lang w:val="it-IT" w:eastAsia="it-IT"/>
        </w:rPr>
        <w:drawing>
          <wp:inline distT="0" distB="0" distL="0" distR="0">
            <wp:extent cx="4842510" cy="3773772"/>
            <wp:effectExtent l="19050" t="0" r="0" b="0"/>
            <wp:docPr id="10" name="Immagine 9" descr="dissolu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solution.png"/>
                    <pic:cNvPicPr/>
                  </pic:nvPicPr>
                  <pic:blipFill>
                    <a:blip r:embed="rId58"/>
                    <a:stretch>
                      <a:fillRect/>
                    </a:stretch>
                  </pic:blipFill>
                  <pic:spPr>
                    <a:xfrm>
                      <a:off x="0" y="0"/>
                      <a:ext cx="4842510" cy="3773772"/>
                    </a:xfrm>
                    <a:prstGeom prst="rect">
                      <a:avLst/>
                    </a:prstGeom>
                  </pic:spPr>
                </pic:pic>
              </a:graphicData>
            </a:graphic>
          </wp:inline>
        </w:drawing>
      </w:r>
    </w:p>
    <w:p w:rsidR="00550A30" w:rsidRPr="008F3CEA" w:rsidRDefault="00550A30" w:rsidP="00550A30">
      <w:pPr>
        <w:pStyle w:val="Didascalia"/>
        <w:rPr>
          <w:rFonts w:ascii="Arial" w:hAnsi="Arial" w:cs="Arial"/>
          <w:b w:val="0"/>
          <w:sz w:val="28"/>
          <w:szCs w:val="28"/>
        </w:rPr>
      </w:pPr>
      <w:r w:rsidRPr="008F3CEA">
        <w:t xml:space="preserve">Figure 4. </w:t>
      </w:r>
      <w:fldSimple w:instr=" SEQ Figure_4. \* ARABIC ">
        <w:r w:rsidRPr="008F3CEA">
          <w:rPr>
            <w:noProof/>
          </w:rPr>
          <w:t>1</w:t>
        </w:r>
      </w:fldSimple>
      <w:r w:rsidRPr="008F3CEA">
        <w:t xml:space="preserve"> Hardening time of samples prepared with different organic/inorganic ratio and different cross-linker concentrations.</w:t>
      </w:r>
    </w:p>
    <w:p w:rsidR="00550A30" w:rsidRPr="008F3CEA" w:rsidRDefault="00550A30" w:rsidP="00550A30">
      <w:pPr>
        <w:pStyle w:val="Paragrafoelenco"/>
        <w:spacing w:line="360" w:lineRule="auto"/>
        <w:ind w:left="0"/>
        <w:jc w:val="both"/>
        <w:rPr>
          <w:rFonts w:ascii="Arial" w:hAnsi="Arial" w:cs="Arial"/>
          <w:sz w:val="24"/>
          <w:szCs w:val="24"/>
        </w:rPr>
      </w:pPr>
      <w:r w:rsidRPr="008F3CEA">
        <w:rPr>
          <w:rFonts w:ascii="Arial" w:hAnsi="Arial" w:cs="Arial"/>
          <w:sz w:val="24"/>
          <w:szCs w:val="24"/>
        </w:rPr>
        <w:t>In particular, at a constant GP concentration, increasing the βTCP ratio up to 70% w/w leads to a drastic reduction in the hardening time. Interestingly, a higher βTCP content (90%) results in longer hardening time, probably because the complete cross linking of the organic phase could be hampered by the massive presence of the inorganic component.</w:t>
      </w:r>
    </w:p>
    <w:p w:rsidR="00550A30" w:rsidRPr="008F3CEA" w:rsidRDefault="00550A30" w:rsidP="00550A30">
      <w:pPr>
        <w:pStyle w:val="Paragrafoelenco"/>
        <w:spacing w:line="360" w:lineRule="auto"/>
        <w:ind w:left="0"/>
        <w:jc w:val="both"/>
        <w:rPr>
          <w:rFonts w:ascii="Arial" w:hAnsi="Arial" w:cs="Arial"/>
          <w:sz w:val="24"/>
          <w:szCs w:val="24"/>
          <w:lang w:val="en-US"/>
        </w:rPr>
      </w:pPr>
      <w:r w:rsidRPr="008F3CEA">
        <w:rPr>
          <w:rFonts w:ascii="Arial" w:hAnsi="Arial" w:cs="Arial"/>
          <w:sz w:val="24"/>
          <w:szCs w:val="24"/>
        </w:rPr>
        <w:lastRenderedPageBreak/>
        <w:t xml:space="preserve">As an example, the series of samples obtained at a 2.5% GP concentration, show how an increased βTCP content led to shorter hardening time, ranging from 75min, for sample 90/10_GP2.5, to 44min for sample 70/30_GP2.5. </w:t>
      </w:r>
      <w:r w:rsidRPr="008F3CEA">
        <w:rPr>
          <w:rFonts w:ascii="Arial" w:hAnsi="Arial" w:cs="Arial"/>
          <w:sz w:val="24"/>
          <w:szCs w:val="24"/>
          <w:lang w:val="en-US"/>
        </w:rPr>
        <w:t>Sample 10/90_GP2.5 displayed a higher hardening time (52min).</w:t>
      </w:r>
    </w:p>
    <w:p w:rsidR="00550A30" w:rsidRPr="008F3CEA" w:rsidRDefault="00550A30" w:rsidP="00550A30">
      <w:pPr>
        <w:pStyle w:val="Paragrafoelenco"/>
        <w:spacing w:after="0" w:line="360" w:lineRule="auto"/>
        <w:ind w:left="0"/>
        <w:jc w:val="both"/>
        <w:rPr>
          <w:rFonts w:ascii="Arial" w:hAnsi="Arial" w:cs="Arial"/>
          <w:sz w:val="24"/>
          <w:szCs w:val="24"/>
          <w:lang w:val="en-US"/>
        </w:rPr>
      </w:pPr>
      <w:r w:rsidRPr="008F3CEA">
        <w:rPr>
          <w:rFonts w:ascii="Arial" w:hAnsi="Arial" w:cs="Arial"/>
          <w:sz w:val="24"/>
          <w:szCs w:val="24"/>
          <w:lang w:val="en-US"/>
        </w:rPr>
        <w:t>Similar profiles can be detected for all other formulations, obtained at higher GP concentrations, as summarized in table 4.2.</w:t>
      </w:r>
    </w:p>
    <w:p w:rsidR="00550A30" w:rsidRPr="008F3CEA" w:rsidRDefault="00550A30" w:rsidP="00550A30">
      <w:pPr>
        <w:spacing w:after="120" w:line="360" w:lineRule="auto"/>
        <w:jc w:val="both"/>
        <w:outlineLvl w:val="0"/>
        <w:rPr>
          <w:rFonts w:ascii="Arial" w:hAnsi="Arial" w:cs="Arial"/>
          <w:sz w:val="24"/>
          <w:szCs w:val="24"/>
          <w:lang w:val="en-US"/>
        </w:rPr>
      </w:pPr>
      <w:r w:rsidRPr="008F3CEA">
        <w:rPr>
          <w:rFonts w:ascii="Arial" w:hAnsi="Arial" w:cs="Arial"/>
          <w:sz w:val="24"/>
          <w:szCs w:val="24"/>
          <w:lang w:val="en-US"/>
        </w:rPr>
        <w:t>Sample 30/70_GP7.5 shows the best behavior with a setting time of 24 minutes, which meets the requirements indicated in literature [24].</w:t>
      </w:r>
    </w:p>
    <w:tbl>
      <w:tblPr>
        <w:tblStyle w:val="Grigliatabella"/>
        <w:tblW w:w="7370" w:type="dxa"/>
        <w:jc w:val="center"/>
        <w:tblBorders>
          <w:left w:val="none" w:sz="0" w:space="0" w:color="auto"/>
          <w:right w:val="none" w:sz="0" w:space="0" w:color="auto"/>
          <w:insideH w:val="none" w:sz="0" w:space="0" w:color="auto"/>
          <w:insideV w:val="none" w:sz="0" w:space="0" w:color="auto"/>
        </w:tblBorders>
        <w:shd w:val="clear" w:color="auto" w:fill="D9D9D9" w:themeFill="background1" w:themeFillShade="D9"/>
        <w:tblLook w:val="04A0"/>
      </w:tblPr>
      <w:tblGrid>
        <w:gridCol w:w="1474"/>
        <w:gridCol w:w="1474"/>
        <w:gridCol w:w="1474"/>
        <w:gridCol w:w="1474"/>
        <w:gridCol w:w="1474"/>
      </w:tblGrid>
      <w:tr w:rsidR="00550A30" w:rsidRPr="008F3CEA" w:rsidTr="009925A1">
        <w:trPr>
          <w:jc w:val="center"/>
        </w:trPr>
        <w:tc>
          <w:tcPr>
            <w:tcW w:w="1474" w:type="dxa"/>
            <w:tcBorders>
              <w:top w:val="single" w:sz="4" w:space="0" w:color="000000" w:themeColor="text1"/>
              <w:bottom w:val="single" w:sz="4" w:space="0" w:color="auto"/>
            </w:tcBorders>
            <w:shd w:val="clear" w:color="auto" w:fill="D9D9D9" w:themeFill="background1" w:themeFillShade="D9"/>
          </w:tcPr>
          <w:p w:rsidR="00550A30" w:rsidRPr="008F3CEA" w:rsidRDefault="00550A30" w:rsidP="009925A1">
            <w:pPr>
              <w:pStyle w:val="Paragrafoelenco"/>
              <w:ind w:left="0"/>
              <w:jc w:val="center"/>
              <w:rPr>
                <w:rFonts w:cstheme="minorHAnsi"/>
                <w:b/>
                <w:lang w:val="en-US"/>
              </w:rPr>
            </w:pPr>
            <w:r w:rsidRPr="008F3CEA">
              <w:rPr>
                <w:rFonts w:cstheme="minorHAnsi"/>
                <w:b/>
                <w:lang w:val="en-US"/>
              </w:rPr>
              <w:t>% CH/βTCP (w/w)</w:t>
            </w:r>
          </w:p>
        </w:tc>
        <w:tc>
          <w:tcPr>
            <w:tcW w:w="1474" w:type="dxa"/>
            <w:tcBorders>
              <w:top w:val="single" w:sz="4" w:space="0" w:color="000000" w:themeColor="text1"/>
              <w:bottom w:val="single" w:sz="4" w:space="0" w:color="auto"/>
            </w:tcBorders>
            <w:shd w:val="clear" w:color="auto" w:fill="D9D9D9" w:themeFill="background1" w:themeFillShade="D9"/>
          </w:tcPr>
          <w:p w:rsidR="00550A30" w:rsidRPr="008F3CEA" w:rsidRDefault="00550A30" w:rsidP="009925A1">
            <w:pPr>
              <w:pStyle w:val="Paragrafoelenco"/>
              <w:ind w:left="0"/>
              <w:jc w:val="center"/>
              <w:rPr>
                <w:rFonts w:cstheme="minorHAnsi"/>
                <w:b/>
                <w:lang w:val="en-US"/>
              </w:rPr>
            </w:pPr>
            <w:r w:rsidRPr="008F3CEA">
              <w:rPr>
                <w:rFonts w:cstheme="minorHAnsi"/>
                <w:b/>
                <w:lang w:val="en-US"/>
              </w:rPr>
              <w:t>GP 2.5% (w/w)</w:t>
            </w:r>
          </w:p>
        </w:tc>
        <w:tc>
          <w:tcPr>
            <w:tcW w:w="1474" w:type="dxa"/>
            <w:tcBorders>
              <w:top w:val="single" w:sz="4" w:space="0" w:color="000000" w:themeColor="text1"/>
              <w:bottom w:val="single" w:sz="4" w:space="0" w:color="auto"/>
            </w:tcBorders>
            <w:shd w:val="clear" w:color="auto" w:fill="D9D9D9" w:themeFill="background1" w:themeFillShade="D9"/>
          </w:tcPr>
          <w:p w:rsidR="00550A30" w:rsidRPr="008F3CEA" w:rsidRDefault="00550A30" w:rsidP="009925A1">
            <w:pPr>
              <w:pStyle w:val="Paragrafoelenco"/>
              <w:ind w:left="0"/>
              <w:jc w:val="center"/>
              <w:rPr>
                <w:rFonts w:cstheme="minorHAnsi"/>
                <w:b/>
                <w:lang w:val="en-US"/>
              </w:rPr>
            </w:pPr>
            <w:r w:rsidRPr="008F3CEA">
              <w:rPr>
                <w:rFonts w:cstheme="minorHAnsi"/>
                <w:b/>
                <w:lang w:val="en-US"/>
              </w:rPr>
              <w:t>GP 3.5% (w/w)</w:t>
            </w:r>
          </w:p>
        </w:tc>
        <w:tc>
          <w:tcPr>
            <w:tcW w:w="1474" w:type="dxa"/>
            <w:tcBorders>
              <w:top w:val="single" w:sz="4" w:space="0" w:color="000000" w:themeColor="text1"/>
              <w:bottom w:val="single" w:sz="4" w:space="0" w:color="auto"/>
            </w:tcBorders>
            <w:shd w:val="clear" w:color="auto" w:fill="D9D9D9" w:themeFill="background1" w:themeFillShade="D9"/>
          </w:tcPr>
          <w:p w:rsidR="00550A30" w:rsidRPr="008F3CEA" w:rsidRDefault="00550A30" w:rsidP="009925A1">
            <w:pPr>
              <w:pStyle w:val="Paragrafoelenco"/>
              <w:ind w:left="0"/>
              <w:jc w:val="center"/>
              <w:rPr>
                <w:rFonts w:cstheme="minorHAnsi"/>
                <w:b/>
                <w:lang w:val="en-US"/>
              </w:rPr>
            </w:pPr>
            <w:r w:rsidRPr="008F3CEA">
              <w:rPr>
                <w:rFonts w:cstheme="minorHAnsi"/>
                <w:b/>
                <w:lang w:val="en-US"/>
              </w:rPr>
              <w:t xml:space="preserve">GP 5% </w:t>
            </w:r>
          </w:p>
          <w:p w:rsidR="00550A30" w:rsidRPr="008F3CEA" w:rsidRDefault="00550A30" w:rsidP="009925A1">
            <w:pPr>
              <w:pStyle w:val="Paragrafoelenco"/>
              <w:ind w:left="0"/>
              <w:jc w:val="center"/>
              <w:rPr>
                <w:rFonts w:cstheme="minorHAnsi"/>
                <w:b/>
                <w:lang w:val="en-US"/>
              </w:rPr>
            </w:pPr>
            <w:r w:rsidRPr="008F3CEA">
              <w:rPr>
                <w:rFonts w:cstheme="minorHAnsi"/>
                <w:b/>
                <w:lang w:val="en-US"/>
              </w:rPr>
              <w:t>(w/w)</w:t>
            </w:r>
          </w:p>
        </w:tc>
        <w:tc>
          <w:tcPr>
            <w:tcW w:w="1474" w:type="dxa"/>
            <w:tcBorders>
              <w:top w:val="single" w:sz="4" w:space="0" w:color="000000" w:themeColor="text1"/>
              <w:bottom w:val="single" w:sz="4" w:space="0" w:color="auto"/>
            </w:tcBorders>
            <w:shd w:val="clear" w:color="auto" w:fill="D9D9D9" w:themeFill="background1" w:themeFillShade="D9"/>
          </w:tcPr>
          <w:p w:rsidR="00550A30" w:rsidRPr="008F3CEA" w:rsidRDefault="00550A30" w:rsidP="009925A1">
            <w:pPr>
              <w:pStyle w:val="Paragrafoelenco"/>
              <w:ind w:left="0"/>
              <w:jc w:val="center"/>
              <w:rPr>
                <w:rFonts w:cstheme="minorHAnsi"/>
                <w:b/>
                <w:lang w:val="en-US"/>
              </w:rPr>
            </w:pPr>
            <w:r w:rsidRPr="008F3CEA">
              <w:rPr>
                <w:rFonts w:cstheme="minorHAnsi"/>
                <w:b/>
                <w:lang w:val="en-US"/>
              </w:rPr>
              <w:t>GP 7.5% (w/w)</w:t>
            </w:r>
          </w:p>
        </w:tc>
      </w:tr>
      <w:tr w:rsidR="00550A30" w:rsidRPr="008F3CEA" w:rsidTr="009925A1">
        <w:trPr>
          <w:jc w:val="center"/>
        </w:trPr>
        <w:tc>
          <w:tcPr>
            <w:tcW w:w="1474" w:type="dxa"/>
            <w:tcBorders>
              <w:top w:val="single" w:sz="4" w:space="0" w:color="auto"/>
            </w:tcBorders>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90/10</w:t>
            </w:r>
          </w:p>
        </w:tc>
        <w:tc>
          <w:tcPr>
            <w:tcW w:w="1474" w:type="dxa"/>
            <w:tcBorders>
              <w:top w:val="single" w:sz="4" w:space="0" w:color="auto"/>
            </w:tcBorders>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75±5</w:t>
            </w:r>
          </w:p>
        </w:tc>
        <w:tc>
          <w:tcPr>
            <w:tcW w:w="1474" w:type="dxa"/>
            <w:tcBorders>
              <w:top w:val="single" w:sz="4" w:space="0" w:color="auto"/>
            </w:tcBorders>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66±5</w:t>
            </w:r>
          </w:p>
        </w:tc>
        <w:tc>
          <w:tcPr>
            <w:tcW w:w="1474" w:type="dxa"/>
            <w:tcBorders>
              <w:top w:val="single" w:sz="4" w:space="0" w:color="auto"/>
            </w:tcBorders>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46±6</w:t>
            </w:r>
          </w:p>
        </w:tc>
        <w:tc>
          <w:tcPr>
            <w:tcW w:w="1474" w:type="dxa"/>
            <w:tcBorders>
              <w:top w:val="single" w:sz="4" w:space="0" w:color="auto"/>
            </w:tcBorders>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48±2</w:t>
            </w:r>
          </w:p>
        </w:tc>
      </w:tr>
      <w:tr w:rsidR="00550A30" w:rsidRPr="008F3CEA" w:rsidTr="009925A1">
        <w:trPr>
          <w:jc w:val="center"/>
        </w:trPr>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70/30</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59±17</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52±13</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40±8</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32±3</w:t>
            </w:r>
          </w:p>
        </w:tc>
      </w:tr>
      <w:tr w:rsidR="00550A30" w:rsidRPr="008F3CEA" w:rsidTr="009925A1">
        <w:trPr>
          <w:jc w:val="center"/>
        </w:trPr>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50/50</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46±19</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40±20</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29±14</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25±4</w:t>
            </w:r>
          </w:p>
        </w:tc>
      </w:tr>
      <w:tr w:rsidR="00550A30" w:rsidRPr="008F3CEA" w:rsidTr="009925A1">
        <w:trPr>
          <w:jc w:val="center"/>
        </w:trPr>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30/70</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44±13</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36±9</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25±2</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24±2</w:t>
            </w:r>
          </w:p>
        </w:tc>
      </w:tr>
      <w:tr w:rsidR="00550A30" w:rsidRPr="008F3CEA" w:rsidTr="009925A1">
        <w:trPr>
          <w:jc w:val="center"/>
        </w:trPr>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10/90</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52±3</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47±3</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31±2</w:t>
            </w:r>
          </w:p>
        </w:tc>
        <w:tc>
          <w:tcPr>
            <w:tcW w:w="1474" w:type="dxa"/>
            <w:shd w:val="clear" w:color="auto" w:fill="D9D9D9" w:themeFill="background1" w:themeFillShade="D9"/>
          </w:tcPr>
          <w:p w:rsidR="00550A30" w:rsidRPr="008F3CEA" w:rsidRDefault="00550A30" w:rsidP="009925A1">
            <w:pPr>
              <w:pStyle w:val="Paragrafoelenco"/>
              <w:ind w:left="0"/>
              <w:jc w:val="center"/>
              <w:rPr>
                <w:rFonts w:cstheme="minorHAnsi"/>
                <w:lang w:val="en-US"/>
              </w:rPr>
            </w:pPr>
            <w:r w:rsidRPr="008F3CEA">
              <w:rPr>
                <w:rFonts w:cstheme="minorHAnsi"/>
                <w:lang w:val="en-US"/>
              </w:rPr>
              <w:t>27±2</w:t>
            </w:r>
          </w:p>
        </w:tc>
      </w:tr>
    </w:tbl>
    <w:p w:rsidR="00550A30" w:rsidRPr="008F3CEA" w:rsidRDefault="00550A30" w:rsidP="00550A30">
      <w:pPr>
        <w:pStyle w:val="Didascalia"/>
        <w:spacing w:before="120" w:line="360" w:lineRule="auto"/>
        <w:rPr>
          <w:rFonts w:ascii="Arial" w:hAnsi="Arial" w:cs="Arial"/>
          <w:b w:val="0"/>
          <w:sz w:val="28"/>
          <w:szCs w:val="28"/>
          <w:lang w:val="en-US"/>
        </w:rPr>
      </w:pPr>
      <w:r w:rsidRPr="008F3CEA">
        <w:rPr>
          <w:lang w:val="en-US"/>
        </w:rPr>
        <w:t xml:space="preserve">Table 4. </w:t>
      </w:r>
      <w:r w:rsidR="00860AC7" w:rsidRPr="008F3CEA">
        <w:fldChar w:fldCharType="begin"/>
      </w:r>
      <w:r w:rsidRPr="008F3CEA">
        <w:rPr>
          <w:lang w:val="en-US"/>
        </w:rPr>
        <w:instrText xml:space="preserve"> SEQ Table_4. \* ARABIC </w:instrText>
      </w:r>
      <w:r w:rsidR="00860AC7" w:rsidRPr="008F3CEA">
        <w:fldChar w:fldCharType="separate"/>
      </w:r>
      <w:r w:rsidRPr="008F3CEA">
        <w:rPr>
          <w:noProof/>
          <w:lang w:val="en-US"/>
        </w:rPr>
        <w:t>2</w:t>
      </w:r>
      <w:r w:rsidR="00860AC7" w:rsidRPr="008F3CEA">
        <w:fldChar w:fldCharType="end"/>
      </w:r>
      <w:r w:rsidRPr="008F3CEA">
        <w:rPr>
          <w:lang w:val="en-US"/>
        </w:rPr>
        <w:t xml:space="preserve">  Setting times recorded for all samples.</w:t>
      </w:r>
    </w:p>
    <w:p w:rsidR="00550A30" w:rsidRPr="008F3CEA" w:rsidRDefault="00550A30" w:rsidP="00550A30">
      <w:pPr>
        <w:spacing w:before="240" w:after="240" w:line="360" w:lineRule="auto"/>
        <w:jc w:val="both"/>
        <w:rPr>
          <w:rFonts w:ascii="Arial" w:hAnsi="Arial" w:cs="Arial"/>
          <w:b/>
          <w:i/>
          <w:color w:val="000000"/>
          <w:sz w:val="24"/>
          <w:szCs w:val="24"/>
          <w:lang w:eastAsia="it-IT"/>
        </w:rPr>
      </w:pPr>
      <w:r w:rsidRPr="008F3CEA">
        <w:rPr>
          <w:rFonts w:ascii="Arial" w:hAnsi="Arial" w:cs="Arial"/>
          <w:b/>
          <w:i/>
          <w:color w:val="000000"/>
          <w:sz w:val="24"/>
          <w:szCs w:val="24"/>
          <w:lang w:eastAsia="it-IT"/>
        </w:rPr>
        <w:t xml:space="preserve">4.3.1.2 </w:t>
      </w:r>
      <w:r w:rsidRPr="008F3CEA">
        <w:rPr>
          <w:rFonts w:ascii="Arial" w:hAnsi="Arial" w:cs="Arial"/>
          <w:b/>
          <w:bCs/>
          <w:i/>
          <w:iCs/>
          <w:sz w:val="24"/>
          <w:szCs w:val="24"/>
          <w:lang w:val="en-US"/>
        </w:rPr>
        <w:t>In vitro dissolution tests</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In order to assess the optimal GP concentration, dissolution tests were performed on all samples, by measuring their weight loss after 3, 7 and 14 days of soaking in phosphate buffer saline (PBS) at 37°C.</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Results are reported in figures 4.2–4.5 and show that no evident weight loss was recorded, regardless of the sample composition. </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The highest dissolution rate (17%) was observed for sample 50/50_GP5 after 14 day of incubation.</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As expected, the dissolution rate slightly increased with increasing soaking time and decreased at higher GP concentration. In fact the best behavior was observed for samples with the highest GP content (7.5%).</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In these conditions, samples prepared with an organic/inorganic ratio of 30/70 were the most stable, with a dissolution rate ranging from 0.8 ± 0.1% to 2.6 ± 0.5% after 3 and 14 days in PBS respectively (see table 4.3).</w:t>
      </w:r>
    </w:p>
    <w:p w:rsidR="00550A30" w:rsidRPr="008F3CEA" w:rsidRDefault="00550A30" w:rsidP="00550A30">
      <w:pPr>
        <w:pStyle w:val="Default"/>
        <w:spacing w:line="360" w:lineRule="auto"/>
        <w:jc w:val="both"/>
        <w:rPr>
          <w:lang w:val="en-US"/>
        </w:rPr>
      </w:pPr>
    </w:p>
    <w:p w:rsidR="00550A30" w:rsidRPr="008F3CEA" w:rsidRDefault="00550A30" w:rsidP="00550A30">
      <w:pPr>
        <w:spacing w:after="0" w:line="360" w:lineRule="auto"/>
        <w:jc w:val="center"/>
        <w:rPr>
          <w:rFonts w:ascii="Arial" w:hAnsi="Arial" w:cs="Arial"/>
          <w:b/>
          <w:sz w:val="24"/>
          <w:szCs w:val="24"/>
          <w:lang w:val="it-IT"/>
        </w:rPr>
      </w:pPr>
      <w:r w:rsidRPr="008F3CEA">
        <w:rPr>
          <w:rFonts w:ascii="Arial" w:hAnsi="Arial" w:cs="Arial"/>
          <w:b/>
          <w:noProof/>
          <w:sz w:val="24"/>
          <w:szCs w:val="24"/>
          <w:lang w:val="it-IT" w:eastAsia="it-IT"/>
        </w:rPr>
        <w:lastRenderedPageBreak/>
        <w:drawing>
          <wp:inline distT="0" distB="0" distL="0" distR="0">
            <wp:extent cx="4791060" cy="3285473"/>
            <wp:effectExtent l="19050" t="0" r="0" b="0"/>
            <wp:docPr id="11" name="Immagine 10" descr="DISSOLUTION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SOLUTION 1.png"/>
                    <pic:cNvPicPr/>
                  </pic:nvPicPr>
                  <pic:blipFill>
                    <a:blip r:embed="rId59"/>
                    <a:stretch>
                      <a:fillRect/>
                    </a:stretch>
                  </pic:blipFill>
                  <pic:spPr>
                    <a:xfrm>
                      <a:off x="0" y="0"/>
                      <a:ext cx="4791060" cy="3285473"/>
                    </a:xfrm>
                    <a:prstGeom prst="rect">
                      <a:avLst/>
                    </a:prstGeom>
                  </pic:spPr>
                </pic:pic>
              </a:graphicData>
            </a:graphic>
          </wp:inline>
        </w:drawing>
      </w:r>
    </w:p>
    <w:p w:rsidR="00550A30" w:rsidRPr="008F3CEA" w:rsidRDefault="00550A30" w:rsidP="00550A30">
      <w:pPr>
        <w:pStyle w:val="Didascalia"/>
        <w:rPr>
          <w:rFonts w:ascii="Arial" w:hAnsi="Arial" w:cs="Arial"/>
          <w:b w:val="0"/>
          <w:sz w:val="24"/>
          <w:szCs w:val="24"/>
          <w:lang w:val="en-US"/>
        </w:rPr>
      </w:pPr>
      <w:r w:rsidRPr="008F3CEA">
        <w:t xml:space="preserve">Figure 4. </w:t>
      </w:r>
      <w:fldSimple w:instr=" SEQ Figure_4. \* ARABIC ">
        <w:r w:rsidRPr="008F3CEA">
          <w:rPr>
            <w:noProof/>
          </w:rPr>
          <w:t>2</w:t>
        </w:r>
      </w:fldSimple>
      <w:r w:rsidRPr="008F3CEA">
        <w:t xml:space="preserve"> Dissolution tests performed on bone cements prepared with different organic/inorganic phase ratios and with a cross linker concentration of 2.5% w/v</w:t>
      </w:r>
    </w:p>
    <w:p w:rsidR="00550A30" w:rsidRPr="008F3CEA" w:rsidRDefault="00550A30" w:rsidP="00550A30">
      <w:pPr>
        <w:spacing w:after="0" w:line="360" w:lineRule="auto"/>
        <w:jc w:val="center"/>
        <w:rPr>
          <w:rFonts w:ascii="Arial" w:hAnsi="Arial" w:cs="Arial"/>
          <w:b/>
          <w:sz w:val="24"/>
          <w:szCs w:val="24"/>
          <w:lang w:val="it-IT"/>
        </w:rPr>
      </w:pPr>
      <w:r w:rsidRPr="008F3CEA">
        <w:rPr>
          <w:rFonts w:ascii="Arial" w:hAnsi="Arial" w:cs="Arial"/>
          <w:b/>
          <w:noProof/>
          <w:sz w:val="24"/>
          <w:szCs w:val="24"/>
          <w:lang w:val="it-IT" w:eastAsia="it-IT"/>
        </w:rPr>
        <w:drawing>
          <wp:inline distT="0" distB="0" distL="0" distR="0">
            <wp:extent cx="4888588" cy="3078226"/>
            <wp:effectExtent l="19050" t="0" r="7262" b="0"/>
            <wp:docPr id="12" name="Immagine 11" descr="DISSOLUTION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SOLUTION 2.png"/>
                    <pic:cNvPicPr/>
                  </pic:nvPicPr>
                  <pic:blipFill>
                    <a:blip r:embed="rId60"/>
                    <a:stretch>
                      <a:fillRect/>
                    </a:stretch>
                  </pic:blipFill>
                  <pic:spPr>
                    <a:xfrm>
                      <a:off x="0" y="0"/>
                      <a:ext cx="4888588" cy="3078226"/>
                    </a:xfrm>
                    <a:prstGeom prst="rect">
                      <a:avLst/>
                    </a:prstGeom>
                  </pic:spPr>
                </pic:pic>
              </a:graphicData>
            </a:graphic>
          </wp:inline>
        </w:drawing>
      </w:r>
    </w:p>
    <w:p w:rsidR="00550A30" w:rsidRPr="008F3CEA" w:rsidRDefault="00550A30" w:rsidP="00550A30">
      <w:pPr>
        <w:pStyle w:val="Didascalia"/>
        <w:rPr>
          <w:rFonts w:ascii="Arial" w:hAnsi="Arial" w:cs="Arial"/>
          <w:b w:val="0"/>
          <w:sz w:val="24"/>
          <w:szCs w:val="24"/>
          <w:lang w:val="en-US"/>
        </w:rPr>
      </w:pPr>
      <w:r w:rsidRPr="008F3CEA">
        <w:t xml:space="preserve">Figure 4. </w:t>
      </w:r>
      <w:fldSimple w:instr=" SEQ Figure_4. \* ARABIC ">
        <w:r w:rsidRPr="008F3CEA">
          <w:rPr>
            <w:noProof/>
          </w:rPr>
          <w:t>3</w:t>
        </w:r>
      </w:fldSimple>
      <w:r w:rsidRPr="008F3CEA">
        <w:t xml:space="preserve"> Dissolution tests performed on bone cements prepared with different organic/inorganic phase ratios and with a cross linker concentration of 3.5% w/v</w:t>
      </w:r>
    </w:p>
    <w:p w:rsidR="00550A30" w:rsidRPr="008F3CEA" w:rsidRDefault="00550A30" w:rsidP="00550A30">
      <w:pPr>
        <w:pStyle w:val="Didascalia"/>
        <w:rPr>
          <w:rFonts w:ascii="Arial" w:hAnsi="Arial" w:cs="Arial"/>
          <w:b w:val="0"/>
          <w:sz w:val="24"/>
          <w:szCs w:val="24"/>
          <w:lang w:val="en-US"/>
        </w:rPr>
      </w:pPr>
    </w:p>
    <w:p w:rsidR="00550A30" w:rsidRPr="008F3CEA" w:rsidRDefault="00550A30" w:rsidP="00550A30">
      <w:pPr>
        <w:spacing w:after="0" w:line="360" w:lineRule="auto"/>
        <w:jc w:val="center"/>
        <w:rPr>
          <w:rFonts w:ascii="Arial" w:hAnsi="Arial" w:cs="Arial"/>
          <w:b/>
          <w:sz w:val="24"/>
          <w:szCs w:val="24"/>
          <w:lang w:val="it-IT"/>
        </w:rPr>
      </w:pPr>
      <w:r w:rsidRPr="008F3CEA">
        <w:rPr>
          <w:rFonts w:ascii="Arial" w:hAnsi="Arial" w:cs="Arial"/>
          <w:b/>
          <w:noProof/>
          <w:sz w:val="24"/>
          <w:szCs w:val="24"/>
          <w:lang w:val="it-IT" w:eastAsia="it-IT"/>
        </w:rPr>
        <w:lastRenderedPageBreak/>
        <w:drawing>
          <wp:inline distT="0" distB="0" distL="0" distR="0">
            <wp:extent cx="4980021" cy="2870979"/>
            <wp:effectExtent l="19050" t="0" r="0" b="0"/>
            <wp:docPr id="13" name="Immagine 12" descr="DISSOLUTION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SOLUTION 3.png"/>
                    <pic:cNvPicPr/>
                  </pic:nvPicPr>
                  <pic:blipFill>
                    <a:blip r:embed="rId61"/>
                    <a:stretch>
                      <a:fillRect/>
                    </a:stretch>
                  </pic:blipFill>
                  <pic:spPr>
                    <a:xfrm>
                      <a:off x="0" y="0"/>
                      <a:ext cx="4980021" cy="2870979"/>
                    </a:xfrm>
                    <a:prstGeom prst="rect">
                      <a:avLst/>
                    </a:prstGeom>
                  </pic:spPr>
                </pic:pic>
              </a:graphicData>
            </a:graphic>
          </wp:inline>
        </w:drawing>
      </w:r>
    </w:p>
    <w:p w:rsidR="00550A30" w:rsidRPr="008F3CEA" w:rsidRDefault="00550A30" w:rsidP="00550A30">
      <w:pPr>
        <w:pStyle w:val="Didascalia"/>
        <w:rPr>
          <w:rFonts w:ascii="Arial" w:hAnsi="Arial" w:cs="Arial"/>
          <w:b w:val="0"/>
          <w:sz w:val="24"/>
          <w:szCs w:val="24"/>
          <w:lang w:val="en-US"/>
        </w:rPr>
      </w:pPr>
      <w:r w:rsidRPr="008F3CEA">
        <w:t xml:space="preserve">Figure 4. </w:t>
      </w:r>
      <w:fldSimple w:instr=" SEQ Figure_4. \* ARABIC ">
        <w:r w:rsidRPr="008F3CEA">
          <w:rPr>
            <w:noProof/>
          </w:rPr>
          <w:t>4</w:t>
        </w:r>
      </w:fldSimple>
      <w:r w:rsidRPr="008F3CEA">
        <w:t xml:space="preserve"> Dissolution tests performed on bone cements prepared with different organic/inorganic phase ratios and with a cross linker concentration of 5% w/v</w:t>
      </w:r>
    </w:p>
    <w:p w:rsidR="00550A30" w:rsidRPr="008F3CEA" w:rsidRDefault="00550A30" w:rsidP="00550A30">
      <w:pPr>
        <w:spacing w:after="0" w:line="360" w:lineRule="auto"/>
        <w:jc w:val="center"/>
        <w:rPr>
          <w:rFonts w:ascii="Arial" w:hAnsi="Arial" w:cs="Arial"/>
          <w:b/>
          <w:sz w:val="24"/>
          <w:szCs w:val="24"/>
          <w:lang w:val="it-IT"/>
        </w:rPr>
      </w:pPr>
      <w:r w:rsidRPr="008F3CEA">
        <w:rPr>
          <w:rFonts w:ascii="Arial" w:hAnsi="Arial" w:cs="Arial"/>
          <w:b/>
          <w:noProof/>
          <w:sz w:val="24"/>
          <w:szCs w:val="24"/>
          <w:lang w:val="it-IT" w:eastAsia="it-IT"/>
        </w:rPr>
        <w:drawing>
          <wp:inline distT="0" distB="0" distL="0" distR="0">
            <wp:extent cx="4943448" cy="3084321"/>
            <wp:effectExtent l="19050" t="0" r="0" b="0"/>
            <wp:docPr id="14" name="Immagine 13" descr="DISSOLUTION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SOLUTION 4.png"/>
                    <pic:cNvPicPr/>
                  </pic:nvPicPr>
                  <pic:blipFill>
                    <a:blip r:embed="rId62"/>
                    <a:stretch>
                      <a:fillRect/>
                    </a:stretch>
                  </pic:blipFill>
                  <pic:spPr>
                    <a:xfrm>
                      <a:off x="0" y="0"/>
                      <a:ext cx="4943448" cy="3084321"/>
                    </a:xfrm>
                    <a:prstGeom prst="rect">
                      <a:avLst/>
                    </a:prstGeom>
                  </pic:spPr>
                </pic:pic>
              </a:graphicData>
            </a:graphic>
          </wp:inline>
        </w:drawing>
      </w:r>
    </w:p>
    <w:p w:rsidR="00550A30" w:rsidRPr="008F3CEA" w:rsidRDefault="00550A30" w:rsidP="00550A30">
      <w:pPr>
        <w:pStyle w:val="Didascalia"/>
      </w:pPr>
      <w:r w:rsidRPr="008F3CEA">
        <w:t xml:space="preserve">Figure 4. </w:t>
      </w:r>
      <w:fldSimple w:instr=" SEQ Figure_4. \* ARABIC ">
        <w:r w:rsidRPr="008F3CEA">
          <w:rPr>
            <w:noProof/>
          </w:rPr>
          <w:t>5</w:t>
        </w:r>
      </w:fldSimple>
      <w:r w:rsidRPr="008F3CEA">
        <w:t xml:space="preserve"> Dissolution tests performed on bone cements prepared with different organic/inorganic phase ratios and with a cross linker concentration of 7.5% w/v</w:t>
      </w:r>
    </w:p>
    <w:tbl>
      <w:tblPr>
        <w:tblStyle w:val="Grigliatabella"/>
        <w:tblW w:w="0" w:type="auto"/>
        <w:jc w:val="center"/>
        <w:tblInd w:w="1145" w:type="dxa"/>
        <w:tblBorders>
          <w:left w:val="none" w:sz="0" w:space="0" w:color="auto"/>
          <w:right w:val="none" w:sz="0" w:space="0" w:color="auto"/>
          <w:insideH w:val="none" w:sz="0" w:space="0" w:color="auto"/>
          <w:insideV w:val="none" w:sz="0" w:space="0" w:color="auto"/>
        </w:tblBorders>
        <w:shd w:val="clear" w:color="auto" w:fill="D9D9D9" w:themeFill="background1" w:themeFillShade="D9"/>
        <w:tblLook w:val="04A0"/>
      </w:tblPr>
      <w:tblGrid>
        <w:gridCol w:w="2925"/>
        <w:gridCol w:w="2302"/>
      </w:tblGrid>
      <w:tr w:rsidR="00550A30" w:rsidRPr="008F3CEA" w:rsidTr="009925A1">
        <w:trPr>
          <w:trHeight w:val="340"/>
          <w:jc w:val="center"/>
        </w:trPr>
        <w:tc>
          <w:tcPr>
            <w:tcW w:w="2925" w:type="dxa"/>
            <w:tcBorders>
              <w:top w:val="single" w:sz="4" w:space="0" w:color="000000" w:themeColor="text1"/>
              <w:bottom w:val="single" w:sz="4" w:space="0" w:color="auto"/>
            </w:tcBorders>
            <w:shd w:val="clear" w:color="auto" w:fill="D9D9D9" w:themeFill="background1" w:themeFillShade="D9"/>
            <w:vAlign w:val="center"/>
          </w:tcPr>
          <w:p w:rsidR="00550A30" w:rsidRPr="008F3CEA" w:rsidRDefault="00550A30" w:rsidP="009925A1">
            <w:pPr>
              <w:jc w:val="center"/>
              <w:rPr>
                <w:rFonts w:cstheme="minorHAnsi"/>
                <w:b/>
                <w:lang w:val="en-US"/>
              </w:rPr>
            </w:pPr>
            <w:r w:rsidRPr="008F3CEA">
              <w:rPr>
                <w:rFonts w:cstheme="minorHAnsi"/>
                <w:b/>
                <w:lang w:val="en-US"/>
              </w:rPr>
              <w:t>Soaking time in PBS (days)</w:t>
            </w:r>
          </w:p>
        </w:tc>
        <w:tc>
          <w:tcPr>
            <w:tcW w:w="2302" w:type="dxa"/>
            <w:tcBorders>
              <w:top w:val="single" w:sz="4" w:space="0" w:color="000000" w:themeColor="text1"/>
              <w:bottom w:val="single" w:sz="4" w:space="0" w:color="auto"/>
            </w:tcBorders>
            <w:shd w:val="clear" w:color="auto" w:fill="D9D9D9" w:themeFill="background1" w:themeFillShade="D9"/>
            <w:vAlign w:val="center"/>
          </w:tcPr>
          <w:p w:rsidR="00550A30" w:rsidRPr="008F3CEA" w:rsidRDefault="00550A30" w:rsidP="009925A1">
            <w:pPr>
              <w:jc w:val="center"/>
              <w:rPr>
                <w:rFonts w:cstheme="minorHAnsi"/>
                <w:b/>
                <w:lang w:val="en-US"/>
              </w:rPr>
            </w:pPr>
            <w:r w:rsidRPr="008F3CEA">
              <w:rPr>
                <w:rFonts w:cstheme="minorHAnsi"/>
                <w:b/>
                <w:lang w:val="en-US"/>
              </w:rPr>
              <w:t>Dissolution rate (%)</w:t>
            </w:r>
          </w:p>
        </w:tc>
      </w:tr>
      <w:tr w:rsidR="00550A30" w:rsidRPr="008F3CEA" w:rsidTr="009925A1">
        <w:trPr>
          <w:trHeight w:val="283"/>
          <w:jc w:val="center"/>
        </w:trPr>
        <w:tc>
          <w:tcPr>
            <w:tcW w:w="2925" w:type="dxa"/>
            <w:tcBorders>
              <w:top w:val="single" w:sz="4" w:space="0" w:color="auto"/>
            </w:tcBorders>
            <w:shd w:val="clear" w:color="auto" w:fill="D9D9D9" w:themeFill="background1" w:themeFillShade="D9"/>
            <w:vAlign w:val="center"/>
          </w:tcPr>
          <w:p w:rsidR="00550A30" w:rsidRPr="008F3CEA" w:rsidRDefault="00550A30" w:rsidP="009925A1">
            <w:pPr>
              <w:jc w:val="center"/>
              <w:rPr>
                <w:rFonts w:cstheme="minorHAnsi"/>
                <w:lang w:val="en-US"/>
              </w:rPr>
            </w:pPr>
            <w:r w:rsidRPr="008F3CEA">
              <w:rPr>
                <w:rFonts w:cstheme="minorHAnsi"/>
                <w:lang w:val="en-US"/>
              </w:rPr>
              <w:t>3</w:t>
            </w:r>
          </w:p>
        </w:tc>
        <w:tc>
          <w:tcPr>
            <w:tcW w:w="2302" w:type="dxa"/>
            <w:tcBorders>
              <w:top w:val="single" w:sz="4" w:space="0" w:color="auto"/>
            </w:tcBorders>
            <w:shd w:val="clear" w:color="auto" w:fill="D9D9D9" w:themeFill="background1" w:themeFillShade="D9"/>
            <w:vAlign w:val="center"/>
          </w:tcPr>
          <w:p w:rsidR="00550A30" w:rsidRPr="008F3CEA" w:rsidRDefault="00550A30" w:rsidP="009925A1">
            <w:pPr>
              <w:jc w:val="center"/>
              <w:rPr>
                <w:rFonts w:cstheme="minorHAnsi"/>
                <w:lang w:val="en-US"/>
              </w:rPr>
            </w:pPr>
            <w:r w:rsidRPr="008F3CEA">
              <w:rPr>
                <w:rFonts w:cstheme="minorHAnsi"/>
                <w:lang w:val="en-US"/>
              </w:rPr>
              <w:t>0.8 ± 0.1</w:t>
            </w:r>
          </w:p>
        </w:tc>
      </w:tr>
      <w:tr w:rsidR="00550A30" w:rsidRPr="008F3CEA" w:rsidTr="009925A1">
        <w:trPr>
          <w:trHeight w:val="283"/>
          <w:jc w:val="center"/>
        </w:trPr>
        <w:tc>
          <w:tcPr>
            <w:tcW w:w="2925" w:type="dxa"/>
            <w:shd w:val="clear" w:color="auto" w:fill="D9D9D9" w:themeFill="background1" w:themeFillShade="D9"/>
            <w:vAlign w:val="center"/>
          </w:tcPr>
          <w:p w:rsidR="00550A30" w:rsidRPr="008F3CEA" w:rsidRDefault="00550A30" w:rsidP="009925A1">
            <w:pPr>
              <w:jc w:val="center"/>
              <w:rPr>
                <w:rFonts w:cstheme="minorHAnsi"/>
                <w:lang w:val="en-US"/>
              </w:rPr>
            </w:pPr>
            <w:r w:rsidRPr="008F3CEA">
              <w:rPr>
                <w:rFonts w:cstheme="minorHAnsi"/>
                <w:lang w:val="en-US"/>
              </w:rPr>
              <w:t>7</w:t>
            </w:r>
          </w:p>
        </w:tc>
        <w:tc>
          <w:tcPr>
            <w:tcW w:w="2302" w:type="dxa"/>
            <w:shd w:val="clear" w:color="auto" w:fill="D9D9D9" w:themeFill="background1" w:themeFillShade="D9"/>
            <w:vAlign w:val="center"/>
          </w:tcPr>
          <w:p w:rsidR="00550A30" w:rsidRPr="008F3CEA" w:rsidRDefault="00550A30" w:rsidP="009925A1">
            <w:pPr>
              <w:jc w:val="center"/>
              <w:rPr>
                <w:rFonts w:cstheme="minorHAnsi"/>
                <w:lang w:val="en-US"/>
              </w:rPr>
            </w:pPr>
            <w:r w:rsidRPr="008F3CEA">
              <w:rPr>
                <w:rFonts w:cstheme="minorHAnsi"/>
                <w:lang w:val="en-US"/>
              </w:rPr>
              <w:t>1.5 ± 0.1</w:t>
            </w:r>
          </w:p>
        </w:tc>
      </w:tr>
      <w:tr w:rsidR="00550A30" w:rsidRPr="008F3CEA" w:rsidTr="009925A1">
        <w:trPr>
          <w:trHeight w:val="283"/>
          <w:jc w:val="center"/>
        </w:trPr>
        <w:tc>
          <w:tcPr>
            <w:tcW w:w="2925" w:type="dxa"/>
            <w:shd w:val="clear" w:color="auto" w:fill="D9D9D9" w:themeFill="background1" w:themeFillShade="D9"/>
            <w:vAlign w:val="center"/>
          </w:tcPr>
          <w:p w:rsidR="00550A30" w:rsidRPr="008F3CEA" w:rsidRDefault="00550A30" w:rsidP="009925A1">
            <w:pPr>
              <w:jc w:val="center"/>
              <w:rPr>
                <w:rFonts w:cstheme="minorHAnsi"/>
                <w:lang w:val="en-US"/>
              </w:rPr>
            </w:pPr>
            <w:r w:rsidRPr="008F3CEA">
              <w:rPr>
                <w:rFonts w:cstheme="minorHAnsi"/>
                <w:lang w:val="en-US"/>
              </w:rPr>
              <w:t>14</w:t>
            </w:r>
          </w:p>
        </w:tc>
        <w:tc>
          <w:tcPr>
            <w:tcW w:w="2302" w:type="dxa"/>
            <w:shd w:val="clear" w:color="auto" w:fill="D9D9D9" w:themeFill="background1" w:themeFillShade="D9"/>
            <w:vAlign w:val="center"/>
          </w:tcPr>
          <w:p w:rsidR="00550A30" w:rsidRPr="008F3CEA" w:rsidRDefault="00550A30" w:rsidP="009925A1">
            <w:pPr>
              <w:jc w:val="center"/>
              <w:rPr>
                <w:rFonts w:cstheme="minorHAnsi"/>
                <w:lang w:val="en-US"/>
              </w:rPr>
            </w:pPr>
            <w:r w:rsidRPr="008F3CEA">
              <w:rPr>
                <w:rFonts w:cstheme="minorHAnsi"/>
                <w:lang w:val="en-US"/>
              </w:rPr>
              <w:t>2.6 ± 0.5</w:t>
            </w:r>
          </w:p>
        </w:tc>
      </w:tr>
    </w:tbl>
    <w:p w:rsidR="00550A30" w:rsidRPr="008F3CEA" w:rsidRDefault="00550A30" w:rsidP="00550A30">
      <w:pPr>
        <w:pStyle w:val="Didascalia"/>
        <w:spacing w:before="120" w:line="360" w:lineRule="auto"/>
        <w:rPr>
          <w:rFonts w:ascii="Arial" w:hAnsi="Arial" w:cs="Arial"/>
          <w:b w:val="0"/>
          <w:sz w:val="24"/>
          <w:szCs w:val="24"/>
          <w:lang w:val="en-US"/>
        </w:rPr>
      </w:pPr>
      <w:r w:rsidRPr="008F3CEA">
        <w:t xml:space="preserve">Table 4. </w:t>
      </w:r>
      <w:fldSimple w:instr=" SEQ Table_4. \* ARABIC ">
        <w:r w:rsidRPr="008F3CEA">
          <w:rPr>
            <w:noProof/>
          </w:rPr>
          <w:t>3</w:t>
        </w:r>
      </w:fldSimple>
      <w:r w:rsidRPr="008F3CEA">
        <w:t xml:space="preserve"> Dissolution rates of sample 30/70 GP 7.5 which showed the best behaviour in this test.</w:t>
      </w:r>
    </w:p>
    <w:p w:rsidR="00550A30" w:rsidRPr="008F3CEA" w:rsidRDefault="00550A30" w:rsidP="00550A30">
      <w:pPr>
        <w:pStyle w:val="Default"/>
        <w:spacing w:before="240" w:after="240" w:line="360" w:lineRule="auto"/>
        <w:rPr>
          <w:rFonts w:ascii="Arial" w:hAnsi="Arial" w:cs="Arial"/>
          <w:b/>
          <w:bCs/>
          <w:i/>
          <w:iCs/>
          <w:lang w:val="en-US"/>
        </w:rPr>
      </w:pPr>
    </w:p>
    <w:p w:rsidR="00550A30" w:rsidRPr="008F3CEA" w:rsidRDefault="00550A30" w:rsidP="00550A30">
      <w:pPr>
        <w:pStyle w:val="Default"/>
        <w:spacing w:before="240" w:after="240" w:line="360" w:lineRule="auto"/>
        <w:rPr>
          <w:rFonts w:ascii="Arial" w:hAnsi="Arial" w:cs="Arial"/>
          <w:b/>
          <w:bCs/>
          <w:i/>
          <w:iCs/>
          <w:lang w:val="en-US"/>
        </w:rPr>
      </w:pPr>
    </w:p>
    <w:p w:rsidR="00550A30" w:rsidRPr="008F3CEA" w:rsidRDefault="00550A30" w:rsidP="00550A30">
      <w:pPr>
        <w:pStyle w:val="Default"/>
        <w:spacing w:before="240" w:after="240" w:line="360" w:lineRule="auto"/>
        <w:rPr>
          <w:rFonts w:ascii="Arial" w:hAnsi="Arial" w:cs="Arial"/>
          <w:b/>
          <w:bCs/>
          <w:i/>
          <w:iCs/>
          <w:lang w:val="en-US"/>
        </w:rPr>
      </w:pPr>
      <w:r w:rsidRPr="008F3CEA">
        <w:rPr>
          <w:rFonts w:ascii="Arial" w:hAnsi="Arial" w:cs="Arial"/>
          <w:b/>
          <w:bCs/>
          <w:i/>
          <w:iCs/>
          <w:lang w:val="en-US"/>
        </w:rPr>
        <w:lastRenderedPageBreak/>
        <w:t>4.3.1.3 Determination of the compressive strength</w:t>
      </w:r>
    </w:p>
    <w:p w:rsidR="00550A30" w:rsidRPr="008F3CEA" w:rsidRDefault="00550A30" w:rsidP="00550A30">
      <w:pPr>
        <w:pStyle w:val="Default"/>
        <w:spacing w:line="360" w:lineRule="auto"/>
        <w:rPr>
          <w:sz w:val="23"/>
          <w:szCs w:val="23"/>
          <w:lang w:val="en-US"/>
        </w:rPr>
      </w:pPr>
    </w:p>
    <w:p w:rsidR="00550A30" w:rsidRPr="008F3CEA" w:rsidRDefault="00550A30" w:rsidP="00550A30">
      <w:pPr>
        <w:pStyle w:val="Default"/>
        <w:spacing w:after="120" w:line="360" w:lineRule="auto"/>
        <w:jc w:val="both"/>
        <w:rPr>
          <w:rFonts w:ascii="Arial" w:hAnsi="Arial" w:cs="Arial"/>
          <w:lang w:val="en-US"/>
        </w:rPr>
      </w:pPr>
      <w:r w:rsidRPr="008F3CEA">
        <w:rPr>
          <w:rFonts w:ascii="Arial" w:hAnsi="Arial" w:cs="Arial"/>
          <w:lang w:val="en-US"/>
        </w:rPr>
        <w:t xml:space="preserve">The samples behavior under compression has been assessed by determining the Young Modulus for compression (E). Results are summarized in figure 4.6, and show a Young Modulus for all samples ranging between 7.7 ± 1.2 kPa, for sample </w:t>
      </w:r>
      <w:r w:rsidRPr="008F3CEA">
        <w:rPr>
          <w:rFonts w:ascii="Arial" w:hAnsi="Arial" w:cs="Arial"/>
          <w:iCs/>
          <w:lang w:val="en-US"/>
        </w:rPr>
        <w:t xml:space="preserve">90/10_GP2.5, </w:t>
      </w:r>
      <w:r w:rsidRPr="008F3CEA">
        <w:rPr>
          <w:rFonts w:ascii="Arial" w:hAnsi="Arial" w:cs="Arial"/>
          <w:lang w:val="en-US"/>
        </w:rPr>
        <w:t xml:space="preserve">and 188.6 ± 36.3 kPa, for sample </w:t>
      </w:r>
      <w:r w:rsidRPr="008F3CEA">
        <w:rPr>
          <w:rFonts w:ascii="Arial" w:hAnsi="Arial" w:cs="Arial"/>
          <w:iCs/>
          <w:lang w:val="en-US"/>
        </w:rPr>
        <w:t>10/90_GP7.5.</w:t>
      </w:r>
      <w:r w:rsidRPr="008F3CEA">
        <w:rPr>
          <w:rFonts w:ascii="Arial" w:hAnsi="Arial" w:cs="Arial"/>
          <w:lang w:val="en-US"/>
        </w:rPr>
        <w:t xml:space="preserve"> </w:t>
      </w:r>
    </w:p>
    <w:p w:rsidR="00550A30" w:rsidRPr="008F3CEA" w:rsidRDefault="00550A30" w:rsidP="00550A30">
      <w:pPr>
        <w:spacing w:after="120" w:line="360" w:lineRule="auto"/>
        <w:jc w:val="center"/>
        <w:rPr>
          <w:rFonts w:ascii="Arial" w:hAnsi="Arial" w:cs="Arial"/>
          <w:b/>
          <w:bCs/>
          <w:sz w:val="24"/>
          <w:szCs w:val="24"/>
          <w:lang w:val="it-IT"/>
        </w:rPr>
      </w:pPr>
      <w:r w:rsidRPr="008F3CEA">
        <w:rPr>
          <w:rFonts w:ascii="Arial" w:hAnsi="Arial" w:cs="Arial"/>
          <w:b/>
          <w:bCs/>
          <w:noProof/>
          <w:sz w:val="24"/>
          <w:szCs w:val="24"/>
          <w:lang w:val="it-IT" w:eastAsia="it-IT"/>
        </w:rPr>
        <w:drawing>
          <wp:inline distT="0" distB="0" distL="0" distR="0">
            <wp:extent cx="5324475" cy="3638476"/>
            <wp:effectExtent l="19050" t="0" r="9525" b="0"/>
            <wp:docPr id="15" name="Immagine 14" descr="modulo elasti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ulo elastico.png"/>
                    <pic:cNvPicPr/>
                  </pic:nvPicPr>
                  <pic:blipFill>
                    <a:blip r:embed="rId63"/>
                    <a:stretch>
                      <a:fillRect/>
                    </a:stretch>
                  </pic:blipFill>
                  <pic:spPr>
                    <a:xfrm>
                      <a:off x="0" y="0"/>
                      <a:ext cx="5324475" cy="3638476"/>
                    </a:xfrm>
                    <a:prstGeom prst="rect">
                      <a:avLst/>
                    </a:prstGeom>
                  </pic:spPr>
                </pic:pic>
              </a:graphicData>
            </a:graphic>
          </wp:inline>
        </w:drawing>
      </w:r>
    </w:p>
    <w:p w:rsidR="00550A30" w:rsidRPr="008F3CEA" w:rsidRDefault="00550A30" w:rsidP="00550A30">
      <w:pPr>
        <w:pStyle w:val="Didascalia"/>
        <w:rPr>
          <w:rFonts w:ascii="Arial" w:hAnsi="Arial" w:cs="Arial"/>
          <w:b w:val="0"/>
          <w:bCs w:val="0"/>
          <w:sz w:val="24"/>
          <w:szCs w:val="24"/>
          <w:lang w:val="en-US"/>
        </w:rPr>
      </w:pPr>
      <w:r w:rsidRPr="008F3CEA">
        <w:rPr>
          <w:lang w:val="en-US"/>
        </w:rPr>
        <w:t xml:space="preserve">Figure 4. </w:t>
      </w:r>
      <w:r w:rsidR="00860AC7" w:rsidRPr="008F3CEA">
        <w:fldChar w:fldCharType="begin"/>
      </w:r>
      <w:r w:rsidRPr="008F3CEA">
        <w:rPr>
          <w:lang w:val="en-US"/>
        </w:rPr>
        <w:instrText xml:space="preserve"> SEQ Figure_4. \* ARABIC </w:instrText>
      </w:r>
      <w:r w:rsidR="00860AC7" w:rsidRPr="008F3CEA">
        <w:fldChar w:fldCharType="separate"/>
      </w:r>
      <w:r w:rsidRPr="008F3CEA">
        <w:rPr>
          <w:noProof/>
          <w:lang w:val="en-US"/>
        </w:rPr>
        <w:t>6</w:t>
      </w:r>
      <w:r w:rsidR="00860AC7" w:rsidRPr="008F3CEA">
        <w:fldChar w:fldCharType="end"/>
      </w:r>
      <w:r w:rsidRPr="008F3CEA">
        <w:t xml:space="preserve"> Elastic modulus of samples prepared with different organic/inorganic phase ration and concentration of cross linker.</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An increase in the amount of inorganic (βTCP) phase results in a considerable increase in the Young modulus for compression. This effect is particularly evident for samples cross-linked with the higher amount of Genipin (7.5%) which also showed the best hardening and dissolution behavior in the previous tests. In fact, Young Modulus values for these samples range from 51.1 ± 25.8 kPa for samples containing 10% inorganic phase, to 188.6 ± 36.3 for samples prepared with higher amount of βTCP (90%). </w:t>
      </w:r>
    </w:p>
    <w:p w:rsidR="00550A30" w:rsidRPr="008F3CEA" w:rsidRDefault="00550A30" w:rsidP="00550A30">
      <w:pPr>
        <w:pStyle w:val="Default"/>
        <w:spacing w:line="360" w:lineRule="auto"/>
        <w:jc w:val="both"/>
        <w:rPr>
          <w:rFonts w:ascii="Arial" w:hAnsi="Arial" w:cs="Arial"/>
          <w:lang w:val="en-GB"/>
        </w:rPr>
      </w:pPr>
      <w:r w:rsidRPr="008F3CEA">
        <w:rPr>
          <w:rFonts w:ascii="Arial" w:hAnsi="Arial" w:cs="Arial"/>
          <w:lang w:val="en-GB"/>
        </w:rPr>
        <w:t>The amount of cross-linker also showed an effect on the Young modulus for compression. In particular, increasing  GP content results in increased mechanical strength especially for those samples prepared with higher inorganic/organic phase ratio.</w:t>
      </w:r>
    </w:p>
    <w:p w:rsidR="00550A30" w:rsidRPr="008F3CEA" w:rsidRDefault="00550A30" w:rsidP="00550A30">
      <w:pPr>
        <w:pStyle w:val="Default"/>
        <w:spacing w:line="360" w:lineRule="auto"/>
        <w:jc w:val="both"/>
        <w:rPr>
          <w:sz w:val="23"/>
          <w:szCs w:val="23"/>
          <w:lang w:val="en-US"/>
        </w:rPr>
      </w:pPr>
      <w:r w:rsidRPr="008F3CEA">
        <w:rPr>
          <w:rFonts w:ascii="Arial" w:hAnsi="Arial" w:cs="Arial"/>
          <w:lang w:val="en-US"/>
        </w:rPr>
        <w:t xml:space="preserve">The obtained values are, in every case, superior to those reported in the literature for different polymeric bone cements of similar compositions [25]. The addition of natural </w:t>
      </w:r>
      <w:r w:rsidRPr="008F3CEA">
        <w:rPr>
          <w:rFonts w:ascii="Arial" w:hAnsi="Arial" w:cs="Arial"/>
          <w:lang w:val="en-US"/>
        </w:rPr>
        <w:lastRenderedPageBreak/>
        <w:t>collagen to the organic phase of the cement is expected to lead to a further increase in the cement mechanical properties.</w:t>
      </w:r>
      <w:r w:rsidRPr="008F3CEA">
        <w:rPr>
          <w:sz w:val="23"/>
          <w:szCs w:val="23"/>
          <w:lang w:val="en-US"/>
        </w:rPr>
        <w:t xml:space="preserve"> </w:t>
      </w:r>
    </w:p>
    <w:p w:rsidR="00550A30" w:rsidRPr="008F3CEA" w:rsidRDefault="00550A30" w:rsidP="00550A30">
      <w:pPr>
        <w:spacing w:before="240" w:after="240" w:line="360" w:lineRule="auto"/>
        <w:jc w:val="both"/>
        <w:rPr>
          <w:rFonts w:ascii="Arial" w:hAnsi="Arial" w:cs="Arial"/>
          <w:b/>
          <w:i/>
          <w:sz w:val="24"/>
          <w:szCs w:val="24"/>
          <w:lang w:val="en-US"/>
        </w:rPr>
      </w:pPr>
      <w:r w:rsidRPr="008F3CEA">
        <w:rPr>
          <w:rFonts w:ascii="Arial" w:hAnsi="Arial" w:cs="Arial"/>
          <w:b/>
          <w:i/>
          <w:sz w:val="24"/>
          <w:szCs w:val="24"/>
          <w:lang w:val="en-US"/>
        </w:rPr>
        <w:t>4.3.1.4 In Vitro bioactivity tests</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In order to be classified as biocompatible, a material must create an environment able to stimulate new tissue in-growth (osteogenesis) leading to the formation a natural mineralized junction between the surrounding tissue and the host material [26].</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Materials for bone regeneration may be classified into two main categories: (i) osteoconductive materials, which are able to actively stimulate new tissue in-growth, by promoting precipitation of apatite (Calcium phosphate) crystals and (ii) osteoinductive materials, which simply offer a favorable environment for tissue growth without any active stimulation [27].  </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β-TCP, used as inorganic phase during the preparation of the bone cement, is a calcium phosphate ceramic material, known to show bioactive and osteoconductive properties [28]. </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The ability of the GP-cross-linked βTCP-based bone cements to actively stimulate the deposition of new apatite crystals after immersion in SBF was therefore tested.</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Apatite deposition after two different immersion time-points (14 and 30 days) was qualitatively and semi-quantitatively investigated, by means of Scanning Electron Microscopy and EDS respectively. </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Since no difference has been observed in the bioactivity of samples cross-linked with different amounts of Genipin, results of bioactivity tests are reported only for samples containing 5% and 7.5% w/w cross-linker. </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SEM micrographs are summarized in figures 4.7-4.26, while the atomic content of the elements detected by EDS analysis are reported in tables 4.4 and 4.5.</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After 14 days of immersion in SBF, the formation of Hydroxyapatite crystals has been detected on the surface of all samples regardless of their composition. Samples prepared with higher inorganic/organic phase ratio showed higher bioactivity, as confirmed by EDS results which detected higher Ca and P content, indicating that the composition is a key parameter for a successful osteointegration.  </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As already observed, the amount of cross-linker added to the cement composition, does not affect the sample bioactivity. No difference in the percent of Ca and P between samples prepared with 5% and 7.5% GP was detected by EDS analysis, confirming  this observation.</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lastRenderedPageBreak/>
        <w:t xml:space="preserve">After 30 days of incubation the density of apatite crystals as well as the atomic percent of Ca and P ions increased for all samples, as shown by SEM micrographs and EDS analysis. </w:t>
      </w:r>
    </w:p>
    <w:p w:rsidR="00550A30" w:rsidRPr="008F3CEA" w:rsidRDefault="00550A30" w:rsidP="00550A30">
      <w:pPr>
        <w:spacing w:after="120" w:line="360" w:lineRule="auto"/>
        <w:jc w:val="both"/>
        <w:rPr>
          <w:rFonts w:ascii="Arial" w:hAnsi="Arial" w:cs="Arial"/>
          <w:sz w:val="24"/>
          <w:szCs w:val="24"/>
          <w:lang w:val="en-US"/>
        </w:rPr>
      </w:pPr>
      <w:r w:rsidRPr="008F3CEA">
        <w:rPr>
          <w:rFonts w:ascii="Arial" w:hAnsi="Arial" w:cs="Arial"/>
          <w:sz w:val="24"/>
          <w:szCs w:val="24"/>
          <w:lang w:val="en-US"/>
        </w:rPr>
        <w:t>Moreover, the molar ratio between Ca and P after 39 days of incubation ranges from 1.64 to 1.92, and is therefore very close to the theoretical ratio for hydroxyapatite (1.67) [26].</w:t>
      </w:r>
    </w:p>
    <w:p w:rsidR="00550A30" w:rsidRPr="008F3CEA" w:rsidRDefault="00550A30" w:rsidP="00550A30">
      <w:pPr>
        <w:spacing w:after="120"/>
      </w:pPr>
      <w:r w:rsidRPr="008F3CEA">
        <w:rPr>
          <w:noProof/>
          <w:lang w:val="it-IT" w:eastAsia="it-IT"/>
        </w:rPr>
        <w:drawing>
          <wp:inline distT="0" distB="0" distL="0" distR="0">
            <wp:extent cx="6120130" cy="2513033"/>
            <wp:effectExtent l="19050" t="0" r="0" b="0"/>
            <wp:docPr id="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srcRect/>
                    <a:stretch>
                      <a:fillRect/>
                    </a:stretch>
                  </pic:blipFill>
                  <pic:spPr bwMode="auto">
                    <a:xfrm>
                      <a:off x="0" y="0"/>
                      <a:ext cx="6120130" cy="2513033"/>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7</w:t>
        </w:r>
      </w:fldSimple>
      <w:r w:rsidRPr="008F3CEA">
        <w:t xml:space="preserve"> SEM micrographs of sample 90/10_GP 7.5 after 14 days of incubation</w:t>
      </w:r>
    </w:p>
    <w:p w:rsidR="00550A30" w:rsidRPr="008F3CEA" w:rsidRDefault="00550A30" w:rsidP="00550A30">
      <w:pPr>
        <w:spacing w:after="120"/>
      </w:pPr>
      <w:r w:rsidRPr="008F3CEA">
        <w:rPr>
          <w:noProof/>
          <w:lang w:val="it-IT" w:eastAsia="it-IT"/>
        </w:rPr>
        <w:drawing>
          <wp:inline distT="0" distB="0" distL="0" distR="0">
            <wp:extent cx="6120130" cy="2526294"/>
            <wp:effectExtent l="19050" t="0" r="0" b="0"/>
            <wp:docPr id="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srcRect/>
                    <a:stretch>
                      <a:fillRect/>
                    </a:stretch>
                  </pic:blipFill>
                  <pic:spPr bwMode="auto">
                    <a:xfrm>
                      <a:off x="0" y="0"/>
                      <a:ext cx="6120130" cy="2526294"/>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8</w:t>
        </w:r>
      </w:fldSimple>
      <w:r w:rsidRPr="008F3CEA">
        <w:t xml:space="preserve"> SEM micrographs of sample 70/30_GP 7.5 after 14 days of incubation</w:t>
      </w:r>
    </w:p>
    <w:p w:rsidR="00550A30" w:rsidRPr="008F3CEA" w:rsidRDefault="00550A30" w:rsidP="00550A30">
      <w:pPr>
        <w:pStyle w:val="Didascalia"/>
        <w:rPr>
          <w:b w:val="0"/>
          <w:bCs w:val="0"/>
          <w:color w:val="000000"/>
          <w:sz w:val="23"/>
          <w:szCs w:val="23"/>
          <w:lang w:val="en-US"/>
        </w:rPr>
      </w:pPr>
    </w:p>
    <w:p w:rsidR="00550A30" w:rsidRPr="008F3CEA" w:rsidRDefault="00550A30" w:rsidP="00550A30">
      <w:pPr>
        <w:pStyle w:val="Didascalia"/>
        <w:spacing w:after="120"/>
      </w:pPr>
      <w:r w:rsidRPr="008F3CEA">
        <w:rPr>
          <w:b w:val="0"/>
          <w:bCs w:val="0"/>
          <w:noProof/>
          <w:color w:val="000000"/>
          <w:sz w:val="23"/>
          <w:szCs w:val="23"/>
          <w:lang w:val="it-IT" w:eastAsia="it-IT"/>
        </w:rPr>
        <w:lastRenderedPageBreak/>
        <w:drawing>
          <wp:inline distT="0" distB="0" distL="0" distR="0">
            <wp:extent cx="6120130" cy="2510130"/>
            <wp:effectExtent l="19050" t="0" r="0" b="0"/>
            <wp:docPr id="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srcRect/>
                    <a:stretch>
                      <a:fillRect/>
                    </a:stretch>
                  </pic:blipFill>
                  <pic:spPr bwMode="auto">
                    <a:xfrm>
                      <a:off x="0" y="0"/>
                      <a:ext cx="6120130" cy="2510130"/>
                    </a:xfrm>
                    <a:prstGeom prst="rect">
                      <a:avLst/>
                    </a:prstGeom>
                    <a:noFill/>
                    <a:ln w="9525">
                      <a:noFill/>
                      <a:miter lim="800000"/>
                      <a:headEnd/>
                      <a:tailEnd/>
                    </a:ln>
                  </pic:spPr>
                </pic:pic>
              </a:graphicData>
            </a:graphic>
          </wp:inline>
        </w:drawing>
      </w:r>
    </w:p>
    <w:p w:rsidR="00550A30" w:rsidRPr="008F3CEA" w:rsidRDefault="00550A30" w:rsidP="00550A30">
      <w:pPr>
        <w:pStyle w:val="Didascalia"/>
      </w:pPr>
      <w:r w:rsidRPr="008F3CEA">
        <w:t xml:space="preserve">Figure 4. </w:t>
      </w:r>
      <w:fldSimple w:instr=" SEQ Figure_4. \* ARABIC ">
        <w:r w:rsidRPr="008F3CEA">
          <w:rPr>
            <w:noProof/>
          </w:rPr>
          <w:t>9</w:t>
        </w:r>
      </w:fldSimple>
      <w:r w:rsidRPr="008F3CEA">
        <w:t xml:space="preserve"> SEM micrographs of sample 50/50_GP 7.5 after 14 days of incubation</w:t>
      </w:r>
    </w:p>
    <w:p w:rsidR="00550A30" w:rsidRPr="008F3CEA" w:rsidRDefault="00550A30" w:rsidP="00550A30">
      <w:pPr>
        <w:autoSpaceDE w:val="0"/>
        <w:autoSpaceDN w:val="0"/>
        <w:adjustRightInd w:val="0"/>
        <w:spacing w:after="120"/>
        <w:rPr>
          <w:b/>
          <w:bCs/>
          <w:color w:val="000000"/>
          <w:sz w:val="23"/>
          <w:szCs w:val="23"/>
          <w:lang w:val="en-US"/>
        </w:rPr>
      </w:pPr>
      <w:r w:rsidRPr="008F3CEA">
        <w:rPr>
          <w:b/>
          <w:bCs/>
          <w:noProof/>
          <w:color w:val="000000"/>
          <w:sz w:val="23"/>
          <w:szCs w:val="23"/>
          <w:lang w:val="it-IT" w:eastAsia="it-IT"/>
        </w:rPr>
        <w:drawing>
          <wp:inline distT="0" distB="0" distL="0" distR="0">
            <wp:extent cx="5975985" cy="2402048"/>
            <wp:effectExtent l="19050" t="0" r="5715" b="0"/>
            <wp:docPr id="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a:srcRect/>
                    <a:stretch>
                      <a:fillRect/>
                    </a:stretch>
                  </pic:blipFill>
                  <pic:spPr bwMode="auto">
                    <a:xfrm>
                      <a:off x="0" y="0"/>
                      <a:ext cx="5975985" cy="2402048"/>
                    </a:xfrm>
                    <a:prstGeom prst="rect">
                      <a:avLst/>
                    </a:prstGeom>
                    <a:noFill/>
                    <a:ln w="9525">
                      <a:noFill/>
                      <a:miter lim="800000"/>
                      <a:headEnd/>
                      <a:tailEnd/>
                    </a:ln>
                  </pic:spPr>
                </pic:pic>
              </a:graphicData>
            </a:graphic>
          </wp:inline>
        </w:drawing>
      </w:r>
    </w:p>
    <w:p w:rsidR="00550A30" w:rsidRPr="008F3CEA" w:rsidRDefault="00550A30" w:rsidP="00550A30">
      <w:pPr>
        <w:pStyle w:val="Didascalia"/>
      </w:pPr>
      <w:r w:rsidRPr="008F3CEA">
        <w:t xml:space="preserve">Figure 4. </w:t>
      </w:r>
      <w:fldSimple w:instr=" SEQ Figure_4. \* ARABIC ">
        <w:r w:rsidRPr="008F3CEA">
          <w:rPr>
            <w:noProof/>
          </w:rPr>
          <w:t>10</w:t>
        </w:r>
      </w:fldSimple>
      <w:r w:rsidRPr="008F3CEA">
        <w:t xml:space="preserve"> SEM micrographs of sample 30/70_GP 7.5 after 14 days of incubation</w:t>
      </w:r>
    </w:p>
    <w:p w:rsidR="00550A30" w:rsidRPr="008F3CEA" w:rsidRDefault="00550A30" w:rsidP="00550A30">
      <w:pPr>
        <w:spacing w:after="120"/>
      </w:pPr>
      <w:r w:rsidRPr="008F3CEA">
        <w:rPr>
          <w:noProof/>
          <w:lang w:val="it-IT" w:eastAsia="it-IT"/>
        </w:rPr>
        <w:drawing>
          <wp:inline distT="0" distB="0" distL="0" distR="0">
            <wp:extent cx="5975985" cy="2399700"/>
            <wp:effectExtent l="19050" t="0" r="5715" b="0"/>
            <wp:docPr id="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
                    <a:srcRect/>
                    <a:stretch>
                      <a:fillRect/>
                    </a:stretch>
                  </pic:blipFill>
                  <pic:spPr bwMode="auto">
                    <a:xfrm>
                      <a:off x="0" y="0"/>
                      <a:ext cx="5975985" cy="2399700"/>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11</w:t>
        </w:r>
      </w:fldSimple>
      <w:r w:rsidRPr="008F3CEA">
        <w:t xml:space="preserve"> SEM micrographs of sample 10/90_GP 7,5 after 14 days of incubation</w:t>
      </w:r>
    </w:p>
    <w:p w:rsidR="00550A30" w:rsidRPr="008F3CEA" w:rsidRDefault="00550A30" w:rsidP="00550A30"/>
    <w:p w:rsidR="00550A30" w:rsidRPr="008F3CEA" w:rsidRDefault="00550A30" w:rsidP="00550A30">
      <w:pPr>
        <w:spacing w:after="120"/>
      </w:pPr>
      <w:r w:rsidRPr="008F3CEA">
        <w:rPr>
          <w:noProof/>
          <w:lang w:val="it-IT" w:eastAsia="it-IT"/>
        </w:rPr>
        <w:lastRenderedPageBreak/>
        <w:drawing>
          <wp:inline distT="0" distB="0" distL="0" distR="0">
            <wp:extent cx="5975985" cy="2477365"/>
            <wp:effectExtent l="19050" t="0" r="5715" b="0"/>
            <wp:docPr id="8"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a:srcRect/>
                    <a:stretch>
                      <a:fillRect/>
                    </a:stretch>
                  </pic:blipFill>
                  <pic:spPr bwMode="auto">
                    <a:xfrm>
                      <a:off x="0" y="0"/>
                      <a:ext cx="5975985" cy="2477365"/>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12</w:t>
        </w:r>
      </w:fldSimple>
      <w:r w:rsidRPr="008F3CEA">
        <w:t xml:space="preserve"> SEM micrographs of sample 10/90_GP 5 after 14 days of incubation</w:t>
      </w:r>
    </w:p>
    <w:p w:rsidR="00550A30" w:rsidRPr="008F3CEA" w:rsidRDefault="00550A30" w:rsidP="00550A30">
      <w:pPr>
        <w:spacing w:after="120"/>
      </w:pPr>
      <w:r w:rsidRPr="008F3CEA">
        <w:rPr>
          <w:noProof/>
          <w:lang w:val="it-IT" w:eastAsia="it-IT"/>
        </w:rPr>
        <w:drawing>
          <wp:inline distT="0" distB="0" distL="0" distR="0">
            <wp:extent cx="5975985" cy="2446808"/>
            <wp:effectExtent l="19050" t="0" r="5715" b="0"/>
            <wp:docPr id="33"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0"/>
                    <a:srcRect/>
                    <a:stretch>
                      <a:fillRect/>
                    </a:stretch>
                  </pic:blipFill>
                  <pic:spPr bwMode="auto">
                    <a:xfrm>
                      <a:off x="0" y="0"/>
                      <a:ext cx="5975985" cy="2446808"/>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13</w:t>
        </w:r>
      </w:fldSimple>
      <w:r w:rsidRPr="008F3CEA">
        <w:t xml:space="preserve"> SEM micrographs of sample 30/70_GP 5 after 14 days of incubation</w:t>
      </w:r>
    </w:p>
    <w:p w:rsidR="00550A30" w:rsidRPr="008F3CEA" w:rsidRDefault="00550A30" w:rsidP="00550A30">
      <w:pPr>
        <w:spacing w:after="120"/>
      </w:pPr>
      <w:r w:rsidRPr="008F3CEA">
        <w:rPr>
          <w:noProof/>
          <w:lang w:val="it-IT" w:eastAsia="it-IT"/>
        </w:rPr>
        <w:drawing>
          <wp:inline distT="0" distB="0" distL="0" distR="0">
            <wp:extent cx="5975985" cy="2365357"/>
            <wp:effectExtent l="19050" t="0" r="5715" b="0"/>
            <wp:docPr id="34"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1"/>
                    <a:srcRect/>
                    <a:stretch>
                      <a:fillRect/>
                    </a:stretch>
                  </pic:blipFill>
                  <pic:spPr bwMode="auto">
                    <a:xfrm>
                      <a:off x="0" y="0"/>
                      <a:ext cx="5975985" cy="2365357"/>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14</w:t>
        </w:r>
      </w:fldSimple>
      <w:r w:rsidRPr="008F3CEA">
        <w:t xml:space="preserve"> SEM micrographs of sample 50/50_GP 5 after 14 days of incubation</w:t>
      </w:r>
    </w:p>
    <w:p w:rsidR="00550A30" w:rsidRPr="008F3CEA" w:rsidRDefault="00550A30" w:rsidP="00550A30">
      <w:pPr>
        <w:spacing w:after="120" w:line="360" w:lineRule="auto"/>
        <w:jc w:val="both"/>
        <w:rPr>
          <w:sz w:val="23"/>
          <w:szCs w:val="23"/>
          <w:lang w:val="en-US"/>
        </w:rPr>
      </w:pPr>
      <w:r w:rsidRPr="008F3CEA">
        <w:rPr>
          <w:noProof/>
          <w:sz w:val="23"/>
          <w:szCs w:val="23"/>
          <w:lang w:val="it-IT" w:eastAsia="it-IT"/>
        </w:rPr>
        <w:lastRenderedPageBreak/>
        <w:drawing>
          <wp:inline distT="0" distB="0" distL="0" distR="0">
            <wp:extent cx="5975985" cy="2448632"/>
            <wp:effectExtent l="19050" t="0" r="5715" b="0"/>
            <wp:docPr id="9"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2"/>
                    <a:srcRect/>
                    <a:stretch>
                      <a:fillRect/>
                    </a:stretch>
                  </pic:blipFill>
                  <pic:spPr bwMode="auto">
                    <a:xfrm>
                      <a:off x="0" y="0"/>
                      <a:ext cx="5975985" cy="2448632"/>
                    </a:xfrm>
                    <a:prstGeom prst="rect">
                      <a:avLst/>
                    </a:prstGeom>
                    <a:noFill/>
                    <a:ln w="9525">
                      <a:noFill/>
                      <a:miter lim="800000"/>
                      <a:headEnd/>
                      <a:tailEnd/>
                    </a:ln>
                  </pic:spPr>
                </pic:pic>
              </a:graphicData>
            </a:graphic>
          </wp:inline>
        </w:drawing>
      </w:r>
    </w:p>
    <w:p w:rsidR="00550A30" w:rsidRPr="008F3CEA" w:rsidRDefault="00550A30" w:rsidP="00550A30">
      <w:pPr>
        <w:pStyle w:val="Didascalia"/>
      </w:pPr>
      <w:r w:rsidRPr="008F3CEA">
        <w:t xml:space="preserve">Figure 4. </w:t>
      </w:r>
      <w:fldSimple w:instr=" SEQ Figure_4. \* ARABIC ">
        <w:r w:rsidRPr="008F3CEA">
          <w:rPr>
            <w:noProof/>
          </w:rPr>
          <w:t>15</w:t>
        </w:r>
      </w:fldSimple>
      <w:r w:rsidRPr="008F3CEA">
        <w:t xml:space="preserve"> SEM micrographs of sample 30/70_GP 5 after 14 days of incubation</w:t>
      </w:r>
    </w:p>
    <w:p w:rsidR="00550A30" w:rsidRPr="008F3CEA" w:rsidRDefault="00550A30" w:rsidP="00550A30">
      <w:pPr>
        <w:spacing w:after="120"/>
        <w:rPr>
          <w:lang w:val="en-US"/>
        </w:rPr>
      </w:pPr>
      <w:r w:rsidRPr="008F3CEA">
        <w:rPr>
          <w:noProof/>
          <w:lang w:val="it-IT" w:eastAsia="it-IT"/>
        </w:rPr>
        <w:drawing>
          <wp:inline distT="0" distB="0" distL="0" distR="0">
            <wp:extent cx="5975985" cy="2442014"/>
            <wp:effectExtent l="19050" t="0" r="5715" b="0"/>
            <wp:docPr id="16"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3"/>
                    <a:srcRect/>
                    <a:stretch>
                      <a:fillRect/>
                    </a:stretch>
                  </pic:blipFill>
                  <pic:spPr bwMode="auto">
                    <a:xfrm>
                      <a:off x="0" y="0"/>
                      <a:ext cx="5975985" cy="2442014"/>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rPr>
          <w:lang w:val="en-US"/>
        </w:rPr>
      </w:pPr>
      <w:r w:rsidRPr="008F3CEA">
        <w:t xml:space="preserve">Figure 4. </w:t>
      </w:r>
      <w:fldSimple w:instr=" SEQ Figure_4. \* ARABIC ">
        <w:r w:rsidRPr="008F3CEA">
          <w:rPr>
            <w:noProof/>
          </w:rPr>
          <w:t>16</w:t>
        </w:r>
      </w:fldSimple>
      <w:r w:rsidRPr="008F3CEA">
        <w:t xml:space="preserve"> SEM micrographs of sample 10/90_GP 5 after 14 days of incubation</w:t>
      </w:r>
    </w:p>
    <w:p w:rsidR="00550A30" w:rsidRPr="008F3CEA" w:rsidRDefault="00550A30" w:rsidP="00550A30">
      <w:pPr>
        <w:spacing w:after="0" w:line="360" w:lineRule="auto"/>
        <w:jc w:val="center"/>
        <w:rPr>
          <w:sz w:val="23"/>
          <w:szCs w:val="23"/>
          <w:lang w:val="it-IT"/>
        </w:rPr>
      </w:pPr>
      <w:r w:rsidRPr="008F3CEA">
        <w:rPr>
          <w:noProof/>
          <w:sz w:val="23"/>
          <w:szCs w:val="23"/>
          <w:lang w:val="it-IT" w:eastAsia="it-IT"/>
        </w:rPr>
        <w:drawing>
          <wp:inline distT="0" distB="0" distL="0" distR="0">
            <wp:extent cx="4858111" cy="1225195"/>
            <wp:effectExtent l="0" t="0" r="0" b="0"/>
            <wp:docPr id="17" name="Immagine 0" descr="Immagin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3.png"/>
                    <pic:cNvPicPr/>
                  </pic:nvPicPr>
                  <pic:blipFill>
                    <a:blip r:embed="rId74"/>
                    <a:stretch>
                      <a:fillRect/>
                    </a:stretch>
                  </pic:blipFill>
                  <pic:spPr>
                    <a:xfrm>
                      <a:off x="0" y="0"/>
                      <a:ext cx="4858111" cy="1225195"/>
                    </a:xfrm>
                    <a:prstGeom prst="rect">
                      <a:avLst/>
                    </a:prstGeom>
                  </pic:spPr>
                </pic:pic>
              </a:graphicData>
            </a:graphic>
          </wp:inline>
        </w:drawing>
      </w:r>
    </w:p>
    <w:p w:rsidR="00550A30" w:rsidRPr="008F3CEA" w:rsidRDefault="00550A30" w:rsidP="00550A30">
      <w:pPr>
        <w:pStyle w:val="Didascalia"/>
      </w:pPr>
      <w:r w:rsidRPr="008F3CEA">
        <w:t xml:space="preserve">Table 4. </w:t>
      </w:r>
      <w:fldSimple w:instr=" SEQ Table_4. \* ARABIC ">
        <w:r w:rsidRPr="008F3CEA">
          <w:rPr>
            <w:noProof/>
          </w:rPr>
          <w:t>4</w:t>
        </w:r>
      </w:fldSimple>
      <w:r w:rsidRPr="008F3CEA">
        <w:t xml:space="preserve"> Atomic composition of the surface of all samples after 14 day of incubation in SBF, detected by EDS analysis.</w:t>
      </w:r>
    </w:p>
    <w:p w:rsidR="00550A30" w:rsidRPr="008F3CEA" w:rsidRDefault="00550A30" w:rsidP="00550A30">
      <w:pPr>
        <w:spacing w:after="120"/>
        <w:rPr>
          <w:lang w:val="en-US"/>
        </w:rPr>
      </w:pPr>
      <w:r w:rsidRPr="008F3CEA">
        <w:rPr>
          <w:noProof/>
          <w:lang w:val="it-IT" w:eastAsia="it-IT"/>
        </w:rPr>
        <w:lastRenderedPageBreak/>
        <w:drawing>
          <wp:inline distT="0" distB="0" distL="0" distR="0">
            <wp:extent cx="5975985" cy="2456719"/>
            <wp:effectExtent l="19050" t="0" r="5715" b="0"/>
            <wp:docPr id="1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5"/>
                    <a:srcRect/>
                    <a:stretch>
                      <a:fillRect/>
                    </a:stretch>
                  </pic:blipFill>
                  <pic:spPr bwMode="auto">
                    <a:xfrm>
                      <a:off x="0" y="0"/>
                      <a:ext cx="5975985" cy="2456719"/>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17</w:t>
        </w:r>
      </w:fldSimple>
      <w:r w:rsidRPr="008F3CEA">
        <w:t xml:space="preserve"> SEM micrographs of sample 90/10_GP 7.5 after 30 days of incubation</w:t>
      </w:r>
    </w:p>
    <w:p w:rsidR="00550A30" w:rsidRPr="008F3CEA" w:rsidRDefault="00550A30" w:rsidP="00550A30">
      <w:pPr>
        <w:spacing w:after="120"/>
        <w:rPr>
          <w:lang w:val="en-US"/>
        </w:rPr>
      </w:pPr>
      <w:r w:rsidRPr="008F3CEA">
        <w:rPr>
          <w:noProof/>
          <w:lang w:val="it-IT" w:eastAsia="it-IT"/>
        </w:rPr>
        <w:drawing>
          <wp:inline distT="0" distB="0" distL="0" distR="0">
            <wp:extent cx="5975985" cy="2295933"/>
            <wp:effectExtent l="19050" t="0" r="5715" b="0"/>
            <wp:docPr id="1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6"/>
                    <a:srcRect/>
                    <a:stretch>
                      <a:fillRect/>
                    </a:stretch>
                  </pic:blipFill>
                  <pic:spPr bwMode="auto">
                    <a:xfrm>
                      <a:off x="0" y="0"/>
                      <a:ext cx="5975985" cy="2295933"/>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18</w:t>
        </w:r>
      </w:fldSimple>
      <w:r w:rsidRPr="008F3CEA">
        <w:t xml:space="preserve"> SEM micrographs of sample 70/30_GP 7.5 after 30 days of incubation</w:t>
      </w:r>
    </w:p>
    <w:p w:rsidR="00550A30" w:rsidRPr="008F3CEA" w:rsidRDefault="00550A30" w:rsidP="00550A30">
      <w:pPr>
        <w:spacing w:after="120"/>
        <w:rPr>
          <w:lang w:val="en-US"/>
        </w:rPr>
      </w:pPr>
      <w:r w:rsidRPr="008F3CEA">
        <w:rPr>
          <w:noProof/>
          <w:lang w:val="it-IT" w:eastAsia="it-IT"/>
        </w:rPr>
        <w:drawing>
          <wp:inline distT="0" distB="0" distL="0" distR="0">
            <wp:extent cx="5975985" cy="2414009"/>
            <wp:effectExtent l="19050" t="0" r="5715" b="0"/>
            <wp:docPr id="2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7"/>
                    <a:srcRect/>
                    <a:stretch>
                      <a:fillRect/>
                    </a:stretch>
                  </pic:blipFill>
                  <pic:spPr bwMode="auto">
                    <a:xfrm>
                      <a:off x="0" y="0"/>
                      <a:ext cx="5975985" cy="2414009"/>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19</w:t>
        </w:r>
      </w:fldSimple>
      <w:r w:rsidRPr="008F3CEA">
        <w:t xml:space="preserve"> SEM micrographs of sample 50/50_GP 7.5 after 30 days of incubation</w:t>
      </w:r>
    </w:p>
    <w:p w:rsidR="00550A30" w:rsidRPr="008F3CEA" w:rsidRDefault="00550A30" w:rsidP="00550A30">
      <w:pPr>
        <w:spacing w:after="120"/>
        <w:rPr>
          <w:lang w:val="en-US"/>
        </w:rPr>
      </w:pPr>
      <w:r w:rsidRPr="008F3CEA">
        <w:rPr>
          <w:noProof/>
          <w:lang w:val="it-IT" w:eastAsia="it-IT"/>
        </w:rPr>
        <w:lastRenderedPageBreak/>
        <w:drawing>
          <wp:inline distT="0" distB="0" distL="0" distR="0">
            <wp:extent cx="5975985" cy="2387770"/>
            <wp:effectExtent l="19050" t="0" r="5715" b="0"/>
            <wp:docPr id="2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8"/>
                    <a:srcRect/>
                    <a:stretch>
                      <a:fillRect/>
                    </a:stretch>
                  </pic:blipFill>
                  <pic:spPr bwMode="auto">
                    <a:xfrm>
                      <a:off x="0" y="0"/>
                      <a:ext cx="5975985" cy="2387770"/>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20</w:t>
        </w:r>
      </w:fldSimple>
      <w:r w:rsidRPr="008F3CEA">
        <w:t xml:space="preserve"> SEM micrographs of sample 30/70_GP 7.5 after 30 days of incubation</w:t>
      </w:r>
    </w:p>
    <w:p w:rsidR="00550A30" w:rsidRPr="008F3CEA" w:rsidRDefault="00550A30" w:rsidP="00550A30">
      <w:pPr>
        <w:spacing w:after="120"/>
        <w:rPr>
          <w:lang w:val="en-US"/>
        </w:rPr>
      </w:pPr>
      <w:r w:rsidRPr="008F3CEA">
        <w:rPr>
          <w:noProof/>
          <w:lang w:val="it-IT" w:eastAsia="it-IT"/>
        </w:rPr>
        <w:drawing>
          <wp:inline distT="0" distB="0" distL="0" distR="0">
            <wp:extent cx="5975985" cy="2375835"/>
            <wp:effectExtent l="19050" t="0" r="5715" b="0"/>
            <wp:docPr id="2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9"/>
                    <a:srcRect/>
                    <a:stretch>
                      <a:fillRect/>
                    </a:stretch>
                  </pic:blipFill>
                  <pic:spPr bwMode="auto">
                    <a:xfrm>
                      <a:off x="0" y="0"/>
                      <a:ext cx="5975985" cy="2375835"/>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21</w:t>
        </w:r>
      </w:fldSimple>
      <w:r w:rsidRPr="008F3CEA">
        <w:t xml:space="preserve"> SEM micrographs of sample 10/90_GP 7.5 after 30 days of incubation</w:t>
      </w:r>
    </w:p>
    <w:p w:rsidR="00550A30" w:rsidRPr="008F3CEA" w:rsidRDefault="00550A30" w:rsidP="00550A30">
      <w:pPr>
        <w:spacing w:after="120"/>
      </w:pPr>
      <w:r w:rsidRPr="008F3CEA">
        <w:rPr>
          <w:noProof/>
          <w:lang w:val="it-IT" w:eastAsia="it-IT"/>
        </w:rPr>
        <w:drawing>
          <wp:inline distT="0" distB="0" distL="0" distR="0">
            <wp:extent cx="5975985" cy="2505847"/>
            <wp:effectExtent l="19050" t="0" r="5715" b="0"/>
            <wp:docPr id="25"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0"/>
                    <a:srcRect/>
                    <a:stretch>
                      <a:fillRect/>
                    </a:stretch>
                  </pic:blipFill>
                  <pic:spPr bwMode="auto">
                    <a:xfrm>
                      <a:off x="0" y="0"/>
                      <a:ext cx="5975985" cy="2505847"/>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22</w:t>
        </w:r>
      </w:fldSimple>
      <w:r w:rsidRPr="008F3CEA">
        <w:t xml:space="preserve"> SEM micrographs of sample 90/10_GP 5 after 30 days of incubation</w:t>
      </w:r>
    </w:p>
    <w:p w:rsidR="00550A30" w:rsidRPr="008F3CEA" w:rsidRDefault="00550A30" w:rsidP="00550A30">
      <w:pPr>
        <w:spacing w:after="120"/>
      </w:pPr>
      <w:r w:rsidRPr="008F3CEA">
        <w:rPr>
          <w:noProof/>
          <w:lang w:val="it-IT" w:eastAsia="it-IT"/>
        </w:rPr>
        <w:lastRenderedPageBreak/>
        <w:drawing>
          <wp:inline distT="0" distB="0" distL="0" distR="0">
            <wp:extent cx="5975985" cy="2394330"/>
            <wp:effectExtent l="19050" t="0" r="5715" b="0"/>
            <wp:docPr id="26"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1"/>
                    <a:srcRect/>
                    <a:stretch>
                      <a:fillRect/>
                    </a:stretch>
                  </pic:blipFill>
                  <pic:spPr bwMode="auto">
                    <a:xfrm>
                      <a:off x="0" y="0"/>
                      <a:ext cx="5975985" cy="2394330"/>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23</w:t>
        </w:r>
      </w:fldSimple>
      <w:r w:rsidRPr="008F3CEA">
        <w:t xml:space="preserve"> SEM micrographs of sample 70/30_GP 5 after 30 days of incubation</w:t>
      </w:r>
    </w:p>
    <w:p w:rsidR="00550A30" w:rsidRPr="008F3CEA" w:rsidRDefault="00550A30" w:rsidP="00550A30">
      <w:pPr>
        <w:spacing w:after="120"/>
      </w:pPr>
      <w:r w:rsidRPr="008F3CEA">
        <w:rPr>
          <w:noProof/>
          <w:lang w:val="it-IT" w:eastAsia="it-IT"/>
        </w:rPr>
        <w:drawing>
          <wp:inline distT="0" distB="0" distL="0" distR="0">
            <wp:extent cx="5975985" cy="2488361"/>
            <wp:effectExtent l="19050" t="0" r="5715" b="0"/>
            <wp:docPr id="27"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2"/>
                    <a:srcRect/>
                    <a:stretch>
                      <a:fillRect/>
                    </a:stretch>
                  </pic:blipFill>
                  <pic:spPr bwMode="auto">
                    <a:xfrm>
                      <a:off x="0" y="0"/>
                      <a:ext cx="5975985" cy="2488361"/>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24</w:t>
        </w:r>
      </w:fldSimple>
      <w:r w:rsidRPr="008F3CEA">
        <w:t xml:space="preserve"> SEM micrographs of sample 50/50_GP 5 after 30 days of incubation</w:t>
      </w:r>
    </w:p>
    <w:p w:rsidR="00550A30" w:rsidRPr="008F3CEA" w:rsidRDefault="00550A30" w:rsidP="00550A30">
      <w:pPr>
        <w:pStyle w:val="Didascalia"/>
        <w:spacing w:before="120"/>
      </w:pPr>
      <w:r w:rsidRPr="008F3CEA">
        <w:rPr>
          <w:noProof/>
          <w:lang w:val="it-IT" w:eastAsia="it-IT"/>
        </w:rPr>
        <w:drawing>
          <wp:inline distT="0" distB="0" distL="0" distR="0">
            <wp:extent cx="5975985" cy="2224217"/>
            <wp:effectExtent l="19050" t="0" r="5715" b="0"/>
            <wp:docPr id="28"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3"/>
                    <a:srcRect/>
                    <a:stretch>
                      <a:fillRect/>
                    </a:stretch>
                  </pic:blipFill>
                  <pic:spPr bwMode="auto">
                    <a:xfrm>
                      <a:off x="0" y="0"/>
                      <a:ext cx="5975985" cy="2224217"/>
                    </a:xfrm>
                    <a:prstGeom prst="rect">
                      <a:avLst/>
                    </a:prstGeom>
                    <a:noFill/>
                    <a:ln w="9525">
                      <a:noFill/>
                      <a:miter lim="800000"/>
                      <a:headEnd/>
                      <a:tailEnd/>
                    </a:ln>
                  </pic:spPr>
                </pic:pic>
              </a:graphicData>
            </a:graphic>
          </wp:inline>
        </w:drawing>
      </w:r>
      <w:r w:rsidRPr="008F3CEA">
        <w:t xml:space="preserve">Figure 4. </w:t>
      </w:r>
      <w:fldSimple w:instr=" SEQ Figure_4. \* ARABIC ">
        <w:r w:rsidRPr="008F3CEA">
          <w:rPr>
            <w:noProof/>
          </w:rPr>
          <w:t>25</w:t>
        </w:r>
      </w:fldSimple>
      <w:r w:rsidRPr="008F3CEA">
        <w:t xml:space="preserve"> SEM micrographs of sample 30/70_GP 5 after 30 days of incubation</w:t>
      </w:r>
    </w:p>
    <w:p w:rsidR="00550A30" w:rsidRPr="008F3CEA" w:rsidRDefault="00550A30" w:rsidP="00550A30">
      <w:pPr>
        <w:spacing w:after="120"/>
      </w:pPr>
      <w:r w:rsidRPr="008F3CEA">
        <w:rPr>
          <w:noProof/>
          <w:lang w:val="it-IT" w:eastAsia="it-IT"/>
        </w:rPr>
        <w:lastRenderedPageBreak/>
        <w:drawing>
          <wp:inline distT="0" distB="0" distL="0" distR="0">
            <wp:extent cx="5975985" cy="2363201"/>
            <wp:effectExtent l="19050" t="0" r="5715" b="0"/>
            <wp:docPr id="29"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4"/>
                    <a:srcRect/>
                    <a:stretch>
                      <a:fillRect/>
                    </a:stretch>
                  </pic:blipFill>
                  <pic:spPr bwMode="auto">
                    <a:xfrm>
                      <a:off x="0" y="0"/>
                      <a:ext cx="5975985" cy="2363201"/>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26</w:t>
        </w:r>
      </w:fldSimple>
      <w:r w:rsidRPr="008F3CEA">
        <w:t xml:space="preserve"> SEM micrographs of sample 10/90_GP 5 after 30 days of incubation</w:t>
      </w:r>
    </w:p>
    <w:p w:rsidR="00550A30" w:rsidRPr="008F3CEA" w:rsidRDefault="00550A30" w:rsidP="00550A30">
      <w:pPr>
        <w:spacing w:after="0" w:line="360" w:lineRule="auto"/>
        <w:jc w:val="center"/>
        <w:rPr>
          <w:sz w:val="23"/>
          <w:szCs w:val="23"/>
          <w:lang w:val="it-IT"/>
        </w:rPr>
      </w:pPr>
      <w:r w:rsidRPr="008F3CEA">
        <w:rPr>
          <w:noProof/>
          <w:sz w:val="23"/>
          <w:szCs w:val="23"/>
          <w:lang w:val="it-IT" w:eastAsia="it-IT"/>
        </w:rPr>
        <w:drawing>
          <wp:inline distT="0" distB="0" distL="0" distR="0">
            <wp:extent cx="4919066" cy="1383678"/>
            <wp:effectExtent l="0" t="0" r="0" b="0"/>
            <wp:docPr id="47" name="Immagine 2" descr="Immagin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6.png"/>
                    <pic:cNvPicPr/>
                  </pic:nvPicPr>
                  <pic:blipFill>
                    <a:blip r:embed="rId85"/>
                    <a:stretch>
                      <a:fillRect/>
                    </a:stretch>
                  </pic:blipFill>
                  <pic:spPr>
                    <a:xfrm>
                      <a:off x="0" y="0"/>
                      <a:ext cx="4919066" cy="1383678"/>
                    </a:xfrm>
                    <a:prstGeom prst="rect">
                      <a:avLst/>
                    </a:prstGeom>
                  </pic:spPr>
                </pic:pic>
              </a:graphicData>
            </a:graphic>
          </wp:inline>
        </w:drawing>
      </w:r>
    </w:p>
    <w:p w:rsidR="00550A30" w:rsidRPr="008F3CEA" w:rsidRDefault="00550A30" w:rsidP="00550A30">
      <w:pPr>
        <w:pStyle w:val="Didascalia"/>
      </w:pPr>
      <w:r w:rsidRPr="008F3CEA">
        <w:t xml:space="preserve">Table 4. </w:t>
      </w:r>
      <w:fldSimple w:instr=" SEQ Table_4. \* ARABIC ">
        <w:r w:rsidRPr="008F3CEA">
          <w:rPr>
            <w:noProof/>
          </w:rPr>
          <w:t>5</w:t>
        </w:r>
      </w:fldSimple>
      <w:r w:rsidRPr="008F3CEA">
        <w:t xml:space="preserve"> Atomic composition of the surface of all samples after 30 day of incubation in SBF, detected by EDS analysis.</w:t>
      </w:r>
    </w:p>
    <w:p w:rsidR="00550A30" w:rsidRPr="008F3CEA" w:rsidRDefault="00550A30" w:rsidP="00550A30">
      <w:pPr>
        <w:pStyle w:val="Didascalia"/>
        <w:spacing w:line="360" w:lineRule="auto"/>
        <w:jc w:val="both"/>
        <w:rPr>
          <w:rFonts w:ascii="Arial" w:hAnsi="Arial" w:cs="Arial"/>
          <w:b w:val="0"/>
          <w:color w:val="auto"/>
          <w:sz w:val="24"/>
          <w:szCs w:val="24"/>
          <w:lang w:val="en-US"/>
        </w:rPr>
      </w:pPr>
      <w:r w:rsidRPr="008F3CEA">
        <w:rPr>
          <w:rFonts w:ascii="Arial" w:hAnsi="Arial" w:cs="Arial"/>
          <w:b w:val="0"/>
          <w:color w:val="auto"/>
          <w:sz w:val="24"/>
          <w:szCs w:val="24"/>
          <w:lang w:val="en-US"/>
        </w:rPr>
        <w:t>It is possible to conclude that the proposed material shows high bioactivity, as confirmed by the deposition of apatite crystals after immersion in SBF [29] and is therefore a suitable material for bone-substitution.</w:t>
      </w:r>
    </w:p>
    <w:p w:rsidR="00550A30" w:rsidRPr="008F3CEA" w:rsidRDefault="00550A30" w:rsidP="00550A30">
      <w:pPr>
        <w:pStyle w:val="Default"/>
        <w:spacing w:before="240" w:after="240" w:line="360" w:lineRule="auto"/>
        <w:rPr>
          <w:rFonts w:ascii="Arial" w:hAnsi="Arial" w:cs="Arial"/>
          <w:b/>
          <w:bCs/>
          <w:iCs/>
          <w:lang w:val="en-US"/>
        </w:rPr>
      </w:pPr>
      <w:r w:rsidRPr="008F3CEA">
        <w:rPr>
          <w:rFonts w:ascii="Arial" w:hAnsi="Arial" w:cs="Arial"/>
          <w:b/>
          <w:bCs/>
          <w:iCs/>
          <w:lang w:val="en-US"/>
        </w:rPr>
        <w:t>4.3.2 Preparation &amp; Characterization of nanoparticles</w:t>
      </w:r>
    </w:p>
    <w:p w:rsidR="00550A30" w:rsidRPr="008F3CEA" w:rsidRDefault="00550A30" w:rsidP="00550A30">
      <w:pPr>
        <w:pStyle w:val="Default"/>
        <w:spacing w:before="240" w:after="240" w:line="360" w:lineRule="auto"/>
        <w:jc w:val="both"/>
        <w:rPr>
          <w:rFonts w:ascii="Arial" w:hAnsi="Arial" w:cs="Arial"/>
          <w:b/>
          <w:bCs/>
          <w:i/>
          <w:iCs/>
          <w:lang w:val="en-US"/>
        </w:rPr>
      </w:pPr>
      <w:r w:rsidRPr="008F3CEA">
        <w:rPr>
          <w:rFonts w:ascii="Arial" w:hAnsi="Arial" w:cs="Arial"/>
          <w:b/>
          <w:bCs/>
          <w:i/>
          <w:iCs/>
          <w:lang w:val="en-US"/>
        </w:rPr>
        <w:t xml:space="preserve">4.3.2.1 Morphology </w:t>
      </w:r>
    </w:p>
    <w:p w:rsidR="00550A30" w:rsidRPr="008F3CEA" w:rsidRDefault="00550A30" w:rsidP="00550A30">
      <w:pPr>
        <w:pStyle w:val="Default"/>
        <w:spacing w:after="120" w:line="360" w:lineRule="auto"/>
        <w:jc w:val="both"/>
        <w:rPr>
          <w:rFonts w:ascii="Arial" w:hAnsi="Arial" w:cs="Arial"/>
          <w:bCs/>
          <w:iCs/>
          <w:lang w:val="en-US"/>
        </w:rPr>
      </w:pPr>
      <w:r w:rsidRPr="008F3CEA">
        <w:rPr>
          <w:rFonts w:ascii="Arial" w:hAnsi="Arial" w:cs="Arial"/>
          <w:bCs/>
          <w:iCs/>
          <w:lang w:val="en-US"/>
        </w:rPr>
        <w:t xml:space="preserve">Nanoparticles were successfully prepared by the Solvent Displacement method, as confirmed by SEM images (reported in figure 4.27) with both emulsifiers (Tween 80 and Vitamin E TPGS). </w:t>
      </w:r>
    </w:p>
    <w:p w:rsidR="00550A30" w:rsidRPr="008F3CEA" w:rsidRDefault="00550A30" w:rsidP="00550A30">
      <w:pPr>
        <w:spacing w:after="120"/>
        <w:rPr>
          <w:lang w:val="en-US"/>
        </w:rPr>
      </w:pPr>
      <w:r w:rsidRPr="008F3CEA">
        <w:rPr>
          <w:noProof/>
          <w:lang w:val="it-IT" w:eastAsia="it-IT"/>
        </w:rPr>
        <w:lastRenderedPageBreak/>
        <w:drawing>
          <wp:inline distT="0" distB="0" distL="0" distR="0">
            <wp:extent cx="5748053" cy="2377244"/>
            <wp:effectExtent l="19050" t="0" r="5047" b="0"/>
            <wp:docPr id="156" name="Immagine 46" descr="sem resio_ np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 resio_ nps.png"/>
                    <pic:cNvPicPr/>
                  </pic:nvPicPr>
                  <pic:blipFill>
                    <a:blip r:embed="rId86"/>
                    <a:stretch>
                      <a:fillRect/>
                    </a:stretch>
                  </pic:blipFill>
                  <pic:spPr>
                    <a:xfrm>
                      <a:off x="0" y="0"/>
                      <a:ext cx="5748053" cy="2377244"/>
                    </a:xfrm>
                    <a:prstGeom prst="rect">
                      <a:avLst/>
                    </a:prstGeom>
                  </pic:spPr>
                </pic:pic>
              </a:graphicData>
            </a:graphic>
          </wp:inline>
        </w:drawing>
      </w:r>
    </w:p>
    <w:p w:rsidR="00550A30" w:rsidRPr="008F3CEA" w:rsidRDefault="00550A30" w:rsidP="00550A30">
      <w:pPr>
        <w:pStyle w:val="Didascalia"/>
        <w:spacing w:line="360" w:lineRule="auto"/>
      </w:pPr>
      <w:r w:rsidRPr="008F3CEA">
        <w:t xml:space="preserve">Figure 4. </w:t>
      </w:r>
      <w:fldSimple w:instr=" SEQ Figure_4. \* ARABIC ">
        <w:r w:rsidRPr="008F3CEA">
          <w:rPr>
            <w:noProof/>
          </w:rPr>
          <w:t>27</w:t>
        </w:r>
      </w:fldSimple>
      <w:r w:rsidRPr="008F3CEA">
        <w:t xml:space="preserve"> SEM micrographs of PCL nanoparticles prepared with the two different emulsifiers. </w:t>
      </w:r>
    </w:p>
    <w:p w:rsidR="00550A30" w:rsidRPr="008F3CEA" w:rsidRDefault="00550A30" w:rsidP="00550A30">
      <w:pPr>
        <w:pStyle w:val="Default"/>
        <w:spacing w:before="240" w:after="240" w:line="360" w:lineRule="auto"/>
        <w:jc w:val="both"/>
        <w:rPr>
          <w:rFonts w:ascii="Arial" w:hAnsi="Arial" w:cs="Arial"/>
          <w:b/>
          <w:bCs/>
          <w:i/>
          <w:iCs/>
          <w:lang w:val="en-US"/>
        </w:rPr>
      </w:pPr>
      <w:r w:rsidRPr="008F3CEA">
        <w:rPr>
          <w:rFonts w:ascii="Arial" w:hAnsi="Arial" w:cs="Arial"/>
          <w:b/>
          <w:bCs/>
          <w:i/>
          <w:iCs/>
          <w:lang w:val="en-US"/>
        </w:rPr>
        <w:t>4.3.2.2 DSC analysis</w:t>
      </w:r>
    </w:p>
    <w:p w:rsidR="00550A30" w:rsidRPr="008F3CEA" w:rsidRDefault="00550A30" w:rsidP="00550A30">
      <w:pPr>
        <w:pStyle w:val="Default"/>
        <w:spacing w:after="120" w:line="360" w:lineRule="auto"/>
        <w:jc w:val="both"/>
        <w:rPr>
          <w:rFonts w:ascii="Arial" w:hAnsi="Arial" w:cs="Arial"/>
          <w:lang w:val="en-US"/>
        </w:rPr>
      </w:pPr>
      <w:r w:rsidRPr="008F3CEA">
        <w:rPr>
          <w:rFonts w:ascii="Arial" w:hAnsi="Arial" w:cs="Arial"/>
          <w:bCs/>
          <w:iCs/>
          <w:lang w:val="en-US"/>
        </w:rPr>
        <w:t>DSC analysis was used to determine the physical state (amorphous or crystalline) of the encapsulated drug, Results are reported in figures 4.28 and 4.29 for nanoparticles prepared with vitamin E TPGS and Tween 80 as emulsifiers, respectively.</w:t>
      </w:r>
    </w:p>
    <w:p w:rsidR="00550A30" w:rsidRPr="008F3CEA" w:rsidRDefault="00550A30" w:rsidP="00550A30">
      <w:pPr>
        <w:pStyle w:val="Default"/>
        <w:spacing w:line="360" w:lineRule="auto"/>
        <w:jc w:val="center"/>
        <w:rPr>
          <w:rFonts w:ascii="Arial" w:hAnsi="Arial" w:cs="Arial"/>
          <w:b/>
          <w:bCs/>
          <w:iCs/>
          <w:lang w:val="en-US"/>
        </w:rPr>
      </w:pPr>
      <w:r w:rsidRPr="008F3CEA">
        <w:rPr>
          <w:rFonts w:ascii="Arial" w:hAnsi="Arial" w:cs="Arial"/>
          <w:b/>
          <w:bCs/>
          <w:iCs/>
          <w:noProof/>
          <w:lang w:eastAsia="it-IT"/>
        </w:rPr>
        <w:drawing>
          <wp:inline distT="0" distB="0" distL="0" distR="0">
            <wp:extent cx="5172075" cy="3538363"/>
            <wp:effectExtent l="19050" t="0" r="9525" b="0"/>
            <wp:docPr id="15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a:srcRect/>
                    <a:stretch>
                      <a:fillRect/>
                    </a:stretch>
                  </pic:blipFill>
                  <pic:spPr bwMode="auto">
                    <a:xfrm>
                      <a:off x="0" y="0"/>
                      <a:ext cx="5180284" cy="3543979"/>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28</w:t>
        </w:r>
      </w:fldSimple>
      <w:r w:rsidRPr="008F3CEA">
        <w:t xml:space="preserve"> DSC thermograms of plain drug (black), PCL (blue), Vitamin E TPGS (green) and empty (red) and drug-loaded (purple) particles  prepared with vitamin E TPGS as emulsifier.</w:t>
      </w:r>
    </w:p>
    <w:p w:rsidR="00550A30" w:rsidRPr="008F3CEA" w:rsidRDefault="00550A30" w:rsidP="00550A30">
      <w:pPr>
        <w:pStyle w:val="Default"/>
        <w:spacing w:line="360" w:lineRule="auto"/>
        <w:jc w:val="center"/>
        <w:rPr>
          <w:rFonts w:ascii="Arial" w:hAnsi="Arial" w:cs="Arial"/>
          <w:bCs/>
          <w:iCs/>
          <w:lang w:val="en-US"/>
        </w:rPr>
      </w:pPr>
      <w:r w:rsidRPr="008F3CEA">
        <w:rPr>
          <w:rFonts w:ascii="Arial" w:hAnsi="Arial" w:cs="Arial"/>
          <w:bCs/>
          <w:iCs/>
          <w:noProof/>
          <w:lang w:eastAsia="it-IT"/>
        </w:rPr>
        <w:lastRenderedPageBreak/>
        <w:drawing>
          <wp:inline distT="0" distB="0" distL="0" distR="0">
            <wp:extent cx="5238750" cy="3580440"/>
            <wp:effectExtent l="19050" t="0" r="0" b="0"/>
            <wp:docPr id="158"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8"/>
                    <a:srcRect/>
                    <a:stretch>
                      <a:fillRect/>
                    </a:stretch>
                  </pic:blipFill>
                  <pic:spPr bwMode="auto">
                    <a:xfrm>
                      <a:off x="0" y="0"/>
                      <a:ext cx="5238750" cy="3580440"/>
                    </a:xfrm>
                    <a:prstGeom prst="rect">
                      <a:avLst/>
                    </a:prstGeom>
                    <a:noFill/>
                    <a:ln w="9525">
                      <a:noFill/>
                      <a:miter lim="800000"/>
                      <a:headEnd/>
                      <a:tailEnd/>
                    </a:ln>
                  </pic:spPr>
                </pic:pic>
              </a:graphicData>
            </a:graphic>
          </wp:inline>
        </w:drawing>
      </w:r>
    </w:p>
    <w:p w:rsidR="00550A30" w:rsidRPr="008F3CEA" w:rsidRDefault="00550A30" w:rsidP="00550A30">
      <w:pPr>
        <w:pStyle w:val="Didascalia"/>
        <w:spacing w:before="120"/>
        <w:rPr>
          <w:rFonts w:ascii="Arial" w:hAnsi="Arial" w:cs="Arial"/>
          <w:bCs w:val="0"/>
          <w:iCs/>
          <w:lang w:val="en-US"/>
        </w:rPr>
      </w:pPr>
      <w:r w:rsidRPr="008F3CEA">
        <w:t xml:space="preserve">Figure 4. </w:t>
      </w:r>
      <w:fldSimple w:instr=" SEQ Figure_4. \* ARABIC ">
        <w:r w:rsidRPr="008F3CEA">
          <w:rPr>
            <w:noProof/>
          </w:rPr>
          <w:t>29</w:t>
        </w:r>
      </w:fldSimple>
      <w:r w:rsidRPr="008F3CEA">
        <w:t xml:space="preserve"> DSC thermograms of plain drug (black), PCL (blue) and empty (red) and drug-loaded (purple) particles prepared with Tween 80 as emulsifier.</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PCL thermogram shows a melting temperature at 58°C, according to the results reported by Fukushima and co-workers [30]. This peak is clearly visible in the thermograms of empty and drug loaded nanoparticles, prepared with both emulsifiers. </w:t>
      </w:r>
    </w:p>
    <w:p w:rsidR="00550A30" w:rsidRPr="008F3CEA" w:rsidRDefault="00550A30" w:rsidP="00550A30">
      <w:pPr>
        <w:pStyle w:val="Default"/>
        <w:spacing w:line="360" w:lineRule="auto"/>
        <w:jc w:val="both"/>
        <w:rPr>
          <w:sz w:val="23"/>
          <w:szCs w:val="23"/>
          <w:lang w:val="en-US"/>
        </w:rPr>
      </w:pPr>
      <w:r w:rsidRPr="008F3CEA">
        <w:rPr>
          <w:rFonts w:ascii="Arial" w:hAnsi="Arial" w:cs="Arial"/>
          <w:lang w:val="en-US"/>
        </w:rPr>
        <w:t>Indometacin has a melting temperature at 163°C which cannot be detected in the thermograms of drug-loaded nanoparticles indicating that the encapsulated drug is in an amorphous state, according to what observed by Mokarram et al [31].</w:t>
      </w:r>
      <w:r w:rsidRPr="008F3CEA">
        <w:rPr>
          <w:sz w:val="23"/>
          <w:szCs w:val="23"/>
          <w:lang w:val="en-US"/>
        </w:rPr>
        <w:t xml:space="preserve"> </w:t>
      </w:r>
    </w:p>
    <w:p w:rsidR="00550A30" w:rsidRPr="008F3CEA" w:rsidRDefault="00550A30" w:rsidP="00550A30">
      <w:pPr>
        <w:pStyle w:val="Default"/>
        <w:spacing w:before="240" w:after="240" w:line="360" w:lineRule="auto"/>
        <w:jc w:val="both"/>
        <w:rPr>
          <w:rFonts w:ascii="Arial" w:hAnsi="Arial" w:cs="Arial"/>
          <w:b/>
          <w:bCs/>
          <w:i/>
          <w:iCs/>
          <w:lang w:val="en-US"/>
        </w:rPr>
      </w:pPr>
      <w:r w:rsidRPr="008F3CEA">
        <w:rPr>
          <w:rFonts w:ascii="Arial" w:hAnsi="Arial" w:cs="Arial"/>
          <w:b/>
          <w:bCs/>
          <w:i/>
          <w:iCs/>
          <w:lang w:val="en-US"/>
        </w:rPr>
        <w:t>4.3.2.3 Process yield and encapsulation efficiency</w:t>
      </w:r>
    </w:p>
    <w:p w:rsidR="00550A30" w:rsidRPr="008F3CEA" w:rsidRDefault="00550A30" w:rsidP="00550A30">
      <w:pPr>
        <w:pStyle w:val="Default"/>
        <w:spacing w:after="120" w:line="360" w:lineRule="auto"/>
        <w:jc w:val="both"/>
        <w:rPr>
          <w:rFonts w:ascii="Arial" w:hAnsi="Arial" w:cs="Arial"/>
          <w:bCs/>
          <w:iCs/>
          <w:lang w:val="en-US"/>
        </w:rPr>
      </w:pPr>
      <w:r w:rsidRPr="008F3CEA">
        <w:rPr>
          <w:rFonts w:ascii="Arial" w:hAnsi="Arial" w:cs="Arial"/>
          <w:bCs/>
          <w:iCs/>
          <w:lang w:val="en-US"/>
        </w:rPr>
        <w:t>The process yield was high in every case (</w:t>
      </w:r>
      <w:r w:rsidRPr="008F3CEA">
        <w:rPr>
          <w:rFonts w:ascii="Arial" w:hAnsi="Arial" w:cs="Arial"/>
          <w:lang w:val="en-US"/>
        </w:rPr>
        <w:t xml:space="preserve">68.4% and 64.2% </w:t>
      </w:r>
      <w:r w:rsidRPr="008F3CEA">
        <w:rPr>
          <w:rFonts w:ascii="Arial" w:hAnsi="Arial" w:cs="Arial"/>
          <w:bCs/>
          <w:iCs/>
          <w:lang w:val="en-US"/>
        </w:rPr>
        <w:t>for Tween 80 and Vitamin E TPGS, respectively) and is not correlated with choice of the emulsifier, as shown in table 4.6. Particles prepared with vitamin E TPGS as emulsifier have a slightly smaller size and better spherical morphology, but exhibit a very low encapsulation efficiency (lower than 3%). On the other hand, when tween 80 was used as emulsifying agent, particles showed a much higher encapsulation efficiency (33%). For this reason, only nanoparticles prepared with Tween 80 were inserted in the bone cement composition and were characterized in terms of release kinetics.</w:t>
      </w:r>
    </w:p>
    <w:p w:rsidR="00550A30" w:rsidRPr="008F3CEA" w:rsidRDefault="00550A30" w:rsidP="00550A30">
      <w:pPr>
        <w:pStyle w:val="Default"/>
        <w:spacing w:after="120" w:line="360" w:lineRule="auto"/>
        <w:jc w:val="both"/>
        <w:rPr>
          <w:rFonts w:ascii="Arial" w:hAnsi="Arial" w:cs="Arial"/>
          <w:bCs/>
          <w:iCs/>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EECE1" w:themeFill="background2"/>
        <w:tblLook w:val="04A0"/>
      </w:tblPr>
      <w:tblGrid>
        <w:gridCol w:w="1474"/>
        <w:gridCol w:w="1304"/>
        <w:gridCol w:w="1304"/>
        <w:gridCol w:w="1304"/>
      </w:tblGrid>
      <w:tr w:rsidR="00550A30" w:rsidRPr="008F3CEA" w:rsidTr="009925A1">
        <w:trPr>
          <w:trHeight w:val="340"/>
          <w:jc w:val="center"/>
        </w:trPr>
        <w:tc>
          <w:tcPr>
            <w:tcW w:w="1474" w:type="dxa"/>
            <w:tcBorders>
              <w:top w:val="single" w:sz="4" w:space="0" w:color="auto"/>
              <w:bottom w:val="single" w:sz="4" w:space="0" w:color="auto"/>
            </w:tcBorders>
            <w:shd w:val="clear" w:color="auto" w:fill="EEECE1" w:themeFill="background2"/>
            <w:vAlign w:val="center"/>
          </w:tcPr>
          <w:p w:rsidR="00550A30" w:rsidRPr="008F3CEA" w:rsidRDefault="00550A30" w:rsidP="009925A1">
            <w:pPr>
              <w:jc w:val="center"/>
              <w:rPr>
                <w:rFonts w:cstheme="minorHAnsi"/>
                <w:b/>
              </w:rPr>
            </w:pPr>
            <w:r w:rsidRPr="008F3CEA">
              <w:rPr>
                <w:rFonts w:cstheme="minorHAnsi"/>
                <w:b/>
              </w:rPr>
              <w:lastRenderedPageBreak/>
              <w:t>Emulsifier</w:t>
            </w:r>
          </w:p>
        </w:tc>
        <w:tc>
          <w:tcPr>
            <w:tcW w:w="1304" w:type="dxa"/>
            <w:tcBorders>
              <w:top w:val="single" w:sz="4" w:space="0" w:color="auto"/>
              <w:bottom w:val="single" w:sz="4" w:space="0" w:color="auto"/>
            </w:tcBorders>
            <w:shd w:val="clear" w:color="auto" w:fill="EEECE1" w:themeFill="background2"/>
            <w:vAlign w:val="center"/>
          </w:tcPr>
          <w:p w:rsidR="00550A30" w:rsidRPr="008F3CEA" w:rsidRDefault="00550A30" w:rsidP="009925A1">
            <w:pPr>
              <w:jc w:val="center"/>
              <w:rPr>
                <w:rFonts w:cstheme="minorHAnsi"/>
                <w:b/>
              </w:rPr>
            </w:pPr>
            <w:r w:rsidRPr="008F3CEA">
              <w:rPr>
                <w:rFonts w:cstheme="minorHAnsi"/>
                <w:b/>
              </w:rPr>
              <w:t>Yield (%)</w:t>
            </w:r>
          </w:p>
        </w:tc>
        <w:tc>
          <w:tcPr>
            <w:tcW w:w="1304" w:type="dxa"/>
            <w:tcBorders>
              <w:top w:val="single" w:sz="4" w:space="0" w:color="auto"/>
              <w:bottom w:val="single" w:sz="4" w:space="0" w:color="auto"/>
            </w:tcBorders>
            <w:shd w:val="clear" w:color="auto" w:fill="EEECE1" w:themeFill="background2"/>
            <w:vAlign w:val="center"/>
          </w:tcPr>
          <w:p w:rsidR="00550A30" w:rsidRPr="008F3CEA" w:rsidRDefault="00550A30" w:rsidP="009925A1">
            <w:pPr>
              <w:jc w:val="center"/>
              <w:rPr>
                <w:rFonts w:cstheme="minorHAnsi"/>
                <w:b/>
              </w:rPr>
            </w:pPr>
            <w:r w:rsidRPr="008F3CEA">
              <w:rPr>
                <w:rFonts w:cstheme="minorHAnsi"/>
                <w:b/>
              </w:rPr>
              <w:t>Size (nm)</w:t>
            </w:r>
          </w:p>
        </w:tc>
        <w:tc>
          <w:tcPr>
            <w:tcW w:w="1304" w:type="dxa"/>
            <w:tcBorders>
              <w:top w:val="single" w:sz="4" w:space="0" w:color="auto"/>
              <w:bottom w:val="single" w:sz="4" w:space="0" w:color="auto"/>
            </w:tcBorders>
            <w:shd w:val="clear" w:color="auto" w:fill="EEECE1" w:themeFill="background2"/>
            <w:vAlign w:val="center"/>
          </w:tcPr>
          <w:p w:rsidR="00550A30" w:rsidRPr="008F3CEA" w:rsidRDefault="00550A30" w:rsidP="009925A1">
            <w:pPr>
              <w:jc w:val="center"/>
              <w:rPr>
                <w:rFonts w:cstheme="minorHAnsi"/>
                <w:b/>
              </w:rPr>
            </w:pPr>
            <w:r w:rsidRPr="008F3CEA">
              <w:rPr>
                <w:rFonts w:cstheme="minorHAnsi"/>
                <w:b/>
              </w:rPr>
              <w:t>EE (%)</w:t>
            </w:r>
          </w:p>
        </w:tc>
      </w:tr>
      <w:tr w:rsidR="00550A30" w:rsidRPr="008F3CEA" w:rsidTr="009925A1">
        <w:trPr>
          <w:trHeight w:val="340"/>
          <w:jc w:val="center"/>
        </w:trPr>
        <w:tc>
          <w:tcPr>
            <w:tcW w:w="1474" w:type="dxa"/>
            <w:tcBorders>
              <w:top w:val="single" w:sz="4" w:space="0" w:color="auto"/>
            </w:tcBorders>
            <w:shd w:val="clear" w:color="auto" w:fill="EEECE1" w:themeFill="background2"/>
            <w:vAlign w:val="center"/>
          </w:tcPr>
          <w:p w:rsidR="00550A30" w:rsidRPr="008F3CEA" w:rsidRDefault="00550A30" w:rsidP="009925A1">
            <w:pPr>
              <w:jc w:val="center"/>
              <w:rPr>
                <w:rFonts w:cstheme="minorHAnsi"/>
              </w:rPr>
            </w:pPr>
            <w:r w:rsidRPr="008F3CEA">
              <w:rPr>
                <w:rFonts w:cstheme="minorHAnsi"/>
              </w:rPr>
              <w:t>Tween 80</w:t>
            </w:r>
          </w:p>
        </w:tc>
        <w:tc>
          <w:tcPr>
            <w:tcW w:w="1304" w:type="dxa"/>
            <w:tcBorders>
              <w:top w:val="single" w:sz="4" w:space="0" w:color="auto"/>
            </w:tcBorders>
            <w:shd w:val="clear" w:color="auto" w:fill="EEECE1" w:themeFill="background2"/>
            <w:vAlign w:val="center"/>
          </w:tcPr>
          <w:p w:rsidR="00550A30" w:rsidRPr="008F3CEA" w:rsidRDefault="00550A30" w:rsidP="009925A1">
            <w:pPr>
              <w:jc w:val="center"/>
              <w:rPr>
                <w:rFonts w:cstheme="minorHAnsi"/>
              </w:rPr>
            </w:pPr>
            <w:r w:rsidRPr="008F3CEA">
              <w:rPr>
                <w:rFonts w:cstheme="minorHAnsi"/>
              </w:rPr>
              <w:t>68.4 ± 5.0%</w:t>
            </w:r>
          </w:p>
        </w:tc>
        <w:tc>
          <w:tcPr>
            <w:tcW w:w="1304" w:type="dxa"/>
            <w:tcBorders>
              <w:top w:val="single" w:sz="4" w:space="0" w:color="auto"/>
            </w:tcBorders>
            <w:shd w:val="clear" w:color="auto" w:fill="EEECE1" w:themeFill="background2"/>
            <w:vAlign w:val="center"/>
          </w:tcPr>
          <w:p w:rsidR="00550A30" w:rsidRPr="008F3CEA" w:rsidRDefault="00550A30" w:rsidP="009925A1">
            <w:pPr>
              <w:jc w:val="center"/>
              <w:rPr>
                <w:rFonts w:cstheme="minorHAnsi"/>
              </w:rPr>
            </w:pPr>
            <w:r w:rsidRPr="008F3CEA">
              <w:rPr>
                <w:rFonts w:cstheme="minorHAnsi"/>
              </w:rPr>
              <w:t>350 ± 9</w:t>
            </w:r>
          </w:p>
        </w:tc>
        <w:tc>
          <w:tcPr>
            <w:tcW w:w="1304" w:type="dxa"/>
            <w:tcBorders>
              <w:top w:val="single" w:sz="4" w:space="0" w:color="auto"/>
            </w:tcBorders>
            <w:shd w:val="clear" w:color="auto" w:fill="EEECE1" w:themeFill="background2"/>
            <w:vAlign w:val="center"/>
          </w:tcPr>
          <w:p w:rsidR="00550A30" w:rsidRPr="008F3CEA" w:rsidRDefault="00550A30" w:rsidP="009925A1">
            <w:pPr>
              <w:jc w:val="center"/>
              <w:rPr>
                <w:rFonts w:cstheme="minorHAnsi"/>
              </w:rPr>
            </w:pPr>
            <w:r w:rsidRPr="008F3CEA">
              <w:rPr>
                <w:rFonts w:cstheme="minorHAnsi"/>
              </w:rPr>
              <w:t xml:space="preserve">33.3 </w:t>
            </w:r>
            <w:r w:rsidRPr="008F3CEA">
              <w:rPr>
                <w:rFonts w:ascii="Calibri" w:hAnsi="Calibri" w:cs="Calibri"/>
              </w:rPr>
              <w:t>±</w:t>
            </w:r>
            <w:r w:rsidRPr="008F3CEA">
              <w:rPr>
                <w:rFonts w:cstheme="minorHAnsi"/>
              </w:rPr>
              <w:t xml:space="preserve"> 6.7</w:t>
            </w:r>
          </w:p>
        </w:tc>
      </w:tr>
      <w:tr w:rsidR="00550A30" w:rsidRPr="008F3CEA" w:rsidTr="009925A1">
        <w:trPr>
          <w:trHeight w:val="340"/>
          <w:jc w:val="center"/>
        </w:trPr>
        <w:tc>
          <w:tcPr>
            <w:tcW w:w="1474" w:type="dxa"/>
            <w:tcBorders>
              <w:bottom w:val="single" w:sz="4" w:space="0" w:color="auto"/>
            </w:tcBorders>
            <w:shd w:val="clear" w:color="auto" w:fill="EEECE1" w:themeFill="background2"/>
            <w:vAlign w:val="center"/>
          </w:tcPr>
          <w:p w:rsidR="00550A30" w:rsidRPr="008F3CEA" w:rsidRDefault="00550A30" w:rsidP="009925A1">
            <w:pPr>
              <w:jc w:val="center"/>
              <w:rPr>
                <w:rFonts w:cstheme="minorHAnsi"/>
              </w:rPr>
            </w:pPr>
            <w:r w:rsidRPr="008F3CEA">
              <w:rPr>
                <w:rFonts w:cstheme="minorHAnsi"/>
              </w:rPr>
              <w:t>Vitamin E TPGS</w:t>
            </w:r>
          </w:p>
        </w:tc>
        <w:tc>
          <w:tcPr>
            <w:tcW w:w="1304" w:type="dxa"/>
            <w:tcBorders>
              <w:bottom w:val="single" w:sz="4" w:space="0" w:color="auto"/>
            </w:tcBorders>
            <w:shd w:val="clear" w:color="auto" w:fill="EEECE1" w:themeFill="background2"/>
            <w:vAlign w:val="center"/>
          </w:tcPr>
          <w:p w:rsidR="00550A30" w:rsidRPr="008F3CEA" w:rsidRDefault="00550A30" w:rsidP="009925A1">
            <w:pPr>
              <w:jc w:val="center"/>
              <w:rPr>
                <w:rFonts w:cstheme="minorHAnsi"/>
              </w:rPr>
            </w:pPr>
            <w:r w:rsidRPr="008F3CEA">
              <w:rPr>
                <w:rFonts w:cstheme="minorHAnsi"/>
              </w:rPr>
              <w:t>68.2 ± 4.1%</w:t>
            </w:r>
          </w:p>
        </w:tc>
        <w:tc>
          <w:tcPr>
            <w:tcW w:w="1304" w:type="dxa"/>
            <w:tcBorders>
              <w:bottom w:val="single" w:sz="4" w:space="0" w:color="auto"/>
            </w:tcBorders>
            <w:shd w:val="clear" w:color="auto" w:fill="EEECE1" w:themeFill="background2"/>
            <w:vAlign w:val="center"/>
          </w:tcPr>
          <w:p w:rsidR="00550A30" w:rsidRPr="008F3CEA" w:rsidRDefault="00550A30" w:rsidP="009925A1">
            <w:pPr>
              <w:jc w:val="center"/>
              <w:rPr>
                <w:rFonts w:cstheme="minorHAnsi"/>
              </w:rPr>
            </w:pPr>
            <w:r w:rsidRPr="008F3CEA">
              <w:rPr>
                <w:rFonts w:cstheme="minorHAnsi"/>
              </w:rPr>
              <w:t>300 ± 20</w:t>
            </w:r>
          </w:p>
        </w:tc>
        <w:tc>
          <w:tcPr>
            <w:tcW w:w="1304" w:type="dxa"/>
            <w:tcBorders>
              <w:bottom w:val="single" w:sz="4" w:space="0" w:color="auto"/>
            </w:tcBorders>
            <w:shd w:val="clear" w:color="auto" w:fill="EEECE1" w:themeFill="background2"/>
            <w:vAlign w:val="center"/>
          </w:tcPr>
          <w:p w:rsidR="00550A30" w:rsidRPr="008F3CEA" w:rsidRDefault="00550A30" w:rsidP="009925A1">
            <w:pPr>
              <w:jc w:val="center"/>
              <w:rPr>
                <w:rFonts w:cstheme="minorHAnsi"/>
              </w:rPr>
            </w:pPr>
            <w:r w:rsidRPr="008F3CEA">
              <w:rPr>
                <w:rFonts w:cstheme="minorHAnsi"/>
              </w:rPr>
              <w:t xml:space="preserve">&lt;3.0 </w:t>
            </w:r>
            <w:r w:rsidRPr="008F3CEA">
              <w:rPr>
                <w:rFonts w:ascii="Calibri" w:hAnsi="Calibri" w:cs="Calibri"/>
              </w:rPr>
              <w:t>±</w:t>
            </w:r>
            <w:r w:rsidRPr="008F3CEA">
              <w:rPr>
                <w:rFonts w:cstheme="minorHAnsi"/>
              </w:rPr>
              <w:t xml:space="preserve"> 0.8</w:t>
            </w:r>
          </w:p>
        </w:tc>
      </w:tr>
    </w:tbl>
    <w:p w:rsidR="00550A30" w:rsidRPr="008F3CEA" w:rsidRDefault="00550A30" w:rsidP="00550A30">
      <w:pPr>
        <w:pStyle w:val="Didascalia"/>
        <w:spacing w:before="120" w:line="360" w:lineRule="auto"/>
      </w:pPr>
      <w:r w:rsidRPr="008F3CEA">
        <w:t xml:space="preserve">Table 4. </w:t>
      </w:r>
      <w:fldSimple w:instr=" SEQ Table_4. \* ARABIC ">
        <w:r w:rsidRPr="008F3CEA">
          <w:rPr>
            <w:noProof/>
          </w:rPr>
          <w:t>6</w:t>
        </w:r>
      </w:fldSimple>
      <w:r w:rsidRPr="008F3CEA">
        <w:t xml:space="preserve">  Mean size, yield and encapsulation efficiency of nanoparticles prepared with different emulsifiers.</w:t>
      </w:r>
    </w:p>
    <w:p w:rsidR="00550A30" w:rsidRPr="008F3CEA" w:rsidRDefault="00550A30" w:rsidP="00550A30">
      <w:pPr>
        <w:pStyle w:val="Default"/>
        <w:spacing w:before="240" w:after="240" w:line="360" w:lineRule="auto"/>
        <w:jc w:val="both"/>
        <w:rPr>
          <w:rFonts w:ascii="Arial" w:hAnsi="Arial" w:cs="Arial"/>
          <w:b/>
          <w:bCs/>
          <w:i/>
          <w:iCs/>
          <w:lang w:val="en-US"/>
        </w:rPr>
      </w:pPr>
      <w:r w:rsidRPr="008F3CEA">
        <w:rPr>
          <w:rFonts w:ascii="Arial" w:hAnsi="Arial" w:cs="Arial"/>
          <w:b/>
          <w:bCs/>
          <w:i/>
          <w:iCs/>
          <w:lang w:val="en-US"/>
        </w:rPr>
        <w:t>4.3.2.4 Drug release profile</w:t>
      </w:r>
    </w:p>
    <w:p w:rsidR="00550A30" w:rsidRPr="008F3CEA" w:rsidRDefault="00550A30" w:rsidP="00550A30">
      <w:pPr>
        <w:pStyle w:val="Default"/>
        <w:jc w:val="center"/>
        <w:rPr>
          <w:sz w:val="23"/>
          <w:szCs w:val="23"/>
        </w:rPr>
      </w:pPr>
      <w:r w:rsidRPr="008F3CEA">
        <w:rPr>
          <w:noProof/>
          <w:sz w:val="23"/>
          <w:szCs w:val="23"/>
          <w:lang w:eastAsia="it-IT"/>
        </w:rPr>
        <w:drawing>
          <wp:inline distT="0" distB="0" distL="0" distR="0">
            <wp:extent cx="4276725" cy="2564898"/>
            <wp:effectExtent l="0" t="0" r="0" b="0"/>
            <wp:docPr id="159" name="Immagine 15" descr="rele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lease.png"/>
                    <pic:cNvPicPr/>
                  </pic:nvPicPr>
                  <pic:blipFill>
                    <a:blip r:embed="rId89"/>
                    <a:stretch>
                      <a:fillRect/>
                    </a:stretch>
                  </pic:blipFill>
                  <pic:spPr>
                    <a:xfrm>
                      <a:off x="0" y="0"/>
                      <a:ext cx="4278861" cy="2566179"/>
                    </a:xfrm>
                    <a:prstGeom prst="rect">
                      <a:avLst/>
                    </a:prstGeom>
                  </pic:spPr>
                </pic:pic>
              </a:graphicData>
            </a:graphic>
          </wp:inline>
        </w:drawing>
      </w:r>
    </w:p>
    <w:p w:rsidR="00550A30" w:rsidRPr="008F3CEA" w:rsidRDefault="00550A30" w:rsidP="00550A30">
      <w:pPr>
        <w:pStyle w:val="Didascalia"/>
        <w:spacing w:before="120"/>
      </w:pPr>
      <w:r w:rsidRPr="008F3CEA">
        <w:t xml:space="preserve">Figure 4. </w:t>
      </w:r>
      <w:fldSimple w:instr=" SEQ Figure_4. \* ARABIC ">
        <w:r w:rsidRPr="008F3CEA">
          <w:rPr>
            <w:noProof/>
          </w:rPr>
          <w:t>30</w:t>
        </w:r>
      </w:fldSimple>
      <w:r w:rsidRPr="008F3CEA">
        <w:t xml:space="preserve"> Release profile of Indomethacin from PCL nanoparticles.</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Figure 4.30 shows the release profile of Indometacin from PCL nanoparticles, after 4 days of immersion in water. </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The release of the encapsulated drug is very fast with almost 80% of the content released during the first 24 hours. A slight increase in the amount of delivered drug can be detected between day 1 and 2 of incubation, while no further increase was measured after this time point, according to the results reported by other authors [32].</w:t>
      </w:r>
    </w:p>
    <w:p w:rsidR="00550A30" w:rsidRPr="008F3CEA" w:rsidRDefault="00550A30" w:rsidP="00550A30">
      <w:pPr>
        <w:pStyle w:val="Default"/>
        <w:spacing w:before="240" w:after="240" w:line="360" w:lineRule="auto"/>
        <w:rPr>
          <w:rFonts w:ascii="Arial" w:hAnsi="Arial" w:cs="Arial"/>
          <w:b/>
          <w:bCs/>
          <w:iCs/>
          <w:lang w:val="en-US"/>
        </w:rPr>
      </w:pPr>
      <w:r w:rsidRPr="008F3CEA">
        <w:rPr>
          <w:rFonts w:ascii="Arial" w:hAnsi="Arial" w:cs="Arial"/>
          <w:b/>
          <w:bCs/>
          <w:iCs/>
          <w:lang w:val="en-US"/>
        </w:rPr>
        <w:t>4.3.3 Analysis of the final cement composition</w:t>
      </w:r>
    </w:p>
    <w:p w:rsidR="00550A30" w:rsidRPr="008F3CEA" w:rsidRDefault="00550A30" w:rsidP="00550A30">
      <w:pPr>
        <w:pStyle w:val="Default"/>
        <w:spacing w:line="360" w:lineRule="auto"/>
        <w:jc w:val="both"/>
        <w:rPr>
          <w:rFonts w:ascii="Arial" w:hAnsi="Arial" w:cs="Arial"/>
          <w:bCs/>
          <w:iCs/>
          <w:lang w:val="en-US"/>
        </w:rPr>
      </w:pPr>
      <w:r w:rsidRPr="008F3CEA">
        <w:rPr>
          <w:rFonts w:ascii="Arial" w:hAnsi="Arial" w:cs="Arial"/>
          <w:bCs/>
          <w:iCs/>
          <w:lang w:val="en-US"/>
        </w:rPr>
        <w:t>According to the results reported in the previous sections, the cement composition (i.e. the organic/inorganic phase ratio) showing the best hardening and setting behavior, as well as the most suitable mechanical properties, was selected to prepare a new material containing drug-loaded nanoparticles and an additional organic phase, composed of collagen.</w:t>
      </w:r>
    </w:p>
    <w:p w:rsidR="00550A30" w:rsidRPr="008F3CEA" w:rsidRDefault="00550A30" w:rsidP="00550A30">
      <w:pPr>
        <w:pStyle w:val="Default"/>
        <w:spacing w:line="360" w:lineRule="auto"/>
        <w:jc w:val="both"/>
        <w:rPr>
          <w:rFonts w:ascii="Arial" w:hAnsi="Arial" w:cs="Arial"/>
          <w:bCs/>
          <w:iCs/>
          <w:lang w:val="en-US"/>
        </w:rPr>
      </w:pPr>
      <w:r w:rsidRPr="008F3CEA">
        <w:rPr>
          <w:rFonts w:ascii="Arial" w:hAnsi="Arial" w:cs="Arial"/>
          <w:bCs/>
          <w:iCs/>
          <w:lang w:val="en-US"/>
        </w:rPr>
        <w:t>The selected cement composition contains an organic/inorganic phase ratio of 30/70, and the organic phase, composed of a blend of chitosan and collagen (3% w/v), is cross linked with the highest amount of Genipin (7.5% w/w).</w:t>
      </w:r>
    </w:p>
    <w:p w:rsidR="00550A30" w:rsidRPr="008F3CEA" w:rsidRDefault="00550A30" w:rsidP="00550A30">
      <w:pPr>
        <w:pStyle w:val="Default"/>
        <w:spacing w:line="360" w:lineRule="auto"/>
        <w:jc w:val="both"/>
        <w:rPr>
          <w:rFonts w:ascii="Arial" w:hAnsi="Arial" w:cs="Arial"/>
          <w:bCs/>
          <w:lang w:val="en-US"/>
        </w:rPr>
      </w:pPr>
      <w:r w:rsidRPr="008F3CEA">
        <w:rPr>
          <w:rFonts w:ascii="Arial" w:hAnsi="Arial" w:cs="Arial"/>
          <w:bCs/>
          <w:lang w:val="en-US"/>
        </w:rPr>
        <w:lastRenderedPageBreak/>
        <w:t>Moreover, 10% w/v of PCL nanoparticles, containing the anti-inflammatory agent Indomethacin, were added to the final cement composition.</w:t>
      </w:r>
    </w:p>
    <w:p w:rsidR="00550A30" w:rsidRPr="008F3CEA" w:rsidRDefault="00550A30" w:rsidP="00550A30">
      <w:pPr>
        <w:pStyle w:val="Default"/>
        <w:spacing w:line="360" w:lineRule="auto"/>
        <w:jc w:val="both"/>
        <w:rPr>
          <w:rFonts w:ascii="Arial" w:hAnsi="Arial" w:cs="Arial"/>
          <w:bCs/>
          <w:lang w:val="en-US"/>
        </w:rPr>
      </w:pPr>
      <w:r w:rsidRPr="008F3CEA">
        <w:rPr>
          <w:rFonts w:ascii="Arial" w:hAnsi="Arial" w:cs="Arial"/>
          <w:bCs/>
          <w:lang w:val="en-US"/>
        </w:rPr>
        <w:t>This material was then characterized in terms of morphology, hardening time and injectability as well as mechanical strength under compression.</w:t>
      </w:r>
    </w:p>
    <w:p w:rsidR="00550A30" w:rsidRPr="008F3CEA" w:rsidRDefault="00550A30" w:rsidP="00550A30">
      <w:pPr>
        <w:pStyle w:val="Default"/>
        <w:spacing w:before="240" w:after="240" w:line="360" w:lineRule="auto"/>
        <w:rPr>
          <w:rFonts w:ascii="Arial" w:hAnsi="Arial" w:cs="Arial"/>
          <w:b/>
          <w:bCs/>
          <w:i/>
          <w:iCs/>
          <w:lang w:val="en-US"/>
        </w:rPr>
      </w:pPr>
      <w:r w:rsidRPr="008F3CEA">
        <w:rPr>
          <w:rFonts w:ascii="Arial" w:hAnsi="Arial" w:cs="Arial"/>
          <w:b/>
          <w:bCs/>
          <w:i/>
          <w:iCs/>
          <w:lang w:val="en-US"/>
        </w:rPr>
        <w:t>4.3.3.1 Hardening time and injectability of the final composition</w:t>
      </w:r>
    </w:p>
    <w:p w:rsidR="00550A30" w:rsidRPr="008F3CEA" w:rsidRDefault="00550A30" w:rsidP="00550A30">
      <w:pPr>
        <w:pStyle w:val="Default"/>
        <w:spacing w:line="360" w:lineRule="auto"/>
        <w:jc w:val="both"/>
        <w:rPr>
          <w:rFonts w:ascii="Arial" w:hAnsi="Arial" w:cs="Arial"/>
          <w:bCs/>
          <w:iCs/>
          <w:lang w:val="en-US"/>
        </w:rPr>
      </w:pPr>
      <w:r w:rsidRPr="008F3CEA">
        <w:rPr>
          <w:rFonts w:ascii="Arial" w:hAnsi="Arial" w:cs="Arial"/>
          <w:bCs/>
          <w:iCs/>
          <w:lang w:val="en-US"/>
        </w:rPr>
        <w:t xml:space="preserve">Hardening time and injectability were calculated for the cement prepared according to the optimized composition. </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bCs/>
          <w:iCs/>
          <w:lang w:val="en-US"/>
        </w:rPr>
        <w:t xml:space="preserve">The material showed a hardening time of 22 ± 2 min, which is slightly lower compared to that of the cement prepared with only chitosan and TCP (24 ± 2min). This hardening time is compatible with the characteristic required for a suitable bone cement material, i.e. an initial </w:t>
      </w:r>
      <w:r w:rsidRPr="008F3CEA">
        <w:rPr>
          <w:rFonts w:ascii="Arial" w:hAnsi="Arial" w:cs="Arial"/>
          <w:lang w:val="en-US"/>
        </w:rPr>
        <w:t xml:space="preserve">preparation time of 6-10 minutes and a setting time of about 15 minutes [33]. </w:t>
      </w:r>
    </w:p>
    <w:p w:rsidR="00550A30" w:rsidRPr="008F3CEA" w:rsidRDefault="00550A30" w:rsidP="00550A30">
      <w:pPr>
        <w:pStyle w:val="Default"/>
        <w:spacing w:line="360" w:lineRule="auto"/>
        <w:jc w:val="both"/>
        <w:rPr>
          <w:bCs/>
          <w:iCs/>
          <w:sz w:val="28"/>
          <w:szCs w:val="28"/>
          <w:lang w:val="en-US"/>
        </w:rPr>
      </w:pPr>
      <w:r w:rsidRPr="008F3CEA">
        <w:rPr>
          <w:rFonts w:ascii="Arial" w:hAnsi="Arial" w:cs="Arial"/>
          <w:lang w:val="en-US"/>
        </w:rPr>
        <w:t>Injectability, calculated according to equation 4.3, was 95%, greater than the values reported by other authors for calcium phosphate-based bone cements [</w:t>
      </w:r>
      <w:r w:rsidRPr="008F3CEA">
        <w:rPr>
          <w:rFonts w:ascii="Arial" w:hAnsi="Arial" w:cs="Arial"/>
          <w:color w:val="auto"/>
          <w:lang w:val="en-US"/>
        </w:rPr>
        <w:t>33]</w:t>
      </w:r>
      <w:r w:rsidRPr="008F3CEA">
        <w:rPr>
          <w:rFonts w:ascii="Arial" w:hAnsi="Arial" w:cs="Arial"/>
          <w:lang w:val="en-US"/>
        </w:rPr>
        <w:t>.</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This parameter makes the proposed material an optimal candidate for bone tissue repair.</w:t>
      </w:r>
    </w:p>
    <w:p w:rsidR="00550A30" w:rsidRPr="008F3CEA" w:rsidRDefault="00550A30" w:rsidP="00550A30">
      <w:pPr>
        <w:pStyle w:val="Default"/>
        <w:spacing w:before="240" w:after="240" w:line="360" w:lineRule="auto"/>
        <w:jc w:val="both"/>
        <w:rPr>
          <w:rFonts w:ascii="Arial" w:hAnsi="Arial" w:cs="Arial"/>
          <w:b/>
          <w:bCs/>
          <w:i/>
          <w:iCs/>
          <w:lang w:val="en-US"/>
        </w:rPr>
      </w:pPr>
      <w:r w:rsidRPr="008F3CEA">
        <w:rPr>
          <w:rFonts w:ascii="Arial" w:hAnsi="Arial" w:cs="Arial"/>
          <w:b/>
          <w:bCs/>
          <w:i/>
          <w:iCs/>
          <w:lang w:val="en-US"/>
        </w:rPr>
        <w:t>4.3.3.2 Morphology (SEM)</w:t>
      </w:r>
    </w:p>
    <w:p w:rsidR="00550A30" w:rsidRPr="008F3CEA" w:rsidRDefault="00550A30" w:rsidP="00550A30">
      <w:pPr>
        <w:spacing w:after="120" w:line="360" w:lineRule="auto"/>
        <w:jc w:val="both"/>
        <w:rPr>
          <w:rFonts w:ascii="Arial" w:hAnsi="Arial" w:cs="Arial"/>
          <w:sz w:val="24"/>
          <w:szCs w:val="24"/>
          <w:lang w:val="en-US"/>
        </w:rPr>
      </w:pPr>
      <w:r w:rsidRPr="008F3CEA">
        <w:rPr>
          <w:rFonts w:ascii="Arial" w:hAnsi="Arial" w:cs="Arial"/>
          <w:sz w:val="24"/>
          <w:szCs w:val="24"/>
          <w:lang w:val="en-US"/>
        </w:rPr>
        <w:t>SEM images on the material prepared according to the optimized final composition are reported in figure 4.31.</w:t>
      </w:r>
    </w:p>
    <w:p w:rsidR="00550A30" w:rsidRPr="008F3CEA" w:rsidRDefault="00550A30" w:rsidP="00550A30">
      <w:pPr>
        <w:spacing w:after="0" w:line="360" w:lineRule="auto"/>
        <w:jc w:val="both"/>
        <w:rPr>
          <w:sz w:val="23"/>
          <w:szCs w:val="23"/>
          <w:lang w:val="en-US"/>
        </w:rPr>
      </w:pPr>
      <w:r w:rsidRPr="008F3CEA">
        <w:rPr>
          <w:noProof/>
          <w:sz w:val="23"/>
          <w:szCs w:val="23"/>
          <w:lang w:val="it-IT" w:eastAsia="it-IT"/>
        </w:rPr>
        <w:drawing>
          <wp:inline distT="0" distB="0" distL="0" distR="0">
            <wp:extent cx="5975985" cy="1274445"/>
            <wp:effectExtent l="19050" t="0" r="5715" b="0"/>
            <wp:docPr id="160" name="Immagine 20" descr="SEM CAP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 CAP 4.png"/>
                    <pic:cNvPicPr/>
                  </pic:nvPicPr>
                  <pic:blipFill>
                    <a:blip r:embed="rId90" cstate="print"/>
                    <a:stretch>
                      <a:fillRect/>
                    </a:stretch>
                  </pic:blipFill>
                  <pic:spPr>
                    <a:xfrm>
                      <a:off x="0" y="0"/>
                      <a:ext cx="5975985" cy="1274445"/>
                    </a:xfrm>
                    <a:prstGeom prst="rect">
                      <a:avLst/>
                    </a:prstGeom>
                  </pic:spPr>
                </pic:pic>
              </a:graphicData>
            </a:graphic>
          </wp:inline>
        </w:drawing>
      </w:r>
    </w:p>
    <w:p w:rsidR="00550A30" w:rsidRPr="008F3CEA" w:rsidRDefault="00550A30" w:rsidP="00550A30">
      <w:pPr>
        <w:pStyle w:val="Didascalia"/>
        <w:rPr>
          <w:sz w:val="23"/>
          <w:szCs w:val="23"/>
          <w:lang w:val="en-US"/>
        </w:rPr>
      </w:pPr>
      <w:r w:rsidRPr="008F3CEA">
        <w:t xml:space="preserve">Figure 4. </w:t>
      </w:r>
      <w:fldSimple w:instr=" SEQ Figure_4. \* ARABIC ">
        <w:r w:rsidRPr="008F3CEA">
          <w:rPr>
            <w:noProof/>
          </w:rPr>
          <w:t>31</w:t>
        </w:r>
      </w:fldSimple>
      <w:r w:rsidRPr="008F3CEA">
        <w:t xml:space="preserve"> SEM micrographs of the bone cement prepared according to the optimized composition, after the addition of collagen and nanoparticles. </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Figure 4.31 A shows an overview of the surface of the material, in which the typical granular structure of TCP is visible. Calcium phosphate powders, in fact, are generally organized as agglomerates of 10-50µm dimensions [17].</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Both the organic and inorganic phases are present on the surface of the cement and appear to be well integrated with each other, as shown by figure 4.31 C.</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Polymeric nanoparticles with a size of 240-280nm can also be detected on the surface and inside the porosities of the material (see figure 4.31 B).</w:t>
      </w:r>
    </w:p>
    <w:p w:rsidR="00550A30" w:rsidRPr="008F3CEA" w:rsidRDefault="00550A30" w:rsidP="00550A30">
      <w:pPr>
        <w:pStyle w:val="Default"/>
        <w:spacing w:before="240" w:after="240" w:line="360" w:lineRule="auto"/>
        <w:rPr>
          <w:rFonts w:ascii="Arial" w:hAnsi="Arial" w:cs="Arial"/>
          <w:b/>
          <w:bCs/>
          <w:i/>
          <w:iCs/>
          <w:lang w:val="en-US"/>
        </w:rPr>
      </w:pPr>
      <w:r w:rsidRPr="008F3CEA">
        <w:rPr>
          <w:rFonts w:ascii="Arial" w:hAnsi="Arial" w:cs="Arial"/>
          <w:b/>
          <w:bCs/>
          <w:i/>
          <w:iCs/>
          <w:lang w:val="en-US"/>
        </w:rPr>
        <w:lastRenderedPageBreak/>
        <w:t>4.3.3.3 Determination of the compressive strength of the final bone cement</w:t>
      </w:r>
    </w:p>
    <w:p w:rsidR="00550A30" w:rsidRPr="008F3CEA" w:rsidRDefault="00550A30" w:rsidP="00550A30">
      <w:pPr>
        <w:spacing w:after="120" w:line="360" w:lineRule="auto"/>
        <w:jc w:val="both"/>
        <w:rPr>
          <w:rFonts w:ascii="Arial" w:hAnsi="Arial" w:cs="Arial"/>
          <w:sz w:val="24"/>
          <w:szCs w:val="24"/>
          <w:lang w:val="en-US"/>
        </w:rPr>
      </w:pPr>
      <w:r w:rsidRPr="008F3CEA">
        <w:rPr>
          <w:rFonts w:ascii="Arial" w:hAnsi="Arial" w:cs="Arial"/>
          <w:sz w:val="24"/>
          <w:szCs w:val="24"/>
          <w:lang w:val="en-US"/>
        </w:rPr>
        <w:t>The effect of the addition of collagen and polymeric nanoparticles on the material mechanical strength was assessed. Results are reported in table 4.7 and show that the addition of a second organic phase led to a significant increase in the material strength under compression.</w:t>
      </w:r>
    </w:p>
    <w:tbl>
      <w:tblPr>
        <w:tblStyle w:val="Grigliatabella"/>
        <w:tblW w:w="0" w:type="auto"/>
        <w:jc w:val="center"/>
        <w:tblBorders>
          <w:left w:val="none" w:sz="0" w:space="0" w:color="auto"/>
          <w:right w:val="none" w:sz="0" w:space="0" w:color="auto"/>
          <w:insideH w:val="none" w:sz="0" w:space="0" w:color="auto"/>
          <w:insideV w:val="none" w:sz="0" w:space="0" w:color="auto"/>
        </w:tblBorders>
        <w:shd w:val="clear" w:color="auto" w:fill="EEECE1" w:themeFill="background2"/>
        <w:tblLook w:val="04A0"/>
      </w:tblPr>
      <w:tblGrid>
        <w:gridCol w:w="2268"/>
        <w:gridCol w:w="2268"/>
      </w:tblGrid>
      <w:tr w:rsidR="00550A30" w:rsidRPr="008F3CEA" w:rsidTr="009925A1">
        <w:trPr>
          <w:jc w:val="center"/>
        </w:trPr>
        <w:tc>
          <w:tcPr>
            <w:tcW w:w="2268" w:type="dxa"/>
            <w:tcBorders>
              <w:top w:val="single" w:sz="4" w:space="0" w:color="000000" w:themeColor="text1"/>
              <w:bottom w:val="single" w:sz="4" w:space="0" w:color="auto"/>
            </w:tcBorders>
            <w:shd w:val="clear" w:color="auto" w:fill="EEECE1" w:themeFill="background2"/>
          </w:tcPr>
          <w:p w:rsidR="00550A30" w:rsidRPr="008F3CEA" w:rsidRDefault="00550A30" w:rsidP="009925A1">
            <w:pPr>
              <w:jc w:val="both"/>
              <w:rPr>
                <w:rFonts w:cstheme="minorHAnsi"/>
                <w:b/>
                <w:lang w:val="en-US"/>
              </w:rPr>
            </w:pPr>
            <w:r w:rsidRPr="008F3CEA">
              <w:rPr>
                <w:rFonts w:cstheme="minorHAnsi"/>
                <w:b/>
                <w:lang w:val="en-US"/>
              </w:rPr>
              <w:t>Material</w:t>
            </w:r>
          </w:p>
        </w:tc>
        <w:tc>
          <w:tcPr>
            <w:tcW w:w="2268" w:type="dxa"/>
            <w:tcBorders>
              <w:top w:val="single" w:sz="4" w:space="0" w:color="000000" w:themeColor="text1"/>
              <w:bottom w:val="single" w:sz="4" w:space="0" w:color="auto"/>
            </w:tcBorders>
            <w:shd w:val="clear" w:color="auto" w:fill="EEECE1" w:themeFill="background2"/>
          </w:tcPr>
          <w:p w:rsidR="00550A30" w:rsidRPr="008F3CEA" w:rsidRDefault="00550A30" w:rsidP="009925A1">
            <w:pPr>
              <w:jc w:val="both"/>
              <w:rPr>
                <w:rFonts w:cstheme="minorHAnsi"/>
                <w:b/>
                <w:lang w:val="en-US"/>
              </w:rPr>
            </w:pPr>
            <w:r w:rsidRPr="008F3CEA">
              <w:rPr>
                <w:rFonts w:cstheme="minorHAnsi"/>
                <w:b/>
                <w:lang w:val="en-US"/>
              </w:rPr>
              <w:t>Young modulus (MPa)</w:t>
            </w:r>
          </w:p>
        </w:tc>
      </w:tr>
      <w:tr w:rsidR="00550A30" w:rsidRPr="008F3CEA" w:rsidTr="009925A1">
        <w:trPr>
          <w:jc w:val="center"/>
        </w:trPr>
        <w:tc>
          <w:tcPr>
            <w:tcW w:w="2268" w:type="dxa"/>
            <w:tcBorders>
              <w:top w:val="single" w:sz="4" w:space="0" w:color="auto"/>
            </w:tcBorders>
            <w:shd w:val="clear" w:color="auto" w:fill="EEECE1" w:themeFill="background2"/>
          </w:tcPr>
          <w:p w:rsidR="00550A30" w:rsidRPr="008F3CEA" w:rsidRDefault="00550A30" w:rsidP="009925A1">
            <w:pPr>
              <w:jc w:val="both"/>
              <w:rPr>
                <w:rFonts w:cstheme="minorHAnsi"/>
                <w:lang w:val="en-US"/>
              </w:rPr>
            </w:pPr>
            <w:r w:rsidRPr="008F3CEA">
              <w:rPr>
                <w:rFonts w:cstheme="minorHAnsi"/>
                <w:lang w:val="en-US"/>
              </w:rPr>
              <w:t>30/70 GP 7.5</w:t>
            </w:r>
          </w:p>
        </w:tc>
        <w:tc>
          <w:tcPr>
            <w:tcW w:w="2268" w:type="dxa"/>
            <w:tcBorders>
              <w:top w:val="single" w:sz="4" w:space="0" w:color="auto"/>
            </w:tcBorders>
            <w:shd w:val="clear" w:color="auto" w:fill="EEECE1" w:themeFill="background2"/>
          </w:tcPr>
          <w:p w:rsidR="00550A30" w:rsidRPr="008F3CEA" w:rsidRDefault="00550A30" w:rsidP="009925A1">
            <w:pPr>
              <w:jc w:val="both"/>
              <w:rPr>
                <w:rFonts w:cstheme="minorHAnsi"/>
                <w:lang w:val="en-US"/>
              </w:rPr>
            </w:pPr>
            <w:r w:rsidRPr="008F3CEA">
              <w:rPr>
                <w:rFonts w:cstheme="minorHAnsi"/>
                <w:lang w:val="en-US"/>
              </w:rPr>
              <w:t xml:space="preserve">0,15 ± 0,02 </w:t>
            </w:r>
          </w:p>
        </w:tc>
      </w:tr>
      <w:tr w:rsidR="00550A30" w:rsidRPr="008F3CEA" w:rsidTr="009925A1">
        <w:trPr>
          <w:jc w:val="center"/>
        </w:trPr>
        <w:tc>
          <w:tcPr>
            <w:tcW w:w="2268" w:type="dxa"/>
            <w:shd w:val="clear" w:color="auto" w:fill="EEECE1" w:themeFill="background2"/>
          </w:tcPr>
          <w:p w:rsidR="00550A30" w:rsidRPr="008F3CEA" w:rsidRDefault="00550A30" w:rsidP="009925A1">
            <w:pPr>
              <w:jc w:val="both"/>
              <w:rPr>
                <w:rFonts w:cstheme="minorHAnsi"/>
                <w:lang w:val="en-US"/>
              </w:rPr>
            </w:pPr>
            <w:r w:rsidRPr="008F3CEA">
              <w:rPr>
                <w:rFonts w:cstheme="minorHAnsi"/>
                <w:lang w:val="en-US"/>
              </w:rPr>
              <w:t>30/70 GP 7.5 col - nps</w:t>
            </w:r>
          </w:p>
        </w:tc>
        <w:tc>
          <w:tcPr>
            <w:tcW w:w="2268" w:type="dxa"/>
            <w:shd w:val="clear" w:color="auto" w:fill="EEECE1" w:themeFill="background2"/>
          </w:tcPr>
          <w:p w:rsidR="00550A30" w:rsidRPr="008F3CEA" w:rsidRDefault="00550A30" w:rsidP="009925A1">
            <w:pPr>
              <w:jc w:val="both"/>
              <w:rPr>
                <w:rFonts w:cstheme="minorHAnsi"/>
                <w:lang w:val="en-US"/>
              </w:rPr>
            </w:pPr>
            <w:r w:rsidRPr="008F3CEA">
              <w:rPr>
                <w:rFonts w:cstheme="minorHAnsi"/>
                <w:lang w:val="en-US"/>
              </w:rPr>
              <w:t xml:space="preserve">1,0 ± 0,2  </w:t>
            </w:r>
          </w:p>
        </w:tc>
      </w:tr>
    </w:tbl>
    <w:p w:rsidR="00550A30" w:rsidRPr="008F3CEA" w:rsidRDefault="00550A30" w:rsidP="00550A30">
      <w:pPr>
        <w:pStyle w:val="Didascalia"/>
        <w:spacing w:before="120"/>
        <w:rPr>
          <w:rFonts w:ascii="Arial" w:hAnsi="Arial" w:cs="Arial"/>
          <w:sz w:val="24"/>
          <w:szCs w:val="24"/>
          <w:lang w:val="en-US"/>
        </w:rPr>
      </w:pPr>
      <w:r w:rsidRPr="008F3CEA">
        <w:t>Table 4. 7 Mechanical properties of the bone cement prepared with 30/70 organic inorganic phase ratio, with and without addition of collagen and polymeric nanoparticles.</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According to Hu and co-workers [34] the elastic modulus of the osteoporotic vertebral body should be in the range 10–500 MPa and the mechanical strength under compression should be 1/100 of this value, therefore around 0.5–5 MPa.</w:t>
      </w:r>
    </w:p>
    <w:p w:rsidR="00550A30" w:rsidRPr="008F3CEA" w:rsidRDefault="00550A30" w:rsidP="00550A30">
      <w:pPr>
        <w:spacing w:line="360" w:lineRule="auto"/>
        <w:jc w:val="both"/>
        <w:rPr>
          <w:sz w:val="23"/>
          <w:szCs w:val="23"/>
          <w:lang w:val="en-US"/>
        </w:rPr>
      </w:pPr>
      <w:r w:rsidRPr="008F3CEA">
        <w:rPr>
          <w:rFonts w:ascii="Arial" w:hAnsi="Arial" w:cs="Arial"/>
          <w:sz w:val="24"/>
          <w:szCs w:val="24"/>
          <w:lang w:val="en-US"/>
        </w:rPr>
        <w:t xml:space="preserve">The proposed formulation presents therefore interesting features, which make it a suitable candidate as biodegradable bone substitute. </w:t>
      </w:r>
    </w:p>
    <w:p w:rsidR="00550A30" w:rsidRPr="008F3CEA" w:rsidRDefault="00550A30" w:rsidP="00550A30">
      <w:pPr>
        <w:pStyle w:val="Default"/>
        <w:spacing w:before="240" w:after="240" w:line="360" w:lineRule="auto"/>
        <w:rPr>
          <w:rFonts w:ascii="Arial" w:hAnsi="Arial" w:cs="Arial"/>
          <w:b/>
          <w:bCs/>
          <w:sz w:val="28"/>
          <w:szCs w:val="28"/>
          <w:lang w:val="en-US"/>
        </w:rPr>
      </w:pPr>
      <w:r w:rsidRPr="008F3CEA">
        <w:rPr>
          <w:rFonts w:ascii="Arial" w:hAnsi="Arial" w:cs="Arial"/>
          <w:b/>
          <w:bCs/>
          <w:sz w:val="28"/>
          <w:szCs w:val="28"/>
          <w:lang w:val="en-US"/>
        </w:rPr>
        <w:t>4.4 Conclusions</w:t>
      </w:r>
    </w:p>
    <w:p w:rsidR="00550A30" w:rsidRPr="008F3CEA" w:rsidRDefault="00550A30" w:rsidP="00550A30">
      <w:pPr>
        <w:pStyle w:val="Default"/>
        <w:spacing w:line="360" w:lineRule="auto"/>
        <w:jc w:val="both"/>
        <w:rPr>
          <w:rFonts w:ascii="Arial" w:hAnsi="Arial" w:cs="Arial"/>
          <w:bCs/>
          <w:lang w:val="en-US"/>
        </w:rPr>
      </w:pPr>
      <w:r w:rsidRPr="008F3CEA">
        <w:rPr>
          <w:rFonts w:ascii="Arial" w:hAnsi="Arial" w:cs="Arial"/>
          <w:bCs/>
          <w:lang w:val="en-US"/>
        </w:rPr>
        <w:t>The objective of this work was the preparation and characterization of a novel, biocompatible and biomimetic injectable material, to be used as bone cement in mini-invasive surgery for the repair of vertebral injuries.</w:t>
      </w:r>
    </w:p>
    <w:p w:rsidR="00550A30" w:rsidRPr="008F3CEA" w:rsidRDefault="00550A30" w:rsidP="00550A30">
      <w:pPr>
        <w:pStyle w:val="Default"/>
        <w:spacing w:line="360" w:lineRule="auto"/>
        <w:jc w:val="both"/>
        <w:rPr>
          <w:rFonts w:ascii="Arial" w:hAnsi="Arial" w:cs="Arial"/>
          <w:bCs/>
          <w:lang w:val="en-US"/>
        </w:rPr>
      </w:pPr>
      <w:r w:rsidRPr="008F3CEA">
        <w:rPr>
          <w:rFonts w:ascii="Arial" w:hAnsi="Arial" w:cs="Arial"/>
          <w:bCs/>
          <w:lang w:val="en-US"/>
        </w:rPr>
        <w:t>The proposed material was composed of two principle phases which are naturally present in bones: an organic phase (composed of chitosan or a blend of chitosan and collagen) and an inorganic one (β tricalcium phosphate) which was expected to induce new bone formation (i.e. bioactivity), overcoming current problems with traditional PMMA-based bone cements.</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The organic phase was cross-linked to improve mechanical properties and to favor the material solidification (setting), by using a natural cross-linker (Genipin).</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In the first part of the work the composition of the material was optimized, in order to determine the organic/inorganic ratio and amount of cross-linker which would lead to higher bioactivity and mechanical strength as well as to a faster setting and hardening time. The material’s bioactivity and mechanical properties were strongly dependent on the amount of inorganic phase, while the amount of cross linker did not affect the bioactivity. A higher content of cross-linker led to better mechanical properties and to faster hardening times.</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lastRenderedPageBreak/>
        <w:t>Among the different compositions analyzed, an organic/inorganic phase ratio of 30/70 and an amount of cross-linker of 7.5% w/v (sample 30/70 GP7.5) were selected as optimal parameters, since this sample showed a setting time of 24 minutes and an elastic modulus under compression of 149.1± 16.9 kPa, similarly to what reported for other injectable and biodegradable gels [25]. Mechanical and biomimetic properties of this composition were further improved by adding a second organic phase composed of natural collagen [35]. Moreover, an anti-inflammatory agent (Indometacin) was included in the cement composition, after encapsulation into polymeric PCL nanoparticles. Nanoparticles were successfully  prepared by the solvent displacement method and were characterized in terms of size, morphology as well as encapsulation and release properties. Spherical particles, with a size of approximately 240- 300 nm and an encapsulation efficiency of 33% were obtained.</w:t>
      </w:r>
    </w:p>
    <w:p w:rsidR="00550A30" w:rsidRPr="008F3CEA" w:rsidRDefault="00550A30" w:rsidP="00550A30">
      <w:pPr>
        <w:spacing w:after="0" w:line="360" w:lineRule="auto"/>
        <w:jc w:val="both"/>
        <w:outlineLvl w:val="1"/>
        <w:rPr>
          <w:rFonts w:ascii="Arial" w:hAnsi="Arial" w:cs="Arial"/>
          <w:bCs/>
          <w:color w:val="333333"/>
          <w:kern w:val="36"/>
          <w:sz w:val="24"/>
          <w:szCs w:val="24"/>
          <w:lang w:val="en-US" w:eastAsia="it-IT"/>
        </w:rPr>
      </w:pPr>
      <w:r w:rsidRPr="008F3CEA">
        <w:rPr>
          <w:rFonts w:ascii="Arial" w:hAnsi="Arial" w:cs="Arial"/>
          <w:sz w:val="24"/>
          <w:szCs w:val="24"/>
          <w:lang w:val="en-US"/>
        </w:rPr>
        <w:t>The release profile showed that almost 80% of the encapsulate drug was released during the first 24 hours. This kinetics are compatible with post-operative infection raising time [17].</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Nanoparticles (10% w/w) and collagen (3% w/v) were added to the previously selected optimal cement composition and the material was analyzed in terms of morphology, hardening time and injectability. Mechanical properties were also tested to assess the effect of the addition of collagen on the material strength.</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This new composition led to a fast hardening and setting time (22 min) and to a high injectability (95%), making the material an optimal candidate as injectable bone substitute [33,35-37]. As expected, the addition of collagen (and to a smaller extent of polymeric nanoparticles) strongly affected the mechanical properties of the material, resulting in increased Young Modulus under compression (from 0.1 MPa for sample 30/70 GP7.5, to 1 GPa for the new material) [35,38]. </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The new bone cement developed in this study appears to be a promising candidate as injectable bioactive material for the substitution and guided regeneration of bone tissue.</w:t>
      </w:r>
    </w:p>
    <w:p w:rsidR="00550A30" w:rsidRPr="008F3CEA" w:rsidRDefault="00550A30" w:rsidP="00550A30">
      <w:pPr>
        <w:pStyle w:val="Default"/>
        <w:spacing w:before="240" w:after="240" w:line="360" w:lineRule="auto"/>
        <w:jc w:val="both"/>
        <w:rPr>
          <w:rFonts w:ascii="Arial" w:hAnsi="Arial" w:cs="Arial"/>
          <w:b/>
          <w:sz w:val="28"/>
          <w:szCs w:val="28"/>
          <w:lang w:val="en-US"/>
        </w:rPr>
      </w:pPr>
      <w:r w:rsidRPr="008F3CEA">
        <w:rPr>
          <w:rFonts w:ascii="Arial" w:hAnsi="Arial" w:cs="Arial"/>
          <w:b/>
          <w:sz w:val="28"/>
          <w:szCs w:val="28"/>
          <w:lang w:val="en-US"/>
        </w:rPr>
        <w:t>References</w:t>
      </w:r>
    </w:p>
    <w:p w:rsidR="00550A30" w:rsidRPr="008F3CEA" w:rsidRDefault="00550A30" w:rsidP="00550A30">
      <w:pPr>
        <w:pStyle w:val="Default"/>
        <w:spacing w:line="360" w:lineRule="auto"/>
        <w:jc w:val="both"/>
        <w:rPr>
          <w:rFonts w:ascii="Arial" w:hAnsi="Arial" w:cs="Arial"/>
          <w:iCs/>
          <w:lang w:val="en-US"/>
        </w:rPr>
      </w:pPr>
      <w:r w:rsidRPr="008F3CEA">
        <w:rPr>
          <w:rFonts w:ascii="Arial" w:hAnsi="Arial" w:cs="Arial"/>
          <w:lang w:val="en-US"/>
        </w:rPr>
        <w:t xml:space="preserve">[1] R. Eastell </w:t>
      </w:r>
      <w:r w:rsidRPr="008F3CEA">
        <w:rPr>
          <w:rFonts w:ascii="Arial" w:hAnsi="Arial" w:cs="Arial"/>
          <w:b/>
          <w:iCs/>
          <w:lang w:val="en-US"/>
        </w:rPr>
        <w:t>2009</w:t>
      </w:r>
      <w:r w:rsidRPr="008F3CEA">
        <w:rPr>
          <w:rFonts w:ascii="Arial" w:hAnsi="Arial" w:cs="Arial"/>
          <w:lang w:val="en-US"/>
        </w:rPr>
        <w:t xml:space="preserve"> </w:t>
      </w:r>
      <w:r w:rsidRPr="008F3CEA">
        <w:rPr>
          <w:rFonts w:ascii="Arial" w:hAnsi="Arial" w:cs="Arial"/>
          <w:iCs/>
          <w:lang w:val="en-US"/>
        </w:rPr>
        <w:t>Medicine 37:475</w:t>
      </w:r>
    </w:p>
    <w:p w:rsidR="00550A30" w:rsidRPr="008F3CEA" w:rsidRDefault="00550A30" w:rsidP="00550A30">
      <w:pPr>
        <w:pStyle w:val="Default"/>
        <w:spacing w:line="360" w:lineRule="auto"/>
        <w:jc w:val="both"/>
        <w:rPr>
          <w:rFonts w:ascii="Arial" w:hAnsi="Arial" w:cs="Arial"/>
          <w:iCs/>
          <w:color w:val="231F20"/>
          <w:lang w:val="en-US"/>
        </w:rPr>
      </w:pPr>
      <w:r w:rsidRPr="008F3CEA">
        <w:rPr>
          <w:rFonts w:ascii="Arial" w:hAnsi="Arial" w:cs="Arial"/>
          <w:lang w:val="en-US"/>
        </w:rPr>
        <w:t xml:space="preserve">[2] </w:t>
      </w:r>
      <w:r w:rsidRPr="008F3CEA">
        <w:rPr>
          <w:rFonts w:ascii="Arial" w:hAnsi="Arial" w:cs="Arial"/>
          <w:iCs/>
          <w:color w:val="231F20"/>
          <w:lang w:val="en-US"/>
        </w:rPr>
        <w:t xml:space="preserve">E. Truumees et al. </w:t>
      </w:r>
      <w:r w:rsidRPr="008F3CEA">
        <w:rPr>
          <w:rFonts w:ascii="Arial" w:hAnsi="Arial" w:cs="Arial"/>
          <w:b/>
          <w:iCs/>
          <w:color w:val="231F20"/>
          <w:lang w:val="en-US"/>
        </w:rPr>
        <w:t>2004</w:t>
      </w:r>
      <w:r w:rsidRPr="008F3CEA">
        <w:rPr>
          <w:rFonts w:ascii="Arial" w:hAnsi="Arial" w:cs="Arial"/>
          <w:iCs/>
          <w:color w:val="231F20"/>
          <w:lang w:val="en-US"/>
        </w:rPr>
        <w:t xml:space="preserve"> The Spine Journal 4:218</w:t>
      </w:r>
    </w:p>
    <w:p w:rsidR="00550A30" w:rsidRPr="008F3CEA" w:rsidRDefault="00550A30" w:rsidP="00550A30">
      <w:pPr>
        <w:pStyle w:val="Default"/>
        <w:spacing w:line="360" w:lineRule="auto"/>
        <w:jc w:val="both"/>
        <w:rPr>
          <w:i/>
          <w:iCs/>
          <w:lang w:val="en-US"/>
        </w:rPr>
      </w:pPr>
      <w:r w:rsidRPr="008F3CEA">
        <w:rPr>
          <w:rFonts w:ascii="Arial" w:hAnsi="Arial" w:cs="Arial"/>
          <w:iCs/>
          <w:lang w:val="en-US"/>
        </w:rPr>
        <w:t xml:space="preserve">[3] Mousa W.F. et al. </w:t>
      </w:r>
      <w:r w:rsidRPr="008F3CEA">
        <w:rPr>
          <w:rFonts w:ascii="Arial" w:hAnsi="Arial" w:cs="Arial"/>
          <w:b/>
          <w:iCs/>
          <w:lang w:val="en-US"/>
        </w:rPr>
        <w:t>2000</w:t>
      </w:r>
      <w:r w:rsidRPr="008F3CEA">
        <w:rPr>
          <w:rFonts w:ascii="Arial" w:hAnsi="Arial" w:cs="Arial"/>
          <w:iCs/>
          <w:lang w:val="en-US"/>
        </w:rPr>
        <w:t xml:space="preserve"> Biomaterials 21: 2137</w:t>
      </w:r>
    </w:p>
    <w:p w:rsidR="00550A30" w:rsidRPr="008F3CEA" w:rsidRDefault="00550A30" w:rsidP="00550A30">
      <w:pPr>
        <w:pStyle w:val="Default"/>
        <w:spacing w:line="360" w:lineRule="auto"/>
        <w:jc w:val="both"/>
        <w:rPr>
          <w:rFonts w:ascii="Arial" w:hAnsi="Arial" w:cs="Arial"/>
          <w:lang w:val="en-US"/>
        </w:rPr>
      </w:pPr>
      <w:r w:rsidRPr="008F3CEA">
        <w:rPr>
          <w:iCs/>
          <w:lang w:val="en-US"/>
        </w:rPr>
        <w:t>[</w:t>
      </w:r>
      <w:r w:rsidRPr="008F3CEA">
        <w:rPr>
          <w:rFonts w:ascii="Arial" w:hAnsi="Arial" w:cs="Arial"/>
          <w:iCs/>
          <w:lang w:val="en-US"/>
        </w:rPr>
        <w:t>4</w:t>
      </w:r>
      <w:r w:rsidRPr="008F3CEA">
        <w:rPr>
          <w:iCs/>
          <w:lang w:val="en-US"/>
        </w:rPr>
        <w:t xml:space="preserve">] </w:t>
      </w:r>
      <w:r w:rsidRPr="008F3CEA">
        <w:rPr>
          <w:rFonts w:ascii="Arial" w:hAnsi="Arial" w:cs="Arial"/>
          <w:lang w:val="en-US"/>
        </w:rPr>
        <w:t>L.K.H. koh JMHG 1:204</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[5] Wasnich U. </w:t>
      </w:r>
      <w:r w:rsidRPr="008F3CEA">
        <w:rPr>
          <w:rFonts w:ascii="Arial" w:hAnsi="Arial" w:cs="Arial"/>
          <w:b/>
          <w:sz w:val="24"/>
          <w:szCs w:val="24"/>
          <w:lang w:val="en-US"/>
        </w:rPr>
        <w:t>1996</w:t>
      </w:r>
      <w:r w:rsidRPr="008F3CEA">
        <w:rPr>
          <w:rFonts w:ascii="Arial" w:hAnsi="Arial" w:cs="Arial"/>
          <w:sz w:val="24"/>
          <w:szCs w:val="24"/>
          <w:lang w:val="en-US"/>
        </w:rPr>
        <w:t xml:space="preserve"> Bone 18:1791</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lastRenderedPageBreak/>
        <w:t xml:space="preserve">[6] Melton LJ. </w:t>
      </w:r>
      <w:r w:rsidRPr="008F3CEA">
        <w:rPr>
          <w:rFonts w:ascii="Arial" w:hAnsi="Arial" w:cs="Arial"/>
          <w:b/>
          <w:sz w:val="24"/>
          <w:szCs w:val="24"/>
          <w:lang w:val="en-US"/>
        </w:rPr>
        <w:t>1989</w:t>
      </w:r>
      <w:r w:rsidRPr="008F3CEA">
        <w:rPr>
          <w:rFonts w:ascii="Arial" w:hAnsi="Arial" w:cs="Arial"/>
          <w:sz w:val="24"/>
          <w:szCs w:val="24"/>
          <w:lang w:val="en-US"/>
        </w:rPr>
        <w:t xml:space="preserve"> Am J Epidemiol 129:1000</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[7] Delmas PD. </w:t>
      </w:r>
      <w:r w:rsidRPr="008F3CEA">
        <w:rPr>
          <w:rFonts w:ascii="Arial" w:hAnsi="Arial" w:cs="Arial"/>
          <w:b/>
          <w:sz w:val="24"/>
          <w:szCs w:val="24"/>
          <w:lang w:val="en-US"/>
        </w:rPr>
        <w:t>2002</w:t>
      </w:r>
      <w:r w:rsidRPr="008F3CEA">
        <w:rPr>
          <w:rFonts w:ascii="Arial" w:hAnsi="Arial" w:cs="Arial"/>
          <w:sz w:val="24"/>
          <w:szCs w:val="24"/>
          <w:lang w:val="en-US"/>
        </w:rPr>
        <w:t xml:space="preserve"> Lancet  359:2018.</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[8] J.J. Verlaan et al. </w:t>
      </w:r>
      <w:r w:rsidRPr="008F3CEA">
        <w:rPr>
          <w:rFonts w:ascii="Arial" w:hAnsi="Arial" w:cs="Arial"/>
          <w:b/>
          <w:lang w:val="en-US"/>
        </w:rPr>
        <w:t>2006</w:t>
      </w:r>
      <w:r w:rsidRPr="008F3CEA">
        <w:rPr>
          <w:rFonts w:ascii="Arial" w:hAnsi="Arial" w:cs="Arial"/>
          <w:lang w:val="en-US"/>
        </w:rPr>
        <w:t xml:space="preserve"> Biomaterials 27:290</w:t>
      </w:r>
    </w:p>
    <w:p w:rsidR="00550A30" w:rsidRPr="008F3CEA" w:rsidRDefault="00550A30" w:rsidP="00550A30">
      <w:pPr>
        <w:pStyle w:val="Default"/>
        <w:spacing w:line="360" w:lineRule="auto"/>
        <w:jc w:val="both"/>
        <w:rPr>
          <w:rFonts w:ascii="Arial" w:hAnsi="Arial" w:cs="Arial"/>
          <w:color w:val="231F20"/>
          <w:lang w:val="en-US"/>
        </w:rPr>
      </w:pPr>
      <w:r w:rsidRPr="008F3CEA">
        <w:rPr>
          <w:rFonts w:ascii="Arial" w:hAnsi="Arial" w:cs="Arial"/>
          <w:iCs/>
          <w:color w:val="231F20"/>
          <w:lang w:val="en-US"/>
        </w:rPr>
        <w:t xml:space="preserve">[9] </w:t>
      </w:r>
      <w:r w:rsidRPr="008F3CEA">
        <w:rPr>
          <w:rFonts w:ascii="Arial" w:hAnsi="Arial" w:cs="Arial"/>
          <w:color w:val="231F20"/>
          <w:lang w:val="en-US"/>
        </w:rPr>
        <w:t xml:space="preserve">Belkoff SM et al. </w:t>
      </w:r>
      <w:r w:rsidRPr="008F3CEA">
        <w:rPr>
          <w:rFonts w:ascii="Arial" w:hAnsi="Arial" w:cs="Arial"/>
          <w:b/>
          <w:color w:val="231F20"/>
          <w:lang w:val="en-US"/>
        </w:rPr>
        <w:t>2000</w:t>
      </w:r>
      <w:r w:rsidRPr="008F3CEA">
        <w:rPr>
          <w:rFonts w:ascii="Arial" w:hAnsi="Arial" w:cs="Arial"/>
          <w:color w:val="231F20"/>
          <w:lang w:val="en-US"/>
        </w:rPr>
        <w:t xml:space="preserve"> Spine  25:1061</w:t>
      </w:r>
    </w:p>
    <w:p w:rsidR="00550A30" w:rsidRPr="008F3CEA" w:rsidRDefault="00550A30" w:rsidP="00550A30">
      <w:pPr>
        <w:pStyle w:val="Default"/>
        <w:spacing w:line="360" w:lineRule="auto"/>
        <w:jc w:val="both"/>
        <w:rPr>
          <w:rFonts w:ascii="Arial" w:hAnsi="Arial" w:cs="Arial"/>
          <w:color w:val="231F20"/>
          <w:lang w:val="en-US"/>
        </w:rPr>
      </w:pPr>
      <w:r w:rsidRPr="008F3CEA">
        <w:rPr>
          <w:rFonts w:ascii="Arial" w:hAnsi="Arial" w:cs="Arial"/>
          <w:color w:val="231F20"/>
          <w:lang w:val="en-US"/>
        </w:rPr>
        <w:t xml:space="preserve">[10] Dean JR et al </w:t>
      </w:r>
      <w:r w:rsidRPr="008F3CEA">
        <w:rPr>
          <w:rFonts w:ascii="Arial" w:hAnsi="Arial" w:cs="Arial"/>
          <w:b/>
          <w:color w:val="231F20"/>
          <w:lang w:val="en-US"/>
        </w:rPr>
        <w:t>2000</w:t>
      </w:r>
      <w:r w:rsidRPr="008F3CEA">
        <w:rPr>
          <w:rFonts w:ascii="Arial" w:hAnsi="Arial" w:cs="Arial"/>
          <w:color w:val="231F20"/>
          <w:lang w:val="en-US"/>
        </w:rPr>
        <w:t xml:space="preserve"> Clin Radiol 55:471 </w:t>
      </w:r>
    </w:p>
    <w:p w:rsidR="00550A30" w:rsidRPr="008F3CEA" w:rsidRDefault="00550A30" w:rsidP="00550A30">
      <w:pPr>
        <w:pStyle w:val="Default"/>
        <w:spacing w:line="360" w:lineRule="auto"/>
        <w:jc w:val="both"/>
        <w:rPr>
          <w:rFonts w:ascii="Arial" w:hAnsi="Arial" w:cs="Arial"/>
          <w:color w:val="231F20"/>
          <w:lang w:val="en-US"/>
        </w:rPr>
      </w:pPr>
      <w:r w:rsidRPr="008F3CEA">
        <w:rPr>
          <w:rFonts w:ascii="Arial" w:hAnsi="Arial" w:cs="Arial"/>
          <w:color w:val="231F20"/>
          <w:lang w:val="en-US"/>
        </w:rPr>
        <w:t xml:space="preserve">[11] Bostrom MP et al </w:t>
      </w:r>
      <w:r w:rsidRPr="008F3CEA">
        <w:rPr>
          <w:rFonts w:ascii="Arial" w:hAnsi="Arial" w:cs="Arial"/>
          <w:b/>
          <w:color w:val="231F20"/>
          <w:lang w:val="en-US"/>
        </w:rPr>
        <w:t>1997</w:t>
      </w:r>
      <w:r w:rsidRPr="008F3CEA">
        <w:rPr>
          <w:rFonts w:ascii="Arial" w:hAnsi="Arial" w:cs="Arial"/>
          <w:color w:val="231F20"/>
          <w:lang w:val="en-US"/>
        </w:rPr>
        <w:t xml:space="preserve"> Spine 22(24 suppl): 38S</w:t>
      </w:r>
    </w:p>
    <w:p w:rsidR="00550A30" w:rsidRPr="008F3CEA" w:rsidRDefault="00550A30" w:rsidP="00550A30">
      <w:pPr>
        <w:pStyle w:val="Default"/>
        <w:spacing w:line="360" w:lineRule="auto"/>
        <w:jc w:val="both"/>
        <w:rPr>
          <w:rFonts w:ascii="Arial" w:hAnsi="Arial" w:cs="Arial"/>
          <w:color w:val="231F20"/>
          <w:lang w:val="en-US"/>
        </w:rPr>
      </w:pPr>
      <w:r w:rsidRPr="008F3CEA">
        <w:rPr>
          <w:rFonts w:ascii="Arial" w:hAnsi="Arial" w:cs="Arial"/>
          <w:color w:val="231F20"/>
          <w:lang w:val="en-US"/>
        </w:rPr>
        <w:t xml:space="preserve">[12] Deramond H et al. </w:t>
      </w:r>
      <w:r w:rsidRPr="008F3CEA">
        <w:rPr>
          <w:rFonts w:ascii="Arial" w:hAnsi="Arial" w:cs="Arial"/>
          <w:b/>
          <w:color w:val="231F20"/>
          <w:lang w:val="en-US"/>
        </w:rPr>
        <w:t>1998</w:t>
      </w:r>
      <w:r w:rsidRPr="008F3CEA">
        <w:rPr>
          <w:rFonts w:ascii="Arial" w:hAnsi="Arial" w:cs="Arial"/>
          <w:color w:val="231F20"/>
          <w:lang w:val="en-US"/>
        </w:rPr>
        <w:t xml:space="preserve"> Radiol Clin North Am 36:533</w:t>
      </w:r>
    </w:p>
    <w:p w:rsidR="00550A30" w:rsidRPr="008F3CEA" w:rsidRDefault="00550A30" w:rsidP="00550A30">
      <w:pPr>
        <w:pStyle w:val="Default"/>
        <w:spacing w:line="360" w:lineRule="auto"/>
        <w:jc w:val="both"/>
        <w:rPr>
          <w:rFonts w:ascii="Arial" w:hAnsi="Arial" w:cs="Arial"/>
          <w:color w:val="231F20"/>
        </w:rPr>
      </w:pPr>
      <w:r w:rsidRPr="008F3CEA">
        <w:rPr>
          <w:rFonts w:ascii="Arial" w:hAnsi="Arial" w:cs="Arial"/>
          <w:color w:val="231F20"/>
        </w:rPr>
        <w:t xml:space="preserve">[13] Garfin SR et al. </w:t>
      </w:r>
      <w:r w:rsidRPr="008F3CEA">
        <w:rPr>
          <w:rFonts w:ascii="Arial" w:hAnsi="Arial" w:cs="Arial"/>
          <w:b/>
          <w:color w:val="231F20"/>
        </w:rPr>
        <w:t>2001</w:t>
      </w:r>
      <w:r w:rsidRPr="008F3CEA">
        <w:rPr>
          <w:rFonts w:ascii="Arial" w:hAnsi="Arial" w:cs="Arial"/>
          <w:color w:val="231F20"/>
        </w:rPr>
        <w:t xml:space="preserve"> Spine 26:1511</w:t>
      </w:r>
    </w:p>
    <w:p w:rsidR="00550A30" w:rsidRPr="008F3CEA" w:rsidRDefault="00550A30" w:rsidP="00550A30">
      <w:pPr>
        <w:pStyle w:val="Default"/>
        <w:spacing w:line="360" w:lineRule="auto"/>
        <w:jc w:val="both"/>
        <w:rPr>
          <w:rFonts w:ascii="Arial" w:hAnsi="Arial" w:cs="Arial"/>
          <w:color w:val="231F20"/>
          <w:lang w:val="en-US"/>
        </w:rPr>
      </w:pPr>
      <w:r w:rsidRPr="008F3CEA">
        <w:rPr>
          <w:rFonts w:ascii="Arial" w:hAnsi="Arial" w:cs="Arial"/>
          <w:color w:val="231F20"/>
          <w:lang w:val="en-US"/>
        </w:rPr>
        <w:t xml:space="preserve">[14] Martin JB et al. </w:t>
      </w:r>
      <w:r w:rsidRPr="008F3CEA">
        <w:rPr>
          <w:rFonts w:ascii="Arial" w:hAnsi="Arial" w:cs="Arial"/>
          <w:b/>
          <w:color w:val="231F20"/>
          <w:lang w:val="en-US"/>
        </w:rPr>
        <w:t>1999</w:t>
      </w:r>
      <w:r w:rsidRPr="008F3CEA">
        <w:rPr>
          <w:rFonts w:ascii="Arial" w:hAnsi="Arial" w:cs="Arial"/>
          <w:color w:val="231F20"/>
          <w:lang w:val="en-US"/>
        </w:rPr>
        <w:t xml:space="preserve"> Bone 25:11S</w:t>
      </w:r>
    </w:p>
    <w:p w:rsidR="00550A30" w:rsidRPr="008F3CEA" w:rsidRDefault="00550A30" w:rsidP="00550A30">
      <w:pPr>
        <w:pStyle w:val="Default"/>
        <w:spacing w:line="360" w:lineRule="auto"/>
        <w:jc w:val="both"/>
        <w:rPr>
          <w:rFonts w:ascii="Arial" w:hAnsi="Arial" w:cs="Arial"/>
          <w:color w:val="231F20"/>
          <w:lang w:val="en-US"/>
        </w:rPr>
      </w:pPr>
      <w:r w:rsidRPr="008F3CEA">
        <w:rPr>
          <w:rFonts w:ascii="Arial" w:hAnsi="Arial" w:cs="Arial"/>
          <w:color w:val="231F20"/>
          <w:lang w:val="en-US"/>
        </w:rPr>
        <w:t xml:space="preserve">[15] I.H. Lieberman et al. </w:t>
      </w:r>
      <w:r w:rsidRPr="008F3CEA">
        <w:rPr>
          <w:rFonts w:ascii="Arial" w:hAnsi="Arial" w:cs="Arial"/>
          <w:b/>
          <w:color w:val="231F20"/>
          <w:lang w:val="en-US"/>
        </w:rPr>
        <w:t>2005</w:t>
      </w:r>
      <w:r w:rsidRPr="008F3CEA">
        <w:rPr>
          <w:rFonts w:ascii="Arial" w:hAnsi="Arial" w:cs="Arial"/>
          <w:color w:val="231F20"/>
          <w:lang w:val="en-US"/>
        </w:rPr>
        <w:t xml:space="preserve"> The Spine Journal 5:305S</w:t>
      </w:r>
    </w:p>
    <w:p w:rsidR="00550A30" w:rsidRPr="008F3CEA" w:rsidRDefault="00550A30" w:rsidP="00550A30">
      <w:pPr>
        <w:pStyle w:val="Default"/>
        <w:spacing w:line="360" w:lineRule="auto"/>
        <w:jc w:val="both"/>
        <w:rPr>
          <w:rFonts w:ascii="Arial" w:hAnsi="Arial" w:cs="Arial"/>
          <w:color w:val="auto"/>
          <w:lang w:val="en-US"/>
        </w:rPr>
      </w:pPr>
      <w:r w:rsidRPr="008F3CEA">
        <w:rPr>
          <w:rFonts w:ascii="Arial" w:hAnsi="Arial" w:cs="Arial"/>
          <w:color w:val="231F20"/>
          <w:lang w:val="en-US"/>
        </w:rPr>
        <w:t xml:space="preserve">[16] </w:t>
      </w:r>
      <w:r w:rsidRPr="008F3CEA">
        <w:rPr>
          <w:rFonts w:ascii="Arial" w:hAnsi="Arial" w:cs="Arial"/>
          <w:color w:val="auto"/>
          <w:lang w:val="en-US"/>
        </w:rPr>
        <w:t xml:space="preserve">G.X. Ni et al. </w:t>
      </w:r>
      <w:r w:rsidRPr="008F3CEA">
        <w:rPr>
          <w:rFonts w:ascii="Arial" w:hAnsi="Arial" w:cs="Arial"/>
          <w:b/>
          <w:color w:val="auto"/>
          <w:lang w:val="en-US"/>
        </w:rPr>
        <w:t>2006</w:t>
      </w:r>
      <w:r w:rsidRPr="008F3CEA">
        <w:rPr>
          <w:rFonts w:ascii="Arial" w:hAnsi="Arial" w:cs="Arial"/>
          <w:color w:val="auto"/>
          <w:lang w:val="en-US"/>
        </w:rPr>
        <w:t xml:space="preserve"> Biomaterials 27:1963</w:t>
      </w:r>
    </w:p>
    <w:p w:rsidR="00550A30" w:rsidRPr="008F3CEA" w:rsidRDefault="00550A30" w:rsidP="00550A30">
      <w:pPr>
        <w:pStyle w:val="Default"/>
        <w:spacing w:line="360" w:lineRule="auto"/>
        <w:jc w:val="both"/>
        <w:rPr>
          <w:rFonts w:ascii="Arial" w:hAnsi="Arial" w:cs="Arial"/>
          <w:i/>
          <w:color w:val="231F20"/>
          <w:lang w:val="en-US"/>
        </w:rPr>
      </w:pPr>
      <w:r w:rsidRPr="008F3CEA">
        <w:rPr>
          <w:rFonts w:ascii="Arial" w:hAnsi="Arial" w:cs="Arial"/>
          <w:color w:val="auto"/>
          <w:lang w:val="en-US"/>
        </w:rPr>
        <w:t xml:space="preserve">[17] </w:t>
      </w:r>
      <w:r w:rsidRPr="008F3CEA">
        <w:rPr>
          <w:rFonts w:ascii="Arial" w:hAnsi="Arial" w:cs="Arial"/>
          <w:color w:val="231F20"/>
          <w:lang w:val="en-US"/>
        </w:rPr>
        <w:t xml:space="preserve">M.P. Ginebra et al. </w:t>
      </w:r>
      <w:r w:rsidRPr="008F3CEA">
        <w:rPr>
          <w:rFonts w:ascii="Arial" w:hAnsi="Arial" w:cs="Arial"/>
          <w:b/>
          <w:color w:val="231F20"/>
          <w:lang w:val="en-US"/>
        </w:rPr>
        <w:t>2006</w:t>
      </w:r>
      <w:r w:rsidRPr="008F3CEA">
        <w:rPr>
          <w:rFonts w:ascii="Arial" w:hAnsi="Arial" w:cs="Arial"/>
          <w:color w:val="231F20"/>
          <w:lang w:val="en-US"/>
        </w:rPr>
        <w:t xml:space="preserve"> J Control Release 113:102</w:t>
      </w:r>
    </w:p>
    <w:p w:rsidR="00550A30" w:rsidRPr="008F3CEA" w:rsidRDefault="00550A30" w:rsidP="00550A30">
      <w:pPr>
        <w:pStyle w:val="Default"/>
        <w:spacing w:line="360" w:lineRule="auto"/>
        <w:jc w:val="both"/>
        <w:rPr>
          <w:rFonts w:ascii="Arial" w:hAnsi="Arial" w:cs="Arial"/>
          <w:color w:val="231F20"/>
          <w:lang w:val="en-US"/>
        </w:rPr>
      </w:pPr>
      <w:r w:rsidRPr="008F3CEA">
        <w:rPr>
          <w:rFonts w:ascii="Arial" w:hAnsi="Arial" w:cs="Arial"/>
          <w:color w:val="231F20"/>
          <w:lang w:val="en-US"/>
        </w:rPr>
        <w:t>[18]</w:t>
      </w:r>
      <w:r w:rsidRPr="008F3CEA">
        <w:rPr>
          <w:rFonts w:ascii="Arial" w:hAnsi="Arial" w:cs="Arial"/>
          <w:lang w:val="en-US"/>
        </w:rPr>
        <w:t xml:space="preserve"> Illum L. </w:t>
      </w:r>
      <w:r w:rsidRPr="008F3CEA">
        <w:rPr>
          <w:rFonts w:ascii="Arial" w:hAnsi="Arial" w:cs="Arial"/>
          <w:b/>
          <w:lang w:val="en-US"/>
        </w:rPr>
        <w:t>1998</w:t>
      </w:r>
      <w:r w:rsidRPr="008F3CEA">
        <w:rPr>
          <w:rFonts w:ascii="Arial" w:hAnsi="Arial" w:cs="Arial"/>
          <w:lang w:val="en-US"/>
        </w:rPr>
        <w:t xml:space="preserve"> Pharm. Res. 15: 1326</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color w:val="231F20"/>
          <w:lang w:val="en-US"/>
        </w:rPr>
        <w:t xml:space="preserve">[19] </w:t>
      </w:r>
      <w:r w:rsidRPr="008F3CEA">
        <w:rPr>
          <w:rFonts w:ascii="Arial" w:hAnsi="Arial" w:cs="Arial"/>
          <w:lang w:val="en-US"/>
        </w:rPr>
        <w:t xml:space="preserve">Muzzarelli R A A. </w:t>
      </w:r>
      <w:r w:rsidRPr="008F3CEA">
        <w:rPr>
          <w:rFonts w:ascii="Arial" w:hAnsi="Arial" w:cs="Arial"/>
          <w:b/>
          <w:lang w:val="en-US"/>
        </w:rPr>
        <w:t>2009</w:t>
      </w:r>
      <w:r w:rsidRPr="008F3CEA">
        <w:rPr>
          <w:rFonts w:ascii="Arial" w:hAnsi="Arial" w:cs="Arial"/>
          <w:lang w:val="en-US"/>
        </w:rPr>
        <w:t xml:space="preserve"> Carbohydrate Polymers 77:1</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color w:val="231F20"/>
          <w:lang w:val="en-US"/>
        </w:rPr>
        <w:t xml:space="preserve">[20] </w:t>
      </w:r>
      <w:r w:rsidRPr="008F3CEA">
        <w:rPr>
          <w:rFonts w:ascii="Arial" w:hAnsi="Arial" w:cs="Arial"/>
          <w:lang w:val="en-US"/>
        </w:rPr>
        <w:t xml:space="preserve">Wang et al. </w:t>
      </w:r>
      <w:r w:rsidRPr="008F3CEA">
        <w:rPr>
          <w:rFonts w:ascii="Arial" w:hAnsi="Arial" w:cs="Arial"/>
          <w:b/>
          <w:lang w:val="en-US"/>
        </w:rPr>
        <w:t>2010</w:t>
      </w:r>
      <w:r w:rsidRPr="008F3CEA">
        <w:rPr>
          <w:rFonts w:ascii="Arial" w:hAnsi="Arial" w:cs="Arial"/>
          <w:lang w:val="en-US"/>
        </w:rPr>
        <w:t xml:space="preserve"> biomaterials 31(14):3976</w:t>
      </w:r>
    </w:p>
    <w:p w:rsidR="00550A30" w:rsidRPr="008F3CEA" w:rsidRDefault="00550A30" w:rsidP="00550A30">
      <w:pPr>
        <w:pStyle w:val="Default"/>
        <w:spacing w:line="360" w:lineRule="auto"/>
        <w:jc w:val="both"/>
        <w:rPr>
          <w:rFonts w:ascii="Arial" w:hAnsi="Arial" w:cs="Arial"/>
          <w:sz w:val="26"/>
          <w:szCs w:val="26"/>
        </w:rPr>
      </w:pPr>
      <w:r w:rsidRPr="00550A30">
        <w:rPr>
          <w:rFonts w:ascii="Arial" w:hAnsi="Arial" w:cs="Arial"/>
          <w:lang w:val="en-US"/>
        </w:rPr>
        <w:t xml:space="preserve">[21] </w:t>
      </w:r>
      <w:r w:rsidRPr="00550A30">
        <w:rPr>
          <w:rFonts w:ascii="Arial" w:hAnsi="Arial" w:cs="Arial"/>
          <w:sz w:val="26"/>
          <w:szCs w:val="26"/>
          <w:lang w:val="en-US"/>
        </w:rPr>
        <w:t xml:space="preserve">Fessi H. et al. </w:t>
      </w:r>
      <w:r w:rsidRPr="00550A30">
        <w:rPr>
          <w:rFonts w:ascii="Arial" w:hAnsi="Arial" w:cs="Arial"/>
          <w:b/>
          <w:sz w:val="26"/>
          <w:szCs w:val="26"/>
          <w:lang w:val="en-US"/>
        </w:rPr>
        <w:t>1989</w:t>
      </w:r>
      <w:r w:rsidRPr="00550A30">
        <w:rPr>
          <w:rFonts w:ascii="Arial" w:hAnsi="Arial" w:cs="Arial"/>
          <w:sz w:val="26"/>
          <w:szCs w:val="26"/>
          <w:lang w:val="en-US"/>
        </w:rPr>
        <w:t xml:space="preserve"> Int. J. Pharm. </w:t>
      </w:r>
      <w:r w:rsidRPr="008F3CEA">
        <w:rPr>
          <w:rFonts w:ascii="Arial" w:hAnsi="Arial" w:cs="Arial"/>
          <w:sz w:val="26"/>
          <w:szCs w:val="26"/>
        </w:rPr>
        <w:t>55: 25</w:t>
      </w:r>
    </w:p>
    <w:p w:rsidR="00550A30" w:rsidRPr="008F3CEA" w:rsidRDefault="00550A30" w:rsidP="00550A30">
      <w:pPr>
        <w:pStyle w:val="Default"/>
        <w:spacing w:line="360" w:lineRule="auto"/>
        <w:jc w:val="both"/>
        <w:rPr>
          <w:rFonts w:ascii="Arial" w:hAnsi="Arial" w:cs="Arial"/>
          <w:sz w:val="26"/>
          <w:szCs w:val="26"/>
          <w:lang w:val="en-US"/>
        </w:rPr>
      </w:pPr>
      <w:r w:rsidRPr="008F3CEA">
        <w:rPr>
          <w:rFonts w:ascii="Arial" w:hAnsi="Arial" w:cs="Arial"/>
          <w:sz w:val="26"/>
          <w:szCs w:val="26"/>
        </w:rPr>
        <w:t xml:space="preserve">[22] </w:t>
      </w:r>
      <w:r w:rsidRPr="008F3CEA">
        <w:rPr>
          <w:rFonts w:ascii="Arial" w:hAnsi="Arial" w:cs="Arial"/>
          <w:iCs/>
        </w:rPr>
        <w:t xml:space="preserve">Kokubo T. et al. </w:t>
      </w:r>
      <w:r w:rsidRPr="008F3CEA">
        <w:rPr>
          <w:rFonts w:ascii="Arial" w:hAnsi="Arial" w:cs="Arial"/>
          <w:b/>
          <w:iCs/>
        </w:rPr>
        <w:t>1990</w:t>
      </w:r>
      <w:r w:rsidRPr="008F3CEA">
        <w:rPr>
          <w:rFonts w:ascii="Arial" w:hAnsi="Arial" w:cs="Arial"/>
          <w:iCs/>
        </w:rPr>
        <w:t xml:space="preserve"> </w:t>
      </w:r>
      <w:r w:rsidRPr="008F3CEA">
        <w:rPr>
          <w:rFonts w:ascii="Arial" w:hAnsi="Arial" w:cs="Arial"/>
        </w:rPr>
        <w:t xml:space="preserve">J. Non-Cryst. </w:t>
      </w:r>
      <w:r w:rsidRPr="008F3CEA">
        <w:rPr>
          <w:rFonts w:ascii="Arial" w:hAnsi="Arial" w:cs="Arial"/>
          <w:lang w:val="en-US"/>
        </w:rPr>
        <w:t>Solids</w:t>
      </w:r>
      <w:r w:rsidRPr="008F3CEA">
        <w:rPr>
          <w:rFonts w:ascii="Arial" w:hAnsi="Arial" w:cs="Arial"/>
          <w:iCs/>
          <w:lang w:val="en-US"/>
        </w:rPr>
        <w:t xml:space="preserve"> </w:t>
      </w:r>
      <w:r w:rsidRPr="008F3CEA">
        <w:rPr>
          <w:rFonts w:ascii="Arial" w:hAnsi="Arial" w:cs="Arial"/>
          <w:bCs/>
          <w:iCs/>
          <w:lang w:val="en-US"/>
        </w:rPr>
        <w:t>120</w:t>
      </w:r>
      <w:r w:rsidRPr="008F3CEA">
        <w:rPr>
          <w:rFonts w:ascii="Arial" w:hAnsi="Arial" w:cs="Arial"/>
          <w:iCs/>
          <w:lang w:val="en-US"/>
        </w:rPr>
        <w:t>:138.</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[23] Xiaopeng Qi et al. </w:t>
      </w:r>
      <w:r w:rsidRPr="008F3CEA">
        <w:rPr>
          <w:rFonts w:ascii="Arial" w:hAnsi="Arial" w:cs="Arial"/>
          <w:b/>
          <w:lang w:val="en-US"/>
        </w:rPr>
        <w:t>2008</w:t>
      </w:r>
      <w:r w:rsidRPr="008F3CEA">
        <w:rPr>
          <w:rFonts w:ascii="Arial" w:hAnsi="Arial" w:cs="Arial"/>
          <w:lang w:val="en-US"/>
        </w:rPr>
        <w:t xml:space="preserve"> Acta Biomaterialia 4:1837</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[24] Hu YC et al in Complications of vertebroplasty and kyphoplasty; Techniques in Regional Anesthesia and Pain Management. </w:t>
      </w:r>
      <w:r w:rsidRPr="008F3CEA">
        <w:rPr>
          <w:rFonts w:ascii="Arial" w:hAnsi="Arial" w:cs="Arial"/>
          <w:b/>
          <w:lang w:val="en-US"/>
        </w:rPr>
        <w:t>2007</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[25] D.S. Couto et al. </w:t>
      </w:r>
      <w:r w:rsidRPr="008F3CEA">
        <w:rPr>
          <w:rFonts w:ascii="Arial" w:hAnsi="Arial" w:cs="Arial"/>
          <w:b/>
          <w:lang w:val="en-US"/>
        </w:rPr>
        <w:t>2009</w:t>
      </w:r>
      <w:r w:rsidRPr="008F3CEA">
        <w:rPr>
          <w:rFonts w:ascii="Arial" w:hAnsi="Arial" w:cs="Arial"/>
          <w:lang w:val="en-US"/>
        </w:rPr>
        <w:t xml:space="preserve">  Acta Biomaterialia 5:115</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[26] Royer J.C. et al </w:t>
      </w:r>
      <w:r w:rsidRPr="008F3CEA">
        <w:rPr>
          <w:rFonts w:ascii="Arial" w:hAnsi="Arial" w:cs="Arial"/>
          <w:b/>
          <w:lang w:val="en-US"/>
        </w:rPr>
        <w:t>1993</w:t>
      </w:r>
      <w:r w:rsidRPr="008F3CEA">
        <w:rPr>
          <w:rFonts w:ascii="Arial" w:hAnsi="Arial" w:cs="Arial"/>
          <w:lang w:val="en-US"/>
        </w:rPr>
        <w:t xml:space="preserve"> J Mater Sci: Mater Med,  4 :76</w:t>
      </w:r>
    </w:p>
    <w:p w:rsidR="00550A30" w:rsidRPr="00550A30" w:rsidRDefault="00550A30" w:rsidP="00550A30">
      <w:pPr>
        <w:pStyle w:val="Default"/>
        <w:spacing w:line="360" w:lineRule="auto"/>
        <w:jc w:val="both"/>
        <w:rPr>
          <w:rFonts w:ascii="Arial" w:hAnsi="Arial" w:cs="Arial"/>
          <w:lang w:val="en-US"/>
        </w:rPr>
      </w:pPr>
      <w:r w:rsidRPr="00550A30">
        <w:rPr>
          <w:rFonts w:ascii="Arial" w:hAnsi="Arial" w:cs="Arial"/>
          <w:lang w:val="en-US"/>
        </w:rPr>
        <w:t xml:space="preserve">[27] Sabir et al. </w:t>
      </w:r>
      <w:r w:rsidRPr="00550A30">
        <w:rPr>
          <w:rFonts w:ascii="Arial" w:hAnsi="Arial" w:cs="Arial"/>
          <w:b/>
          <w:lang w:val="en-US"/>
        </w:rPr>
        <w:t>2009</w:t>
      </w:r>
      <w:r w:rsidRPr="00550A30">
        <w:rPr>
          <w:rFonts w:ascii="Arial" w:hAnsi="Arial" w:cs="Arial"/>
          <w:lang w:val="en-US"/>
        </w:rPr>
        <w:t xml:space="preserve"> J Mater Sci 44: 5713</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[28] Tanimoto et al. </w:t>
      </w:r>
      <w:r w:rsidRPr="008F3CEA">
        <w:rPr>
          <w:rFonts w:ascii="Arial" w:hAnsi="Arial" w:cs="Arial"/>
          <w:b/>
          <w:lang w:val="en-US"/>
        </w:rPr>
        <w:t>2005</w:t>
      </w:r>
      <w:r w:rsidRPr="008F3CEA">
        <w:rPr>
          <w:rFonts w:ascii="Arial" w:hAnsi="Arial" w:cs="Arial"/>
          <w:lang w:val="en-US"/>
        </w:rPr>
        <w:t xml:space="preserve"> Wiley Periodicals</w:t>
      </w:r>
    </w:p>
    <w:p w:rsidR="00550A30" w:rsidRPr="008F3CEA" w:rsidRDefault="00550A30" w:rsidP="00550A30">
      <w:pPr>
        <w:pStyle w:val="Default"/>
        <w:spacing w:line="360" w:lineRule="auto"/>
        <w:jc w:val="both"/>
        <w:rPr>
          <w:rFonts w:ascii="Arial" w:hAnsi="Arial" w:cs="Arial"/>
          <w:color w:val="auto"/>
          <w:lang w:val="en-US"/>
        </w:rPr>
      </w:pPr>
      <w:r w:rsidRPr="008F3CEA">
        <w:rPr>
          <w:rFonts w:ascii="Arial" w:hAnsi="Arial" w:cs="Arial"/>
          <w:lang w:val="en-US"/>
        </w:rPr>
        <w:t xml:space="preserve">[29] </w:t>
      </w:r>
      <w:r w:rsidRPr="008F3CEA">
        <w:rPr>
          <w:rFonts w:ascii="Arial" w:hAnsi="Arial" w:cs="Arial"/>
          <w:color w:val="auto"/>
          <w:lang w:val="en-US"/>
        </w:rPr>
        <w:t xml:space="preserve">Kokubo T. </w:t>
      </w:r>
      <w:r w:rsidRPr="008F3CEA">
        <w:rPr>
          <w:rFonts w:ascii="Arial" w:hAnsi="Arial" w:cs="Arial"/>
          <w:b/>
          <w:color w:val="auto"/>
          <w:lang w:val="en-US"/>
        </w:rPr>
        <w:t>1998</w:t>
      </w:r>
      <w:r w:rsidRPr="008F3CEA">
        <w:rPr>
          <w:rFonts w:ascii="Arial" w:hAnsi="Arial" w:cs="Arial"/>
          <w:color w:val="auto"/>
          <w:lang w:val="en-US"/>
        </w:rPr>
        <w:t xml:space="preserve"> Acta Mater 7:2519</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color w:val="auto"/>
          <w:lang w:val="en-US"/>
        </w:rPr>
        <w:t xml:space="preserve">[30] </w:t>
      </w:r>
      <w:r w:rsidRPr="008F3CEA">
        <w:rPr>
          <w:rFonts w:ascii="Arial" w:hAnsi="Arial" w:cs="Arial"/>
          <w:lang w:val="en-US"/>
        </w:rPr>
        <w:t xml:space="preserve">Fukushima et al. </w:t>
      </w:r>
      <w:r w:rsidRPr="008F3CEA">
        <w:rPr>
          <w:rFonts w:ascii="Arial" w:hAnsi="Arial" w:cs="Arial"/>
          <w:b/>
          <w:lang w:val="en-US"/>
        </w:rPr>
        <w:t>2010</w:t>
      </w:r>
      <w:r w:rsidRPr="008F3CEA">
        <w:rPr>
          <w:rFonts w:ascii="Arial" w:hAnsi="Arial" w:cs="Arial"/>
          <w:lang w:val="en-US"/>
        </w:rPr>
        <w:t xml:space="preserve">  Materials Science and Engineering C 30:566</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[31] Mokarram et al. </w:t>
      </w:r>
      <w:r w:rsidRPr="008F3CEA">
        <w:rPr>
          <w:rFonts w:ascii="Arial" w:hAnsi="Arial" w:cs="Arial"/>
          <w:b/>
          <w:lang w:val="en-US"/>
        </w:rPr>
        <w:t>2010</w:t>
      </w:r>
      <w:r w:rsidRPr="008F3CEA">
        <w:rPr>
          <w:rFonts w:ascii="Arial" w:hAnsi="Arial" w:cs="Arial"/>
          <w:lang w:val="en-US"/>
        </w:rPr>
        <w:t xml:space="preserve"> DARU 18:3 </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[32] V. Zavisova et al. </w:t>
      </w:r>
      <w:r w:rsidRPr="008F3CEA">
        <w:rPr>
          <w:rFonts w:ascii="Arial" w:hAnsi="Arial" w:cs="Arial"/>
          <w:b/>
          <w:lang w:val="en-US"/>
        </w:rPr>
        <w:t>2007</w:t>
      </w:r>
      <w:r w:rsidRPr="008F3CEA">
        <w:rPr>
          <w:rFonts w:ascii="Arial" w:hAnsi="Arial" w:cs="Arial"/>
          <w:lang w:val="en-US"/>
        </w:rPr>
        <w:t xml:space="preserve"> Journal of Magnetism and Magnetic Materials 311:379</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[33] G. Lewis </w:t>
      </w:r>
      <w:r w:rsidRPr="008F3CEA">
        <w:rPr>
          <w:rFonts w:ascii="Arial" w:hAnsi="Arial" w:cs="Arial"/>
          <w:b/>
          <w:lang w:val="en-US"/>
        </w:rPr>
        <w:t>2005</w:t>
      </w:r>
      <w:r w:rsidRPr="008F3CEA">
        <w:rPr>
          <w:rFonts w:ascii="Arial" w:hAnsi="Arial" w:cs="Arial"/>
          <w:lang w:val="en-US"/>
        </w:rPr>
        <w:t xml:space="preserve"> Wiley Periodicals</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[34] Hu X.et al </w:t>
      </w:r>
      <w:r w:rsidRPr="008F3CEA">
        <w:rPr>
          <w:rFonts w:ascii="Arial" w:hAnsi="Arial" w:cs="Arial"/>
          <w:b/>
          <w:lang w:val="en-US"/>
        </w:rPr>
        <w:t>2009</w:t>
      </w:r>
      <w:r w:rsidRPr="008F3CEA">
        <w:rPr>
          <w:rFonts w:ascii="Arial" w:hAnsi="Arial" w:cs="Arial"/>
          <w:lang w:val="en-US"/>
        </w:rPr>
        <w:t xml:space="preserve"> Macromol. Biosci. 9:195</w:t>
      </w:r>
    </w:p>
    <w:p w:rsidR="00550A30" w:rsidRPr="008F3CEA" w:rsidRDefault="00550A30" w:rsidP="00550A30">
      <w:pPr>
        <w:pStyle w:val="Default"/>
        <w:spacing w:line="360" w:lineRule="auto"/>
        <w:jc w:val="both"/>
        <w:rPr>
          <w:rFonts w:ascii="Arial" w:hAnsi="Arial" w:cs="Arial"/>
          <w:lang w:val="en-US"/>
        </w:rPr>
      </w:pPr>
      <w:r w:rsidRPr="008F3CEA">
        <w:rPr>
          <w:rFonts w:ascii="Arial" w:hAnsi="Arial" w:cs="Arial"/>
          <w:lang w:val="en-US"/>
        </w:rPr>
        <w:t xml:space="preserve">[35] Wang et al </w:t>
      </w:r>
      <w:r w:rsidRPr="008F3CEA">
        <w:rPr>
          <w:rFonts w:ascii="Arial" w:hAnsi="Arial" w:cs="Arial"/>
          <w:b/>
          <w:lang w:val="en-US"/>
        </w:rPr>
        <w:t xml:space="preserve">2010 </w:t>
      </w:r>
      <w:r w:rsidRPr="008F3CEA">
        <w:rPr>
          <w:rFonts w:ascii="Arial" w:hAnsi="Arial" w:cs="Arial"/>
          <w:lang w:val="en-US"/>
        </w:rPr>
        <w:t>Biomaterials 31:3976</w:t>
      </w:r>
    </w:p>
    <w:p w:rsidR="00550A30" w:rsidRPr="008F3CEA" w:rsidRDefault="00550A30" w:rsidP="00550A30">
      <w:pPr>
        <w:pStyle w:val="Default"/>
        <w:spacing w:line="360" w:lineRule="auto"/>
        <w:rPr>
          <w:rFonts w:ascii="Arial" w:hAnsi="Arial" w:cs="Arial"/>
          <w:lang w:val="en-US"/>
        </w:rPr>
      </w:pPr>
      <w:r w:rsidRPr="008F3CEA">
        <w:rPr>
          <w:rFonts w:ascii="Arial" w:hAnsi="Arial" w:cs="Arial"/>
          <w:lang w:val="en-US"/>
        </w:rPr>
        <w:t>[36]</w:t>
      </w:r>
      <w:r w:rsidRPr="008F3CEA">
        <w:rPr>
          <w:sz w:val="23"/>
          <w:szCs w:val="23"/>
          <w:lang w:val="en-US"/>
        </w:rPr>
        <w:t xml:space="preserve"> </w:t>
      </w:r>
      <w:r w:rsidRPr="008F3CEA">
        <w:rPr>
          <w:rFonts w:ascii="Arial" w:hAnsi="Arial" w:cs="Arial"/>
          <w:lang w:val="en-US"/>
        </w:rPr>
        <w:t xml:space="preserve">Charnley J. </w:t>
      </w:r>
      <w:r w:rsidRPr="008F3CEA">
        <w:rPr>
          <w:rFonts w:ascii="Arial" w:hAnsi="Arial" w:cs="Arial"/>
          <w:b/>
          <w:lang w:val="en-US"/>
        </w:rPr>
        <w:t>1964</w:t>
      </w:r>
      <w:r w:rsidRPr="008F3CEA">
        <w:rPr>
          <w:rFonts w:ascii="Arial" w:hAnsi="Arial" w:cs="Arial"/>
          <w:lang w:val="en-US"/>
        </w:rPr>
        <w:t xml:space="preserve"> J Bone Joint Surg</w:t>
      </w:r>
    </w:p>
    <w:p w:rsidR="00550A30" w:rsidRPr="008F3CEA" w:rsidRDefault="00550A30" w:rsidP="00550A30">
      <w:pPr>
        <w:pStyle w:val="Default"/>
        <w:spacing w:line="360" w:lineRule="auto"/>
        <w:rPr>
          <w:rFonts w:ascii="Arial" w:hAnsi="Arial" w:cs="Arial"/>
          <w:lang w:val="en-US"/>
        </w:rPr>
      </w:pPr>
      <w:r w:rsidRPr="008F3CEA">
        <w:rPr>
          <w:rFonts w:ascii="Arial" w:hAnsi="Arial" w:cs="Arial"/>
          <w:lang w:val="en-US"/>
        </w:rPr>
        <w:t>[37]</w:t>
      </w:r>
      <w:r w:rsidRPr="008F3CEA">
        <w:rPr>
          <w:sz w:val="23"/>
          <w:szCs w:val="23"/>
          <w:lang w:val="en-US"/>
        </w:rPr>
        <w:t xml:space="preserve"> </w:t>
      </w:r>
      <w:r w:rsidRPr="008F3CEA">
        <w:rPr>
          <w:rFonts w:ascii="Arial" w:hAnsi="Arial" w:cs="Arial"/>
          <w:lang w:val="en-US"/>
        </w:rPr>
        <w:t xml:space="preserve">Kühn K. </w:t>
      </w:r>
      <w:r w:rsidRPr="008F3CEA">
        <w:rPr>
          <w:rFonts w:ascii="Arial" w:hAnsi="Arial" w:cs="Arial"/>
          <w:b/>
          <w:lang w:val="en-US"/>
        </w:rPr>
        <w:t>2003,</w:t>
      </w:r>
      <w:r w:rsidRPr="008F3CEA">
        <w:rPr>
          <w:rFonts w:ascii="Arial" w:hAnsi="Arial" w:cs="Arial"/>
          <w:lang w:val="en-US"/>
        </w:rPr>
        <w:t xml:space="preserve"> in: </w:t>
      </w:r>
      <w:r w:rsidRPr="008F3CEA">
        <w:rPr>
          <w:rFonts w:ascii="Arial" w:hAnsi="Arial" w:cs="Arial"/>
          <w:bCs/>
          <w:color w:val="333333"/>
          <w:kern w:val="36"/>
          <w:lang w:val="en-US" w:eastAsia="it-IT"/>
        </w:rPr>
        <w:t xml:space="preserve">The well-cemented total hip arthroplasty: </w:t>
      </w:r>
      <w:r w:rsidRPr="008F3CEA">
        <w:rPr>
          <w:rFonts w:ascii="Arial" w:hAnsi="Arial" w:cs="Arial"/>
          <w:color w:val="333333"/>
          <w:lang w:val="en-US" w:eastAsia="it-IT"/>
        </w:rPr>
        <w:t xml:space="preserve">theory and practice; </w:t>
      </w:r>
      <w:r w:rsidRPr="008F3CEA">
        <w:rPr>
          <w:rFonts w:ascii="Arial" w:hAnsi="Arial" w:cs="Arial"/>
          <w:lang w:val="en-US"/>
        </w:rPr>
        <w:t>Chapter 3.1</w:t>
      </w:r>
    </w:p>
    <w:p w:rsidR="00550A30" w:rsidRPr="008F3CEA" w:rsidRDefault="00550A30" w:rsidP="00550A30">
      <w:pPr>
        <w:pStyle w:val="Default"/>
        <w:spacing w:line="360" w:lineRule="auto"/>
        <w:rPr>
          <w:rFonts w:ascii="Arial" w:hAnsi="Arial" w:cs="Arial"/>
          <w:lang w:val="en-US"/>
        </w:rPr>
      </w:pPr>
      <w:r w:rsidRPr="008F3CEA">
        <w:rPr>
          <w:rFonts w:ascii="Arial" w:hAnsi="Arial" w:cs="Arial"/>
          <w:lang w:val="en-US"/>
        </w:rPr>
        <w:lastRenderedPageBreak/>
        <w:t xml:space="preserve">[38] Ioos P. et al </w:t>
      </w:r>
      <w:r w:rsidRPr="008F3CEA">
        <w:rPr>
          <w:rFonts w:ascii="Arial" w:hAnsi="Arial" w:cs="Arial"/>
          <w:b/>
          <w:lang w:val="en-US"/>
        </w:rPr>
        <w:t>2001</w:t>
      </w:r>
      <w:r w:rsidRPr="008F3CEA">
        <w:rPr>
          <w:rFonts w:ascii="Arial" w:hAnsi="Arial" w:cs="Arial"/>
          <w:lang w:val="en-US"/>
        </w:rPr>
        <w:t xml:space="preserve"> Biomaterials 22. </w:t>
      </w: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8F3CEA" w:rsidRDefault="00550A30" w:rsidP="00550A30">
      <w:pPr>
        <w:pStyle w:val="Default"/>
        <w:spacing w:line="360" w:lineRule="auto"/>
        <w:rPr>
          <w:rFonts w:ascii="Arial" w:hAnsi="Arial" w:cs="Arial"/>
          <w:lang w:val="en-US"/>
        </w:rPr>
      </w:pPr>
    </w:p>
    <w:p w:rsidR="00550A30" w:rsidRPr="00C41A52" w:rsidRDefault="00550A30" w:rsidP="00550A30">
      <w:pPr>
        <w:spacing w:line="360" w:lineRule="auto"/>
        <w:rPr>
          <w:rFonts w:ascii="Arial" w:hAnsi="Arial" w:cs="Arial"/>
          <w:b/>
          <w:sz w:val="120"/>
          <w:szCs w:val="120"/>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550A30">
      <w:pPr>
        <w:jc w:val="right"/>
        <w:rPr>
          <w:rFonts w:ascii="Arial" w:hAnsi="Arial" w:cs="Arial"/>
          <w:b/>
          <w:color w:val="4F81BD" w:themeColor="accent1"/>
          <w:sz w:val="124"/>
          <w:szCs w:val="124"/>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Pr="00DC0DB7" w:rsidRDefault="00550A30" w:rsidP="00550A30">
      <w:pPr>
        <w:spacing w:line="360" w:lineRule="auto"/>
        <w:jc w:val="right"/>
        <w:rPr>
          <w:rFonts w:ascii="Arial" w:hAnsi="Arial" w:cs="Arial"/>
          <w:b/>
          <w:color w:val="002060"/>
          <w:sz w:val="120"/>
          <w:szCs w:val="120"/>
          <w:lang w:val="en-US"/>
        </w:rPr>
      </w:pPr>
      <w:r w:rsidRPr="00DC0DB7">
        <w:rPr>
          <w:rFonts w:ascii="Arial" w:hAnsi="Arial" w:cs="Arial"/>
          <w:b/>
          <w:color w:val="002060"/>
          <w:sz w:val="120"/>
          <w:szCs w:val="120"/>
          <w:lang w:val="en-US"/>
        </w:rPr>
        <w:t>Section I</w:t>
      </w:r>
      <w:r>
        <w:rPr>
          <w:rFonts w:ascii="Arial" w:hAnsi="Arial" w:cs="Arial"/>
          <w:b/>
          <w:color w:val="002060"/>
          <w:sz w:val="120"/>
          <w:szCs w:val="120"/>
          <w:lang w:val="en-US"/>
        </w:rPr>
        <w:t>V</w:t>
      </w: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550A30">
      <w:pPr>
        <w:spacing w:line="360" w:lineRule="auto"/>
        <w:jc w:val="right"/>
        <w:rPr>
          <w:rFonts w:ascii="Arial" w:hAnsi="Arial" w:cs="Arial"/>
          <w:b/>
          <w:color w:val="4F81BD" w:themeColor="accent1"/>
          <w:sz w:val="120"/>
          <w:szCs w:val="120"/>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387A07">
      <w:pPr>
        <w:tabs>
          <w:tab w:val="left" w:pos="1785"/>
        </w:tabs>
        <w:rPr>
          <w:lang w:val="en-US"/>
        </w:rPr>
      </w:pPr>
    </w:p>
    <w:p w:rsidR="00550A30"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550A30"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550A30" w:rsidRPr="004C78F8" w:rsidRDefault="00550A30" w:rsidP="00550A30">
      <w:pPr>
        <w:jc w:val="right"/>
        <w:rPr>
          <w:rFonts w:ascii="Arial" w:hAnsi="Arial" w:cs="Arial"/>
          <w:b/>
          <w:color w:val="002060"/>
          <w:sz w:val="24"/>
          <w:szCs w:val="24"/>
          <w:lang w:val="en-US"/>
        </w:rPr>
      </w:pPr>
      <w:r w:rsidRPr="004C78F8">
        <w:rPr>
          <w:rFonts w:ascii="Arial" w:hAnsi="Arial" w:cs="Arial"/>
          <w:b/>
          <w:color w:val="002060"/>
          <w:sz w:val="124"/>
          <w:szCs w:val="124"/>
          <w:lang w:val="en-US"/>
        </w:rPr>
        <w:t>Chapter 5</w:t>
      </w:r>
    </w:p>
    <w:p w:rsidR="00550A30" w:rsidRPr="004C78F8" w:rsidRDefault="00550A30" w:rsidP="00550A30">
      <w:pPr>
        <w:spacing w:line="360" w:lineRule="auto"/>
        <w:jc w:val="right"/>
        <w:rPr>
          <w:rFonts w:ascii="Arial" w:hAnsi="Arial" w:cs="Arial"/>
          <w:b/>
          <w:sz w:val="50"/>
          <w:szCs w:val="50"/>
          <w:lang w:val="en-US"/>
        </w:rPr>
      </w:pPr>
    </w:p>
    <w:p w:rsidR="00550A30" w:rsidRPr="004C78F8" w:rsidRDefault="00550A30" w:rsidP="00550A30">
      <w:pPr>
        <w:spacing w:line="360" w:lineRule="auto"/>
        <w:jc w:val="right"/>
        <w:rPr>
          <w:rFonts w:ascii="Arial" w:hAnsi="Arial" w:cs="Arial"/>
          <w:b/>
          <w:sz w:val="50"/>
          <w:szCs w:val="50"/>
          <w:lang w:val="en-US"/>
        </w:rPr>
      </w:pPr>
      <w:r w:rsidRPr="004C78F8">
        <w:rPr>
          <w:rFonts w:ascii="Arial" w:hAnsi="Arial" w:cs="Arial"/>
          <w:b/>
          <w:sz w:val="50"/>
          <w:szCs w:val="50"/>
          <w:lang w:val="en-US"/>
        </w:rPr>
        <w:t>Final discussion &amp; conclusions</w:t>
      </w:r>
    </w:p>
    <w:p w:rsidR="00550A30" w:rsidRPr="004C78F8"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550A30" w:rsidRPr="004C78F8"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550A30" w:rsidRPr="004C78F8"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550A30" w:rsidRPr="004C78F8"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550A30" w:rsidRPr="004C78F8"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550A30"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D873AE" w:rsidRDefault="00D873AE" w:rsidP="00550A30">
      <w:pPr>
        <w:autoSpaceDE w:val="0"/>
        <w:autoSpaceDN w:val="0"/>
        <w:adjustRightInd w:val="0"/>
        <w:spacing w:before="240" w:after="240" w:line="360" w:lineRule="auto"/>
        <w:jc w:val="both"/>
        <w:rPr>
          <w:rFonts w:ascii="Arial" w:hAnsi="Arial" w:cs="Arial"/>
          <w:b/>
          <w:sz w:val="24"/>
          <w:szCs w:val="24"/>
          <w:lang w:val="en-US"/>
        </w:rPr>
      </w:pPr>
    </w:p>
    <w:p w:rsidR="00D873AE" w:rsidRDefault="00D873AE" w:rsidP="00550A30">
      <w:pPr>
        <w:autoSpaceDE w:val="0"/>
        <w:autoSpaceDN w:val="0"/>
        <w:adjustRightInd w:val="0"/>
        <w:spacing w:before="240" w:after="240" w:line="360" w:lineRule="auto"/>
        <w:jc w:val="both"/>
        <w:rPr>
          <w:rFonts w:ascii="Arial" w:hAnsi="Arial" w:cs="Arial"/>
          <w:b/>
          <w:sz w:val="24"/>
          <w:szCs w:val="24"/>
          <w:lang w:val="en-US"/>
        </w:rPr>
      </w:pPr>
    </w:p>
    <w:p w:rsidR="00D873AE" w:rsidRPr="004C78F8" w:rsidRDefault="00D873AE" w:rsidP="00550A30">
      <w:pPr>
        <w:autoSpaceDE w:val="0"/>
        <w:autoSpaceDN w:val="0"/>
        <w:adjustRightInd w:val="0"/>
        <w:spacing w:before="240" w:after="240" w:line="360" w:lineRule="auto"/>
        <w:jc w:val="both"/>
        <w:rPr>
          <w:rFonts w:ascii="Arial" w:hAnsi="Arial" w:cs="Arial"/>
          <w:b/>
          <w:sz w:val="24"/>
          <w:szCs w:val="24"/>
          <w:lang w:val="en-US"/>
        </w:rPr>
      </w:pPr>
    </w:p>
    <w:p w:rsidR="00550A30" w:rsidRPr="004C78F8"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550A30" w:rsidRPr="004C78F8"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550A30" w:rsidRPr="004C78F8"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550A30" w:rsidRPr="004C78F8"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550A30" w:rsidRPr="004C78F8" w:rsidRDefault="00550A30" w:rsidP="00550A30">
      <w:pPr>
        <w:autoSpaceDE w:val="0"/>
        <w:autoSpaceDN w:val="0"/>
        <w:adjustRightInd w:val="0"/>
        <w:spacing w:before="240" w:after="240" w:line="360" w:lineRule="auto"/>
        <w:jc w:val="both"/>
        <w:rPr>
          <w:rFonts w:ascii="Arial" w:hAnsi="Arial" w:cs="Arial"/>
          <w:b/>
          <w:sz w:val="24"/>
          <w:szCs w:val="24"/>
          <w:lang w:val="en-US"/>
        </w:rPr>
      </w:pPr>
    </w:p>
    <w:p w:rsidR="00550A30" w:rsidRPr="004C78F8" w:rsidRDefault="00550A30" w:rsidP="00550A30">
      <w:pPr>
        <w:autoSpaceDE w:val="0"/>
        <w:autoSpaceDN w:val="0"/>
        <w:adjustRightInd w:val="0"/>
        <w:spacing w:before="240" w:after="240" w:line="360" w:lineRule="auto"/>
        <w:jc w:val="both"/>
        <w:rPr>
          <w:rFonts w:ascii="Arial" w:hAnsi="Arial" w:cs="Arial"/>
          <w:b/>
          <w:sz w:val="24"/>
          <w:szCs w:val="24"/>
          <w:lang w:val="en-US"/>
        </w:rPr>
      </w:pPr>
      <w:r w:rsidRPr="004C78F8">
        <w:rPr>
          <w:rFonts w:ascii="Arial" w:hAnsi="Arial" w:cs="Arial"/>
          <w:b/>
          <w:sz w:val="24"/>
          <w:szCs w:val="24"/>
          <w:lang w:val="en-US"/>
        </w:rPr>
        <w:lastRenderedPageBreak/>
        <w:t>5.1 General discussion</w:t>
      </w:r>
    </w:p>
    <w:p w:rsidR="00550A30" w:rsidRPr="004C78F8" w:rsidRDefault="00550A30" w:rsidP="00550A30">
      <w:pPr>
        <w:autoSpaceDE w:val="0"/>
        <w:autoSpaceDN w:val="0"/>
        <w:adjustRightInd w:val="0"/>
        <w:spacing w:after="0" w:line="360" w:lineRule="auto"/>
        <w:jc w:val="both"/>
        <w:rPr>
          <w:rFonts w:ascii="Arial" w:hAnsi="Arial" w:cs="Arial"/>
          <w:sz w:val="24"/>
          <w:szCs w:val="24"/>
          <w:lang w:val="en-US"/>
        </w:rPr>
      </w:pPr>
      <w:r w:rsidRPr="004C78F8">
        <w:rPr>
          <w:rFonts w:ascii="Arial" w:hAnsi="Arial" w:cs="Arial"/>
          <w:sz w:val="24"/>
          <w:szCs w:val="24"/>
          <w:lang w:val="en-US"/>
        </w:rPr>
        <w:t>The first section of the present work was mainly focused on the preparation of nanoparticles starting from preformed polyesterurethanes through two widely used and highly reproducible techniques: the Solvent Displacement method and the Single Emulsion Solvent Evaporation method.</w:t>
      </w:r>
    </w:p>
    <w:p w:rsidR="00550A30" w:rsidRPr="004C78F8" w:rsidRDefault="00550A30" w:rsidP="00550A30">
      <w:pPr>
        <w:autoSpaceDE w:val="0"/>
        <w:autoSpaceDN w:val="0"/>
        <w:adjustRightInd w:val="0"/>
        <w:spacing w:after="0" w:line="360" w:lineRule="auto"/>
        <w:jc w:val="both"/>
        <w:rPr>
          <w:rFonts w:ascii="Arial" w:hAnsi="Arial" w:cs="Arial"/>
          <w:sz w:val="24"/>
          <w:szCs w:val="24"/>
          <w:lang w:val="en-US"/>
        </w:rPr>
      </w:pPr>
      <w:r w:rsidRPr="004C78F8">
        <w:rPr>
          <w:rFonts w:ascii="Arial" w:hAnsi="Arial" w:cs="Arial"/>
          <w:sz w:val="24"/>
          <w:szCs w:val="24"/>
          <w:lang w:val="en-US"/>
        </w:rPr>
        <w:t xml:space="preserve">These two methods have been widely used for the preparation of nanoparticles for the encapsulation of various drugs, mainly by using commercial polyesters such as poly(ε-caprolactone) (PCL), Poly(D,L lactide) (PLA) and poly (D,L lactide-co-glycolide) (PLGA) [1-3], since they offer the possibility to control the size distribution of the carriers, by simply optimizing the process parameters, such as type and amount of emulsifier, ratio between the solvent and the non solvent and the molecular weight of the polymer [4-6]. </w:t>
      </w:r>
    </w:p>
    <w:p w:rsidR="00550A30" w:rsidRPr="004C78F8" w:rsidRDefault="00550A30" w:rsidP="00550A30">
      <w:pPr>
        <w:autoSpaceDE w:val="0"/>
        <w:autoSpaceDN w:val="0"/>
        <w:adjustRightInd w:val="0"/>
        <w:spacing w:after="0" w:line="360" w:lineRule="auto"/>
        <w:ind w:firstLine="708"/>
        <w:jc w:val="both"/>
        <w:rPr>
          <w:rFonts w:ascii="Arial" w:hAnsi="Arial" w:cs="Arial"/>
          <w:sz w:val="24"/>
          <w:szCs w:val="24"/>
          <w:lang w:val="en-US"/>
        </w:rPr>
      </w:pPr>
      <w:r w:rsidRPr="004C78F8">
        <w:rPr>
          <w:rFonts w:ascii="Arial" w:hAnsi="Arial" w:cs="Arial"/>
          <w:sz w:val="24"/>
          <w:szCs w:val="24"/>
          <w:lang w:val="en-US"/>
        </w:rPr>
        <w:t xml:space="preserve">Chapter 2 describes the preparation of Paclitaxel-loaded nanoparticles for the passive targeting of cancer by the Solvent Displacement method with two widely used commercial polyesters (PCL and PLA) and the newly synthesized polyesterurethane C-BC2000, based on poly(ε-caprolactone) blocks. The solvent displacement method was selected, since it leads to the formation of monodisperse, small particles by simple precipitation of the polymer in the non solvent (water) without the use of toxic solvents or the application of shear stresses [7].  </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Different authors reported that nanoparticles with average diameters of 100-250nm are able to passively accumulate into tumors, through the </w:t>
      </w:r>
      <w:r w:rsidRPr="004C78F8">
        <w:rPr>
          <w:rFonts w:ascii="Arial" w:hAnsi="Arial" w:cs="Arial"/>
          <w:color w:val="000000"/>
          <w:sz w:val="24"/>
          <w:szCs w:val="24"/>
          <w:lang w:val="en-US"/>
        </w:rPr>
        <w:t>the Enhanced Permeation and Retention (</w:t>
      </w:r>
      <w:r w:rsidRPr="004C78F8">
        <w:rPr>
          <w:rFonts w:ascii="Arial" w:hAnsi="Arial" w:cs="Arial"/>
          <w:sz w:val="24"/>
          <w:szCs w:val="24"/>
          <w:lang w:val="en-US"/>
        </w:rPr>
        <w:t xml:space="preserve">EPR) effect [8-11]. </w:t>
      </w:r>
      <w:r w:rsidRPr="004C78F8">
        <w:rPr>
          <w:rFonts w:ascii="Arial" w:hAnsi="Arial" w:cs="Arial"/>
          <w:color w:val="000000"/>
          <w:sz w:val="24"/>
          <w:szCs w:val="24"/>
          <w:lang w:val="en-US"/>
        </w:rPr>
        <w:t xml:space="preserve">Accumulation of nanoparticles inside tumors is made possible by the highly permeable blood vessels of these tissues, which is a result of their rapid and defective angiogenesis [12]. In addition tumors are characterized by dysfunctional lymphatic drainage, that favors retention of nanoparticles inside the tissue [13-16]. </w:t>
      </w:r>
      <w:r w:rsidRPr="004C78F8">
        <w:rPr>
          <w:rFonts w:ascii="Arial" w:hAnsi="Arial" w:cs="Arial"/>
          <w:sz w:val="24"/>
          <w:szCs w:val="24"/>
          <w:lang w:val="en-US"/>
        </w:rPr>
        <w:t xml:space="preserve">Particles prepared in this part of the thesis, regardless of the polymer used, respond to this size requisite, and are therefore good candidates for passive targeting of tumors, as also demonstrated by the high extent of cellular internalization (tested on A 431 human epidermal carcinoma cells).  </w:t>
      </w:r>
    </w:p>
    <w:p w:rsidR="00550A30" w:rsidRPr="004C78F8" w:rsidRDefault="00550A30" w:rsidP="00550A30">
      <w:pPr>
        <w:autoSpaceDE w:val="0"/>
        <w:autoSpaceDN w:val="0"/>
        <w:adjustRightInd w:val="0"/>
        <w:spacing w:after="0" w:line="360" w:lineRule="auto"/>
        <w:jc w:val="both"/>
        <w:rPr>
          <w:rFonts w:ascii="Arial" w:hAnsi="Arial" w:cs="Arial"/>
          <w:sz w:val="24"/>
          <w:szCs w:val="24"/>
          <w:lang w:val="en-US"/>
        </w:rPr>
      </w:pPr>
      <w:r w:rsidRPr="004C78F8">
        <w:rPr>
          <w:rFonts w:ascii="Arial" w:hAnsi="Arial" w:cs="Arial"/>
          <w:color w:val="141413"/>
          <w:sz w:val="24"/>
          <w:szCs w:val="24"/>
          <w:lang w:eastAsia="it-IT"/>
        </w:rPr>
        <w:t xml:space="preserve">The Solvent Displacement Method has been extensively applied for the preparation of nanoparticles with different biodegradable polyesters for the release of various drug formulations. In most cases rapid release profiles were observed: </w:t>
      </w:r>
      <w:r w:rsidRPr="004C78F8">
        <w:rPr>
          <w:rFonts w:ascii="Arial" w:hAnsi="Arial" w:cs="Arial"/>
          <w:sz w:val="24"/>
          <w:szCs w:val="24"/>
          <w:lang w:val="en-US"/>
        </w:rPr>
        <w:t xml:space="preserve">Chawla et Al [17] proposed PCL nanoparticles for the controlled release of Tamoxifen, an estrogen receptor modulator applied in the treatment of breast cancer. They reported a loading efficiency of </w:t>
      </w:r>
      <w:r w:rsidRPr="004C78F8">
        <w:rPr>
          <w:rFonts w:ascii="Arial" w:hAnsi="Arial" w:cs="Arial"/>
          <w:sz w:val="24"/>
          <w:szCs w:val="24"/>
          <w:lang w:val="en-US"/>
        </w:rPr>
        <w:lastRenderedPageBreak/>
        <w:t>60% and a rapid release profile, with nearly all the encapsulated drug released within the first 20 hours of incubation in deionized water.</w:t>
      </w:r>
      <w:r w:rsidRPr="004C78F8">
        <w:rPr>
          <w:rFonts w:ascii="Arial" w:hAnsi="Arial" w:cs="Arial"/>
          <w:color w:val="141413"/>
          <w:sz w:val="24"/>
          <w:szCs w:val="24"/>
          <w:lang w:eastAsia="it-IT"/>
        </w:rPr>
        <w:t xml:space="preserve"> Leo and co-workers [18] reported similar profiles for the </w:t>
      </w:r>
      <w:r w:rsidRPr="004C78F8">
        <w:rPr>
          <w:rFonts w:ascii="Arial" w:hAnsi="Arial" w:cs="Arial"/>
          <w:sz w:val="24"/>
          <w:szCs w:val="24"/>
          <w:lang w:val="en-US"/>
        </w:rPr>
        <w:t>anti-ischemic drug Cloricromene Acid (AD6-Acid) from PLA nanoparticles.</w:t>
      </w:r>
    </w:p>
    <w:p w:rsidR="00550A30" w:rsidRPr="004C78F8" w:rsidRDefault="00550A30" w:rsidP="00550A30">
      <w:pPr>
        <w:autoSpaceDE w:val="0"/>
        <w:autoSpaceDN w:val="0"/>
        <w:adjustRightInd w:val="0"/>
        <w:spacing w:after="0" w:line="360" w:lineRule="auto"/>
        <w:jc w:val="both"/>
        <w:rPr>
          <w:rFonts w:ascii="Arial" w:eastAsia="Calibri" w:hAnsi="Arial" w:cs="Arial"/>
          <w:sz w:val="24"/>
          <w:szCs w:val="24"/>
          <w:lang w:val="en-US"/>
        </w:rPr>
      </w:pPr>
      <w:r w:rsidRPr="004C78F8">
        <w:rPr>
          <w:rFonts w:ascii="Arial" w:hAnsi="Arial" w:cs="Arial"/>
          <w:sz w:val="24"/>
          <w:szCs w:val="24"/>
          <w:lang w:val="en-US"/>
        </w:rPr>
        <w:t xml:space="preserve">According to these findings, a rapid release was observed in this work from particles prepared with commercial polyesters while </w:t>
      </w:r>
      <w:r w:rsidRPr="004C78F8">
        <w:rPr>
          <w:rFonts w:ascii="Arial" w:eastAsia="Calibri" w:hAnsi="Arial" w:cs="Arial"/>
          <w:sz w:val="24"/>
          <w:szCs w:val="24"/>
          <w:lang w:val="en-US"/>
        </w:rPr>
        <w:t xml:space="preserve">polyurethane nanoparticles exhibited longer and more controlled release kinetics of the encapsulated drug. In fact, C-BC2000 nanoparticles had the highest encapsulation efficiency (89±2%) compared to only 24±7% and 18±8% for PLA and PCL, respectively. Moreover the release profile for particles prepared with commercial polyesters, showed that almost all the encapsulated drug was released within the first 48 hours and no further release was observed after this time-point. C-BC2000 nanoparticles were able to sustain the release of the drug for longer time (up to 5 days), when only 30% of the active principle was released, indicating that the therapeutic effect of these carriers could last even longer.  </w:t>
      </w:r>
    </w:p>
    <w:p w:rsidR="00550A30" w:rsidRPr="004C78F8" w:rsidRDefault="00550A30" w:rsidP="00550A30">
      <w:pPr>
        <w:spacing w:after="0" w:line="360" w:lineRule="auto"/>
        <w:ind w:firstLine="708"/>
        <w:jc w:val="both"/>
        <w:rPr>
          <w:rFonts w:ascii="Arial" w:hAnsi="Arial" w:cs="Arial"/>
          <w:sz w:val="24"/>
          <w:szCs w:val="24"/>
          <w:lang w:val="en-US"/>
        </w:rPr>
      </w:pPr>
      <w:r w:rsidRPr="004C78F8">
        <w:rPr>
          <w:rFonts w:ascii="Arial" w:hAnsi="Arial" w:cs="Arial"/>
          <w:sz w:val="24"/>
          <w:szCs w:val="24"/>
          <w:lang w:val="en-US"/>
        </w:rPr>
        <w:t>To augment the targeting ability of nanoparticles towards tumor cells, specific ligands or antibodies that selectively recognize biomarkers over-expressed on cancer cells, can be attached to the surface, either by chemical bond or by hydrophilic/hydrophobic interactions [19,20]. Among targeting moieties, monoclonal antibodies have been extensively applied for their ability to initiate specific signaling cascades resulting in potentiated therapeutic effect of drugs [21,22].</w:t>
      </w:r>
    </w:p>
    <w:p w:rsidR="00550A30" w:rsidRPr="004C78F8" w:rsidRDefault="00550A30" w:rsidP="00550A30">
      <w:pPr>
        <w:spacing w:after="0" w:line="360" w:lineRule="auto"/>
        <w:jc w:val="both"/>
        <w:rPr>
          <w:rFonts w:ascii="Arial" w:eastAsia="Calibri" w:hAnsi="Arial" w:cs="Arial"/>
          <w:sz w:val="24"/>
          <w:szCs w:val="24"/>
          <w:lang w:val="en-US"/>
        </w:rPr>
      </w:pPr>
      <w:r w:rsidRPr="004C78F8">
        <w:rPr>
          <w:rFonts w:ascii="Arial" w:eastAsia="Calibri" w:hAnsi="Arial" w:cs="Arial"/>
          <w:sz w:val="24"/>
          <w:szCs w:val="24"/>
          <w:lang w:val="en-US"/>
        </w:rPr>
        <w:t xml:space="preserve">For this reason, in chapter 3 two different polyesterurethanes, synthesized with different chain extenders (named C-BC2000 and NS-BC2000) and three commercial polyesters (PCL, PLA and poly(D,L lactide-co-glycolide) PLGA)  were used to prepare Paclitaxel-loaded nanoparticles for the active targeting of breast cancer. </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eastAsia="Calibri" w:hAnsi="Arial" w:cs="Arial"/>
          <w:sz w:val="24"/>
          <w:szCs w:val="24"/>
          <w:lang w:val="en-US"/>
        </w:rPr>
        <w:t xml:space="preserve">A modified Single Emulsion Solvent Evaporation method was used to prepare nanoparticles, by selecting ethyl acetate as internal phase, Poly(vinyl alcohol) (PVA) as emulsifier and water as external phase. </w:t>
      </w:r>
    </w:p>
    <w:p w:rsidR="00550A30" w:rsidRPr="004C78F8" w:rsidRDefault="00550A30" w:rsidP="00550A30">
      <w:pPr>
        <w:spacing w:after="0" w:line="360" w:lineRule="auto"/>
        <w:jc w:val="both"/>
        <w:rPr>
          <w:rFonts w:ascii="Arial" w:eastAsia="Calibri" w:hAnsi="Arial" w:cs="Arial"/>
          <w:sz w:val="24"/>
          <w:szCs w:val="24"/>
          <w:lang w:val="en-US"/>
        </w:rPr>
      </w:pPr>
      <w:r w:rsidRPr="004C78F8">
        <w:rPr>
          <w:rFonts w:ascii="Arial" w:hAnsi="Arial" w:cs="Arial"/>
          <w:sz w:val="24"/>
          <w:szCs w:val="24"/>
          <w:lang w:val="en-US"/>
        </w:rPr>
        <w:t>To augment the targeting ability of nanoparticles towards breast cancer cells, Herceptin, a monoclonal antibody able to selectively recognize a specific receptor (HER2) over-expressed on 25-30% of invasive breast cancer, was attached to the surface of the carriers by hydrophilic/hydrophobic interactions [23,24].</w:t>
      </w:r>
      <w:r w:rsidRPr="004C78F8">
        <w:rPr>
          <w:rFonts w:ascii="Arial" w:eastAsia="Calibri" w:hAnsi="Arial" w:cs="Arial"/>
          <w:sz w:val="24"/>
          <w:szCs w:val="24"/>
          <w:lang w:val="en-US"/>
        </w:rPr>
        <w:t xml:space="preserve"> </w:t>
      </w:r>
    </w:p>
    <w:p w:rsidR="00550A30" w:rsidRPr="004C78F8" w:rsidRDefault="00550A30" w:rsidP="00550A30">
      <w:pPr>
        <w:spacing w:after="0" w:line="360" w:lineRule="auto"/>
        <w:jc w:val="both"/>
        <w:rPr>
          <w:rFonts w:ascii="Arial" w:hAnsi="Arial" w:cs="Arial"/>
          <w:sz w:val="24"/>
          <w:szCs w:val="24"/>
        </w:rPr>
      </w:pPr>
      <w:r w:rsidRPr="004C78F8">
        <w:rPr>
          <w:rFonts w:ascii="Arial" w:hAnsi="Arial" w:cs="Arial"/>
          <w:sz w:val="24"/>
          <w:szCs w:val="24"/>
        </w:rPr>
        <w:t xml:space="preserve">Surface modification was successfully achieved, as demonstrated by changes in size and zeta potential of the particles [25,26]. The amount of Herceptin on the surface of the carriers was measured by standard Bradford assay, confirming the presence of the antibody  on nanoparticles. Moreover the active targeting ability of these carriers was </w:t>
      </w:r>
      <w:r w:rsidRPr="004C78F8">
        <w:rPr>
          <w:rFonts w:ascii="Arial" w:hAnsi="Arial" w:cs="Arial"/>
          <w:sz w:val="24"/>
          <w:szCs w:val="24"/>
        </w:rPr>
        <w:lastRenderedPageBreak/>
        <w:t xml:space="preserve">demonstrated by their superior uptake by HER2-overexpressing breast cancer cells (SKBR3) compared to that of MCF7 cells, which show normal expression of the same receptor. </w:t>
      </w:r>
    </w:p>
    <w:p w:rsidR="00550A30" w:rsidRPr="004C78F8" w:rsidRDefault="00550A30" w:rsidP="00550A30">
      <w:pPr>
        <w:spacing w:after="0" w:line="360" w:lineRule="auto"/>
        <w:jc w:val="both"/>
        <w:rPr>
          <w:rFonts w:ascii="Arial" w:eastAsia="Calibri" w:hAnsi="Arial" w:cs="Arial"/>
          <w:b/>
          <w:sz w:val="24"/>
          <w:szCs w:val="24"/>
          <w:lang w:val="en-US"/>
        </w:rPr>
      </w:pPr>
      <w:r w:rsidRPr="004C78F8">
        <w:rPr>
          <w:rFonts w:ascii="Arial" w:eastAsia="Calibri" w:hAnsi="Arial" w:cs="Arial"/>
          <w:b/>
          <w:sz w:val="24"/>
          <w:szCs w:val="24"/>
          <w:lang w:val="en-US"/>
        </w:rPr>
        <w:t xml:space="preserve">The above-stated results indicate that PU may be used for the preparation of nanoparticles starting from pre-formed polymers and that they show superior properties when compared to traditionally used polyesters. </w:t>
      </w:r>
    </w:p>
    <w:p w:rsidR="00550A30" w:rsidRPr="004C78F8" w:rsidRDefault="00550A30" w:rsidP="00550A30">
      <w:pPr>
        <w:spacing w:after="0" w:line="360" w:lineRule="auto"/>
        <w:jc w:val="both"/>
        <w:rPr>
          <w:rFonts w:ascii="Arial" w:eastAsia="Calibri" w:hAnsi="Arial" w:cs="Arial"/>
          <w:b/>
          <w:sz w:val="24"/>
          <w:szCs w:val="24"/>
          <w:lang w:val="en-US"/>
        </w:rPr>
      </w:pPr>
      <w:r w:rsidRPr="004C78F8">
        <w:rPr>
          <w:rFonts w:ascii="Arial" w:eastAsia="Calibri" w:hAnsi="Arial" w:cs="Arial"/>
          <w:b/>
          <w:sz w:val="24"/>
          <w:szCs w:val="24"/>
          <w:lang w:val="en-US"/>
        </w:rPr>
        <w:t xml:space="preserve">This encouraging outcomes suggest further and extensive investigation on the introduction of different PU formulations as nanosystems for drug release. </w:t>
      </w:r>
    </w:p>
    <w:p w:rsidR="00550A30" w:rsidRPr="004C78F8" w:rsidRDefault="00550A30" w:rsidP="00550A30">
      <w:pPr>
        <w:autoSpaceDE w:val="0"/>
        <w:autoSpaceDN w:val="0"/>
        <w:adjustRightInd w:val="0"/>
        <w:spacing w:after="0" w:line="360" w:lineRule="auto"/>
        <w:jc w:val="both"/>
        <w:rPr>
          <w:rFonts w:ascii="Arial" w:eastAsia="Calibri" w:hAnsi="Arial" w:cs="Arial"/>
          <w:sz w:val="24"/>
          <w:szCs w:val="24"/>
          <w:lang w:val="en-US"/>
        </w:rPr>
      </w:pPr>
      <w:r w:rsidRPr="004C78F8">
        <w:rPr>
          <w:rFonts w:ascii="Arial" w:eastAsia="Calibri" w:hAnsi="Arial" w:cs="Arial"/>
          <w:sz w:val="24"/>
          <w:szCs w:val="24"/>
          <w:lang w:val="en-US"/>
        </w:rPr>
        <w:t xml:space="preserve">In the section section of the present work a new, bioactive and biomimetic bone cement was optimized and characterized. Polymeric (PCL) nanoparticles containing an anti-inflammatory agent (Indomethacin) were added to the cement composition to realize a multifunctional construct, able to stimulate the deposition of new bone tissue, while decreasing the risk of post-operative infections.   </w:t>
      </w:r>
    </w:p>
    <w:p w:rsidR="00550A30" w:rsidRPr="004C78F8" w:rsidRDefault="00550A30" w:rsidP="00550A30">
      <w:pPr>
        <w:autoSpaceDE w:val="0"/>
        <w:autoSpaceDN w:val="0"/>
        <w:adjustRightInd w:val="0"/>
        <w:spacing w:after="0" w:line="360" w:lineRule="auto"/>
        <w:jc w:val="both"/>
        <w:rPr>
          <w:rFonts w:ascii="Arial" w:hAnsi="Arial" w:cs="Arial"/>
          <w:sz w:val="24"/>
          <w:szCs w:val="24"/>
          <w:lang w:val="en-US"/>
        </w:rPr>
      </w:pPr>
      <w:r w:rsidRPr="004C78F8">
        <w:rPr>
          <w:rFonts w:ascii="Arial" w:hAnsi="Arial" w:cs="Arial"/>
          <w:sz w:val="24"/>
          <w:szCs w:val="24"/>
          <w:lang w:val="en-US"/>
        </w:rPr>
        <w:t xml:space="preserve">The material is composed of </w:t>
      </w:r>
      <w:r w:rsidRPr="004C78F8">
        <w:rPr>
          <w:rFonts w:ascii="Arial" w:hAnsi="Arial" w:cs="Arial"/>
          <w:bCs/>
          <w:sz w:val="24"/>
          <w:szCs w:val="24"/>
          <w:lang w:val="en-US"/>
        </w:rPr>
        <w:t>two phases which are naturally present in bones:</w:t>
      </w:r>
      <w:r w:rsidRPr="004C78F8">
        <w:rPr>
          <w:rFonts w:ascii="Arial" w:hAnsi="Arial" w:cs="Arial"/>
          <w:sz w:val="24"/>
          <w:szCs w:val="24"/>
          <w:lang w:val="en-US"/>
        </w:rPr>
        <w:t xml:space="preserve"> an organic phase made of chitosan (CH) and collagen and an inorganic phase made of β tricalcium phosphate, which is expected to increase bioactivity (i.e. the ability to stimulate new bone deposition) of the material [27,28]. </w:t>
      </w:r>
    </w:p>
    <w:p w:rsidR="00550A30" w:rsidRPr="004C78F8" w:rsidRDefault="00550A30" w:rsidP="00550A30">
      <w:pPr>
        <w:autoSpaceDE w:val="0"/>
        <w:autoSpaceDN w:val="0"/>
        <w:adjustRightInd w:val="0"/>
        <w:spacing w:after="0" w:line="360" w:lineRule="auto"/>
        <w:jc w:val="both"/>
        <w:rPr>
          <w:rFonts w:ascii="Arial" w:hAnsi="Arial" w:cs="Arial"/>
          <w:sz w:val="24"/>
          <w:szCs w:val="24"/>
          <w:lang w:val="en-US"/>
        </w:rPr>
      </w:pPr>
      <w:r w:rsidRPr="004C78F8">
        <w:rPr>
          <w:rFonts w:ascii="Arial" w:hAnsi="Arial" w:cs="Arial"/>
          <w:sz w:val="24"/>
          <w:szCs w:val="24"/>
          <w:lang w:val="en-US"/>
        </w:rPr>
        <w:t xml:space="preserve">According to different authors, bone cements should: (i) have good mechanical strength, in particular under compression; (ii) support new bone formation (i.e. be bioactive); (iii) have a low setting time (iv) be easily injectable and (v) do not cause local temperature increase during setting [29,30]. </w:t>
      </w:r>
    </w:p>
    <w:p w:rsidR="00550A30" w:rsidRPr="004C78F8" w:rsidRDefault="00550A30" w:rsidP="00550A30">
      <w:pPr>
        <w:autoSpaceDE w:val="0"/>
        <w:autoSpaceDN w:val="0"/>
        <w:adjustRightInd w:val="0"/>
        <w:spacing w:after="0" w:line="360" w:lineRule="auto"/>
        <w:jc w:val="both"/>
        <w:rPr>
          <w:rFonts w:ascii="Arial" w:hAnsi="Arial" w:cs="Arial"/>
          <w:sz w:val="24"/>
          <w:szCs w:val="24"/>
          <w:lang w:val="en-US"/>
        </w:rPr>
      </w:pPr>
      <w:r w:rsidRPr="004C78F8">
        <w:rPr>
          <w:rFonts w:ascii="Arial" w:hAnsi="Arial" w:cs="Arial"/>
          <w:sz w:val="24"/>
          <w:szCs w:val="24"/>
          <w:lang w:val="en-US"/>
        </w:rPr>
        <w:t>The material showed good bioactivity, promoting the formation of apatite after 14 days of incubation in simulated body fluids (SBF), a low setting time (around 20min) and a good injectability (95%), making it an optimal candidate as injectable bone substitute. Mechanical strength under compression was also analyzed, resulting in poor properties when collagen is not part of the composition. After the addition of collagen, the Young modulus for compression increased from 0,15Mpa to 1Mpa, which meets the requirements for a good vertebral substitute [31].</w:t>
      </w:r>
    </w:p>
    <w:p w:rsidR="00550A30" w:rsidRPr="004C78F8" w:rsidRDefault="00550A30" w:rsidP="00550A30">
      <w:pPr>
        <w:autoSpaceDE w:val="0"/>
        <w:autoSpaceDN w:val="0"/>
        <w:adjustRightInd w:val="0"/>
        <w:spacing w:after="0" w:line="360" w:lineRule="auto"/>
        <w:jc w:val="both"/>
        <w:rPr>
          <w:rFonts w:ascii="Arial" w:hAnsi="Arial" w:cs="Arial"/>
          <w:sz w:val="24"/>
          <w:szCs w:val="24"/>
          <w:lang w:val="en-US"/>
        </w:rPr>
      </w:pPr>
      <w:r w:rsidRPr="004C78F8">
        <w:rPr>
          <w:rFonts w:ascii="Arial" w:hAnsi="Arial" w:cs="Arial"/>
          <w:sz w:val="24"/>
          <w:szCs w:val="24"/>
          <w:lang w:val="en-US"/>
        </w:rPr>
        <w:t xml:space="preserve">Moreover the addition of nanoparticles confers anti-inflammatory properties, since the release rate of the drug is compatible with the infection raising kinetics. </w:t>
      </w:r>
    </w:p>
    <w:p w:rsidR="00550A30" w:rsidRDefault="00550A30" w:rsidP="00D873AE">
      <w:pPr>
        <w:autoSpaceDE w:val="0"/>
        <w:autoSpaceDN w:val="0"/>
        <w:adjustRightInd w:val="0"/>
        <w:spacing w:after="0" w:line="360" w:lineRule="auto"/>
        <w:jc w:val="both"/>
        <w:rPr>
          <w:rFonts w:ascii="Arial" w:hAnsi="Arial" w:cs="Arial"/>
          <w:b/>
          <w:sz w:val="24"/>
          <w:szCs w:val="24"/>
          <w:lang w:val="en-US"/>
        </w:rPr>
      </w:pPr>
      <w:r w:rsidRPr="004C78F8">
        <w:rPr>
          <w:rFonts w:ascii="Arial" w:hAnsi="Arial" w:cs="Arial"/>
          <w:b/>
          <w:sz w:val="24"/>
          <w:szCs w:val="24"/>
          <w:lang w:val="en-US"/>
        </w:rPr>
        <w:t xml:space="preserve">The proposed material is an optimal candidate for bone substitution, meeting all the requirements concerning mechanical properties and bioactivity and is also able to decrease the risk of post-operative infections and therefore of implant failure.    </w:t>
      </w:r>
    </w:p>
    <w:p w:rsidR="00D873AE" w:rsidRPr="004C78F8" w:rsidRDefault="00D873AE" w:rsidP="00D873AE">
      <w:pPr>
        <w:autoSpaceDE w:val="0"/>
        <w:autoSpaceDN w:val="0"/>
        <w:adjustRightInd w:val="0"/>
        <w:spacing w:after="0" w:line="360" w:lineRule="auto"/>
        <w:jc w:val="both"/>
        <w:rPr>
          <w:rFonts w:ascii="Arial" w:hAnsi="Arial" w:cs="Arial"/>
          <w:b/>
          <w:sz w:val="24"/>
          <w:szCs w:val="24"/>
          <w:lang w:val="en-US"/>
        </w:rPr>
      </w:pPr>
    </w:p>
    <w:p w:rsidR="00550A30" w:rsidRPr="004C78F8" w:rsidRDefault="00550A30" w:rsidP="00550A30">
      <w:pPr>
        <w:spacing w:before="240" w:after="240" w:line="360" w:lineRule="auto"/>
        <w:jc w:val="both"/>
        <w:rPr>
          <w:rFonts w:ascii="Arial" w:hAnsi="Arial" w:cs="Arial"/>
          <w:b/>
          <w:sz w:val="24"/>
          <w:szCs w:val="24"/>
          <w:lang w:val="en-US"/>
        </w:rPr>
      </w:pPr>
      <w:r w:rsidRPr="004C78F8">
        <w:rPr>
          <w:rFonts w:ascii="Arial" w:hAnsi="Arial" w:cs="Arial"/>
          <w:b/>
          <w:sz w:val="24"/>
          <w:szCs w:val="24"/>
          <w:lang w:val="en-US"/>
        </w:rPr>
        <w:lastRenderedPageBreak/>
        <w:t>5.2 Conclusions &amp; future developments</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In this thesis work, biodegradable nanoparticles were successfully prepared with different proprietary or commercial materials and by different methods for the passive and active targeting of cancer (chapter 2 and 3) and for the preparation of biomimetic constructs for tissue engineering (chapter 4). </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The application of biodegradable polyesterurethanes (PU) as matrix-forming materials for nanoparticles prepared staring from preformed polymers, was proposed for the first time with encouraging results. In fact, compared to particles prep</w:t>
      </w:r>
      <w:r>
        <w:rPr>
          <w:rFonts w:ascii="Arial" w:hAnsi="Arial" w:cs="Arial"/>
          <w:sz w:val="24"/>
          <w:szCs w:val="24"/>
          <w:lang w:val="en-US"/>
        </w:rPr>
        <w:t>ared with commercial polyesters</w:t>
      </w:r>
      <w:r w:rsidRPr="004C78F8">
        <w:rPr>
          <w:rFonts w:ascii="Arial" w:hAnsi="Arial" w:cs="Arial"/>
          <w:sz w:val="24"/>
          <w:szCs w:val="24"/>
          <w:lang w:val="en-US"/>
        </w:rPr>
        <w:t xml:space="preserve"> </w:t>
      </w:r>
      <w:r>
        <w:rPr>
          <w:rFonts w:ascii="Arial" w:hAnsi="Arial" w:cs="Arial"/>
          <w:sz w:val="24"/>
          <w:szCs w:val="24"/>
          <w:lang w:val="en-US"/>
        </w:rPr>
        <w:t>(</w:t>
      </w:r>
      <w:r w:rsidRPr="004C78F8">
        <w:rPr>
          <w:rFonts w:ascii="Arial" w:hAnsi="Arial" w:cs="Arial"/>
          <w:sz w:val="24"/>
          <w:szCs w:val="24"/>
          <w:lang w:val="en-US"/>
        </w:rPr>
        <w:t>such as PCL, PLA and PLGA</w:t>
      </w:r>
      <w:r>
        <w:rPr>
          <w:rFonts w:ascii="Arial" w:hAnsi="Arial" w:cs="Arial"/>
          <w:sz w:val="24"/>
          <w:szCs w:val="24"/>
          <w:lang w:val="en-US"/>
        </w:rPr>
        <w:t>),</w:t>
      </w:r>
      <w:r w:rsidRPr="004C78F8">
        <w:rPr>
          <w:rFonts w:ascii="Arial" w:hAnsi="Arial" w:cs="Arial"/>
          <w:sz w:val="24"/>
          <w:szCs w:val="24"/>
          <w:lang w:val="en-US"/>
        </w:rPr>
        <w:t xml:space="preserve"> PU nanoparticles showed superior cellular internalization by cancer cells, enhanced and sustained release rate of the encapsulated drug and lower initial burst effect.  </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Though possessing undeniable interesting properties, biodegradable polyurethanes have been poorly investigated [32,33] as nanoparticles-forming materials to be applied in the field of drug delivery. </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The results obtained in the present work suggest further investigation on the use of polyurethanes for the preparation of nanoparticles for controlled drug delivery, perhaps by selecting different starting reagents.</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In fact, </w:t>
      </w:r>
      <w:r>
        <w:rPr>
          <w:rFonts w:ascii="Arial" w:hAnsi="Arial" w:cs="Arial"/>
          <w:sz w:val="24"/>
          <w:szCs w:val="24"/>
          <w:lang w:val="en-US"/>
        </w:rPr>
        <w:t xml:space="preserve">the simple chemistry of polyurethanes </w:t>
      </w:r>
      <w:r w:rsidRPr="004C78F8">
        <w:rPr>
          <w:rFonts w:ascii="Arial" w:hAnsi="Arial" w:cs="Arial"/>
          <w:sz w:val="24"/>
          <w:szCs w:val="24"/>
          <w:lang w:val="en-US"/>
        </w:rPr>
        <w:t>allow</w:t>
      </w:r>
      <w:r>
        <w:rPr>
          <w:rFonts w:ascii="Arial" w:hAnsi="Arial" w:cs="Arial"/>
          <w:sz w:val="24"/>
          <w:szCs w:val="24"/>
          <w:lang w:val="en-US"/>
        </w:rPr>
        <w:t>s</w:t>
      </w:r>
      <w:r w:rsidRPr="004C78F8">
        <w:rPr>
          <w:rFonts w:ascii="Arial" w:hAnsi="Arial" w:cs="Arial"/>
          <w:sz w:val="24"/>
          <w:szCs w:val="24"/>
          <w:lang w:val="en-US"/>
        </w:rPr>
        <w:t xml:space="preserve"> tailor</w:t>
      </w:r>
      <w:r>
        <w:rPr>
          <w:rFonts w:ascii="Arial" w:hAnsi="Arial" w:cs="Arial"/>
          <w:sz w:val="24"/>
          <w:szCs w:val="24"/>
          <w:lang w:val="en-US"/>
        </w:rPr>
        <w:t>ing of the material properties (</w:t>
      </w:r>
      <w:r w:rsidRPr="004C78F8">
        <w:rPr>
          <w:rFonts w:ascii="Arial" w:hAnsi="Arial" w:cs="Arial"/>
          <w:sz w:val="24"/>
          <w:szCs w:val="24"/>
          <w:lang w:val="en-US"/>
        </w:rPr>
        <w:t>such as b</w:t>
      </w:r>
      <w:r>
        <w:rPr>
          <w:rFonts w:ascii="Arial" w:hAnsi="Arial" w:cs="Arial"/>
          <w:sz w:val="24"/>
          <w:szCs w:val="24"/>
          <w:lang w:val="en-US"/>
        </w:rPr>
        <w:t>iodegradability, hydrophilicity and mechanical strength)</w:t>
      </w:r>
      <w:r w:rsidRPr="004C78F8">
        <w:rPr>
          <w:rFonts w:ascii="Arial" w:hAnsi="Arial" w:cs="Arial"/>
          <w:sz w:val="24"/>
          <w:szCs w:val="24"/>
          <w:lang w:val="en-US"/>
        </w:rPr>
        <w:t xml:space="preserve"> by selecting the proper reagents during the synthesis. Polyethers, such as PEG, can be used as macrodiols, alone or in combination with polyesters, such as poly(ε-caprolactone) during the synthesis, resulting in tuneable hydrophilicity and reduced opsonization. The effect of different hydrophilicity on the size, zeta potential, extent of cellular internalization as well as on the drug loading and release properties should be investigated.  </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Moreover, specific targeting ligands (like peptides or aminoacids) can be inserted in the polymer backbone or attached as pendant groups or both. This allows for the obtainment of multifunctional carriers with tailored properties, according to the specific therapeutic need, with one simple synthesis process. </w:t>
      </w:r>
    </w:p>
    <w:p w:rsidR="00550A30" w:rsidRPr="004C78F8" w:rsidRDefault="00550A30" w:rsidP="00550A30">
      <w:pPr>
        <w:spacing w:before="240" w:after="240" w:line="360" w:lineRule="auto"/>
        <w:jc w:val="both"/>
        <w:rPr>
          <w:rFonts w:ascii="Arial" w:hAnsi="Arial" w:cs="Arial"/>
          <w:b/>
          <w:sz w:val="24"/>
          <w:szCs w:val="24"/>
          <w:lang w:val="en-US"/>
        </w:rPr>
      </w:pPr>
      <w:r w:rsidRPr="004C78F8">
        <w:rPr>
          <w:rFonts w:ascii="Arial" w:hAnsi="Arial" w:cs="Arial"/>
          <w:b/>
          <w:sz w:val="24"/>
          <w:szCs w:val="24"/>
          <w:lang w:val="en-US"/>
        </w:rPr>
        <w:t>References</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[1] Thickett S.C. et al. </w:t>
      </w:r>
      <w:r w:rsidRPr="004C78F8">
        <w:rPr>
          <w:rFonts w:ascii="Arial" w:hAnsi="Arial" w:cs="Arial"/>
          <w:b/>
          <w:sz w:val="24"/>
          <w:szCs w:val="24"/>
          <w:lang w:val="en-US"/>
        </w:rPr>
        <w:t>2007</w:t>
      </w:r>
      <w:r w:rsidRPr="004C78F8">
        <w:rPr>
          <w:rFonts w:ascii="Arial" w:hAnsi="Arial" w:cs="Arial"/>
          <w:sz w:val="24"/>
          <w:szCs w:val="24"/>
          <w:lang w:val="en-US"/>
        </w:rPr>
        <w:t xml:space="preserve"> Polymer 48:6965</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[2] Karode SK et al. </w:t>
      </w:r>
      <w:r w:rsidRPr="004C78F8">
        <w:rPr>
          <w:rFonts w:ascii="Arial" w:hAnsi="Arial" w:cs="Arial"/>
          <w:b/>
          <w:sz w:val="24"/>
          <w:szCs w:val="24"/>
          <w:lang w:val="en-US"/>
        </w:rPr>
        <w:t>1998</w:t>
      </w:r>
      <w:r w:rsidRPr="004C78F8">
        <w:rPr>
          <w:rFonts w:ascii="Arial" w:hAnsi="Arial" w:cs="Arial"/>
          <w:sz w:val="24"/>
          <w:szCs w:val="24"/>
          <w:lang w:val="en-US"/>
        </w:rPr>
        <w:t xml:space="preserve"> Chem Eng Sci 53:264.</w:t>
      </w:r>
    </w:p>
    <w:p w:rsidR="00550A30" w:rsidRPr="004C78F8" w:rsidRDefault="00550A30" w:rsidP="00550A30">
      <w:pPr>
        <w:spacing w:after="0" w:line="360" w:lineRule="auto"/>
        <w:rPr>
          <w:rFonts w:ascii="Arial" w:hAnsi="Arial" w:cs="Arial"/>
          <w:sz w:val="24"/>
          <w:szCs w:val="24"/>
          <w:lang w:val="en-US"/>
        </w:rPr>
      </w:pPr>
      <w:r w:rsidRPr="004C78F8">
        <w:rPr>
          <w:rFonts w:ascii="Arial" w:hAnsi="Arial" w:cs="Arial"/>
          <w:color w:val="000000"/>
          <w:sz w:val="24"/>
          <w:szCs w:val="24"/>
          <w:lang w:val="en-US"/>
        </w:rPr>
        <w:t xml:space="preserve">[3] </w:t>
      </w:r>
      <w:r w:rsidRPr="004C78F8">
        <w:rPr>
          <w:rFonts w:ascii="Arial" w:hAnsi="Arial" w:cs="Arial"/>
          <w:sz w:val="24"/>
          <w:szCs w:val="24"/>
          <w:lang w:val="en-US"/>
        </w:rPr>
        <w:t xml:space="preserve">Vanderhoff JV </w:t>
      </w:r>
      <w:r w:rsidRPr="004C78F8">
        <w:rPr>
          <w:rFonts w:ascii="Arial" w:hAnsi="Arial" w:cs="Arial"/>
          <w:b/>
          <w:sz w:val="24"/>
          <w:szCs w:val="24"/>
          <w:lang w:val="en-US"/>
        </w:rPr>
        <w:t xml:space="preserve">1979 </w:t>
      </w:r>
      <w:r w:rsidRPr="004C78F8">
        <w:rPr>
          <w:rFonts w:ascii="Arial" w:hAnsi="Arial" w:cs="Arial"/>
          <w:sz w:val="24"/>
          <w:szCs w:val="24"/>
          <w:lang w:val="en-US"/>
        </w:rPr>
        <w:t xml:space="preserve">US patent 4 177 177 </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lastRenderedPageBreak/>
        <w:t xml:space="preserve">[4] Pinto Reis C. et al. </w:t>
      </w:r>
      <w:r w:rsidRPr="004C78F8">
        <w:rPr>
          <w:rFonts w:ascii="Arial" w:hAnsi="Arial" w:cs="Arial"/>
          <w:b/>
          <w:sz w:val="24"/>
          <w:szCs w:val="24"/>
          <w:lang w:val="en-US"/>
        </w:rPr>
        <w:t>2006</w:t>
      </w:r>
      <w:r w:rsidRPr="004C78F8">
        <w:rPr>
          <w:rFonts w:ascii="Arial" w:hAnsi="Arial" w:cs="Arial"/>
          <w:sz w:val="24"/>
          <w:szCs w:val="24"/>
          <w:lang w:val="en-US"/>
        </w:rPr>
        <w:t xml:space="preserve"> Nanomedicine 2:8</w:t>
      </w:r>
    </w:p>
    <w:p w:rsidR="00550A30" w:rsidRPr="004C78F8" w:rsidRDefault="00550A30" w:rsidP="00550A30">
      <w:pPr>
        <w:autoSpaceDE w:val="0"/>
        <w:autoSpaceDN w:val="0"/>
        <w:adjustRightInd w:val="0"/>
        <w:spacing w:after="0" w:line="360" w:lineRule="auto"/>
        <w:rPr>
          <w:rFonts w:ascii="Arial" w:hAnsi="Arial" w:cs="Arial"/>
          <w:sz w:val="24"/>
          <w:szCs w:val="24"/>
          <w:lang w:val="en-US"/>
        </w:rPr>
      </w:pPr>
      <w:r w:rsidRPr="004C78F8">
        <w:rPr>
          <w:rFonts w:ascii="Arial" w:hAnsi="Arial" w:cs="Arial"/>
          <w:sz w:val="24"/>
          <w:szCs w:val="24"/>
          <w:lang w:val="en-US"/>
        </w:rPr>
        <w:t xml:space="preserve">[5] P. Couvreur et al. </w:t>
      </w:r>
      <w:r w:rsidRPr="004C78F8">
        <w:rPr>
          <w:rFonts w:ascii="Arial" w:hAnsi="Arial" w:cs="Arial"/>
          <w:b/>
          <w:sz w:val="24"/>
          <w:szCs w:val="24"/>
          <w:lang w:val="en-US"/>
        </w:rPr>
        <w:t>2002</w:t>
      </w:r>
      <w:r w:rsidRPr="004C78F8">
        <w:rPr>
          <w:rFonts w:ascii="Arial" w:hAnsi="Arial" w:cs="Arial"/>
          <w:sz w:val="24"/>
          <w:szCs w:val="24"/>
          <w:lang w:val="en-US"/>
        </w:rPr>
        <w:t xml:space="preserve"> Adv Drug Deliv. Rev. 54: 631</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[6] Rao </w:t>
      </w:r>
      <w:r w:rsidRPr="004C78F8">
        <w:rPr>
          <w:rFonts w:ascii="Arial" w:hAnsi="Arial" w:cs="Arial"/>
          <w:iCs/>
          <w:sz w:val="24"/>
          <w:szCs w:val="24"/>
          <w:lang w:val="en-US"/>
        </w:rPr>
        <w:t xml:space="preserve">J.P. et al </w:t>
      </w:r>
      <w:r w:rsidRPr="004C78F8">
        <w:rPr>
          <w:rFonts w:ascii="Arial" w:hAnsi="Arial" w:cs="Arial"/>
          <w:b/>
          <w:iCs/>
          <w:sz w:val="24"/>
          <w:szCs w:val="24"/>
          <w:lang w:val="en-US"/>
        </w:rPr>
        <w:t xml:space="preserve">2011 </w:t>
      </w:r>
      <w:r w:rsidRPr="004C78F8">
        <w:rPr>
          <w:rFonts w:ascii="Arial" w:hAnsi="Arial" w:cs="Arial"/>
          <w:iCs/>
          <w:sz w:val="24"/>
          <w:szCs w:val="24"/>
          <w:lang w:val="en-US"/>
        </w:rPr>
        <w:t>Progress in Polymer Science 36:887</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[7] </w:t>
      </w:r>
      <w:r w:rsidRPr="004C78F8">
        <w:rPr>
          <w:rFonts w:ascii="Arial" w:hAnsi="Arial" w:cs="Arial"/>
          <w:sz w:val="26"/>
          <w:szCs w:val="26"/>
          <w:lang w:val="en-US"/>
        </w:rPr>
        <w:t xml:space="preserve">Fessi H. et Al. </w:t>
      </w:r>
      <w:r w:rsidRPr="004C78F8">
        <w:rPr>
          <w:rFonts w:ascii="Arial" w:hAnsi="Arial" w:cs="Arial"/>
          <w:b/>
          <w:sz w:val="26"/>
          <w:szCs w:val="26"/>
          <w:lang w:val="en-US"/>
        </w:rPr>
        <w:t>1989</w:t>
      </w:r>
      <w:r w:rsidRPr="004C78F8">
        <w:rPr>
          <w:rFonts w:ascii="Arial" w:hAnsi="Arial" w:cs="Arial"/>
          <w:sz w:val="26"/>
          <w:szCs w:val="26"/>
          <w:lang w:val="en-US"/>
        </w:rPr>
        <w:t xml:space="preserve"> Int. J. Pharm. 55: 25</w:t>
      </w:r>
    </w:p>
    <w:p w:rsidR="00550A30" w:rsidRPr="004C78F8" w:rsidRDefault="00550A30" w:rsidP="00550A30">
      <w:pPr>
        <w:autoSpaceDE w:val="0"/>
        <w:autoSpaceDN w:val="0"/>
        <w:adjustRightInd w:val="0"/>
        <w:spacing w:after="0" w:line="360" w:lineRule="auto"/>
        <w:jc w:val="both"/>
        <w:rPr>
          <w:rFonts w:ascii="Arial" w:hAnsi="Arial" w:cs="Arial"/>
          <w:iCs/>
          <w:sz w:val="24"/>
          <w:szCs w:val="24"/>
          <w:lang w:val="en-US"/>
        </w:rPr>
      </w:pPr>
      <w:r w:rsidRPr="004C78F8">
        <w:rPr>
          <w:rFonts w:ascii="Arial" w:hAnsi="Arial" w:cs="Arial"/>
          <w:sz w:val="24"/>
          <w:szCs w:val="24"/>
          <w:lang w:val="en-US"/>
        </w:rPr>
        <w:t xml:space="preserve">[8] Mora Huertas C.E. et al. </w:t>
      </w:r>
      <w:r w:rsidRPr="004C78F8">
        <w:rPr>
          <w:rFonts w:ascii="Arial" w:hAnsi="Arial" w:cs="Arial"/>
          <w:b/>
          <w:iCs/>
          <w:sz w:val="24"/>
          <w:szCs w:val="24"/>
          <w:lang w:val="en-US"/>
        </w:rPr>
        <w:t>2010</w:t>
      </w:r>
      <w:r w:rsidRPr="004C78F8">
        <w:rPr>
          <w:rFonts w:ascii="Arial" w:hAnsi="Arial" w:cs="Arial"/>
          <w:iCs/>
          <w:sz w:val="24"/>
          <w:szCs w:val="24"/>
          <w:lang w:val="en-US"/>
        </w:rPr>
        <w:t xml:space="preserve"> </w:t>
      </w:r>
      <w:r w:rsidRPr="004C78F8">
        <w:rPr>
          <w:rFonts w:ascii="Arial" w:hAnsi="Arial" w:cs="Arial"/>
          <w:sz w:val="24"/>
          <w:szCs w:val="24"/>
          <w:lang w:val="en-US"/>
        </w:rPr>
        <w:t xml:space="preserve">Int. J. Pharm. </w:t>
      </w:r>
      <w:r w:rsidRPr="004C78F8">
        <w:rPr>
          <w:rFonts w:ascii="Arial" w:hAnsi="Arial" w:cs="Arial"/>
          <w:iCs/>
          <w:sz w:val="24"/>
          <w:szCs w:val="24"/>
          <w:lang w:val="en-US"/>
        </w:rPr>
        <w:t>385:</w:t>
      </w:r>
      <w:r w:rsidRPr="004C78F8">
        <w:rPr>
          <w:rFonts w:ascii="Arial" w:hAnsi="Arial" w:cs="Arial"/>
          <w:i/>
          <w:iCs/>
          <w:sz w:val="24"/>
          <w:szCs w:val="24"/>
          <w:lang w:val="en-US"/>
        </w:rPr>
        <w:t xml:space="preserve"> </w:t>
      </w:r>
      <w:r w:rsidRPr="004C78F8">
        <w:rPr>
          <w:rFonts w:ascii="Arial" w:hAnsi="Arial" w:cs="Arial"/>
          <w:iCs/>
          <w:sz w:val="24"/>
          <w:szCs w:val="24"/>
          <w:lang w:val="en-US"/>
        </w:rPr>
        <w:t>113</w:t>
      </w:r>
    </w:p>
    <w:p w:rsidR="00550A30" w:rsidRPr="004C78F8" w:rsidRDefault="00550A30" w:rsidP="00550A30">
      <w:pPr>
        <w:spacing w:after="0" w:line="360" w:lineRule="auto"/>
        <w:rPr>
          <w:rFonts w:ascii="Arial" w:hAnsi="Arial" w:cs="Arial"/>
          <w:sz w:val="24"/>
          <w:szCs w:val="24"/>
          <w:lang w:val="en-US"/>
        </w:rPr>
      </w:pPr>
      <w:r w:rsidRPr="004C78F8">
        <w:rPr>
          <w:rFonts w:ascii="Arial" w:hAnsi="Arial" w:cs="Arial"/>
          <w:sz w:val="24"/>
          <w:szCs w:val="24"/>
          <w:lang w:val="en-US"/>
        </w:rPr>
        <w:t xml:space="preserve">[9] Maeda H. et al. </w:t>
      </w:r>
      <w:r w:rsidRPr="004C78F8">
        <w:rPr>
          <w:rFonts w:ascii="Arial" w:hAnsi="Arial" w:cs="Arial"/>
          <w:b/>
          <w:sz w:val="24"/>
          <w:szCs w:val="24"/>
          <w:lang w:val="en-US"/>
        </w:rPr>
        <w:t>2009</w:t>
      </w:r>
      <w:r w:rsidRPr="004C78F8">
        <w:rPr>
          <w:rFonts w:ascii="Arial" w:hAnsi="Arial" w:cs="Arial"/>
          <w:sz w:val="24"/>
          <w:szCs w:val="24"/>
          <w:lang w:val="en-US"/>
        </w:rPr>
        <w:t xml:space="preserve"> Eur J Pharm Biopharm 71:409</w:t>
      </w:r>
    </w:p>
    <w:p w:rsidR="00550A30" w:rsidRPr="004C78F8" w:rsidRDefault="00550A30" w:rsidP="00550A30">
      <w:pPr>
        <w:spacing w:after="0" w:line="360" w:lineRule="auto"/>
        <w:rPr>
          <w:rFonts w:ascii="Arial" w:hAnsi="Arial" w:cs="Arial"/>
          <w:sz w:val="24"/>
          <w:szCs w:val="24"/>
          <w:lang w:val="en-US"/>
        </w:rPr>
      </w:pPr>
      <w:r w:rsidRPr="004C78F8">
        <w:rPr>
          <w:rFonts w:ascii="Arial" w:hAnsi="Arial" w:cs="Arial"/>
          <w:sz w:val="24"/>
          <w:szCs w:val="24"/>
          <w:lang w:val="en-US"/>
        </w:rPr>
        <w:t xml:space="preserve">[10] Panyam, J. et al </w:t>
      </w:r>
      <w:r w:rsidRPr="004C78F8">
        <w:rPr>
          <w:rFonts w:ascii="Arial" w:hAnsi="Arial" w:cs="Arial"/>
          <w:b/>
          <w:sz w:val="24"/>
          <w:szCs w:val="24"/>
          <w:lang w:val="en-US"/>
        </w:rPr>
        <w:t xml:space="preserve">2003 </w:t>
      </w:r>
      <w:r w:rsidRPr="004C78F8">
        <w:rPr>
          <w:rFonts w:ascii="Arial" w:hAnsi="Arial" w:cs="Arial"/>
          <w:sz w:val="24"/>
          <w:szCs w:val="24"/>
          <w:lang w:val="en-US"/>
        </w:rPr>
        <w:t xml:space="preserve">Int. J. Pharm. </w:t>
      </w:r>
      <w:r w:rsidRPr="004C78F8">
        <w:rPr>
          <w:rFonts w:ascii="Arial" w:hAnsi="Arial" w:cs="Arial"/>
          <w:bCs/>
          <w:sz w:val="24"/>
          <w:szCs w:val="24"/>
          <w:lang w:val="en-US"/>
        </w:rPr>
        <w:t>262</w:t>
      </w:r>
      <w:r w:rsidRPr="004C78F8">
        <w:rPr>
          <w:rFonts w:ascii="Arial" w:hAnsi="Arial" w:cs="Arial"/>
          <w:sz w:val="24"/>
          <w:szCs w:val="24"/>
          <w:lang w:val="en-US"/>
        </w:rPr>
        <w:t>: 1</w:t>
      </w:r>
    </w:p>
    <w:p w:rsidR="00550A30" w:rsidRPr="004C78F8" w:rsidRDefault="00550A30" w:rsidP="00550A30">
      <w:pPr>
        <w:spacing w:after="0" w:line="360" w:lineRule="auto"/>
        <w:rPr>
          <w:rFonts w:ascii="Arial" w:hAnsi="Arial" w:cs="Arial"/>
          <w:sz w:val="24"/>
          <w:szCs w:val="24"/>
          <w:lang w:val="en-US"/>
        </w:rPr>
      </w:pPr>
      <w:r w:rsidRPr="004C78F8">
        <w:rPr>
          <w:rFonts w:ascii="Arial" w:hAnsi="Arial" w:cs="Arial"/>
          <w:sz w:val="24"/>
          <w:szCs w:val="24"/>
          <w:lang w:val="en-US"/>
        </w:rPr>
        <w:t xml:space="preserve">[11] Panyam, J. et al. </w:t>
      </w:r>
      <w:r w:rsidRPr="004C78F8">
        <w:rPr>
          <w:rFonts w:ascii="Arial" w:hAnsi="Arial" w:cs="Arial"/>
          <w:b/>
          <w:sz w:val="24"/>
          <w:szCs w:val="24"/>
          <w:lang w:val="en-US"/>
        </w:rPr>
        <w:t xml:space="preserve">2003 </w:t>
      </w:r>
      <w:r w:rsidRPr="004C78F8">
        <w:rPr>
          <w:rFonts w:ascii="Arial" w:hAnsi="Arial" w:cs="Arial"/>
          <w:sz w:val="24"/>
          <w:szCs w:val="24"/>
          <w:lang w:val="en-US"/>
        </w:rPr>
        <w:t xml:space="preserve">Adv. Drug Delivery Rev. </w:t>
      </w:r>
      <w:r w:rsidRPr="004C78F8">
        <w:rPr>
          <w:rFonts w:ascii="Arial" w:hAnsi="Arial" w:cs="Arial"/>
          <w:bCs/>
          <w:sz w:val="24"/>
          <w:szCs w:val="24"/>
          <w:lang w:val="en-US"/>
        </w:rPr>
        <w:t>55</w:t>
      </w:r>
      <w:r w:rsidRPr="004C78F8">
        <w:rPr>
          <w:rFonts w:ascii="Arial" w:hAnsi="Arial" w:cs="Arial"/>
          <w:sz w:val="24"/>
          <w:szCs w:val="24"/>
          <w:lang w:val="en-US"/>
        </w:rPr>
        <w:t>:329</w:t>
      </w:r>
    </w:p>
    <w:p w:rsidR="00550A30" w:rsidRPr="004C78F8" w:rsidRDefault="00550A30" w:rsidP="00550A30">
      <w:pPr>
        <w:autoSpaceDE w:val="0"/>
        <w:autoSpaceDN w:val="0"/>
        <w:adjustRightInd w:val="0"/>
        <w:spacing w:after="0" w:line="360" w:lineRule="auto"/>
        <w:jc w:val="both"/>
        <w:rPr>
          <w:rFonts w:ascii="Arial" w:hAnsi="Arial" w:cs="Arial"/>
          <w:iCs/>
          <w:sz w:val="24"/>
          <w:szCs w:val="24"/>
          <w:lang w:val="en-US"/>
        </w:rPr>
      </w:pPr>
      <w:r w:rsidRPr="004C78F8">
        <w:rPr>
          <w:rFonts w:ascii="Arial" w:hAnsi="Arial" w:cs="Arial"/>
          <w:iCs/>
          <w:sz w:val="24"/>
          <w:szCs w:val="24"/>
          <w:lang w:val="en-US"/>
        </w:rPr>
        <w:t xml:space="preserve">[12] Matsumura Y. et al. </w:t>
      </w:r>
      <w:r w:rsidRPr="004C78F8">
        <w:rPr>
          <w:rFonts w:ascii="Arial" w:hAnsi="Arial" w:cs="Arial"/>
          <w:b/>
          <w:iCs/>
          <w:sz w:val="24"/>
          <w:szCs w:val="24"/>
          <w:lang w:val="en-US"/>
        </w:rPr>
        <w:t>1986</w:t>
      </w:r>
      <w:r w:rsidRPr="004C78F8">
        <w:rPr>
          <w:rFonts w:ascii="Arial" w:hAnsi="Arial" w:cs="Arial"/>
          <w:iCs/>
          <w:sz w:val="24"/>
          <w:szCs w:val="24"/>
          <w:lang w:val="en-US"/>
        </w:rPr>
        <w:t xml:space="preserve"> Cancer Res. 46:6387</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[13] Leroux J. et Al. </w:t>
      </w:r>
      <w:r w:rsidRPr="004C78F8">
        <w:rPr>
          <w:rFonts w:ascii="Arial" w:hAnsi="Arial" w:cs="Arial"/>
          <w:b/>
          <w:sz w:val="24"/>
          <w:szCs w:val="24"/>
          <w:lang w:val="en-US"/>
        </w:rPr>
        <w:t>1996</w:t>
      </w:r>
      <w:r w:rsidRPr="004C78F8">
        <w:rPr>
          <w:rFonts w:ascii="Arial" w:hAnsi="Arial" w:cs="Arial"/>
          <w:sz w:val="24"/>
          <w:szCs w:val="24"/>
          <w:lang w:val="en-US"/>
        </w:rPr>
        <w:t xml:space="preserve"> J Control Release 39:339</w:t>
      </w:r>
    </w:p>
    <w:p w:rsidR="00550A30" w:rsidRPr="004C78F8" w:rsidRDefault="00550A30" w:rsidP="00550A30">
      <w:pPr>
        <w:autoSpaceDE w:val="0"/>
        <w:autoSpaceDN w:val="0"/>
        <w:adjustRightInd w:val="0"/>
        <w:spacing w:after="0" w:line="360" w:lineRule="auto"/>
        <w:jc w:val="both"/>
        <w:rPr>
          <w:rFonts w:ascii="Arial" w:hAnsi="Arial" w:cs="Arial"/>
          <w:iCs/>
          <w:sz w:val="24"/>
          <w:szCs w:val="24"/>
          <w:lang w:val="en-US"/>
        </w:rPr>
      </w:pPr>
      <w:r w:rsidRPr="004C78F8">
        <w:rPr>
          <w:rFonts w:ascii="Arial" w:hAnsi="Arial" w:cs="Arial"/>
          <w:iCs/>
          <w:sz w:val="24"/>
          <w:szCs w:val="24"/>
          <w:lang w:val="en-US"/>
        </w:rPr>
        <w:t xml:space="preserve">[14] Thanou M. et al. </w:t>
      </w:r>
      <w:r w:rsidRPr="004C78F8">
        <w:rPr>
          <w:rFonts w:ascii="Arial" w:hAnsi="Arial" w:cs="Arial"/>
          <w:b/>
          <w:iCs/>
          <w:sz w:val="24"/>
          <w:szCs w:val="24"/>
          <w:lang w:val="en-US"/>
        </w:rPr>
        <w:t>2003</w:t>
      </w:r>
      <w:r w:rsidRPr="004C78F8">
        <w:rPr>
          <w:rFonts w:ascii="Arial" w:hAnsi="Arial" w:cs="Arial"/>
          <w:iCs/>
          <w:sz w:val="24"/>
          <w:szCs w:val="24"/>
          <w:lang w:val="en-US"/>
        </w:rPr>
        <w:t xml:space="preserve"> Curr. Opin. Investig. Drugs 4:701</w:t>
      </w:r>
    </w:p>
    <w:p w:rsidR="00550A30" w:rsidRPr="004C78F8" w:rsidRDefault="00550A30" w:rsidP="00550A30">
      <w:pPr>
        <w:autoSpaceDE w:val="0"/>
        <w:autoSpaceDN w:val="0"/>
        <w:adjustRightInd w:val="0"/>
        <w:spacing w:after="0" w:line="360" w:lineRule="auto"/>
        <w:jc w:val="both"/>
        <w:rPr>
          <w:rFonts w:ascii="Arial" w:hAnsi="Arial" w:cs="Arial"/>
          <w:sz w:val="24"/>
          <w:szCs w:val="24"/>
          <w:lang w:val="en-US"/>
        </w:rPr>
      </w:pPr>
      <w:r w:rsidRPr="004C78F8">
        <w:rPr>
          <w:rFonts w:ascii="Arial" w:hAnsi="Arial" w:cs="Arial"/>
          <w:sz w:val="24"/>
          <w:szCs w:val="24"/>
          <w:lang w:val="en-US"/>
        </w:rPr>
        <w:t xml:space="preserve">[15] Maeda H et al. </w:t>
      </w:r>
      <w:r w:rsidRPr="004C78F8">
        <w:rPr>
          <w:rFonts w:ascii="Arial" w:hAnsi="Arial" w:cs="Arial"/>
          <w:b/>
          <w:sz w:val="24"/>
          <w:szCs w:val="24"/>
          <w:lang w:val="en-US"/>
        </w:rPr>
        <w:t>1994</w:t>
      </w:r>
      <w:r w:rsidRPr="004C78F8">
        <w:rPr>
          <w:rFonts w:ascii="Arial" w:hAnsi="Arial" w:cs="Arial"/>
          <w:sz w:val="24"/>
          <w:szCs w:val="24"/>
          <w:lang w:val="en-US"/>
        </w:rPr>
        <w:t xml:space="preserve"> Jpn J Cancer Res 85:331 </w:t>
      </w:r>
    </w:p>
    <w:p w:rsidR="00550A30" w:rsidRPr="004C78F8" w:rsidRDefault="00550A30" w:rsidP="00550A30">
      <w:pPr>
        <w:autoSpaceDE w:val="0"/>
        <w:autoSpaceDN w:val="0"/>
        <w:adjustRightInd w:val="0"/>
        <w:spacing w:after="0" w:line="360" w:lineRule="auto"/>
        <w:jc w:val="both"/>
        <w:rPr>
          <w:rFonts w:ascii="Arial" w:hAnsi="Arial" w:cs="Arial"/>
          <w:sz w:val="24"/>
          <w:szCs w:val="24"/>
          <w:lang w:val="en-US"/>
        </w:rPr>
      </w:pPr>
      <w:r w:rsidRPr="004C78F8">
        <w:rPr>
          <w:rFonts w:ascii="Arial" w:hAnsi="Arial" w:cs="Arial"/>
          <w:sz w:val="24"/>
          <w:szCs w:val="24"/>
          <w:lang w:val="it-IT"/>
        </w:rPr>
        <w:t xml:space="preserve">[16] Maeda H. et al. </w:t>
      </w:r>
      <w:r w:rsidRPr="004C78F8">
        <w:rPr>
          <w:rFonts w:ascii="Arial" w:hAnsi="Arial" w:cs="Arial"/>
          <w:b/>
          <w:sz w:val="24"/>
          <w:szCs w:val="24"/>
          <w:lang w:val="it-IT"/>
        </w:rPr>
        <w:t>2001</w:t>
      </w:r>
      <w:r w:rsidRPr="004C78F8">
        <w:rPr>
          <w:rFonts w:ascii="Arial" w:hAnsi="Arial" w:cs="Arial"/>
          <w:sz w:val="24"/>
          <w:szCs w:val="24"/>
          <w:lang w:val="it-IT"/>
        </w:rPr>
        <w:t xml:space="preserve"> J. Control. </w:t>
      </w:r>
      <w:r w:rsidRPr="004C78F8">
        <w:rPr>
          <w:rFonts w:ascii="Arial" w:hAnsi="Arial" w:cs="Arial"/>
          <w:sz w:val="24"/>
          <w:szCs w:val="24"/>
          <w:lang w:val="en-US"/>
        </w:rPr>
        <w:t xml:space="preserve">Rel. 74: 47 </w:t>
      </w:r>
    </w:p>
    <w:p w:rsidR="00550A30" w:rsidRPr="004C78F8" w:rsidRDefault="00550A30" w:rsidP="00550A30">
      <w:pPr>
        <w:spacing w:after="0" w:line="360" w:lineRule="auto"/>
        <w:jc w:val="both"/>
        <w:rPr>
          <w:rFonts w:ascii="Arial" w:hAnsi="Arial" w:cs="Arial"/>
          <w:color w:val="131413"/>
          <w:sz w:val="26"/>
          <w:szCs w:val="26"/>
          <w:lang w:val="en-US"/>
        </w:rPr>
      </w:pPr>
      <w:r w:rsidRPr="004C78F8">
        <w:rPr>
          <w:rFonts w:ascii="Arial" w:hAnsi="Arial" w:cs="Arial"/>
          <w:color w:val="131413"/>
          <w:sz w:val="26"/>
          <w:szCs w:val="26"/>
          <w:lang w:val="en-US"/>
        </w:rPr>
        <w:t xml:space="preserve">[17] Chawla J.S. et Al. </w:t>
      </w:r>
      <w:r w:rsidRPr="004C78F8">
        <w:rPr>
          <w:rFonts w:ascii="Arial" w:hAnsi="Arial" w:cs="Arial"/>
          <w:b/>
          <w:color w:val="131413"/>
          <w:sz w:val="26"/>
          <w:szCs w:val="26"/>
          <w:lang w:val="en-US"/>
        </w:rPr>
        <w:t>2002</w:t>
      </w:r>
      <w:r w:rsidRPr="004C78F8">
        <w:rPr>
          <w:rFonts w:ascii="Arial" w:hAnsi="Arial" w:cs="Arial"/>
          <w:color w:val="131413"/>
          <w:sz w:val="26"/>
          <w:szCs w:val="26"/>
          <w:lang w:val="en-US"/>
        </w:rPr>
        <w:t xml:space="preserve"> </w:t>
      </w:r>
      <w:r w:rsidRPr="004C78F8">
        <w:rPr>
          <w:rFonts w:ascii="Arial" w:hAnsi="Arial" w:cs="Arial"/>
          <w:color w:val="000000"/>
          <w:sz w:val="26"/>
          <w:szCs w:val="26"/>
          <w:lang w:val="en-US"/>
        </w:rPr>
        <w:t>Int. J. Pharm. 249: 127</w:t>
      </w:r>
    </w:p>
    <w:p w:rsidR="00550A30" w:rsidRPr="004C78F8" w:rsidRDefault="00550A30" w:rsidP="00550A30">
      <w:pPr>
        <w:spacing w:after="0" w:line="360" w:lineRule="auto"/>
        <w:jc w:val="both"/>
        <w:rPr>
          <w:rFonts w:ascii="Arial" w:hAnsi="Arial" w:cs="Arial"/>
          <w:sz w:val="26"/>
          <w:szCs w:val="26"/>
          <w:lang w:val="it-IT"/>
        </w:rPr>
      </w:pPr>
      <w:r w:rsidRPr="004C78F8">
        <w:rPr>
          <w:rFonts w:ascii="Arial" w:hAnsi="Arial" w:cs="Arial"/>
          <w:color w:val="131413"/>
          <w:sz w:val="26"/>
          <w:szCs w:val="26"/>
          <w:lang w:val="en-US"/>
        </w:rPr>
        <w:t xml:space="preserve">[18] Leo E. et Al. </w:t>
      </w:r>
      <w:r w:rsidRPr="004C78F8">
        <w:rPr>
          <w:rFonts w:ascii="Arial" w:hAnsi="Arial" w:cs="Arial"/>
          <w:b/>
          <w:color w:val="131413"/>
          <w:sz w:val="26"/>
          <w:szCs w:val="26"/>
          <w:lang w:val="en-US"/>
        </w:rPr>
        <w:t>2004</w:t>
      </w:r>
      <w:r w:rsidRPr="004C78F8">
        <w:rPr>
          <w:rFonts w:ascii="Arial" w:hAnsi="Arial" w:cs="Arial"/>
          <w:color w:val="131413"/>
          <w:sz w:val="26"/>
          <w:szCs w:val="26"/>
          <w:lang w:val="en-US"/>
        </w:rPr>
        <w:t xml:space="preserve"> </w:t>
      </w:r>
      <w:r w:rsidRPr="004C78F8">
        <w:rPr>
          <w:rFonts w:ascii="Arial" w:hAnsi="Arial" w:cs="Arial"/>
          <w:sz w:val="26"/>
          <w:szCs w:val="26"/>
          <w:lang w:val="en-US"/>
        </w:rPr>
        <w:t xml:space="preserve">Int. J. Pharm. </w:t>
      </w:r>
      <w:r w:rsidRPr="004C78F8">
        <w:rPr>
          <w:rFonts w:ascii="Arial" w:hAnsi="Arial" w:cs="Arial"/>
          <w:sz w:val="26"/>
          <w:szCs w:val="26"/>
          <w:lang w:val="it-IT"/>
        </w:rPr>
        <w:t>278: 133</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it-IT"/>
        </w:rPr>
        <w:t xml:space="preserve">[19] Garnett MC et al. </w:t>
      </w:r>
      <w:r w:rsidRPr="004C78F8">
        <w:rPr>
          <w:rFonts w:ascii="Arial" w:hAnsi="Arial" w:cs="Arial"/>
          <w:b/>
          <w:sz w:val="24"/>
          <w:szCs w:val="24"/>
          <w:lang w:val="it-IT"/>
        </w:rPr>
        <w:t>2001</w:t>
      </w:r>
      <w:r w:rsidRPr="004C78F8">
        <w:rPr>
          <w:rFonts w:ascii="Arial" w:hAnsi="Arial" w:cs="Arial"/>
          <w:sz w:val="24"/>
          <w:szCs w:val="24"/>
          <w:lang w:val="it-IT"/>
        </w:rPr>
        <w:t xml:space="preserve"> Adv. Drug del. </w:t>
      </w:r>
      <w:r w:rsidRPr="004C78F8">
        <w:rPr>
          <w:rFonts w:ascii="Arial" w:hAnsi="Arial" w:cs="Arial"/>
          <w:sz w:val="24"/>
          <w:szCs w:val="24"/>
          <w:lang w:val="en-US"/>
        </w:rPr>
        <w:t>Rev. 53:171</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[20] Lambert JM </w:t>
      </w:r>
      <w:r w:rsidRPr="004C78F8">
        <w:rPr>
          <w:rFonts w:ascii="Arial" w:hAnsi="Arial" w:cs="Arial"/>
          <w:b/>
          <w:sz w:val="24"/>
          <w:szCs w:val="24"/>
          <w:lang w:val="en-US"/>
        </w:rPr>
        <w:t>2005</w:t>
      </w:r>
      <w:r w:rsidRPr="004C78F8">
        <w:rPr>
          <w:rFonts w:ascii="Arial" w:hAnsi="Arial" w:cs="Arial"/>
          <w:sz w:val="24"/>
          <w:szCs w:val="24"/>
          <w:lang w:val="en-US"/>
        </w:rPr>
        <w:t xml:space="preserve"> Curr. Opin. Pharmacol. 5:543</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[21] Kohler G. et al. </w:t>
      </w:r>
      <w:r w:rsidRPr="004C78F8">
        <w:rPr>
          <w:rFonts w:ascii="Arial" w:hAnsi="Arial" w:cs="Arial"/>
          <w:b/>
          <w:sz w:val="24"/>
          <w:szCs w:val="24"/>
          <w:lang w:val="en-US"/>
        </w:rPr>
        <w:t>1975</w:t>
      </w:r>
      <w:r w:rsidRPr="004C78F8">
        <w:rPr>
          <w:rFonts w:ascii="Arial" w:hAnsi="Arial" w:cs="Arial"/>
          <w:sz w:val="24"/>
          <w:szCs w:val="24"/>
          <w:lang w:val="en-US"/>
        </w:rPr>
        <w:t xml:space="preserve"> Nature 256:495 </w:t>
      </w:r>
    </w:p>
    <w:p w:rsidR="00550A30" w:rsidRPr="004C78F8" w:rsidRDefault="00550A30" w:rsidP="00550A30">
      <w:pPr>
        <w:spacing w:after="0" w:line="360" w:lineRule="auto"/>
        <w:rPr>
          <w:rFonts w:ascii="Arial" w:hAnsi="Arial" w:cs="Arial"/>
          <w:iCs/>
          <w:sz w:val="24"/>
          <w:szCs w:val="24"/>
          <w:lang w:val="en-US"/>
        </w:rPr>
      </w:pPr>
      <w:r w:rsidRPr="004C78F8">
        <w:rPr>
          <w:rFonts w:ascii="Arial" w:hAnsi="Arial" w:cs="Arial"/>
          <w:sz w:val="24"/>
          <w:szCs w:val="24"/>
          <w:lang w:val="en-US"/>
        </w:rPr>
        <w:t xml:space="preserve">[22]Funaro A. et al. </w:t>
      </w:r>
      <w:r w:rsidRPr="004C78F8">
        <w:rPr>
          <w:rFonts w:ascii="Arial" w:hAnsi="Arial" w:cs="Arial"/>
          <w:b/>
          <w:sz w:val="24"/>
          <w:szCs w:val="24"/>
          <w:lang w:val="en-US"/>
        </w:rPr>
        <w:t>2000</w:t>
      </w:r>
      <w:r w:rsidRPr="004C78F8">
        <w:rPr>
          <w:rFonts w:ascii="Arial" w:hAnsi="Arial" w:cs="Arial"/>
          <w:sz w:val="24"/>
          <w:szCs w:val="24"/>
          <w:lang w:val="en-US"/>
        </w:rPr>
        <w:t xml:space="preserve"> Biotechnol. Adv.18:385</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[23] Kocbek P. et al. </w:t>
      </w:r>
      <w:r w:rsidRPr="004C78F8">
        <w:rPr>
          <w:rFonts w:ascii="Arial" w:hAnsi="Arial" w:cs="Arial"/>
          <w:b/>
          <w:sz w:val="24"/>
          <w:szCs w:val="24"/>
          <w:lang w:val="en-US"/>
        </w:rPr>
        <w:t>2007</w:t>
      </w:r>
      <w:r w:rsidRPr="004C78F8">
        <w:rPr>
          <w:rFonts w:ascii="Arial" w:hAnsi="Arial" w:cs="Arial"/>
          <w:sz w:val="24"/>
          <w:szCs w:val="24"/>
          <w:lang w:val="en-US"/>
        </w:rPr>
        <w:t xml:space="preserve"> J. Control. Rel. 120:18</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sz w:val="24"/>
          <w:szCs w:val="24"/>
          <w:lang w:val="en-US"/>
        </w:rPr>
        <w:t xml:space="preserve">[24] Liu Y. et al. </w:t>
      </w:r>
      <w:r w:rsidRPr="004C78F8">
        <w:rPr>
          <w:rFonts w:ascii="Arial" w:hAnsi="Arial" w:cs="Arial"/>
          <w:b/>
          <w:sz w:val="24"/>
          <w:szCs w:val="24"/>
          <w:lang w:val="en-US"/>
        </w:rPr>
        <w:t>2010</w:t>
      </w:r>
      <w:r w:rsidRPr="004C78F8">
        <w:rPr>
          <w:rFonts w:ascii="Arial" w:hAnsi="Arial" w:cs="Arial"/>
          <w:sz w:val="24"/>
          <w:szCs w:val="24"/>
          <w:lang w:val="en-US"/>
        </w:rPr>
        <w:t xml:space="preserve"> Biomaterials 31:9145</w:t>
      </w:r>
    </w:p>
    <w:p w:rsidR="00550A30" w:rsidRPr="004C78F8" w:rsidRDefault="00550A30" w:rsidP="00550A30">
      <w:pPr>
        <w:spacing w:after="0" w:line="360" w:lineRule="auto"/>
        <w:jc w:val="both"/>
        <w:rPr>
          <w:rFonts w:ascii="Arial" w:hAnsi="Arial" w:cs="Arial"/>
          <w:sz w:val="24"/>
          <w:szCs w:val="24"/>
          <w:lang w:val="en-US"/>
        </w:rPr>
      </w:pPr>
      <w:r w:rsidRPr="004C78F8">
        <w:rPr>
          <w:rFonts w:ascii="Arial" w:hAnsi="Arial" w:cs="Arial"/>
          <w:iCs/>
          <w:sz w:val="24"/>
          <w:szCs w:val="24"/>
          <w:lang w:val="en-US"/>
        </w:rPr>
        <w:t xml:space="preserve">[25] </w:t>
      </w:r>
      <w:r w:rsidRPr="004C78F8">
        <w:rPr>
          <w:rFonts w:ascii="Arial" w:hAnsi="Arial" w:cs="Arial"/>
          <w:sz w:val="24"/>
          <w:szCs w:val="24"/>
          <w:lang w:val="en-US"/>
        </w:rPr>
        <w:t xml:space="preserve">C. Cai et al. </w:t>
      </w:r>
      <w:r w:rsidRPr="004C78F8">
        <w:rPr>
          <w:rFonts w:ascii="Arial" w:hAnsi="Arial" w:cs="Arial"/>
          <w:b/>
          <w:sz w:val="24"/>
          <w:szCs w:val="24"/>
          <w:lang w:val="en-US"/>
        </w:rPr>
        <w:t>2008</w:t>
      </w:r>
      <w:r w:rsidRPr="004C78F8">
        <w:rPr>
          <w:rFonts w:ascii="Arial" w:hAnsi="Arial" w:cs="Arial"/>
          <w:sz w:val="24"/>
          <w:szCs w:val="24"/>
          <w:lang w:val="en-US"/>
        </w:rPr>
        <w:t xml:space="preserve"> Eur. J. Pharm. Biopharm. 69: 31</w:t>
      </w:r>
    </w:p>
    <w:p w:rsidR="00550A30" w:rsidRPr="004C78F8" w:rsidRDefault="00550A30" w:rsidP="00550A30">
      <w:pPr>
        <w:spacing w:after="0" w:line="360" w:lineRule="auto"/>
        <w:jc w:val="both"/>
        <w:rPr>
          <w:rFonts w:ascii="Arial" w:hAnsi="Arial" w:cs="Arial"/>
          <w:sz w:val="24"/>
          <w:szCs w:val="24"/>
        </w:rPr>
      </w:pPr>
      <w:r w:rsidRPr="004C78F8">
        <w:rPr>
          <w:rFonts w:ascii="Arial" w:hAnsi="Arial" w:cs="Arial"/>
          <w:iCs/>
          <w:sz w:val="24"/>
          <w:szCs w:val="24"/>
          <w:lang w:val="en-US"/>
        </w:rPr>
        <w:t xml:space="preserve">[26] </w:t>
      </w:r>
      <w:r w:rsidRPr="004C78F8">
        <w:rPr>
          <w:rFonts w:ascii="Arial" w:hAnsi="Arial" w:cs="Arial"/>
          <w:sz w:val="24"/>
          <w:szCs w:val="24"/>
        </w:rPr>
        <w:t xml:space="preserve">Calvo P et al. </w:t>
      </w:r>
      <w:r w:rsidRPr="004C78F8">
        <w:rPr>
          <w:rFonts w:ascii="Arial" w:hAnsi="Arial" w:cs="Arial"/>
          <w:b/>
          <w:sz w:val="24"/>
          <w:szCs w:val="24"/>
        </w:rPr>
        <w:t>1997</w:t>
      </w:r>
      <w:r w:rsidRPr="004C78F8">
        <w:rPr>
          <w:rFonts w:ascii="Arial" w:hAnsi="Arial" w:cs="Arial"/>
          <w:sz w:val="24"/>
          <w:szCs w:val="24"/>
        </w:rPr>
        <w:t xml:space="preserve"> Biomaterials 18:1305</w:t>
      </w:r>
    </w:p>
    <w:p w:rsidR="00550A30" w:rsidRPr="004C78F8" w:rsidRDefault="00550A30" w:rsidP="00550A30">
      <w:pPr>
        <w:pStyle w:val="Default"/>
        <w:spacing w:line="360" w:lineRule="auto"/>
        <w:jc w:val="both"/>
        <w:rPr>
          <w:rFonts w:ascii="Arial" w:hAnsi="Arial" w:cs="Arial"/>
          <w:lang w:val="en-US"/>
        </w:rPr>
      </w:pPr>
      <w:r w:rsidRPr="004C78F8">
        <w:rPr>
          <w:rFonts w:ascii="Arial" w:hAnsi="Arial" w:cs="Arial"/>
          <w:color w:val="231F20"/>
          <w:lang w:val="en-US"/>
        </w:rPr>
        <w:t>[27]</w:t>
      </w:r>
      <w:r w:rsidRPr="004C78F8">
        <w:rPr>
          <w:rFonts w:ascii="Arial" w:hAnsi="Arial" w:cs="Arial"/>
          <w:lang w:val="en-US"/>
        </w:rPr>
        <w:t xml:space="preserve"> Illum L. </w:t>
      </w:r>
      <w:r w:rsidRPr="004C78F8">
        <w:rPr>
          <w:rFonts w:ascii="Arial" w:hAnsi="Arial" w:cs="Arial"/>
          <w:b/>
          <w:lang w:val="en-US"/>
        </w:rPr>
        <w:t>1998</w:t>
      </w:r>
      <w:r w:rsidRPr="004C78F8">
        <w:rPr>
          <w:rFonts w:ascii="Arial" w:hAnsi="Arial" w:cs="Arial"/>
          <w:lang w:val="en-US"/>
        </w:rPr>
        <w:t xml:space="preserve"> Pharm. Res. 15: 1326</w:t>
      </w:r>
    </w:p>
    <w:p w:rsidR="00550A30" w:rsidRPr="004C78F8" w:rsidRDefault="00550A30" w:rsidP="00550A30">
      <w:pPr>
        <w:pStyle w:val="Default"/>
        <w:spacing w:line="360" w:lineRule="auto"/>
        <w:jc w:val="both"/>
        <w:rPr>
          <w:rFonts w:ascii="Arial" w:hAnsi="Arial" w:cs="Arial"/>
          <w:lang w:val="en-US"/>
        </w:rPr>
      </w:pPr>
      <w:r w:rsidRPr="004C78F8">
        <w:rPr>
          <w:rFonts w:ascii="Arial" w:hAnsi="Arial" w:cs="Arial"/>
          <w:color w:val="231F20"/>
          <w:lang w:val="en-US"/>
        </w:rPr>
        <w:t xml:space="preserve">[28] </w:t>
      </w:r>
      <w:r w:rsidRPr="004C78F8">
        <w:rPr>
          <w:rFonts w:ascii="Arial" w:hAnsi="Arial" w:cs="Arial"/>
          <w:lang w:val="en-US"/>
        </w:rPr>
        <w:t xml:space="preserve">Muzzarelli R A A. </w:t>
      </w:r>
      <w:r w:rsidRPr="004C78F8">
        <w:rPr>
          <w:rFonts w:ascii="Arial" w:hAnsi="Arial" w:cs="Arial"/>
          <w:b/>
          <w:lang w:val="en-US"/>
        </w:rPr>
        <w:t>2009</w:t>
      </w:r>
      <w:r w:rsidRPr="004C78F8">
        <w:rPr>
          <w:rFonts w:ascii="Arial" w:hAnsi="Arial" w:cs="Arial"/>
          <w:lang w:val="en-US"/>
        </w:rPr>
        <w:t xml:space="preserve"> Carbohydrate Polymers 77:1</w:t>
      </w:r>
    </w:p>
    <w:p w:rsidR="00550A30" w:rsidRPr="004C78F8" w:rsidRDefault="00550A30" w:rsidP="00550A30">
      <w:pPr>
        <w:pStyle w:val="Default"/>
        <w:spacing w:line="360" w:lineRule="auto"/>
        <w:jc w:val="both"/>
        <w:rPr>
          <w:rFonts w:ascii="Arial" w:hAnsi="Arial" w:cs="Arial"/>
          <w:iCs/>
          <w:lang w:val="en-US"/>
        </w:rPr>
      </w:pPr>
      <w:r w:rsidRPr="004C78F8">
        <w:rPr>
          <w:rFonts w:ascii="Arial" w:hAnsi="Arial" w:cs="Arial"/>
          <w:iCs/>
          <w:lang w:val="en-US"/>
        </w:rPr>
        <w:t xml:space="preserve">[29] Mousa W.F. et al. </w:t>
      </w:r>
      <w:r w:rsidRPr="004C78F8">
        <w:rPr>
          <w:rFonts w:ascii="Arial" w:hAnsi="Arial" w:cs="Arial"/>
          <w:b/>
          <w:iCs/>
          <w:lang w:val="en-US"/>
        </w:rPr>
        <w:t>2000</w:t>
      </w:r>
      <w:r w:rsidRPr="004C78F8">
        <w:rPr>
          <w:rFonts w:ascii="Arial" w:hAnsi="Arial" w:cs="Arial"/>
          <w:iCs/>
          <w:lang w:val="en-US"/>
        </w:rPr>
        <w:t xml:space="preserve"> Biomaterials 21: 2137</w:t>
      </w:r>
    </w:p>
    <w:p w:rsidR="00550A30" w:rsidRPr="004C78F8" w:rsidRDefault="00550A30" w:rsidP="00550A30">
      <w:pPr>
        <w:pStyle w:val="Default"/>
        <w:spacing w:line="360" w:lineRule="auto"/>
        <w:jc w:val="both"/>
        <w:rPr>
          <w:rFonts w:ascii="Arial" w:hAnsi="Arial" w:cs="Arial"/>
          <w:i/>
          <w:color w:val="231F20"/>
        </w:rPr>
      </w:pPr>
      <w:r w:rsidRPr="004C78F8">
        <w:rPr>
          <w:rFonts w:ascii="Arial" w:hAnsi="Arial" w:cs="Arial"/>
          <w:color w:val="auto"/>
        </w:rPr>
        <w:t xml:space="preserve">[30] </w:t>
      </w:r>
      <w:r w:rsidRPr="004C78F8">
        <w:rPr>
          <w:rFonts w:ascii="Arial" w:hAnsi="Arial" w:cs="Arial"/>
          <w:color w:val="231F20"/>
        </w:rPr>
        <w:t xml:space="preserve">M.P. Ginebra et al. </w:t>
      </w:r>
      <w:r w:rsidRPr="004C78F8">
        <w:rPr>
          <w:rFonts w:ascii="Arial" w:hAnsi="Arial" w:cs="Arial"/>
          <w:b/>
          <w:color w:val="231F20"/>
        </w:rPr>
        <w:t>2006</w:t>
      </w:r>
      <w:r w:rsidRPr="004C78F8">
        <w:rPr>
          <w:rFonts w:ascii="Arial" w:hAnsi="Arial" w:cs="Arial"/>
          <w:color w:val="231F20"/>
        </w:rPr>
        <w:t xml:space="preserve"> J Control Release 113:102</w:t>
      </w:r>
    </w:p>
    <w:p w:rsidR="00550A30" w:rsidRPr="004C78F8" w:rsidRDefault="00550A30" w:rsidP="00550A30">
      <w:pPr>
        <w:pStyle w:val="Default"/>
        <w:spacing w:line="360" w:lineRule="auto"/>
        <w:jc w:val="both"/>
        <w:rPr>
          <w:rFonts w:ascii="Arial" w:hAnsi="Arial" w:cs="Arial"/>
          <w:sz w:val="26"/>
          <w:szCs w:val="26"/>
        </w:rPr>
      </w:pPr>
      <w:r w:rsidRPr="004C78F8">
        <w:rPr>
          <w:rFonts w:ascii="Arial" w:hAnsi="Arial" w:cs="Arial"/>
        </w:rPr>
        <w:t xml:space="preserve">[31] Hu X.et al </w:t>
      </w:r>
      <w:r w:rsidRPr="004C78F8">
        <w:rPr>
          <w:rFonts w:ascii="Arial" w:hAnsi="Arial" w:cs="Arial"/>
          <w:b/>
        </w:rPr>
        <w:t>2009</w:t>
      </w:r>
      <w:r w:rsidRPr="004C78F8">
        <w:rPr>
          <w:rFonts w:ascii="Arial" w:hAnsi="Arial" w:cs="Arial"/>
        </w:rPr>
        <w:t xml:space="preserve"> Macromol. Biosci. 9:195</w:t>
      </w:r>
    </w:p>
    <w:p w:rsidR="00550A30" w:rsidRPr="002D0F98" w:rsidRDefault="00550A30" w:rsidP="00550A30">
      <w:pPr>
        <w:pStyle w:val="NormaleWeb"/>
        <w:spacing w:before="0" w:beforeAutospacing="0" w:after="0" w:afterAutospacing="0" w:line="360" w:lineRule="auto"/>
        <w:jc w:val="both"/>
        <w:rPr>
          <w:rFonts w:ascii="Arial" w:hAnsi="Arial" w:cs="Arial"/>
        </w:rPr>
      </w:pPr>
      <w:r w:rsidRPr="004C78F8">
        <w:rPr>
          <w:rFonts w:ascii="Arial" w:hAnsi="Arial" w:cs="Arial"/>
        </w:rPr>
        <w:t xml:space="preserve">[32] Zanetti-Ramos B. et al </w:t>
      </w:r>
      <w:r w:rsidRPr="004C78F8">
        <w:rPr>
          <w:rFonts w:ascii="Arial" w:hAnsi="Arial" w:cs="Arial"/>
          <w:b/>
        </w:rPr>
        <w:t>2006</w:t>
      </w:r>
      <w:r w:rsidRPr="004C78F8">
        <w:rPr>
          <w:rFonts w:ascii="Arial" w:hAnsi="Arial" w:cs="Arial"/>
        </w:rPr>
        <w:t xml:space="preserve"> polymer 47:8080</w:t>
      </w:r>
    </w:p>
    <w:p w:rsidR="00550A30" w:rsidRDefault="00550A30" w:rsidP="00550A30">
      <w:pPr>
        <w:autoSpaceDE w:val="0"/>
        <w:autoSpaceDN w:val="0"/>
        <w:adjustRightInd w:val="0"/>
        <w:spacing w:after="0" w:line="360" w:lineRule="auto"/>
        <w:jc w:val="both"/>
        <w:rPr>
          <w:rFonts w:ascii="Arial" w:hAnsi="Arial" w:cs="Arial"/>
          <w:sz w:val="24"/>
          <w:szCs w:val="24"/>
          <w:lang w:val="it-IT"/>
        </w:rPr>
      </w:pPr>
      <w:r w:rsidRPr="002D0F98">
        <w:rPr>
          <w:rFonts w:ascii="Arial" w:hAnsi="Arial" w:cs="Arial"/>
          <w:sz w:val="24"/>
          <w:szCs w:val="24"/>
          <w:lang w:val="it-IT"/>
        </w:rPr>
        <w:t>[</w:t>
      </w:r>
      <w:r>
        <w:rPr>
          <w:rFonts w:ascii="Arial" w:hAnsi="Arial" w:cs="Arial"/>
          <w:sz w:val="24"/>
          <w:szCs w:val="24"/>
          <w:lang w:val="it-IT"/>
        </w:rPr>
        <w:t>33</w:t>
      </w:r>
      <w:r w:rsidRPr="002D0F98">
        <w:rPr>
          <w:rFonts w:ascii="Arial" w:hAnsi="Arial" w:cs="Arial"/>
          <w:sz w:val="24"/>
          <w:szCs w:val="24"/>
          <w:lang w:val="it-IT"/>
        </w:rPr>
        <w:t xml:space="preserve">] Zanetti-Ramos B. et al </w:t>
      </w:r>
      <w:r w:rsidRPr="002D0F98">
        <w:rPr>
          <w:rFonts w:ascii="Arial" w:hAnsi="Arial" w:cs="Arial"/>
          <w:b/>
          <w:sz w:val="24"/>
          <w:szCs w:val="24"/>
          <w:lang w:val="it-IT"/>
        </w:rPr>
        <w:t>2008</w:t>
      </w:r>
      <w:r w:rsidRPr="002D0F98">
        <w:rPr>
          <w:rFonts w:ascii="Arial" w:hAnsi="Arial" w:cs="Arial"/>
          <w:sz w:val="24"/>
          <w:szCs w:val="24"/>
          <w:lang w:val="it-IT"/>
        </w:rPr>
        <w:t xml:space="preserve"> Mat Sci Eng 28:526]</w:t>
      </w:r>
    </w:p>
    <w:p w:rsidR="00550A30" w:rsidRPr="00CA478A" w:rsidRDefault="00550A30" w:rsidP="00550A30">
      <w:pPr>
        <w:spacing w:after="0" w:line="360" w:lineRule="auto"/>
        <w:jc w:val="both"/>
        <w:rPr>
          <w:rFonts w:ascii="Arial" w:hAnsi="Arial" w:cs="Arial"/>
          <w:sz w:val="24"/>
          <w:szCs w:val="24"/>
          <w:lang w:val="it-IT"/>
        </w:rPr>
      </w:pPr>
      <w:r w:rsidRPr="00B00C5B">
        <w:rPr>
          <w:rFonts w:ascii="Arial" w:hAnsi="Arial" w:cs="Arial"/>
          <w:iCs/>
          <w:sz w:val="24"/>
          <w:szCs w:val="24"/>
          <w:lang w:val="it-IT"/>
        </w:rPr>
        <w:t xml:space="preserve"> </w:t>
      </w:r>
    </w:p>
    <w:p w:rsidR="00550A30" w:rsidRPr="00550A30" w:rsidRDefault="00550A30" w:rsidP="00387A07">
      <w:pPr>
        <w:tabs>
          <w:tab w:val="left" w:pos="1785"/>
        </w:tabs>
        <w:rPr>
          <w:lang w:val="it-IT"/>
        </w:rPr>
      </w:pPr>
    </w:p>
    <w:p w:rsidR="00550A30" w:rsidRPr="00550A30" w:rsidRDefault="00550A30" w:rsidP="00387A07">
      <w:pPr>
        <w:tabs>
          <w:tab w:val="left" w:pos="1785"/>
        </w:tabs>
        <w:rPr>
          <w:lang w:val="it-IT"/>
        </w:rPr>
      </w:pPr>
    </w:p>
    <w:p w:rsidR="00550A30" w:rsidRPr="00550A30" w:rsidRDefault="00550A30" w:rsidP="00387A07">
      <w:pPr>
        <w:tabs>
          <w:tab w:val="left" w:pos="1785"/>
        </w:tabs>
        <w:rPr>
          <w:lang w:val="it-IT"/>
        </w:rPr>
      </w:pPr>
    </w:p>
    <w:p w:rsidR="00550A30" w:rsidRPr="00550A30" w:rsidRDefault="00550A30" w:rsidP="00387A07">
      <w:pPr>
        <w:tabs>
          <w:tab w:val="left" w:pos="1785"/>
        </w:tabs>
        <w:rPr>
          <w:lang w:val="it-IT"/>
        </w:rPr>
      </w:pPr>
    </w:p>
    <w:p w:rsidR="00550A30" w:rsidRPr="00550A30" w:rsidRDefault="00550A30" w:rsidP="00387A07">
      <w:pPr>
        <w:tabs>
          <w:tab w:val="left" w:pos="1785"/>
        </w:tabs>
        <w:rPr>
          <w:lang w:val="it-IT"/>
        </w:rPr>
      </w:pPr>
    </w:p>
    <w:p w:rsidR="00550A30" w:rsidRPr="00550A30" w:rsidRDefault="00550A30" w:rsidP="00387A07">
      <w:pPr>
        <w:tabs>
          <w:tab w:val="left" w:pos="1785"/>
        </w:tabs>
        <w:rPr>
          <w:lang w:val="it-IT"/>
        </w:rPr>
      </w:pPr>
    </w:p>
    <w:p w:rsidR="00550A30" w:rsidRPr="00550A30" w:rsidRDefault="00550A30" w:rsidP="00387A07">
      <w:pPr>
        <w:tabs>
          <w:tab w:val="left" w:pos="1785"/>
        </w:tabs>
        <w:rPr>
          <w:lang w:val="it-IT"/>
        </w:rPr>
      </w:pPr>
    </w:p>
    <w:p w:rsidR="00550A30" w:rsidRPr="00550A30" w:rsidRDefault="00550A30" w:rsidP="00387A07">
      <w:pPr>
        <w:tabs>
          <w:tab w:val="left" w:pos="1785"/>
        </w:tabs>
        <w:rPr>
          <w:lang w:val="it-IT"/>
        </w:rPr>
      </w:pPr>
    </w:p>
    <w:p w:rsidR="00550A30" w:rsidRPr="00550A30" w:rsidRDefault="00550A30" w:rsidP="00387A07">
      <w:pPr>
        <w:tabs>
          <w:tab w:val="left" w:pos="1785"/>
        </w:tabs>
        <w:rPr>
          <w:lang w:val="it-IT"/>
        </w:rPr>
      </w:pPr>
    </w:p>
    <w:p w:rsidR="00550A30" w:rsidRP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Pr="009925A1" w:rsidRDefault="00550A30" w:rsidP="00550A30">
      <w:pPr>
        <w:pStyle w:val="Titolo1"/>
        <w:spacing w:line="360" w:lineRule="auto"/>
        <w:jc w:val="right"/>
        <w:rPr>
          <w:rFonts w:ascii="Arial" w:hAnsi="Arial" w:cs="Arial"/>
          <w:sz w:val="124"/>
          <w:szCs w:val="124"/>
          <w:lang w:val="it-IT"/>
        </w:rPr>
      </w:pPr>
    </w:p>
    <w:p w:rsidR="00550A30" w:rsidRPr="009925A1" w:rsidRDefault="00550A30" w:rsidP="00550A30">
      <w:pPr>
        <w:pStyle w:val="Titolo1"/>
        <w:spacing w:line="360" w:lineRule="auto"/>
        <w:jc w:val="right"/>
        <w:rPr>
          <w:rFonts w:ascii="Arial" w:hAnsi="Arial" w:cs="Arial"/>
          <w:sz w:val="124"/>
          <w:szCs w:val="124"/>
          <w:lang w:val="it-IT"/>
        </w:rPr>
      </w:pPr>
    </w:p>
    <w:p w:rsidR="00550A30" w:rsidRPr="00D77428" w:rsidRDefault="00550A30" w:rsidP="00550A30">
      <w:pPr>
        <w:pStyle w:val="Titolo1"/>
        <w:spacing w:line="360" w:lineRule="auto"/>
        <w:jc w:val="right"/>
        <w:rPr>
          <w:rFonts w:ascii="Arial" w:hAnsi="Arial" w:cs="Arial"/>
          <w:color w:val="002060"/>
          <w:sz w:val="124"/>
          <w:szCs w:val="124"/>
          <w:lang w:val="en-US"/>
        </w:rPr>
      </w:pPr>
      <w:r w:rsidRPr="00D77428">
        <w:rPr>
          <w:rFonts w:ascii="Arial" w:hAnsi="Arial" w:cs="Arial"/>
          <w:color w:val="002060"/>
          <w:sz w:val="124"/>
          <w:szCs w:val="124"/>
          <w:lang w:val="en-US"/>
        </w:rPr>
        <w:t>Appendix A</w:t>
      </w:r>
    </w:p>
    <w:p w:rsidR="00550A30" w:rsidRPr="008F3CEA" w:rsidRDefault="00550A30" w:rsidP="00550A30">
      <w:pPr>
        <w:rPr>
          <w:lang w:val="en-US"/>
        </w:rPr>
      </w:pPr>
    </w:p>
    <w:p w:rsidR="00550A30" w:rsidRPr="008F3CEA" w:rsidRDefault="00550A30" w:rsidP="00550A30">
      <w:pPr>
        <w:spacing w:line="360" w:lineRule="auto"/>
        <w:jc w:val="right"/>
        <w:rPr>
          <w:rFonts w:ascii="Arial" w:hAnsi="Arial" w:cs="Arial"/>
          <w:b/>
          <w:sz w:val="50"/>
          <w:szCs w:val="50"/>
          <w:lang w:val="en-US"/>
        </w:rPr>
      </w:pPr>
      <w:r w:rsidRPr="008F3CEA">
        <w:rPr>
          <w:rFonts w:ascii="Arial" w:hAnsi="Arial" w:cs="Arial"/>
          <w:b/>
          <w:sz w:val="50"/>
          <w:szCs w:val="50"/>
          <w:lang w:val="en-US"/>
        </w:rPr>
        <w:t>Polyurethanes</w:t>
      </w:r>
    </w:p>
    <w:p w:rsidR="00550A30" w:rsidRPr="008F3CEA" w:rsidRDefault="00550A30" w:rsidP="00550A30">
      <w:pPr>
        <w:spacing w:before="240" w:after="240"/>
        <w:rPr>
          <w:rFonts w:ascii="Arial" w:hAnsi="Arial" w:cs="Arial"/>
          <w:b/>
          <w:sz w:val="24"/>
          <w:szCs w:val="24"/>
          <w:lang w:val="en-US"/>
        </w:rPr>
      </w:pPr>
    </w:p>
    <w:p w:rsidR="00550A30" w:rsidRPr="008F3CEA" w:rsidRDefault="00550A30" w:rsidP="00550A30">
      <w:pPr>
        <w:spacing w:before="240" w:after="240"/>
        <w:rPr>
          <w:rFonts w:ascii="Arial" w:hAnsi="Arial" w:cs="Arial"/>
          <w:b/>
          <w:sz w:val="24"/>
          <w:szCs w:val="24"/>
          <w:lang w:val="en-US"/>
        </w:rPr>
      </w:pPr>
    </w:p>
    <w:p w:rsidR="00550A30" w:rsidRPr="008F3CEA" w:rsidRDefault="00550A30" w:rsidP="00550A30">
      <w:pPr>
        <w:spacing w:before="240" w:after="240"/>
        <w:rPr>
          <w:rFonts w:ascii="Arial" w:hAnsi="Arial" w:cs="Arial"/>
          <w:b/>
          <w:sz w:val="24"/>
          <w:szCs w:val="24"/>
          <w:lang w:val="en-US"/>
        </w:rPr>
      </w:pPr>
    </w:p>
    <w:p w:rsidR="00550A30" w:rsidRPr="008F3CEA" w:rsidRDefault="00550A30" w:rsidP="00550A30">
      <w:pPr>
        <w:spacing w:before="240" w:after="240"/>
        <w:rPr>
          <w:rFonts w:ascii="Arial" w:hAnsi="Arial" w:cs="Arial"/>
          <w:b/>
          <w:sz w:val="24"/>
          <w:szCs w:val="24"/>
          <w:lang w:val="en-US"/>
        </w:rPr>
      </w:pPr>
    </w:p>
    <w:p w:rsidR="00550A30" w:rsidRPr="008F3CEA" w:rsidRDefault="00550A30" w:rsidP="00550A30">
      <w:pPr>
        <w:spacing w:before="240" w:after="240"/>
        <w:rPr>
          <w:rFonts w:ascii="Arial" w:hAnsi="Arial" w:cs="Arial"/>
          <w:b/>
          <w:sz w:val="24"/>
          <w:szCs w:val="24"/>
          <w:lang w:val="en-US"/>
        </w:rPr>
      </w:pPr>
    </w:p>
    <w:p w:rsidR="00550A30" w:rsidRPr="008F3CEA" w:rsidRDefault="00550A30" w:rsidP="00550A30">
      <w:pPr>
        <w:spacing w:before="240" w:after="240"/>
        <w:rPr>
          <w:rFonts w:ascii="Arial" w:hAnsi="Arial" w:cs="Arial"/>
          <w:b/>
          <w:sz w:val="24"/>
          <w:szCs w:val="24"/>
          <w:lang w:val="en-US"/>
        </w:rPr>
      </w:pPr>
    </w:p>
    <w:p w:rsidR="00550A30" w:rsidRPr="008F3CEA" w:rsidRDefault="00550A30" w:rsidP="00550A30">
      <w:pPr>
        <w:spacing w:before="240" w:after="240"/>
        <w:rPr>
          <w:rFonts w:ascii="Arial" w:hAnsi="Arial" w:cs="Arial"/>
          <w:b/>
          <w:sz w:val="24"/>
          <w:szCs w:val="24"/>
          <w:lang w:val="en-US"/>
        </w:rPr>
      </w:pPr>
    </w:p>
    <w:p w:rsidR="00550A30" w:rsidRDefault="00550A30" w:rsidP="00550A30">
      <w:pPr>
        <w:spacing w:before="240" w:after="240"/>
        <w:rPr>
          <w:rFonts w:ascii="Arial" w:hAnsi="Arial" w:cs="Arial"/>
          <w:b/>
          <w:sz w:val="24"/>
          <w:szCs w:val="24"/>
          <w:lang w:val="en-US"/>
        </w:rPr>
      </w:pPr>
    </w:p>
    <w:p w:rsidR="00550A30" w:rsidRPr="008F3CEA" w:rsidRDefault="00550A30" w:rsidP="00550A30">
      <w:pPr>
        <w:spacing w:before="240" w:after="240"/>
        <w:rPr>
          <w:rFonts w:ascii="Arial" w:hAnsi="Arial" w:cs="Arial"/>
          <w:b/>
          <w:sz w:val="24"/>
          <w:szCs w:val="24"/>
          <w:lang w:val="en-US"/>
        </w:rPr>
      </w:pPr>
      <w:r w:rsidRPr="008F3CEA">
        <w:rPr>
          <w:rFonts w:ascii="Arial" w:hAnsi="Arial" w:cs="Arial"/>
          <w:b/>
          <w:sz w:val="24"/>
          <w:szCs w:val="24"/>
          <w:lang w:val="en-US"/>
        </w:rPr>
        <w:t>A.1 Introduction</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Polyurethanes (PU) are a family of heterogeneous polymers, first produced and investigated by Dr. Otto Bayer in 1937 [1] , at I.G. Farbenindustrie (Germany), in which the repeating unit contains a urethane moiety (figure A.1). </w:t>
      </w:r>
    </w:p>
    <w:p w:rsidR="00550A30" w:rsidRPr="008F3CEA" w:rsidRDefault="00550A30" w:rsidP="00550A30">
      <w:pPr>
        <w:autoSpaceDE w:val="0"/>
        <w:autoSpaceDN w:val="0"/>
        <w:adjustRightInd w:val="0"/>
        <w:spacing w:after="0" w:line="360" w:lineRule="auto"/>
        <w:jc w:val="center"/>
        <w:rPr>
          <w:rFonts w:ascii="Arial" w:hAnsi="Arial" w:cs="Arial"/>
          <w:sz w:val="24"/>
          <w:szCs w:val="24"/>
          <w:lang w:val="en-US"/>
        </w:rPr>
      </w:pPr>
      <w:r w:rsidRPr="008F3CEA">
        <w:rPr>
          <w:rFonts w:ascii="Arial" w:hAnsi="Arial" w:cs="Arial"/>
          <w:noProof/>
          <w:sz w:val="24"/>
          <w:szCs w:val="24"/>
          <w:lang w:val="it-IT" w:eastAsia="it-IT"/>
        </w:rPr>
        <w:drawing>
          <wp:inline distT="0" distB="0" distL="0" distR="0">
            <wp:extent cx="1781175" cy="766582"/>
            <wp:effectExtent l="19050" t="0" r="9525" b="0"/>
            <wp:docPr id="51" name="Immagine 1" descr="IMG_21122011_1146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1122011_114622.png"/>
                    <pic:cNvPicPr/>
                  </pic:nvPicPr>
                  <pic:blipFill>
                    <a:blip r:embed="rId91" cstate="print"/>
                    <a:stretch>
                      <a:fillRect/>
                    </a:stretch>
                  </pic:blipFill>
                  <pic:spPr>
                    <a:xfrm>
                      <a:off x="0" y="0"/>
                      <a:ext cx="1781175" cy="766582"/>
                    </a:xfrm>
                    <a:prstGeom prst="rect">
                      <a:avLst/>
                    </a:prstGeom>
                  </pic:spPr>
                </pic:pic>
              </a:graphicData>
            </a:graphic>
          </wp:inline>
        </w:drawing>
      </w:r>
    </w:p>
    <w:p w:rsidR="00550A30" w:rsidRPr="008F3CEA" w:rsidRDefault="00550A30" w:rsidP="00550A30">
      <w:pPr>
        <w:pStyle w:val="Didascalia"/>
        <w:rPr>
          <w:rFonts w:ascii="Arial" w:hAnsi="Arial" w:cs="Arial"/>
          <w:sz w:val="24"/>
          <w:szCs w:val="24"/>
          <w:lang w:val="en-US"/>
        </w:rPr>
      </w:pPr>
      <w:r w:rsidRPr="008F3CEA">
        <w:t xml:space="preserve">Figure A. </w:t>
      </w:r>
      <w:fldSimple w:instr=" SEQ Figure_5. \* ARABIC ">
        <w:r w:rsidRPr="008F3CEA">
          <w:rPr>
            <w:noProof/>
          </w:rPr>
          <w:t>1</w:t>
        </w:r>
      </w:fldSimple>
      <w:r w:rsidRPr="008F3CEA">
        <w:t xml:space="preserve"> Urethane bond</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Polyurethanes are employed in a wide range of uses and applications, from the medical field to automotive and industry. They can be found in products such as furniture, coatings, adhesives, building materials, paints, elastomers and as constituents of different biomedical devices [2]. </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Advantages of PUs over traditional plastics consist in: (i) increased tensile strength and melting points, which result in high durability [1], (ii) high resistance to degradation by water, oils, and solvents [3], (ii) excellent adhesion to many substances, abrasion and weather resistance which makes them excellent candidates for the preparation of coatings and for industrial purposes [4].</w:t>
      </w:r>
    </w:p>
    <w:p w:rsidR="00550A30" w:rsidRPr="008F3CEA" w:rsidRDefault="00550A30" w:rsidP="00550A30">
      <w:pPr>
        <w:spacing w:before="240" w:after="240"/>
        <w:rPr>
          <w:rFonts w:ascii="Arial" w:hAnsi="Arial" w:cs="Arial"/>
          <w:b/>
          <w:sz w:val="24"/>
          <w:szCs w:val="24"/>
          <w:lang w:val="en-US"/>
        </w:rPr>
      </w:pPr>
      <w:r w:rsidRPr="008F3CEA">
        <w:rPr>
          <w:rFonts w:ascii="Arial" w:hAnsi="Arial" w:cs="Arial"/>
          <w:b/>
          <w:sz w:val="24"/>
          <w:szCs w:val="24"/>
          <w:lang w:val="en-US"/>
        </w:rPr>
        <w:t>A.2 Chemistry of Polyurethanes</w:t>
      </w:r>
    </w:p>
    <w:p w:rsidR="00550A30" w:rsidRPr="008F3CEA" w:rsidRDefault="00550A30" w:rsidP="00550A30">
      <w:pPr>
        <w:spacing w:before="240" w:after="240"/>
        <w:rPr>
          <w:rFonts w:ascii="Arial" w:hAnsi="Arial" w:cs="Arial"/>
          <w:b/>
          <w:sz w:val="24"/>
          <w:szCs w:val="24"/>
          <w:lang w:val="en-US"/>
        </w:rPr>
      </w:pPr>
      <w:r w:rsidRPr="008F3CEA">
        <w:rPr>
          <w:rFonts w:ascii="Arial" w:hAnsi="Arial" w:cs="Arial"/>
          <w:b/>
          <w:sz w:val="24"/>
          <w:szCs w:val="24"/>
          <w:lang w:val="en-US"/>
        </w:rPr>
        <w:t>A.2.1 Synthesis reaction</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PUs belong to the class of thermoplastic elastomers and are composed of alternating blocks of soft and hard segments, as shown in figure A.2 [5].</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For application in the biomedical field, the soft segment is generally a polyether, a polyester or a polyalkyldiol of low-glass transition temperature, while the hard segment is composed of a high glass transition temperature, semicrystalline diisocyanate, linked with a low molecular weight chain extender, such as a diol or a diamine. </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PUs exhibit a broad range of physical properties, due to the wide array of different building blocks that can be selected for their synthesis and the possibility of varying the ratio in which these components are reacted [2].  </w:t>
      </w:r>
    </w:p>
    <w:p w:rsidR="00550A30" w:rsidRPr="008F3CEA" w:rsidRDefault="00550A30" w:rsidP="00550A30">
      <w:pPr>
        <w:autoSpaceDE w:val="0"/>
        <w:autoSpaceDN w:val="0"/>
        <w:adjustRightInd w:val="0"/>
        <w:spacing w:after="0" w:line="360" w:lineRule="auto"/>
        <w:jc w:val="center"/>
        <w:rPr>
          <w:rFonts w:ascii="Arial" w:hAnsi="Arial" w:cs="Arial"/>
          <w:sz w:val="24"/>
          <w:szCs w:val="24"/>
          <w:lang w:val="en-US"/>
        </w:rPr>
      </w:pPr>
      <w:r w:rsidRPr="008F3CEA">
        <w:rPr>
          <w:rFonts w:ascii="Arial" w:hAnsi="Arial" w:cs="Arial"/>
          <w:noProof/>
          <w:sz w:val="24"/>
          <w:szCs w:val="24"/>
          <w:lang w:val="it-IT" w:eastAsia="it-IT"/>
        </w:rPr>
        <w:lastRenderedPageBreak/>
        <w:drawing>
          <wp:inline distT="0" distB="0" distL="0" distR="0">
            <wp:extent cx="4829175" cy="1667012"/>
            <wp:effectExtent l="19050" t="0" r="9525" b="0"/>
            <wp:docPr id="52" name="Immagine 3" descr="Immagin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2.png"/>
                    <pic:cNvPicPr/>
                  </pic:nvPicPr>
                  <pic:blipFill>
                    <a:blip r:embed="rId92" cstate="print"/>
                    <a:stretch>
                      <a:fillRect/>
                    </a:stretch>
                  </pic:blipFill>
                  <pic:spPr>
                    <a:xfrm>
                      <a:off x="0" y="0"/>
                      <a:ext cx="4825670" cy="1665802"/>
                    </a:xfrm>
                    <a:prstGeom prst="rect">
                      <a:avLst/>
                    </a:prstGeom>
                  </pic:spPr>
                </pic:pic>
              </a:graphicData>
            </a:graphic>
          </wp:inline>
        </w:drawing>
      </w:r>
    </w:p>
    <w:p w:rsidR="00550A30" w:rsidRPr="008F3CEA" w:rsidRDefault="00550A30" w:rsidP="00550A30">
      <w:pPr>
        <w:pStyle w:val="Didascalia"/>
        <w:rPr>
          <w:rFonts w:ascii="Arial" w:hAnsi="Arial" w:cs="Arial"/>
          <w:sz w:val="24"/>
          <w:szCs w:val="24"/>
          <w:lang w:val="en-US"/>
        </w:rPr>
      </w:pPr>
      <w:r w:rsidRPr="008F3CEA">
        <w:t xml:space="preserve">Figure A. </w:t>
      </w:r>
      <w:fldSimple w:instr=" SEQ Figure_5. \* ARABIC ">
        <w:r w:rsidRPr="008F3CEA">
          <w:rPr>
            <w:noProof/>
          </w:rPr>
          <w:t>2</w:t>
        </w:r>
      </w:fldSimple>
      <w:r w:rsidRPr="008F3CEA">
        <w:t xml:space="preserve"> Schematic representation of the PU structure.</w:t>
      </w:r>
    </w:p>
    <w:p w:rsidR="00550A30" w:rsidRPr="008F3CEA" w:rsidRDefault="00550A30" w:rsidP="00550A30">
      <w:pPr>
        <w:autoSpaceDE w:val="0"/>
        <w:autoSpaceDN w:val="0"/>
        <w:adjustRightInd w:val="0"/>
        <w:spacing w:after="120" w:line="360" w:lineRule="auto"/>
        <w:jc w:val="both"/>
        <w:rPr>
          <w:rFonts w:ascii="Arial" w:hAnsi="Arial" w:cs="Arial"/>
          <w:sz w:val="24"/>
          <w:szCs w:val="24"/>
          <w:lang w:val="en-US"/>
        </w:rPr>
      </w:pPr>
      <w:r w:rsidRPr="008F3CEA">
        <w:rPr>
          <w:rFonts w:ascii="Arial" w:hAnsi="Arial" w:cs="Arial"/>
          <w:sz w:val="24"/>
          <w:szCs w:val="24"/>
          <w:lang w:val="en-US"/>
        </w:rPr>
        <w:t>The superior mechanical, physical and biological properties of PUs strongly depends on their molecular structure. In fact due to the mild miscibility of the soft and hard segment PUs may be considered as isotropic materials, at a macroscopic level. Nevertheless, phase separation of the two segments occurs, producing a structure composed of hard segments domains embedded in a soft segment matrix. The resultant two-phase microstructure is responsible for the superior mechanical properties and biocompatibility of these materials (see figure A.3) [5].</w:t>
      </w:r>
    </w:p>
    <w:p w:rsidR="00550A30" w:rsidRPr="008F3CEA" w:rsidRDefault="00550A30" w:rsidP="00550A30">
      <w:pPr>
        <w:autoSpaceDE w:val="0"/>
        <w:autoSpaceDN w:val="0"/>
        <w:adjustRightInd w:val="0"/>
        <w:spacing w:after="0" w:line="360" w:lineRule="auto"/>
        <w:jc w:val="center"/>
        <w:rPr>
          <w:rFonts w:ascii="Arial" w:hAnsi="Arial" w:cs="Arial"/>
          <w:sz w:val="24"/>
          <w:szCs w:val="24"/>
          <w:lang w:val="en-US"/>
        </w:rPr>
      </w:pPr>
      <w:r w:rsidRPr="008F3CEA">
        <w:rPr>
          <w:rFonts w:ascii="Arial" w:hAnsi="Arial" w:cs="Arial"/>
          <w:noProof/>
          <w:sz w:val="24"/>
          <w:szCs w:val="24"/>
          <w:lang w:val="it-IT" w:eastAsia="it-IT"/>
        </w:rPr>
        <w:drawing>
          <wp:inline distT="0" distB="0" distL="0" distR="0">
            <wp:extent cx="4448175" cy="2695766"/>
            <wp:effectExtent l="0" t="0" r="9525" b="0"/>
            <wp:docPr id="53" name="Immagine 4" descr="Immagin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3.png"/>
                    <pic:cNvPicPr/>
                  </pic:nvPicPr>
                  <pic:blipFill>
                    <a:blip r:embed="rId93" cstate="print"/>
                    <a:stretch>
                      <a:fillRect/>
                    </a:stretch>
                  </pic:blipFill>
                  <pic:spPr>
                    <a:xfrm>
                      <a:off x="0" y="0"/>
                      <a:ext cx="4452749" cy="2698538"/>
                    </a:xfrm>
                    <a:prstGeom prst="rect">
                      <a:avLst/>
                    </a:prstGeom>
                  </pic:spPr>
                </pic:pic>
              </a:graphicData>
            </a:graphic>
          </wp:inline>
        </w:drawing>
      </w:r>
    </w:p>
    <w:p w:rsidR="00550A30" w:rsidRPr="008F3CEA" w:rsidRDefault="00550A30" w:rsidP="00550A30">
      <w:pPr>
        <w:pStyle w:val="Didascalia"/>
        <w:rPr>
          <w:rFonts w:ascii="Arial" w:hAnsi="Arial" w:cs="Arial"/>
          <w:sz w:val="24"/>
          <w:szCs w:val="24"/>
          <w:lang w:val="en-US"/>
        </w:rPr>
      </w:pPr>
      <w:r w:rsidRPr="008F3CEA">
        <w:t xml:space="preserve">Figure A. </w:t>
      </w:r>
      <w:fldSimple w:instr=" SEQ Figure_5. \* ARABIC ">
        <w:r w:rsidRPr="008F3CEA">
          <w:rPr>
            <w:noProof/>
          </w:rPr>
          <w:t>3</w:t>
        </w:r>
      </w:fldSimple>
      <w:r w:rsidRPr="008F3CEA">
        <w:t xml:space="preserve"> Two-phase microstructure of PUs. </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As the weight fraction of the hard and soft segment increases, the properties of the polyurethane changes from that of a hard plastic to that of flexible elastomers. </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Commercially, PUs can be synthesized via a “one step” or a “multistep” synthesis process.</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The one step process is easier and faster and requires the reaction between a multifunctional liquid isocyanate and a diol [5].</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lastRenderedPageBreak/>
        <w:t>Multi step synthesis allows for a better control over the chemistry of the reaction, leading to more predictable structural, physical, mechanical and manufacturing properties, and is therefore the favored procedure for the synthesis of PUs.</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The most common multi-step synthesis procedure, extensively applied for materials for biomedical applications, involves two steps. During the first step, called pre-polymerization reaction, a diol is reacted with excess diisocyanate, to produce an isocyanate-terminated molecule. This low molecular weight pre-polymer is subsequently reacted with a chain extender, which could be a diol or a diamine, to produce a block copolymer, as shown in figure A.4.</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  </w:t>
      </w:r>
      <w:r w:rsidRPr="008F3CEA">
        <w:rPr>
          <w:rFonts w:ascii="Arial" w:hAnsi="Arial" w:cs="Arial"/>
          <w:noProof/>
          <w:sz w:val="24"/>
          <w:szCs w:val="24"/>
          <w:lang w:val="it-IT" w:eastAsia="it-IT"/>
        </w:rPr>
        <w:drawing>
          <wp:inline distT="0" distB="0" distL="0" distR="0">
            <wp:extent cx="6120130" cy="3187065"/>
            <wp:effectExtent l="19050" t="0" r="0" b="0"/>
            <wp:docPr id="54" name="Immagine 2" descr="Immagin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1.png"/>
                    <pic:cNvPicPr/>
                  </pic:nvPicPr>
                  <pic:blipFill>
                    <a:blip r:embed="rId94" cstate="print"/>
                    <a:stretch>
                      <a:fillRect/>
                    </a:stretch>
                  </pic:blipFill>
                  <pic:spPr>
                    <a:xfrm>
                      <a:off x="0" y="0"/>
                      <a:ext cx="6120130" cy="3187065"/>
                    </a:xfrm>
                    <a:prstGeom prst="rect">
                      <a:avLst/>
                    </a:prstGeom>
                  </pic:spPr>
                </pic:pic>
              </a:graphicData>
            </a:graphic>
          </wp:inline>
        </w:drawing>
      </w:r>
    </w:p>
    <w:p w:rsidR="00550A30" w:rsidRPr="008F3CEA" w:rsidRDefault="00550A30" w:rsidP="00550A30">
      <w:pPr>
        <w:pStyle w:val="Didascalia"/>
      </w:pPr>
      <w:r w:rsidRPr="008F3CEA">
        <w:t xml:space="preserve">Figure A. </w:t>
      </w:r>
      <w:fldSimple w:instr=" SEQ Figure_5. \* ARABIC ">
        <w:r w:rsidRPr="008F3CEA">
          <w:rPr>
            <w:noProof/>
          </w:rPr>
          <w:t>4</w:t>
        </w:r>
      </w:fldSimple>
      <w:r w:rsidRPr="008F3CEA">
        <w:t xml:space="preserve"> Schematic representation of the two-step synthesis procedure.</w:t>
      </w:r>
    </w:p>
    <w:p w:rsidR="00550A30" w:rsidRPr="008F3CEA" w:rsidRDefault="00550A30" w:rsidP="00550A30">
      <w:pPr>
        <w:spacing w:before="240" w:after="240"/>
        <w:rPr>
          <w:rFonts w:ascii="Arial" w:hAnsi="Arial" w:cs="Arial"/>
          <w:b/>
          <w:sz w:val="24"/>
          <w:szCs w:val="24"/>
          <w:lang w:val="en-US"/>
        </w:rPr>
      </w:pPr>
      <w:r w:rsidRPr="008F3CEA">
        <w:rPr>
          <w:rFonts w:ascii="Arial" w:hAnsi="Arial" w:cs="Arial"/>
          <w:b/>
          <w:sz w:val="24"/>
          <w:szCs w:val="24"/>
          <w:lang w:val="en-US"/>
        </w:rPr>
        <w:t>A.3 Raw materials in polyurethanes synthesis</w:t>
      </w:r>
    </w:p>
    <w:p w:rsidR="00550A30" w:rsidRPr="008F3CEA" w:rsidRDefault="00550A30" w:rsidP="00550A30">
      <w:pPr>
        <w:spacing w:line="360" w:lineRule="auto"/>
        <w:jc w:val="both"/>
        <w:rPr>
          <w:rFonts w:ascii="Arial" w:hAnsi="Arial" w:cs="Arial"/>
          <w:sz w:val="24"/>
          <w:szCs w:val="24"/>
          <w:lang w:val="en-US"/>
        </w:rPr>
      </w:pPr>
      <w:r w:rsidRPr="008F3CEA">
        <w:rPr>
          <w:rFonts w:ascii="Arial" w:hAnsi="Arial" w:cs="Arial"/>
          <w:sz w:val="24"/>
          <w:szCs w:val="24"/>
          <w:lang w:val="en-US"/>
        </w:rPr>
        <w:t>As already mentioned, the synthesis of PUs requires the reaction between a polyol and an isocyanate to form a prepolymer, which is again reacted in the presence of a chain extender to form a high molecular weight polymer.</w:t>
      </w:r>
    </w:p>
    <w:p w:rsidR="00550A30" w:rsidRPr="008F3CEA" w:rsidRDefault="00550A30" w:rsidP="00550A30">
      <w:pPr>
        <w:spacing w:before="240" w:after="240"/>
        <w:rPr>
          <w:rFonts w:ascii="Arial" w:hAnsi="Arial" w:cs="Arial"/>
          <w:b/>
          <w:sz w:val="24"/>
          <w:szCs w:val="24"/>
          <w:lang w:val="en-US"/>
        </w:rPr>
      </w:pPr>
      <w:r w:rsidRPr="008F3CEA">
        <w:rPr>
          <w:rFonts w:ascii="Arial" w:hAnsi="Arial" w:cs="Arial"/>
          <w:b/>
          <w:sz w:val="24"/>
          <w:szCs w:val="24"/>
          <w:lang w:val="en-US"/>
        </w:rPr>
        <w:t>A.3.1 Isocyanate</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Isocyanate (R-NCO) or diisocyanate (OCN-R-NCO) are compounds characterized by the presence of one or two isocyanate groups (N=C=O).  </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For PU synthesis, both aliphatic and aromatic isocyanates can be used (see table A.1), depending on the nature of the group R.</w:t>
      </w:r>
    </w:p>
    <w:p w:rsidR="00550A30" w:rsidRPr="008F3CEA" w:rsidRDefault="00550A30" w:rsidP="00550A30">
      <w:pPr>
        <w:spacing w:after="120" w:line="360" w:lineRule="auto"/>
        <w:jc w:val="both"/>
        <w:rPr>
          <w:rFonts w:ascii="Arial" w:hAnsi="Arial" w:cs="Arial"/>
          <w:sz w:val="24"/>
          <w:szCs w:val="24"/>
          <w:lang w:val="en-US"/>
        </w:rPr>
      </w:pPr>
      <w:r w:rsidRPr="008F3CEA">
        <w:rPr>
          <w:rFonts w:ascii="Arial" w:hAnsi="Arial" w:cs="Arial"/>
          <w:sz w:val="24"/>
          <w:szCs w:val="24"/>
          <w:lang w:val="en-US"/>
        </w:rPr>
        <w:lastRenderedPageBreak/>
        <w:t>Isocyanates are part of the hard domains composing PU microstructure and the choice of these molecules significantly affects the properties of the material.</w:t>
      </w:r>
    </w:p>
    <w:tbl>
      <w:tblPr>
        <w:tblW w:w="0" w:type="auto"/>
        <w:jc w:val="center"/>
        <w:tblBorders>
          <w:top w:val="single" w:sz="8" w:space="0" w:color="000000"/>
          <w:left w:val="single" w:sz="8" w:space="0" w:color="000000"/>
          <w:bottom w:val="single" w:sz="8" w:space="0" w:color="000000"/>
          <w:right w:val="single" w:sz="8" w:space="0" w:color="000000"/>
        </w:tblBorders>
        <w:tblLayout w:type="fixed"/>
        <w:tblLook w:val="00A0"/>
      </w:tblPr>
      <w:tblGrid>
        <w:gridCol w:w="2835"/>
        <w:gridCol w:w="851"/>
        <w:gridCol w:w="4092"/>
      </w:tblGrid>
      <w:tr w:rsidR="00550A30" w:rsidRPr="008F3CEA" w:rsidTr="009925A1">
        <w:trPr>
          <w:jc w:val="center"/>
        </w:trPr>
        <w:tc>
          <w:tcPr>
            <w:tcW w:w="2835" w:type="dxa"/>
            <w:tcBorders>
              <w:top w:val="single" w:sz="8" w:space="0" w:color="000000"/>
              <w:left w:val="nil"/>
              <w:bottom w:val="single" w:sz="4" w:space="0" w:color="auto"/>
            </w:tcBorders>
            <w:shd w:val="clear" w:color="auto" w:fill="auto"/>
            <w:vAlign w:val="center"/>
          </w:tcPr>
          <w:p w:rsidR="00550A30" w:rsidRPr="008F3CEA" w:rsidRDefault="00550A30" w:rsidP="009925A1">
            <w:pPr>
              <w:jc w:val="center"/>
              <w:rPr>
                <w:b/>
                <w:bCs/>
                <w:color w:val="000000" w:themeColor="text1"/>
                <w:sz w:val="24"/>
                <w:szCs w:val="24"/>
                <w:lang w:val="it-IT"/>
              </w:rPr>
            </w:pPr>
            <w:r w:rsidRPr="008F3CEA">
              <w:rPr>
                <w:b/>
                <w:bCs/>
                <w:color w:val="000000" w:themeColor="text1"/>
                <w:sz w:val="24"/>
                <w:szCs w:val="24"/>
                <w:lang w:val="it-IT"/>
              </w:rPr>
              <w:t>Isocyanate</w:t>
            </w:r>
          </w:p>
        </w:tc>
        <w:tc>
          <w:tcPr>
            <w:tcW w:w="851" w:type="dxa"/>
            <w:tcBorders>
              <w:top w:val="single" w:sz="8" w:space="0" w:color="000000"/>
              <w:bottom w:val="single" w:sz="4" w:space="0" w:color="auto"/>
            </w:tcBorders>
            <w:shd w:val="clear" w:color="auto" w:fill="auto"/>
            <w:vAlign w:val="center"/>
          </w:tcPr>
          <w:p w:rsidR="00550A30" w:rsidRPr="008F3CEA" w:rsidRDefault="00550A30" w:rsidP="009925A1">
            <w:pPr>
              <w:jc w:val="center"/>
              <w:rPr>
                <w:b/>
                <w:bCs/>
                <w:color w:val="000000" w:themeColor="text1"/>
                <w:sz w:val="24"/>
                <w:szCs w:val="24"/>
                <w:lang w:val="it-IT"/>
              </w:rPr>
            </w:pPr>
          </w:p>
        </w:tc>
        <w:tc>
          <w:tcPr>
            <w:tcW w:w="4092" w:type="dxa"/>
            <w:tcBorders>
              <w:top w:val="single" w:sz="8" w:space="0" w:color="000000"/>
              <w:bottom w:val="single" w:sz="4" w:space="0" w:color="auto"/>
              <w:right w:val="nil"/>
            </w:tcBorders>
            <w:shd w:val="clear" w:color="auto" w:fill="auto"/>
            <w:vAlign w:val="center"/>
          </w:tcPr>
          <w:p w:rsidR="00550A30" w:rsidRPr="008F3CEA" w:rsidRDefault="00550A30" w:rsidP="009925A1">
            <w:pPr>
              <w:jc w:val="center"/>
              <w:rPr>
                <w:b/>
                <w:bCs/>
                <w:color w:val="000000" w:themeColor="text1"/>
                <w:sz w:val="24"/>
                <w:szCs w:val="24"/>
                <w:lang w:val="it-IT"/>
              </w:rPr>
            </w:pPr>
            <w:r w:rsidRPr="008F3CEA">
              <w:rPr>
                <w:b/>
                <w:bCs/>
                <w:color w:val="000000" w:themeColor="text1"/>
                <w:sz w:val="24"/>
                <w:szCs w:val="24"/>
                <w:lang w:val="it-IT"/>
              </w:rPr>
              <w:t>Chemical structure</w:t>
            </w:r>
          </w:p>
        </w:tc>
      </w:tr>
      <w:tr w:rsidR="00550A30" w:rsidRPr="008F3CEA" w:rsidTr="009925A1">
        <w:trPr>
          <w:jc w:val="center"/>
        </w:trPr>
        <w:tc>
          <w:tcPr>
            <w:tcW w:w="2835" w:type="dxa"/>
            <w:tcBorders>
              <w:top w:val="single" w:sz="4" w:space="0" w:color="auto"/>
              <w:left w:val="nil"/>
            </w:tcBorders>
            <w:shd w:val="clear" w:color="auto" w:fill="auto"/>
            <w:vAlign w:val="center"/>
          </w:tcPr>
          <w:p w:rsidR="00550A30" w:rsidRPr="008F3CEA" w:rsidRDefault="00550A30" w:rsidP="009925A1">
            <w:pPr>
              <w:jc w:val="center"/>
              <w:rPr>
                <w:b/>
                <w:bCs/>
                <w:color w:val="000000" w:themeColor="text1"/>
                <w:sz w:val="24"/>
                <w:szCs w:val="24"/>
                <w:lang w:val="it-IT"/>
              </w:rPr>
            </w:pPr>
            <w:r w:rsidRPr="008F3CEA">
              <w:rPr>
                <w:b/>
                <w:color w:val="000000" w:themeColor="text1"/>
                <w:sz w:val="24"/>
                <w:szCs w:val="24"/>
              </w:rPr>
              <w:t>lysine diisocyanate</w:t>
            </w:r>
          </w:p>
        </w:tc>
        <w:tc>
          <w:tcPr>
            <w:tcW w:w="851" w:type="dxa"/>
            <w:tcBorders>
              <w:top w:val="single" w:sz="4" w:space="0" w:color="auto"/>
            </w:tcBorders>
            <w:shd w:val="clear" w:color="auto" w:fill="auto"/>
            <w:vAlign w:val="center"/>
          </w:tcPr>
          <w:p w:rsidR="00550A30" w:rsidRPr="008F3CEA" w:rsidRDefault="00550A30" w:rsidP="009925A1">
            <w:pPr>
              <w:jc w:val="center"/>
              <w:rPr>
                <w:color w:val="000000" w:themeColor="text1"/>
                <w:sz w:val="24"/>
                <w:szCs w:val="24"/>
                <w:lang w:val="it-IT"/>
              </w:rPr>
            </w:pPr>
            <w:r w:rsidRPr="008F3CEA">
              <w:rPr>
                <w:color w:val="000000" w:themeColor="text1"/>
                <w:sz w:val="24"/>
                <w:szCs w:val="24"/>
                <w:lang w:val="it-IT"/>
              </w:rPr>
              <w:t>LDI</w:t>
            </w:r>
          </w:p>
        </w:tc>
        <w:tc>
          <w:tcPr>
            <w:tcW w:w="4092" w:type="dxa"/>
            <w:tcBorders>
              <w:top w:val="single" w:sz="4" w:space="0" w:color="auto"/>
              <w:right w:val="nil"/>
            </w:tcBorders>
            <w:shd w:val="clear" w:color="auto" w:fill="auto"/>
            <w:vAlign w:val="center"/>
          </w:tcPr>
          <w:p w:rsidR="00550A30" w:rsidRPr="008F3CEA" w:rsidRDefault="00550A30" w:rsidP="009925A1">
            <w:pPr>
              <w:jc w:val="center"/>
              <w:rPr>
                <w:color w:val="000000" w:themeColor="text1"/>
                <w:sz w:val="24"/>
                <w:szCs w:val="24"/>
                <w:lang w:val="it-IT"/>
              </w:rPr>
            </w:pPr>
            <w:r w:rsidRPr="008F3CEA">
              <w:rPr>
                <w:color w:val="000000" w:themeColor="text1"/>
              </w:rPr>
              <w:object w:dxaOrig="2900" w:dyaOrig="8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30pt" o:ole="">
                  <v:imagedata r:id="rId95" o:title=""/>
                </v:shape>
                <o:OLEObject Type="Embed" ProgID="ChemDraw.Document.6.0" ShapeID="_x0000_i1025" DrawAspect="Content" ObjectID="_1406466499" r:id="rId96"/>
              </w:object>
            </w:r>
          </w:p>
        </w:tc>
      </w:tr>
      <w:tr w:rsidR="00550A30" w:rsidRPr="008F3CEA" w:rsidTr="009925A1">
        <w:trPr>
          <w:jc w:val="center"/>
        </w:trPr>
        <w:tc>
          <w:tcPr>
            <w:tcW w:w="2835" w:type="dxa"/>
            <w:tcBorders>
              <w:left w:val="nil"/>
            </w:tcBorders>
            <w:shd w:val="clear" w:color="auto" w:fill="auto"/>
            <w:vAlign w:val="center"/>
          </w:tcPr>
          <w:p w:rsidR="00550A30" w:rsidRPr="008F3CEA" w:rsidRDefault="00550A30" w:rsidP="009925A1">
            <w:pPr>
              <w:jc w:val="center"/>
              <w:rPr>
                <w:b/>
                <w:bCs/>
                <w:color w:val="000000" w:themeColor="text1"/>
                <w:sz w:val="24"/>
                <w:szCs w:val="24"/>
                <w:lang w:val="it-IT"/>
              </w:rPr>
            </w:pPr>
            <w:r w:rsidRPr="008F3CEA">
              <w:rPr>
                <w:b/>
                <w:bCs/>
                <w:color w:val="000000" w:themeColor="text1"/>
                <w:sz w:val="24"/>
                <w:szCs w:val="24"/>
                <w:lang w:val="it-IT"/>
              </w:rPr>
              <w:t>1,4-diisocyanatebuthane</w:t>
            </w:r>
          </w:p>
        </w:tc>
        <w:tc>
          <w:tcPr>
            <w:tcW w:w="851" w:type="dxa"/>
            <w:shd w:val="clear" w:color="auto" w:fill="auto"/>
            <w:vAlign w:val="center"/>
          </w:tcPr>
          <w:p w:rsidR="00550A30" w:rsidRPr="008F3CEA" w:rsidRDefault="00550A30" w:rsidP="009925A1">
            <w:pPr>
              <w:jc w:val="center"/>
              <w:rPr>
                <w:color w:val="000000" w:themeColor="text1"/>
                <w:sz w:val="24"/>
                <w:szCs w:val="24"/>
                <w:lang w:val="it-IT"/>
              </w:rPr>
            </w:pPr>
            <w:r w:rsidRPr="008F3CEA">
              <w:rPr>
                <w:color w:val="000000" w:themeColor="text1"/>
                <w:sz w:val="24"/>
                <w:szCs w:val="24"/>
                <w:lang w:val="it-IT"/>
              </w:rPr>
              <w:t>BDI</w:t>
            </w:r>
          </w:p>
        </w:tc>
        <w:tc>
          <w:tcPr>
            <w:tcW w:w="4092" w:type="dxa"/>
            <w:tcBorders>
              <w:right w:val="nil"/>
            </w:tcBorders>
            <w:shd w:val="clear" w:color="auto" w:fill="auto"/>
            <w:vAlign w:val="center"/>
          </w:tcPr>
          <w:p w:rsidR="00550A30" w:rsidRPr="008F3CEA" w:rsidRDefault="00550A30" w:rsidP="009925A1">
            <w:pPr>
              <w:jc w:val="center"/>
              <w:rPr>
                <w:color w:val="000000" w:themeColor="text1"/>
                <w:sz w:val="24"/>
                <w:szCs w:val="24"/>
                <w:lang w:val="it-IT"/>
              </w:rPr>
            </w:pPr>
            <w:r w:rsidRPr="008F3CEA">
              <w:rPr>
                <w:color w:val="000000" w:themeColor="text1"/>
              </w:rPr>
              <w:object w:dxaOrig="2158" w:dyaOrig="672">
                <v:shape id="_x0000_i1026" type="#_x0000_t75" style="width:79.5pt;height:24.75pt" o:ole="">
                  <v:imagedata r:id="rId97" o:title=""/>
                </v:shape>
                <o:OLEObject Type="Embed" ProgID="ChemDraw.Document.6.0" ShapeID="_x0000_i1026" DrawAspect="Content" ObjectID="_1406466500" r:id="rId98"/>
              </w:object>
            </w:r>
          </w:p>
        </w:tc>
      </w:tr>
      <w:tr w:rsidR="00550A30" w:rsidRPr="008F3CEA" w:rsidTr="009925A1">
        <w:trPr>
          <w:jc w:val="center"/>
        </w:trPr>
        <w:tc>
          <w:tcPr>
            <w:tcW w:w="2835" w:type="dxa"/>
            <w:tcBorders>
              <w:left w:val="nil"/>
            </w:tcBorders>
            <w:shd w:val="clear" w:color="auto" w:fill="auto"/>
            <w:vAlign w:val="center"/>
          </w:tcPr>
          <w:p w:rsidR="00550A30" w:rsidRPr="008F3CEA" w:rsidRDefault="00550A30" w:rsidP="009925A1">
            <w:pPr>
              <w:jc w:val="center"/>
              <w:rPr>
                <w:b/>
                <w:bCs/>
                <w:color w:val="000000" w:themeColor="text1"/>
                <w:sz w:val="24"/>
                <w:szCs w:val="24"/>
                <w:lang w:val="it-IT"/>
              </w:rPr>
            </w:pPr>
            <w:r w:rsidRPr="008F3CEA">
              <w:rPr>
                <w:b/>
                <w:bCs/>
                <w:color w:val="000000" w:themeColor="text1"/>
                <w:sz w:val="24"/>
                <w:szCs w:val="24"/>
                <w:lang w:val="it-IT"/>
              </w:rPr>
              <w:t>Examethylene diisocyanate</w:t>
            </w:r>
          </w:p>
        </w:tc>
        <w:tc>
          <w:tcPr>
            <w:tcW w:w="851" w:type="dxa"/>
            <w:shd w:val="clear" w:color="auto" w:fill="auto"/>
            <w:vAlign w:val="center"/>
          </w:tcPr>
          <w:p w:rsidR="00550A30" w:rsidRPr="008F3CEA" w:rsidRDefault="00550A30" w:rsidP="009925A1">
            <w:pPr>
              <w:jc w:val="center"/>
              <w:rPr>
                <w:color w:val="000000" w:themeColor="text1"/>
                <w:sz w:val="24"/>
                <w:szCs w:val="24"/>
                <w:lang w:val="it-IT"/>
              </w:rPr>
            </w:pPr>
            <w:r w:rsidRPr="008F3CEA">
              <w:rPr>
                <w:color w:val="000000" w:themeColor="text1"/>
                <w:sz w:val="24"/>
                <w:szCs w:val="24"/>
                <w:lang w:val="it-IT"/>
              </w:rPr>
              <w:t>HDI</w:t>
            </w:r>
          </w:p>
        </w:tc>
        <w:tc>
          <w:tcPr>
            <w:tcW w:w="4092" w:type="dxa"/>
            <w:tcBorders>
              <w:right w:val="nil"/>
            </w:tcBorders>
            <w:shd w:val="clear" w:color="auto" w:fill="auto"/>
            <w:vAlign w:val="center"/>
          </w:tcPr>
          <w:p w:rsidR="00550A30" w:rsidRPr="008F3CEA" w:rsidRDefault="00550A30" w:rsidP="009925A1">
            <w:pPr>
              <w:jc w:val="center"/>
              <w:rPr>
                <w:color w:val="000000" w:themeColor="text1"/>
                <w:sz w:val="24"/>
                <w:szCs w:val="24"/>
                <w:lang w:val="it-IT"/>
              </w:rPr>
            </w:pPr>
            <w:r w:rsidRPr="008F3CEA">
              <w:rPr>
                <w:color w:val="000000" w:themeColor="text1"/>
              </w:rPr>
              <w:object w:dxaOrig="2157" w:dyaOrig="676">
                <v:shape id="_x0000_i1027" type="#_x0000_t75" style="width:78pt;height:24.75pt" o:ole="">
                  <v:imagedata r:id="rId99" o:title=""/>
                </v:shape>
                <o:OLEObject Type="Embed" ProgID="ChemDraw.Document.6.0" ShapeID="_x0000_i1027" DrawAspect="Content" ObjectID="_1406466501" r:id="rId100"/>
              </w:object>
            </w:r>
          </w:p>
        </w:tc>
      </w:tr>
      <w:tr w:rsidR="00550A30" w:rsidRPr="008F3CEA" w:rsidTr="009925A1">
        <w:trPr>
          <w:jc w:val="center"/>
        </w:trPr>
        <w:tc>
          <w:tcPr>
            <w:tcW w:w="2835" w:type="dxa"/>
            <w:tcBorders>
              <w:left w:val="nil"/>
            </w:tcBorders>
            <w:shd w:val="clear" w:color="auto" w:fill="auto"/>
            <w:vAlign w:val="center"/>
          </w:tcPr>
          <w:p w:rsidR="00550A30" w:rsidRPr="008F3CEA" w:rsidRDefault="00550A30" w:rsidP="009925A1">
            <w:pPr>
              <w:jc w:val="center"/>
              <w:rPr>
                <w:b/>
                <w:bCs/>
                <w:color w:val="000000" w:themeColor="text1"/>
                <w:sz w:val="24"/>
                <w:szCs w:val="24"/>
                <w:lang w:val="it-IT"/>
              </w:rPr>
            </w:pPr>
            <w:r w:rsidRPr="008F3CEA">
              <w:rPr>
                <w:b/>
                <w:bCs/>
                <w:color w:val="000000" w:themeColor="text1"/>
                <w:sz w:val="24"/>
                <w:szCs w:val="24"/>
                <w:lang w:val="it-IT"/>
              </w:rPr>
              <w:t>Cycloexyl diisocyanate</w:t>
            </w:r>
          </w:p>
        </w:tc>
        <w:tc>
          <w:tcPr>
            <w:tcW w:w="851" w:type="dxa"/>
            <w:shd w:val="clear" w:color="auto" w:fill="auto"/>
            <w:vAlign w:val="center"/>
          </w:tcPr>
          <w:p w:rsidR="00550A30" w:rsidRPr="008F3CEA" w:rsidRDefault="00550A30" w:rsidP="009925A1">
            <w:pPr>
              <w:jc w:val="center"/>
              <w:rPr>
                <w:color w:val="000000" w:themeColor="text1"/>
                <w:sz w:val="24"/>
                <w:szCs w:val="24"/>
                <w:lang w:val="it-IT"/>
              </w:rPr>
            </w:pPr>
            <w:r w:rsidRPr="008F3CEA">
              <w:rPr>
                <w:color w:val="000000" w:themeColor="text1"/>
                <w:sz w:val="24"/>
                <w:szCs w:val="24"/>
                <w:lang w:val="it-IT"/>
              </w:rPr>
              <w:t>CHDI</w:t>
            </w:r>
          </w:p>
        </w:tc>
        <w:tc>
          <w:tcPr>
            <w:tcW w:w="4092" w:type="dxa"/>
            <w:tcBorders>
              <w:right w:val="nil"/>
            </w:tcBorders>
            <w:shd w:val="clear" w:color="auto" w:fill="auto"/>
            <w:vAlign w:val="center"/>
          </w:tcPr>
          <w:p w:rsidR="00550A30" w:rsidRPr="008F3CEA" w:rsidRDefault="00550A30" w:rsidP="009925A1">
            <w:pPr>
              <w:jc w:val="center"/>
              <w:rPr>
                <w:color w:val="000000" w:themeColor="text1"/>
                <w:sz w:val="24"/>
                <w:szCs w:val="24"/>
                <w:lang w:val="it-IT"/>
              </w:rPr>
            </w:pPr>
            <w:r w:rsidRPr="008F3CEA">
              <w:rPr>
                <w:color w:val="000000" w:themeColor="text1"/>
              </w:rPr>
              <w:object w:dxaOrig="2729" w:dyaOrig="1033">
                <v:shape id="_x0000_i1028" type="#_x0000_t75" style="width:115.5pt;height:45.75pt" o:ole="">
                  <v:imagedata r:id="rId101" o:title=""/>
                </v:shape>
                <o:OLEObject Type="Embed" ProgID="ChemDraw.Document.6.0" ShapeID="_x0000_i1028" DrawAspect="Content" ObjectID="_1406466502" r:id="rId102"/>
              </w:object>
            </w:r>
          </w:p>
        </w:tc>
      </w:tr>
      <w:tr w:rsidR="00550A30" w:rsidRPr="008F3CEA" w:rsidTr="009925A1">
        <w:trPr>
          <w:jc w:val="center"/>
        </w:trPr>
        <w:tc>
          <w:tcPr>
            <w:tcW w:w="2835" w:type="dxa"/>
            <w:tcBorders>
              <w:left w:val="nil"/>
            </w:tcBorders>
            <w:shd w:val="clear" w:color="auto" w:fill="auto"/>
            <w:vAlign w:val="center"/>
          </w:tcPr>
          <w:p w:rsidR="00550A30" w:rsidRPr="008F3CEA" w:rsidRDefault="00550A30" w:rsidP="009925A1">
            <w:pPr>
              <w:jc w:val="center"/>
              <w:rPr>
                <w:b/>
                <w:bCs/>
                <w:color w:val="000000" w:themeColor="text1"/>
                <w:sz w:val="24"/>
                <w:szCs w:val="24"/>
                <w:lang w:val="it-IT"/>
              </w:rPr>
            </w:pPr>
            <w:r w:rsidRPr="008F3CEA">
              <w:rPr>
                <w:b/>
                <w:bCs/>
                <w:color w:val="000000" w:themeColor="text1"/>
                <w:sz w:val="24"/>
                <w:szCs w:val="24"/>
                <w:lang w:val="it-IT"/>
              </w:rPr>
              <w:t>Toluene diisocyanate</w:t>
            </w:r>
          </w:p>
        </w:tc>
        <w:tc>
          <w:tcPr>
            <w:tcW w:w="851" w:type="dxa"/>
            <w:shd w:val="clear" w:color="auto" w:fill="auto"/>
            <w:vAlign w:val="center"/>
          </w:tcPr>
          <w:p w:rsidR="00550A30" w:rsidRPr="008F3CEA" w:rsidRDefault="00550A30" w:rsidP="009925A1">
            <w:pPr>
              <w:jc w:val="center"/>
              <w:rPr>
                <w:color w:val="000000" w:themeColor="text1"/>
                <w:sz w:val="24"/>
                <w:szCs w:val="24"/>
                <w:lang w:val="it-IT"/>
              </w:rPr>
            </w:pPr>
            <w:r w:rsidRPr="008F3CEA">
              <w:rPr>
                <w:color w:val="000000" w:themeColor="text1"/>
                <w:sz w:val="24"/>
                <w:szCs w:val="24"/>
                <w:lang w:val="it-IT"/>
              </w:rPr>
              <w:t>TDI</w:t>
            </w:r>
          </w:p>
        </w:tc>
        <w:tc>
          <w:tcPr>
            <w:tcW w:w="4092" w:type="dxa"/>
            <w:tcBorders>
              <w:right w:val="nil"/>
            </w:tcBorders>
            <w:shd w:val="clear" w:color="auto" w:fill="auto"/>
            <w:vAlign w:val="center"/>
          </w:tcPr>
          <w:p w:rsidR="00550A30" w:rsidRPr="008F3CEA" w:rsidRDefault="00550A30" w:rsidP="009925A1">
            <w:pPr>
              <w:jc w:val="center"/>
              <w:rPr>
                <w:color w:val="000000" w:themeColor="text1"/>
                <w:sz w:val="24"/>
                <w:szCs w:val="24"/>
                <w:lang w:val="it-IT"/>
              </w:rPr>
            </w:pPr>
            <w:r w:rsidRPr="008F3CEA">
              <w:rPr>
                <w:color w:val="000000" w:themeColor="text1"/>
              </w:rPr>
              <w:object w:dxaOrig="2444" w:dyaOrig="1475">
                <v:shape id="_x0000_i1029" type="#_x0000_t75" style="width:105.75pt;height:64.5pt" o:ole="">
                  <v:imagedata r:id="rId103" o:title=""/>
                </v:shape>
                <o:OLEObject Type="Embed" ProgID="ChemDraw.Document.6.0" ShapeID="_x0000_i1029" DrawAspect="Content" ObjectID="_1406466503" r:id="rId104"/>
              </w:object>
            </w:r>
          </w:p>
        </w:tc>
      </w:tr>
      <w:tr w:rsidR="00550A30" w:rsidRPr="008F3CEA" w:rsidTr="009925A1">
        <w:trPr>
          <w:jc w:val="center"/>
        </w:trPr>
        <w:tc>
          <w:tcPr>
            <w:tcW w:w="2835" w:type="dxa"/>
            <w:tcBorders>
              <w:left w:val="nil"/>
              <w:bottom w:val="single" w:sz="8" w:space="0" w:color="000000"/>
            </w:tcBorders>
            <w:shd w:val="clear" w:color="auto" w:fill="auto"/>
            <w:vAlign w:val="center"/>
          </w:tcPr>
          <w:p w:rsidR="00550A30" w:rsidRPr="008F3CEA" w:rsidRDefault="00550A30" w:rsidP="009925A1">
            <w:pPr>
              <w:jc w:val="center"/>
              <w:rPr>
                <w:b/>
                <w:bCs/>
                <w:color w:val="000000" w:themeColor="text1"/>
                <w:sz w:val="24"/>
                <w:szCs w:val="24"/>
                <w:lang w:val="en-US"/>
              </w:rPr>
            </w:pPr>
            <w:r w:rsidRPr="008F3CEA">
              <w:rPr>
                <w:b/>
                <w:bCs/>
                <w:color w:val="000000" w:themeColor="text1"/>
                <w:sz w:val="24"/>
                <w:szCs w:val="24"/>
                <w:lang w:val="en-US"/>
              </w:rPr>
              <w:t>Metihylene</w:t>
            </w:r>
          </w:p>
          <w:p w:rsidR="00550A30" w:rsidRPr="008F3CEA" w:rsidRDefault="00550A30" w:rsidP="009925A1">
            <w:pPr>
              <w:jc w:val="center"/>
              <w:rPr>
                <w:b/>
                <w:bCs/>
                <w:color w:val="000000" w:themeColor="text1"/>
                <w:sz w:val="24"/>
                <w:szCs w:val="24"/>
                <w:lang w:val="en-US"/>
              </w:rPr>
            </w:pPr>
            <w:r w:rsidRPr="008F3CEA">
              <w:rPr>
                <w:b/>
                <w:bCs/>
                <w:color w:val="000000" w:themeColor="text1"/>
                <w:sz w:val="24"/>
                <w:szCs w:val="24"/>
                <w:lang w:val="en-US"/>
              </w:rPr>
              <w:t>Bis(p-phenyl isocyanate)</w:t>
            </w:r>
          </w:p>
        </w:tc>
        <w:tc>
          <w:tcPr>
            <w:tcW w:w="851" w:type="dxa"/>
            <w:shd w:val="clear" w:color="auto" w:fill="auto"/>
            <w:vAlign w:val="center"/>
          </w:tcPr>
          <w:p w:rsidR="00550A30" w:rsidRPr="008F3CEA" w:rsidRDefault="00550A30" w:rsidP="009925A1">
            <w:pPr>
              <w:jc w:val="center"/>
              <w:rPr>
                <w:color w:val="000000" w:themeColor="text1"/>
                <w:sz w:val="24"/>
                <w:szCs w:val="24"/>
                <w:lang w:val="it-IT"/>
              </w:rPr>
            </w:pPr>
            <w:r w:rsidRPr="008F3CEA">
              <w:rPr>
                <w:color w:val="000000" w:themeColor="text1"/>
                <w:sz w:val="24"/>
                <w:szCs w:val="24"/>
                <w:lang w:val="it-IT"/>
              </w:rPr>
              <w:t>MDI</w:t>
            </w:r>
          </w:p>
        </w:tc>
        <w:tc>
          <w:tcPr>
            <w:tcW w:w="4092" w:type="dxa"/>
            <w:tcBorders>
              <w:bottom w:val="single" w:sz="8" w:space="0" w:color="000000"/>
              <w:right w:val="nil"/>
            </w:tcBorders>
            <w:shd w:val="clear" w:color="auto" w:fill="auto"/>
            <w:vAlign w:val="center"/>
          </w:tcPr>
          <w:p w:rsidR="00550A30" w:rsidRPr="008F3CEA" w:rsidRDefault="00550A30" w:rsidP="009925A1">
            <w:pPr>
              <w:keepNext/>
              <w:jc w:val="center"/>
              <w:rPr>
                <w:color w:val="000000" w:themeColor="text1"/>
                <w:sz w:val="24"/>
                <w:szCs w:val="24"/>
                <w:lang w:val="it-IT"/>
              </w:rPr>
            </w:pPr>
            <w:r w:rsidRPr="008F3CEA">
              <w:rPr>
                <w:color w:val="000000" w:themeColor="text1"/>
              </w:rPr>
              <w:object w:dxaOrig="4419" w:dyaOrig="1106">
                <v:shape id="_x0000_i1030" type="#_x0000_t75" style="width:183.75pt;height:49.5pt" o:ole="">
                  <v:imagedata r:id="rId105" o:title=""/>
                </v:shape>
                <o:OLEObject Type="Embed" ProgID="ChemDraw.Document.6.0" ShapeID="_x0000_i1030" DrawAspect="Content" ObjectID="_1406466504" r:id="rId106"/>
              </w:object>
            </w:r>
          </w:p>
        </w:tc>
      </w:tr>
    </w:tbl>
    <w:p w:rsidR="00550A30" w:rsidRPr="008F3CEA" w:rsidRDefault="00550A30" w:rsidP="00550A30">
      <w:pPr>
        <w:pStyle w:val="Didascalia"/>
        <w:spacing w:before="120"/>
        <w:rPr>
          <w:rFonts w:ascii="Arial" w:hAnsi="Arial" w:cs="Arial"/>
          <w:sz w:val="24"/>
          <w:szCs w:val="24"/>
          <w:lang w:val="en-US"/>
        </w:rPr>
      </w:pPr>
      <w:r w:rsidRPr="008F3CEA">
        <w:t xml:space="preserve">Table A. </w:t>
      </w:r>
      <w:fldSimple w:instr=" SEQ Table_5. \* ARABIC ">
        <w:r w:rsidRPr="008F3CEA">
          <w:rPr>
            <w:noProof/>
          </w:rPr>
          <w:t>1</w:t>
        </w:r>
      </w:fldSimple>
      <w:r w:rsidRPr="008F3CEA">
        <w:t xml:space="preserve"> List of the most commonly used isocyanates for PU synthesis. Adapted from [5].</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In particular, the use of aromatic isocyanates leads to the production of stiffer polymer chains with higher melting point, while the selection of aliphatic isocyanates results in greater resistance to oxidation and higher stability but also in decreased mechanical properties.</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The symmetry of the isocyanate is another important parameter since it favors the crystallization of the hard segment, thus increasing the degree of phase separation, hardness, modulus and abrasion resistance. </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In biomedical applications, the use of aliphatic diisocyanates such as </w:t>
      </w:r>
      <w:r w:rsidRPr="008F3CEA">
        <w:rPr>
          <w:rFonts w:ascii="Arial" w:hAnsi="Arial" w:cs="Arial"/>
          <w:color w:val="000000"/>
          <w:sz w:val="24"/>
          <w:szCs w:val="24"/>
        </w:rPr>
        <w:t>lysine diisocyanate</w:t>
      </w:r>
      <w:r w:rsidRPr="008F3CEA">
        <w:rPr>
          <w:rFonts w:ascii="Arial" w:hAnsi="Arial" w:cs="Arial"/>
          <w:sz w:val="24"/>
          <w:szCs w:val="24"/>
          <w:lang w:val="en-US"/>
        </w:rPr>
        <w:t xml:space="preserve"> (LDI), </w:t>
      </w:r>
      <w:r w:rsidRPr="008F3CEA">
        <w:rPr>
          <w:rFonts w:ascii="Arial" w:hAnsi="Arial" w:cs="Arial"/>
          <w:bCs/>
          <w:sz w:val="24"/>
          <w:szCs w:val="24"/>
          <w:lang w:val="en-US"/>
        </w:rPr>
        <w:t>1,4-diisocyanatebuthane</w:t>
      </w:r>
      <w:r w:rsidRPr="008F3CEA">
        <w:rPr>
          <w:rFonts w:ascii="Arial" w:hAnsi="Arial" w:cs="Arial"/>
          <w:sz w:val="24"/>
          <w:szCs w:val="24"/>
          <w:lang w:val="en-US"/>
        </w:rPr>
        <w:t xml:space="preserve"> (BDI) and e</w:t>
      </w:r>
      <w:r w:rsidRPr="008F3CEA">
        <w:rPr>
          <w:rFonts w:ascii="Arial" w:hAnsi="Arial" w:cs="Arial"/>
          <w:bCs/>
          <w:sz w:val="24"/>
          <w:szCs w:val="24"/>
          <w:lang w:val="en-US"/>
        </w:rPr>
        <w:t>xamethylene diisocyanate</w:t>
      </w:r>
      <w:r w:rsidRPr="008F3CEA">
        <w:rPr>
          <w:rFonts w:ascii="Arial" w:hAnsi="Arial" w:cs="Arial"/>
          <w:sz w:val="24"/>
          <w:szCs w:val="24"/>
          <w:lang w:val="en-US"/>
        </w:rPr>
        <w:t xml:space="preserve"> (HDI) [6</w:t>
      </w:r>
      <w:r w:rsidRPr="008F3CEA">
        <w:rPr>
          <w:rFonts w:ascii="Arial" w:hAnsi="Arial" w:cs="Arial"/>
          <w:noProof/>
          <w:sz w:val="24"/>
          <w:szCs w:val="24"/>
        </w:rPr>
        <w:t>.</w:t>
      </w:r>
      <w:r w:rsidRPr="008F3CEA">
        <w:rPr>
          <w:rFonts w:ascii="Arial" w:hAnsi="Arial" w:cs="Arial"/>
          <w:sz w:val="24"/>
          <w:szCs w:val="24"/>
          <w:lang w:val="en-US"/>
        </w:rPr>
        <w:t>], is preferred since aromatic isocyanates lead to the formation of toxic, carcinogenic side products.</w:t>
      </w:r>
    </w:p>
    <w:p w:rsidR="00550A30" w:rsidRPr="008F3CEA" w:rsidRDefault="00550A30" w:rsidP="00550A30">
      <w:pPr>
        <w:spacing w:after="0" w:line="360" w:lineRule="auto"/>
        <w:jc w:val="both"/>
        <w:rPr>
          <w:rFonts w:ascii="Arial" w:hAnsi="Arial" w:cs="Arial"/>
          <w:sz w:val="24"/>
          <w:szCs w:val="24"/>
          <w:lang w:val="en-US"/>
        </w:rPr>
      </w:pP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 </w:t>
      </w:r>
    </w:p>
    <w:p w:rsidR="00550A30" w:rsidRPr="008F3CEA" w:rsidRDefault="00D873AE" w:rsidP="00550A30">
      <w:pPr>
        <w:spacing w:before="240" w:after="240"/>
        <w:rPr>
          <w:rFonts w:ascii="Arial" w:hAnsi="Arial" w:cs="Arial"/>
          <w:b/>
          <w:sz w:val="24"/>
          <w:szCs w:val="24"/>
          <w:lang w:val="en-US"/>
        </w:rPr>
      </w:pPr>
      <w:r>
        <w:rPr>
          <w:rFonts w:ascii="Arial" w:hAnsi="Arial" w:cs="Arial"/>
          <w:b/>
          <w:sz w:val="24"/>
          <w:szCs w:val="24"/>
          <w:lang w:val="en-US"/>
        </w:rPr>
        <w:lastRenderedPageBreak/>
        <w:t>A.3.2</w:t>
      </w:r>
      <w:r w:rsidR="00550A30" w:rsidRPr="008F3CEA">
        <w:rPr>
          <w:rFonts w:ascii="Arial" w:hAnsi="Arial" w:cs="Arial"/>
          <w:b/>
          <w:sz w:val="24"/>
          <w:szCs w:val="24"/>
          <w:lang w:val="en-US"/>
        </w:rPr>
        <w:t xml:space="preserve"> Polyols</w:t>
      </w:r>
    </w:p>
    <w:p w:rsidR="00550A30" w:rsidRPr="008F3CEA" w:rsidRDefault="00550A30" w:rsidP="00550A30">
      <w:pPr>
        <w:spacing w:line="360" w:lineRule="auto"/>
        <w:jc w:val="both"/>
        <w:rPr>
          <w:rFonts w:ascii="Arial" w:hAnsi="Arial" w:cs="Arial"/>
          <w:sz w:val="24"/>
          <w:szCs w:val="24"/>
          <w:lang w:val="en-US"/>
        </w:rPr>
      </w:pPr>
      <w:r w:rsidRPr="008F3CEA">
        <w:rPr>
          <w:rFonts w:ascii="Arial" w:hAnsi="Arial" w:cs="Arial"/>
          <w:sz w:val="24"/>
          <w:szCs w:val="24"/>
          <w:lang w:val="en-US"/>
        </w:rPr>
        <w:t>Polyols for PU synthesis include polyesters, polyethers, polycarbonates and polydimethylsiloxanes (PDMS), as listed in table A.2.</w:t>
      </w:r>
    </w:p>
    <w:tbl>
      <w:tblPr>
        <w:tblW w:w="0" w:type="auto"/>
        <w:jc w:val="center"/>
        <w:tblBorders>
          <w:top w:val="single" w:sz="8" w:space="0" w:color="000000"/>
          <w:left w:val="single" w:sz="8" w:space="0" w:color="000000"/>
          <w:bottom w:val="single" w:sz="8" w:space="0" w:color="000000"/>
          <w:right w:val="single" w:sz="8" w:space="0" w:color="000000"/>
        </w:tblBorders>
        <w:shd w:val="clear" w:color="auto" w:fill="EEECE1" w:themeFill="background2"/>
        <w:tblLook w:val="00A0"/>
      </w:tblPr>
      <w:tblGrid>
        <w:gridCol w:w="2739"/>
        <w:gridCol w:w="5259"/>
      </w:tblGrid>
      <w:tr w:rsidR="00550A30" w:rsidRPr="008F3CEA" w:rsidTr="009925A1">
        <w:trPr>
          <w:trHeight w:val="340"/>
          <w:jc w:val="center"/>
        </w:trPr>
        <w:tc>
          <w:tcPr>
            <w:tcW w:w="2739" w:type="dxa"/>
            <w:tcBorders>
              <w:top w:val="single" w:sz="8" w:space="0" w:color="000000"/>
              <w:left w:val="nil"/>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b/>
                <w:bCs/>
                <w:color w:val="000000" w:themeColor="text1"/>
                <w:lang w:val="it-IT"/>
              </w:rPr>
            </w:pPr>
            <w:r w:rsidRPr="008F3CEA">
              <w:rPr>
                <w:b/>
                <w:bCs/>
                <w:color w:val="000000" w:themeColor="text1"/>
                <w:lang w:val="it-IT"/>
              </w:rPr>
              <w:t>Polyol</w:t>
            </w:r>
          </w:p>
        </w:tc>
        <w:tc>
          <w:tcPr>
            <w:tcW w:w="5259" w:type="dxa"/>
            <w:tcBorders>
              <w:top w:val="single" w:sz="8" w:space="0" w:color="000000"/>
              <w:right w:val="nil"/>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b/>
                <w:bCs/>
                <w:color w:val="000000" w:themeColor="text1"/>
                <w:lang w:val="it-IT"/>
              </w:rPr>
            </w:pPr>
            <w:r w:rsidRPr="008F3CEA">
              <w:rPr>
                <w:b/>
                <w:bCs/>
                <w:color w:val="000000" w:themeColor="text1"/>
                <w:lang w:val="it-IT"/>
              </w:rPr>
              <w:t>Chemical structure</w:t>
            </w:r>
          </w:p>
        </w:tc>
      </w:tr>
      <w:tr w:rsidR="00550A30" w:rsidRPr="008F3CEA" w:rsidTr="009925A1">
        <w:trPr>
          <w:trHeight w:val="964"/>
          <w:jc w:val="center"/>
        </w:trPr>
        <w:tc>
          <w:tcPr>
            <w:tcW w:w="2739" w:type="dxa"/>
            <w:tcBorders>
              <w:top w:val="single" w:sz="8" w:space="0" w:color="000000"/>
              <w:left w:val="nil"/>
              <w:bottom w:val="single" w:sz="8" w:space="0" w:color="000000"/>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b/>
                <w:bCs/>
                <w:color w:val="000000" w:themeColor="text1"/>
                <w:lang w:val="it-IT"/>
              </w:rPr>
            </w:pPr>
            <w:r w:rsidRPr="008F3CEA">
              <w:rPr>
                <w:b/>
                <w:bCs/>
                <w:color w:val="000000" w:themeColor="text1"/>
                <w:lang w:val="it-IT"/>
              </w:rPr>
              <w:t xml:space="preserve">Poly(ethylene oxyde) </w:t>
            </w:r>
          </w:p>
        </w:tc>
        <w:tc>
          <w:tcPr>
            <w:tcW w:w="5259" w:type="dxa"/>
            <w:tcBorders>
              <w:top w:val="single" w:sz="8" w:space="0" w:color="000000"/>
              <w:bottom w:val="single" w:sz="8" w:space="0" w:color="000000"/>
              <w:right w:val="nil"/>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color w:val="000000" w:themeColor="text1"/>
                <w:lang w:val="it-IT"/>
              </w:rPr>
            </w:pPr>
            <w:r w:rsidRPr="008F3CEA">
              <w:rPr>
                <w:color w:val="000000" w:themeColor="text1"/>
              </w:rPr>
              <w:object w:dxaOrig="2736" w:dyaOrig="498">
                <v:shape id="_x0000_i1031" type="#_x0000_t75" style="width:104.25pt;height:18.75pt" o:ole="">
                  <v:imagedata r:id="rId107" o:title=""/>
                </v:shape>
                <o:OLEObject Type="Embed" ProgID="ChemDraw.Document.6.0" ShapeID="_x0000_i1031" DrawAspect="Content" ObjectID="_1406466505" r:id="rId108"/>
              </w:object>
            </w:r>
          </w:p>
        </w:tc>
      </w:tr>
      <w:tr w:rsidR="00550A30" w:rsidRPr="008F3CEA" w:rsidTr="009925A1">
        <w:trPr>
          <w:trHeight w:val="964"/>
          <w:jc w:val="center"/>
        </w:trPr>
        <w:tc>
          <w:tcPr>
            <w:tcW w:w="2739" w:type="dxa"/>
            <w:tcBorders>
              <w:left w:val="nil"/>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b/>
                <w:bCs/>
                <w:color w:val="000000" w:themeColor="text1"/>
                <w:lang w:val="it-IT"/>
              </w:rPr>
            </w:pPr>
            <w:r w:rsidRPr="008F3CEA">
              <w:rPr>
                <w:b/>
                <w:bCs/>
                <w:color w:val="000000" w:themeColor="text1"/>
                <w:lang w:val="it-IT"/>
              </w:rPr>
              <w:t>Poly(propylene oxyde)</w:t>
            </w:r>
          </w:p>
        </w:tc>
        <w:tc>
          <w:tcPr>
            <w:tcW w:w="5259" w:type="dxa"/>
            <w:tcBorders>
              <w:right w:val="nil"/>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color w:val="000000" w:themeColor="text1"/>
                <w:lang w:val="it-IT"/>
              </w:rPr>
            </w:pPr>
            <w:r w:rsidRPr="008F3CEA">
              <w:rPr>
                <w:color w:val="000000" w:themeColor="text1"/>
              </w:rPr>
              <w:object w:dxaOrig="2736" w:dyaOrig="959">
                <v:shape id="_x0000_i1032" type="#_x0000_t75" style="width:104.25pt;height:36pt" o:ole="">
                  <v:imagedata r:id="rId109" o:title=""/>
                </v:shape>
                <o:OLEObject Type="Embed" ProgID="ChemDraw.Document.6.0" ShapeID="_x0000_i1032" DrawAspect="Content" ObjectID="_1406466506" r:id="rId110"/>
              </w:object>
            </w:r>
          </w:p>
        </w:tc>
      </w:tr>
      <w:tr w:rsidR="00550A30" w:rsidRPr="008F3CEA" w:rsidTr="009925A1">
        <w:trPr>
          <w:trHeight w:val="964"/>
          <w:jc w:val="center"/>
        </w:trPr>
        <w:tc>
          <w:tcPr>
            <w:tcW w:w="2739" w:type="dxa"/>
            <w:tcBorders>
              <w:top w:val="single" w:sz="8" w:space="0" w:color="000000"/>
              <w:left w:val="nil"/>
              <w:bottom w:val="single" w:sz="8" w:space="0" w:color="000000"/>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b/>
                <w:bCs/>
                <w:color w:val="000000" w:themeColor="text1"/>
                <w:lang w:val="it-IT"/>
              </w:rPr>
            </w:pPr>
            <w:r w:rsidRPr="008F3CEA">
              <w:rPr>
                <w:b/>
                <w:bCs/>
                <w:color w:val="000000" w:themeColor="text1"/>
                <w:lang w:val="it-IT"/>
              </w:rPr>
              <w:t>Poly(</w:t>
            </w:r>
            <w:r w:rsidRPr="008F3CEA">
              <w:rPr>
                <w:rFonts w:cstheme="minorHAnsi"/>
                <w:b/>
                <w:bCs/>
                <w:color w:val="000000" w:themeColor="text1"/>
                <w:lang w:val="it-IT"/>
              </w:rPr>
              <w:t>ε</w:t>
            </w:r>
            <w:r w:rsidRPr="008F3CEA">
              <w:rPr>
                <w:b/>
                <w:bCs/>
                <w:color w:val="000000" w:themeColor="text1"/>
                <w:lang w:val="it-IT"/>
              </w:rPr>
              <w:t>-caprolactone) diol</w:t>
            </w:r>
          </w:p>
        </w:tc>
        <w:tc>
          <w:tcPr>
            <w:tcW w:w="5259" w:type="dxa"/>
            <w:tcBorders>
              <w:top w:val="single" w:sz="8" w:space="0" w:color="000000"/>
              <w:bottom w:val="single" w:sz="8" w:space="0" w:color="000000"/>
              <w:right w:val="nil"/>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color w:val="000000" w:themeColor="text1"/>
                <w:lang w:val="it-IT"/>
              </w:rPr>
            </w:pPr>
            <w:r w:rsidRPr="008F3CEA">
              <w:rPr>
                <w:color w:val="000000" w:themeColor="text1"/>
              </w:rPr>
              <w:object w:dxaOrig="5723" w:dyaOrig="1583">
                <v:shape id="_x0000_i1033" type="#_x0000_t75" style="width:212.25pt;height:57pt" o:ole="">
                  <v:imagedata r:id="rId111" o:title=""/>
                </v:shape>
                <o:OLEObject Type="Embed" ProgID="ChemDraw.Document.6.0" ShapeID="_x0000_i1033" DrawAspect="Content" ObjectID="_1406466507" r:id="rId112"/>
              </w:object>
            </w:r>
          </w:p>
        </w:tc>
      </w:tr>
      <w:tr w:rsidR="00550A30" w:rsidRPr="008F3CEA" w:rsidTr="009925A1">
        <w:trPr>
          <w:trHeight w:val="964"/>
          <w:jc w:val="center"/>
        </w:trPr>
        <w:tc>
          <w:tcPr>
            <w:tcW w:w="2739" w:type="dxa"/>
            <w:tcBorders>
              <w:top w:val="single" w:sz="8" w:space="0" w:color="000000"/>
              <w:left w:val="nil"/>
              <w:bottom w:val="single" w:sz="4" w:space="0" w:color="auto"/>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b/>
                <w:bCs/>
                <w:color w:val="000000" w:themeColor="text1"/>
                <w:lang w:val="it-IT"/>
              </w:rPr>
            </w:pPr>
            <w:r w:rsidRPr="008F3CEA">
              <w:rPr>
                <w:b/>
                <w:bCs/>
                <w:color w:val="000000" w:themeColor="text1"/>
                <w:lang w:val="it-IT"/>
              </w:rPr>
              <w:t>Hydroxy-terminated polyisobutylene</w:t>
            </w:r>
          </w:p>
        </w:tc>
        <w:tc>
          <w:tcPr>
            <w:tcW w:w="5259" w:type="dxa"/>
            <w:tcBorders>
              <w:top w:val="single" w:sz="8" w:space="0" w:color="000000"/>
              <w:bottom w:val="single" w:sz="4" w:space="0" w:color="auto"/>
              <w:right w:val="nil"/>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color w:val="000000" w:themeColor="text1"/>
                <w:lang w:val="it-IT"/>
              </w:rPr>
            </w:pPr>
            <w:r w:rsidRPr="008F3CEA">
              <w:rPr>
                <w:color w:val="000000" w:themeColor="text1"/>
              </w:rPr>
              <w:object w:dxaOrig="2702" w:dyaOrig="1565">
                <v:shape id="_x0000_i1034" type="#_x0000_t75" style="width:105.75pt;height:54.75pt" o:ole="">
                  <v:imagedata r:id="rId113" o:title=""/>
                </v:shape>
                <o:OLEObject Type="Embed" ProgID="ChemDraw.Document.6.0" ShapeID="_x0000_i1034" DrawAspect="Content" ObjectID="_1406466508" r:id="rId114"/>
              </w:object>
            </w:r>
          </w:p>
        </w:tc>
      </w:tr>
      <w:tr w:rsidR="00550A30" w:rsidRPr="008F3CEA" w:rsidTr="009925A1">
        <w:trPr>
          <w:trHeight w:val="964"/>
          <w:jc w:val="center"/>
        </w:trPr>
        <w:tc>
          <w:tcPr>
            <w:tcW w:w="2739" w:type="dxa"/>
            <w:tcBorders>
              <w:top w:val="single" w:sz="4" w:space="0" w:color="auto"/>
              <w:left w:val="nil"/>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b/>
                <w:bCs/>
                <w:color w:val="000000" w:themeColor="text1"/>
                <w:lang w:val="it-IT"/>
              </w:rPr>
            </w:pPr>
            <w:r w:rsidRPr="008F3CEA">
              <w:rPr>
                <w:b/>
                <w:bCs/>
                <w:color w:val="000000" w:themeColor="text1"/>
                <w:lang w:val="it-IT"/>
              </w:rPr>
              <w:t>Hydroxybutyl terminated poly(dimethylsiloxane)</w:t>
            </w:r>
          </w:p>
        </w:tc>
        <w:tc>
          <w:tcPr>
            <w:tcW w:w="5259" w:type="dxa"/>
            <w:tcBorders>
              <w:top w:val="single" w:sz="4" w:space="0" w:color="auto"/>
              <w:right w:val="nil"/>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color w:val="000000" w:themeColor="text1"/>
                <w:lang w:val="it-IT"/>
              </w:rPr>
            </w:pPr>
            <w:r w:rsidRPr="008F3CEA">
              <w:rPr>
                <w:color w:val="000000" w:themeColor="text1"/>
              </w:rPr>
              <w:object w:dxaOrig="5304" w:dyaOrig="1653">
                <v:shape id="_x0000_i1035" type="#_x0000_t75" style="width:203.25pt;height:64.5pt" o:ole="">
                  <v:imagedata r:id="rId115" o:title=""/>
                </v:shape>
                <o:OLEObject Type="Embed" ProgID="ChemDraw.Document.6.0" ShapeID="_x0000_i1035" DrawAspect="Content" ObjectID="_1406466509" r:id="rId116"/>
              </w:object>
            </w:r>
          </w:p>
        </w:tc>
      </w:tr>
      <w:tr w:rsidR="00550A30" w:rsidRPr="008F3CEA" w:rsidTr="009925A1">
        <w:trPr>
          <w:trHeight w:val="964"/>
          <w:jc w:val="center"/>
        </w:trPr>
        <w:tc>
          <w:tcPr>
            <w:tcW w:w="2739" w:type="dxa"/>
            <w:tcBorders>
              <w:top w:val="single" w:sz="8" w:space="0" w:color="000000"/>
              <w:left w:val="nil"/>
              <w:bottom w:val="single" w:sz="8" w:space="0" w:color="000000"/>
            </w:tcBorders>
            <w:shd w:val="clear" w:color="auto" w:fill="EEECE1" w:themeFill="background2"/>
            <w:vAlign w:val="center"/>
          </w:tcPr>
          <w:p w:rsidR="00550A30" w:rsidRPr="008F3CEA" w:rsidRDefault="00550A30" w:rsidP="009925A1">
            <w:pPr>
              <w:autoSpaceDE w:val="0"/>
              <w:autoSpaceDN w:val="0"/>
              <w:adjustRightInd w:val="0"/>
              <w:spacing w:after="0" w:line="240" w:lineRule="auto"/>
              <w:jc w:val="center"/>
              <w:rPr>
                <w:b/>
                <w:bCs/>
                <w:color w:val="000000" w:themeColor="text1"/>
                <w:lang w:val="it-IT"/>
              </w:rPr>
            </w:pPr>
            <w:r w:rsidRPr="008F3CEA">
              <w:rPr>
                <w:b/>
                <w:bCs/>
                <w:color w:val="000000" w:themeColor="text1"/>
                <w:lang w:val="it-IT"/>
              </w:rPr>
              <w:t>Poly(ethylene adipate)</w:t>
            </w:r>
          </w:p>
        </w:tc>
        <w:tc>
          <w:tcPr>
            <w:tcW w:w="5259" w:type="dxa"/>
            <w:tcBorders>
              <w:top w:val="single" w:sz="8" w:space="0" w:color="000000"/>
              <w:bottom w:val="single" w:sz="8" w:space="0" w:color="000000"/>
              <w:right w:val="nil"/>
            </w:tcBorders>
            <w:shd w:val="clear" w:color="auto" w:fill="EEECE1" w:themeFill="background2"/>
            <w:vAlign w:val="center"/>
          </w:tcPr>
          <w:p w:rsidR="00550A30" w:rsidRPr="008F3CEA" w:rsidRDefault="00550A30" w:rsidP="009925A1">
            <w:pPr>
              <w:keepNext/>
              <w:autoSpaceDE w:val="0"/>
              <w:autoSpaceDN w:val="0"/>
              <w:adjustRightInd w:val="0"/>
              <w:spacing w:after="0" w:line="240" w:lineRule="auto"/>
              <w:jc w:val="center"/>
              <w:rPr>
                <w:color w:val="000000" w:themeColor="text1"/>
                <w:lang w:val="it-IT"/>
              </w:rPr>
            </w:pPr>
            <w:r w:rsidRPr="008F3CEA">
              <w:rPr>
                <w:color w:val="000000" w:themeColor="text1"/>
              </w:rPr>
              <w:object w:dxaOrig="7224" w:dyaOrig="1610">
                <v:shape id="_x0000_i1036" type="#_x0000_t75" style="width:252pt;height:64.5pt" o:ole="">
                  <v:imagedata r:id="rId117" o:title=""/>
                </v:shape>
                <o:OLEObject Type="Embed" ProgID="ChemDraw.Document.6.0" ShapeID="_x0000_i1036" DrawAspect="Content" ObjectID="_1406466510" r:id="rId118"/>
              </w:object>
            </w:r>
          </w:p>
        </w:tc>
      </w:tr>
    </w:tbl>
    <w:p w:rsidR="00550A30" w:rsidRPr="008F3CEA" w:rsidRDefault="00550A30" w:rsidP="00550A30">
      <w:pPr>
        <w:pStyle w:val="Didascalia"/>
        <w:spacing w:before="120"/>
        <w:rPr>
          <w:rFonts w:ascii="Arial" w:hAnsi="Arial" w:cs="Arial"/>
          <w:sz w:val="24"/>
          <w:szCs w:val="24"/>
          <w:lang w:val="en-US"/>
        </w:rPr>
      </w:pPr>
      <w:r w:rsidRPr="008F3CEA">
        <w:t xml:space="preserve">Table A. </w:t>
      </w:r>
      <w:fldSimple w:instr=" SEQ Table_5. \* ARABIC ">
        <w:r w:rsidRPr="008F3CEA">
          <w:rPr>
            <w:noProof/>
          </w:rPr>
          <w:t>2</w:t>
        </w:r>
      </w:fldSimple>
      <w:r w:rsidRPr="008F3CEA">
        <w:t xml:space="preserve"> List of different polyols used for PU synthesis. Adapted from [5]</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Polyols, due to their flexibility, form the soft segment matrix of the PU microstructure, in which the hard segments (composed of isocyanate and chain extender) are dispersed.  They are responsible for the flexibility and the elongation at break of the material. An increase in the molecular weight of the soft segment leads to higher glass transition temperature (T</w:t>
      </w:r>
      <w:r w:rsidRPr="008F3CEA">
        <w:rPr>
          <w:rFonts w:ascii="Arial" w:hAnsi="Arial" w:cs="Arial"/>
          <w:sz w:val="24"/>
          <w:szCs w:val="24"/>
          <w:vertAlign w:val="subscript"/>
          <w:lang w:val="en-US"/>
        </w:rPr>
        <w:t>g</w:t>
      </w:r>
      <w:r w:rsidRPr="008F3CEA">
        <w:rPr>
          <w:rFonts w:ascii="Arial" w:hAnsi="Arial" w:cs="Arial"/>
          <w:sz w:val="24"/>
          <w:szCs w:val="24"/>
          <w:lang w:val="en-US"/>
        </w:rPr>
        <w:t>) of the polymer, while low molecular weight polyols lead to a higher degree of microphase separation which results in lower T</w:t>
      </w:r>
      <w:r w:rsidRPr="008F3CEA">
        <w:rPr>
          <w:rFonts w:ascii="Arial" w:hAnsi="Arial" w:cs="Arial"/>
          <w:sz w:val="24"/>
          <w:szCs w:val="24"/>
          <w:vertAlign w:val="subscript"/>
          <w:lang w:val="en-US"/>
        </w:rPr>
        <w:t xml:space="preserve">g </w:t>
      </w:r>
      <w:r w:rsidRPr="008F3CEA">
        <w:rPr>
          <w:rFonts w:ascii="Arial" w:hAnsi="Arial" w:cs="Arial"/>
          <w:sz w:val="24"/>
          <w:szCs w:val="24"/>
          <w:lang w:val="en-US"/>
        </w:rPr>
        <w:t>and higher flexibility.</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The use of polyesters and polyethers for the synthesis of polyurethanes for biomedical applications has been extensively reported. Generally polyester-based PUs show good physical properties, but are susceptible to hydrolysis of their ester linkages. When polyethers are used as dyols, better stability and resistance to hydrolytic degradation is achieved. </w:t>
      </w:r>
    </w:p>
    <w:p w:rsidR="00550A30" w:rsidRPr="008F3CEA" w:rsidRDefault="00D873AE" w:rsidP="00550A30">
      <w:pPr>
        <w:spacing w:before="240" w:after="240"/>
        <w:rPr>
          <w:rFonts w:ascii="Arial" w:hAnsi="Arial" w:cs="Arial"/>
          <w:b/>
          <w:sz w:val="24"/>
          <w:szCs w:val="24"/>
          <w:lang w:val="en-US"/>
        </w:rPr>
      </w:pPr>
      <w:r>
        <w:rPr>
          <w:rFonts w:ascii="Arial" w:hAnsi="Arial" w:cs="Arial"/>
          <w:b/>
          <w:sz w:val="24"/>
          <w:szCs w:val="24"/>
          <w:lang w:val="en-US"/>
        </w:rPr>
        <w:lastRenderedPageBreak/>
        <w:t>A.3.3</w:t>
      </w:r>
      <w:r w:rsidR="00550A30" w:rsidRPr="008F3CEA">
        <w:rPr>
          <w:rFonts w:ascii="Arial" w:hAnsi="Arial" w:cs="Arial"/>
          <w:b/>
          <w:sz w:val="24"/>
          <w:szCs w:val="24"/>
          <w:lang w:val="en-US"/>
        </w:rPr>
        <w:t xml:space="preserve"> Chain extenders</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Chain extenders are used to extend the length of the hard segment and to increase the hydrogen bond density and molecular weight of the polyurethanes. </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The chemistry of the chain extender plays an important role in determining the final physical properties of the material. </w:t>
      </w:r>
    </w:p>
    <w:p w:rsidR="00550A30" w:rsidRPr="008F3CEA" w:rsidRDefault="00550A30" w:rsidP="00550A30">
      <w:pPr>
        <w:spacing w:line="360" w:lineRule="auto"/>
        <w:jc w:val="both"/>
        <w:rPr>
          <w:rFonts w:ascii="Arial" w:hAnsi="Arial" w:cs="Arial"/>
          <w:sz w:val="24"/>
          <w:szCs w:val="24"/>
          <w:lang w:val="en-US"/>
        </w:rPr>
      </w:pPr>
      <w:r w:rsidRPr="008F3CEA">
        <w:rPr>
          <w:rFonts w:ascii="Arial" w:hAnsi="Arial" w:cs="Arial"/>
          <w:sz w:val="24"/>
          <w:szCs w:val="24"/>
          <w:lang w:val="en-US"/>
        </w:rPr>
        <w:t>Most commonly used chain extenders are listed in table 5.3 and can be classified into aromatic or aliphatic diols and diamines. The selection of diamines or diols determines whether urea groups or urethane groups are formed in the chain extension reaction.</w:t>
      </w:r>
    </w:p>
    <w:tbl>
      <w:tblPr>
        <w:tblW w:w="0" w:type="auto"/>
        <w:jc w:val="center"/>
        <w:tblBorders>
          <w:top w:val="single" w:sz="8" w:space="0" w:color="000000"/>
          <w:left w:val="single" w:sz="8" w:space="0" w:color="000000"/>
          <w:bottom w:val="single" w:sz="8" w:space="0" w:color="000000"/>
          <w:right w:val="single" w:sz="8" w:space="0" w:color="000000"/>
        </w:tblBorders>
        <w:shd w:val="clear" w:color="auto" w:fill="EEECE1" w:themeFill="background2"/>
        <w:tblLook w:val="00A0"/>
      </w:tblPr>
      <w:tblGrid>
        <w:gridCol w:w="2975"/>
        <w:gridCol w:w="5102"/>
      </w:tblGrid>
      <w:tr w:rsidR="00550A30" w:rsidRPr="008F3CEA" w:rsidTr="009925A1">
        <w:trPr>
          <w:jc w:val="center"/>
        </w:trPr>
        <w:tc>
          <w:tcPr>
            <w:tcW w:w="2975" w:type="dxa"/>
            <w:tcBorders>
              <w:top w:val="single" w:sz="8" w:space="0" w:color="000000"/>
              <w:left w:val="nil"/>
              <w:bottom w:val="single" w:sz="8" w:space="0" w:color="000000"/>
            </w:tcBorders>
            <w:shd w:val="clear" w:color="auto" w:fill="EEECE1" w:themeFill="background2"/>
            <w:vAlign w:val="center"/>
          </w:tcPr>
          <w:p w:rsidR="00550A30" w:rsidRPr="008F3CEA" w:rsidRDefault="00550A30" w:rsidP="009925A1">
            <w:pPr>
              <w:autoSpaceDE w:val="0"/>
              <w:autoSpaceDN w:val="0"/>
              <w:adjustRightInd w:val="0"/>
              <w:jc w:val="center"/>
              <w:rPr>
                <w:b/>
                <w:bCs/>
                <w:color w:val="000000" w:themeColor="text1"/>
                <w:sz w:val="24"/>
                <w:szCs w:val="24"/>
                <w:lang w:val="it-IT"/>
              </w:rPr>
            </w:pPr>
            <w:r w:rsidRPr="008F3CEA">
              <w:rPr>
                <w:b/>
                <w:bCs/>
                <w:color w:val="000000" w:themeColor="text1"/>
                <w:sz w:val="24"/>
                <w:szCs w:val="24"/>
                <w:lang w:val="it-IT"/>
              </w:rPr>
              <w:t>Chain extender</w:t>
            </w:r>
          </w:p>
        </w:tc>
        <w:tc>
          <w:tcPr>
            <w:tcW w:w="5102" w:type="dxa"/>
            <w:tcBorders>
              <w:top w:val="single" w:sz="8" w:space="0" w:color="000000"/>
              <w:bottom w:val="single" w:sz="8" w:space="0" w:color="000000"/>
              <w:right w:val="nil"/>
            </w:tcBorders>
            <w:shd w:val="clear" w:color="auto" w:fill="EEECE1" w:themeFill="background2"/>
            <w:vAlign w:val="center"/>
          </w:tcPr>
          <w:p w:rsidR="00550A30" w:rsidRPr="008F3CEA" w:rsidRDefault="00550A30" w:rsidP="009925A1">
            <w:pPr>
              <w:autoSpaceDE w:val="0"/>
              <w:autoSpaceDN w:val="0"/>
              <w:adjustRightInd w:val="0"/>
              <w:jc w:val="center"/>
              <w:rPr>
                <w:b/>
                <w:bCs/>
                <w:color w:val="000000" w:themeColor="text1"/>
                <w:sz w:val="24"/>
                <w:szCs w:val="24"/>
                <w:lang w:val="it-IT"/>
              </w:rPr>
            </w:pPr>
            <w:r w:rsidRPr="008F3CEA">
              <w:rPr>
                <w:b/>
                <w:bCs/>
                <w:color w:val="000000" w:themeColor="text1"/>
                <w:sz w:val="24"/>
                <w:szCs w:val="24"/>
                <w:lang w:val="it-IT"/>
              </w:rPr>
              <w:t>Chemical structure</w:t>
            </w:r>
          </w:p>
        </w:tc>
      </w:tr>
      <w:tr w:rsidR="00550A30" w:rsidRPr="008F3CEA" w:rsidTr="009925A1">
        <w:trPr>
          <w:jc w:val="center"/>
        </w:trPr>
        <w:tc>
          <w:tcPr>
            <w:tcW w:w="2975" w:type="dxa"/>
            <w:tcBorders>
              <w:top w:val="single" w:sz="8" w:space="0" w:color="000000"/>
              <w:left w:val="nil"/>
              <w:bottom w:val="single" w:sz="8" w:space="0" w:color="000000"/>
            </w:tcBorders>
            <w:shd w:val="clear" w:color="auto" w:fill="EEECE1" w:themeFill="background2"/>
            <w:vAlign w:val="center"/>
          </w:tcPr>
          <w:p w:rsidR="00550A30" w:rsidRPr="008F3CEA" w:rsidRDefault="00550A30" w:rsidP="009925A1">
            <w:pPr>
              <w:autoSpaceDE w:val="0"/>
              <w:autoSpaceDN w:val="0"/>
              <w:adjustRightInd w:val="0"/>
              <w:jc w:val="center"/>
              <w:rPr>
                <w:b/>
                <w:bCs/>
                <w:color w:val="000000" w:themeColor="text1"/>
                <w:sz w:val="24"/>
                <w:szCs w:val="24"/>
                <w:lang w:val="it-IT"/>
              </w:rPr>
            </w:pPr>
            <w:r w:rsidRPr="008F3CEA">
              <w:rPr>
                <w:b/>
                <w:bCs/>
                <w:color w:val="000000" w:themeColor="text1"/>
                <w:sz w:val="24"/>
                <w:szCs w:val="24"/>
                <w:lang w:val="it-IT"/>
              </w:rPr>
              <w:t>1,4-butanediol</w:t>
            </w:r>
          </w:p>
        </w:tc>
        <w:tc>
          <w:tcPr>
            <w:tcW w:w="5102" w:type="dxa"/>
            <w:tcBorders>
              <w:top w:val="single" w:sz="8" w:space="0" w:color="000000"/>
              <w:bottom w:val="single" w:sz="8" w:space="0" w:color="000000"/>
              <w:right w:val="nil"/>
            </w:tcBorders>
            <w:shd w:val="clear" w:color="auto" w:fill="EEECE1" w:themeFill="background2"/>
            <w:vAlign w:val="center"/>
          </w:tcPr>
          <w:p w:rsidR="00550A30" w:rsidRPr="008F3CEA" w:rsidRDefault="00550A30" w:rsidP="009925A1">
            <w:pPr>
              <w:autoSpaceDE w:val="0"/>
              <w:autoSpaceDN w:val="0"/>
              <w:adjustRightInd w:val="0"/>
              <w:jc w:val="center"/>
              <w:rPr>
                <w:color w:val="000000" w:themeColor="text1"/>
                <w:sz w:val="24"/>
                <w:szCs w:val="24"/>
                <w:lang w:val="it-IT"/>
              </w:rPr>
            </w:pPr>
            <w:r w:rsidRPr="008F3CEA">
              <w:rPr>
                <w:color w:val="000000" w:themeColor="text1"/>
              </w:rPr>
              <w:object w:dxaOrig="1975" w:dyaOrig="672">
                <v:shape id="_x0000_i1037" type="#_x0000_t75" style="width:89.25pt;height:28.5pt" o:ole="">
                  <v:imagedata r:id="rId119" o:title=""/>
                </v:shape>
                <o:OLEObject Type="Embed" ProgID="ChemDraw.Document.6.0" ShapeID="_x0000_i1037" DrawAspect="Content" ObjectID="_1406466511" r:id="rId120"/>
              </w:object>
            </w:r>
          </w:p>
        </w:tc>
      </w:tr>
      <w:tr w:rsidR="00550A30" w:rsidRPr="008F3CEA" w:rsidTr="009925A1">
        <w:trPr>
          <w:jc w:val="center"/>
        </w:trPr>
        <w:tc>
          <w:tcPr>
            <w:tcW w:w="2975" w:type="dxa"/>
            <w:tcBorders>
              <w:top w:val="single" w:sz="8" w:space="0" w:color="000000"/>
              <w:left w:val="nil"/>
              <w:bottom w:val="single" w:sz="8" w:space="0" w:color="000000"/>
            </w:tcBorders>
            <w:shd w:val="clear" w:color="auto" w:fill="EEECE1" w:themeFill="background2"/>
            <w:vAlign w:val="center"/>
          </w:tcPr>
          <w:p w:rsidR="00550A30" w:rsidRPr="008F3CEA" w:rsidRDefault="00550A30" w:rsidP="009925A1">
            <w:pPr>
              <w:autoSpaceDE w:val="0"/>
              <w:autoSpaceDN w:val="0"/>
              <w:adjustRightInd w:val="0"/>
              <w:jc w:val="center"/>
              <w:rPr>
                <w:b/>
                <w:bCs/>
                <w:color w:val="000000" w:themeColor="text1"/>
                <w:sz w:val="24"/>
                <w:szCs w:val="24"/>
                <w:lang w:val="it-IT"/>
              </w:rPr>
            </w:pPr>
            <w:r w:rsidRPr="008F3CEA">
              <w:rPr>
                <w:b/>
                <w:bCs/>
                <w:color w:val="000000" w:themeColor="text1"/>
                <w:sz w:val="24"/>
                <w:szCs w:val="24"/>
                <w:lang w:val="it-IT"/>
              </w:rPr>
              <w:t>1,4-butane diamine</w:t>
            </w:r>
          </w:p>
        </w:tc>
        <w:tc>
          <w:tcPr>
            <w:tcW w:w="5102" w:type="dxa"/>
            <w:tcBorders>
              <w:top w:val="single" w:sz="8" w:space="0" w:color="000000"/>
              <w:bottom w:val="single" w:sz="8" w:space="0" w:color="000000"/>
              <w:right w:val="nil"/>
            </w:tcBorders>
            <w:shd w:val="clear" w:color="auto" w:fill="EEECE1" w:themeFill="background2"/>
            <w:vAlign w:val="center"/>
          </w:tcPr>
          <w:p w:rsidR="00550A30" w:rsidRPr="008F3CEA" w:rsidRDefault="00550A30" w:rsidP="009925A1">
            <w:pPr>
              <w:autoSpaceDE w:val="0"/>
              <w:autoSpaceDN w:val="0"/>
              <w:adjustRightInd w:val="0"/>
              <w:jc w:val="center"/>
              <w:rPr>
                <w:color w:val="000000" w:themeColor="text1"/>
                <w:sz w:val="24"/>
                <w:szCs w:val="24"/>
                <w:lang w:val="it-IT"/>
              </w:rPr>
            </w:pPr>
            <w:r w:rsidRPr="008F3CEA">
              <w:rPr>
                <w:color w:val="000000" w:themeColor="text1"/>
              </w:rPr>
              <w:object w:dxaOrig="1981" w:dyaOrig="672">
                <v:shape id="_x0000_i1038" type="#_x0000_t75" style="width:83.25pt;height:28.5pt" o:ole="">
                  <v:imagedata r:id="rId121" o:title=""/>
                </v:shape>
                <o:OLEObject Type="Embed" ProgID="ChemDraw.Document.6.0" ShapeID="_x0000_i1038" DrawAspect="Content" ObjectID="_1406466512" r:id="rId122"/>
              </w:object>
            </w:r>
          </w:p>
        </w:tc>
      </w:tr>
      <w:tr w:rsidR="00550A30" w:rsidRPr="008F3CEA" w:rsidTr="009925A1">
        <w:trPr>
          <w:jc w:val="center"/>
        </w:trPr>
        <w:tc>
          <w:tcPr>
            <w:tcW w:w="2975" w:type="dxa"/>
            <w:tcBorders>
              <w:top w:val="single" w:sz="8" w:space="0" w:color="000000"/>
              <w:left w:val="nil"/>
              <w:bottom w:val="single" w:sz="8" w:space="0" w:color="000000"/>
            </w:tcBorders>
            <w:shd w:val="clear" w:color="auto" w:fill="EEECE1" w:themeFill="background2"/>
            <w:vAlign w:val="center"/>
          </w:tcPr>
          <w:p w:rsidR="00550A30" w:rsidRPr="008F3CEA" w:rsidRDefault="00550A30" w:rsidP="009925A1">
            <w:pPr>
              <w:autoSpaceDE w:val="0"/>
              <w:autoSpaceDN w:val="0"/>
              <w:adjustRightInd w:val="0"/>
              <w:jc w:val="center"/>
              <w:rPr>
                <w:b/>
                <w:bCs/>
                <w:color w:val="000000" w:themeColor="text1"/>
                <w:sz w:val="24"/>
                <w:szCs w:val="24"/>
                <w:lang w:val="it-IT"/>
              </w:rPr>
            </w:pPr>
            <w:r w:rsidRPr="008F3CEA">
              <w:rPr>
                <w:b/>
                <w:bCs/>
                <w:color w:val="000000" w:themeColor="text1"/>
                <w:sz w:val="24"/>
                <w:szCs w:val="24"/>
                <w:lang w:val="it-IT"/>
              </w:rPr>
              <w:t>Ethylene glycol</w:t>
            </w:r>
          </w:p>
        </w:tc>
        <w:tc>
          <w:tcPr>
            <w:tcW w:w="5102" w:type="dxa"/>
            <w:tcBorders>
              <w:top w:val="single" w:sz="8" w:space="0" w:color="000000"/>
              <w:bottom w:val="single" w:sz="8" w:space="0" w:color="000000"/>
              <w:right w:val="nil"/>
            </w:tcBorders>
            <w:shd w:val="clear" w:color="auto" w:fill="EEECE1" w:themeFill="background2"/>
            <w:vAlign w:val="center"/>
          </w:tcPr>
          <w:p w:rsidR="00550A30" w:rsidRPr="008F3CEA" w:rsidRDefault="00550A30" w:rsidP="009925A1">
            <w:pPr>
              <w:autoSpaceDE w:val="0"/>
              <w:autoSpaceDN w:val="0"/>
              <w:adjustRightInd w:val="0"/>
              <w:jc w:val="center"/>
              <w:rPr>
                <w:color w:val="000000" w:themeColor="text1"/>
                <w:sz w:val="24"/>
                <w:szCs w:val="24"/>
                <w:lang w:val="it-IT"/>
              </w:rPr>
            </w:pPr>
            <w:r w:rsidRPr="008F3CEA">
              <w:rPr>
                <w:color w:val="000000" w:themeColor="text1"/>
              </w:rPr>
              <w:object w:dxaOrig="1975" w:dyaOrig="672">
                <v:shape id="_x0000_i1039" type="#_x0000_t75" style="width:87pt;height:28.5pt" o:ole="">
                  <v:imagedata r:id="rId123" o:title=""/>
                </v:shape>
                <o:OLEObject Type="Embed" ProgID="ChemDraw.Document.6.0" ShapeID="_x0000_i1039" DrawAspect="Content" ObjectID="_1406466513" r:id="rId124"/>
              </w:object>
            </w:r>
          </w:p>
        </w:tc>
      </w:tr>
      <w:tr w:rsidR="00550A30" w:rsidRPr="008F3CEA" w:rsidTr="009925A1">
        <w:trPr>
          <w:jc w:val="center"/>
        </w:trPr>
        <w:tc>
          <w:tcPr>
            <w:tcW w:w="2975" w:type="dxa"/>
            <w:tcBorders>
              <w:top w:val="single" w:sz="8" w:space="0" w:color="000000"/>
              <w:left w:val="nil"/>
              <w:bottom w:val="single" w:sz="8" w:space="0" w:color="000000"/>
            </w:tcBorders>
            <w:shd w:val="clear" w:color="auto" w:fill="EEECE1" w:themeFill="background2"/>
            <w:vAlign w:val="center"/>
          </w:tcPr>
          <w:p w:rsidR="00550A30" w:rsidRPr="008F3CEA" w:rsidRDefault="00550A30" w:rsidP="009925A1">
            <w:pPr>
              <w:autoSpaceDE w:val="0"/>
              <w:autoSpaceDN w:val="0"/>
              <w:adjustRightInd w:val="0"/>
              <w:jc w:val="center"/>
              <w:rPr>
                <w:b/>
                <w:bCs/>
                <w:color w:val="000000" w:themeColor="text1"/>
                <w:sz w:val="24"/>
                <w:szCs w:val="24"/>
                <w:lang w:val="it-IT"/>
              </w:rPr>
            </w:pPr>
            <w:r w:rsidRPr="008F3CEA">
              <w:rPr>
                <w:b/>
                <w:bCs/>
                <w:color w:val="000000" w:themeColor="text1"/>
                <w:sz w:val="24"/>
                <w:szCs w:val="24"/>
                <w:lang w:val="it-IT"/>
              </w:rPr>
              <w:t>Ethylene diamine</w:t>
            </w:r>
          </w:p>
        </w:tc>
        <w:tc>
          <w:tcPr>
            <w:tcW w:w="5102" w:type="dxa"/>
            <w:tcBorders>
              <w:top w:val="single" w:sz="8" w:space="0" w:color="000000"/>
              <w:bottom w:val="single" w:sz="8" w:space="0" w:color="000000"/>
              <w:right w:val="nil"/>
            </w:tcBorders>
            <w:shd w:val="clear" w:color="auto" w:fill="EEECE1" w:themeFill="background2"/>
            <w:vAlign w:val="center"/>
          </w:tcPr>
          <w:p w:rsidR="00550A30" w:rsidRPr="008F3CEA" w:rsidRDefault="00550A30" w:rsidP="009925A1">
            <w:pPr>
              <w:autoSpaceDE w:val="0"/>
              <w:autoSpaceDN w:val="0"/>
              <w:adjustRightInd w:val="0"/>
              <w:jc w:val="center"/>
              <w:rPr>
                <w:color w:val="000000" w:themeColor="text1"/>
                <w:sz w:val="24"/>
                <w:szCs w:val="24"/>
                <w:lang w:val="it-IT"/>
              </w:rPr>
            </w:pPr>
            <w:r w:rsidRPr="008F3CEA">
              <w:rPr>
                <w:color w:val="000000" w:themeColor="text1"/>
              </w:rPr>
              <w:object w:dxaOrig="1981" w:dyaOrig="672">
                <v:shape id="_x0000_i1040" type="#_x0000_t75" style="width:87pt;height:30pt" o:ole="">
                  <v:imagedata r:id="rId125" o:title=""/>
                </v:shape>
                <o:OLEObject Type="Embed" ProgID="ChemDraw.Document.6.0" ShapeID="_x0000_i1040" DrawAspect="Content" ObjectID="_1406466514" r:id="rId126"/>
              </w:object>
            </w:r>
          </w:p>
        </w:tc>
      </w:tr>
      <w:tr w:rsidR="00550A30" w:rsidRPr="008F3CEA" w:rsidTr="009925A1">
        <w:trPr>
          <w:jc w:val="center"/>
        </w:trPr>
        <w:tc>
          <w:tcPr>
            <w:tcW w:w="2975" w:type="dxa"/>
            <w:tcBorders>
              <w:top w:val="single" w:sz="8" w:space="0" w:color="000000"/>
              <w:left w:val="nil"/>
              <w:bottom w:val="single" w:sz="8" w:space="0" w:color="000000"/>
            </w:tcBorders>
            <w:shd w:val="clear" w:color="auto" w:fill="EEECE1" w:themeFill="background2"/>
            <w:vAlign w:val="center"/>
          </w:tcPr>
          <w:p w:rsidR="00550A30" w:rsidRPr="008F3CEA" w:rsidRDefault="00550A30" w:rsidP="009925A1">
            <w:pPr>
              <w:autoSpaceDE w:val="0"/>
              <w:autoSpaceDN w:val="0"/>
              <w:adjustRightInd w:val="0"/>
              <w:jc w:val="center"/>
              <w:rPr>
                <w:b/>
                <w:bCs/>
                <w:color w:val="000000" w:themeColor="text1"/>
                <w:sz w:val="24"/>
                <w:szCs w:val="24"/>
                <w:lang w:val="it-IT"/>
              </w:rPr>
            </w:pPr>
            <w:r w:rsidRPr="008F3CEA">
              <w:rPr>
                <w:b/>
                <w:bCs/>
                <w:color w:val="000000" w:themeColor="text1"/>
                <w:sz w:val="24"/>
                <w:szCs w:val="24"/>
                <w:lang w:val="it-IT"/>
              </w:rPr>
              <w:t>Exanediol</w:t>
            </w:r>
          </w:p>
        </w:tc>
        <w:tc>
          <w:tcPr>
            <w:tcW w:w="5102" w:type="dxa"/>
            <w:tcBorders>
              <w:top w:val="single" w:sz="8" w:space="0" w:color="000000"/>
              <w:bottom w:val="single" w:sz="8" w:space="0" w:color="000000"/>
              <w:right w:val="nil"/>
            </w:tcBorders>
            <w:shd w:val="clear" w:color="auto" w:fill="EEECE1" w:themeFill="background2"/>
            <w:vAlign w:val="center"/>
          </w:tcPr>
          <w:p w:rsidR="00550A30" w:rsidRPr="008F3CEA" w:rsidRDefault="00550A30" w:rsidP="009925A1">
            <w:pPr>
              <w:autoSpaceDE w:val="0"/>
              <w:autoSpaceDN w:val="0"/>
              <w:adjustRightInd w:val="0"/>
              <w:jc w:val="center"/>
              <w:rPr>
                <w:color w:val="000000" w:themeColor="text1"/>
                <w:sz w:val="24"/>
                <w:szCs w:val="24"/>
                <w:lang w:val="it-IT"/>
              </w:rPr>
            </w:pPr>
            <w:r w:rsidRPr="008F3CEA">
              <w:rPr>
                <w:color w:val="000000" w:themeColor="text1"/>
              </w:rPr>
              <w:object w:dxaOrig="1975" w:dyaOrig="672">
                <v:shape id="_x0000_i1041" type="#_x0000_t75" style="width:87pt;height:30pt" o:ole="">
                  <v:imagedata r:id="rId127" o:title=""/>
                </v:shape>
                <o:OLEObject Type="Embed" ProgID="ChemDraw.Document.6.0" ShapeID="_x0000_i1041" DrawAspect="Content" ObjectID="_1406466515" r:id="rId128"/>
              </w:object>
            </w:r>
          </w:p>
        </w:tc>
      </w:tr>
      <w:tr w:rsidR="00550A30" w:rsidRPr="008F3CEA" w:rsidTr="009925A1">
        <w:trPr>
          <w:trHeight w:val="1109"/>
          <w:jc w:val="center"/>
        </w:trPr>
        <w:tc>
          <w:tcPr>
            <w:tcW w:w="2975" w:type="dxa"/>
            <w:tcBorders>
              <w:top w:val="single" w:sz="8" w:space="0" w:color="000000"/>
              <w:left w:val="nil"/>
              <w:bottom w:val="single" w:sz="8" w:space="0" w:color="000000"/>
            </w:tcBorders>
            <w:shd w:val="clear" w:color="auto" w:fill="EEECE1" w:themeFill="background2"/>
            <w:vAlign w:val="center"/>
          </w:tcPr>
          <w:p w:rsidR="00550A30" w:rsidRPr="008F3CEA" w:rsidRDefault="00550A30" w:rsidP="009925A1">
            <w:pPr>
              <w:autoSpaceDE w:val="0"/>
              <w:autoSpaceDN w:val="0"/>
              <w:adjustRightInd w:val="0"/>
              <w:jc w:val="center"/>
              <w:rPr>
                <w:b/>
                <w:bCs/>
                <w:color w:val="000000" w:themeColor="text1"/>
                <w:sz w:val="24"/>
                <w:szCs w:val="24"/>
                <w:lang w:val="it-IT"/>
              </w:rPr>
            </w:pPr>
            <w:r w:rsidRPr="008F3CEA">
              <w:rPr>
                <w:b/>
                <w:bCs/>
                <w:color w:val="000000" w:themeColor="text1"/>
                <w:sz w:val="24"/>
                <w:szCs w:val="24"/>
                <w:lang w:val="it-IT"/>
              </w:rPr>
              <w:t>1,4 Cyclohexane dimethanol</w:t>
            </w:r>
          </w:p>
        </w:tc>
        <w:tc>
          <w:tcPr>
            <w:tcW w:w="5102" w:type="dxa"/>
            <w:tcBorders>
              <w:top w:val="single" w:sz="8" w:space="0" w:color="000000"/>
              <w:bottom w:val="single" w:sz="8" w:space="0" w:color="000000"/>
              <w:right w:val="nil"/>
            </w:tcBorders>
            <w:shd w:val="clear" w:color="auto" w:fill="EEECE1" w:themeFill="background2"/>
            <w:vAlign w:val="center"/>
          </w:tcPr>
          <w:p w:rsidR="00550A30" w:rsidRPr="008F3CEA" w:rsidRDefault="00550A30" w:rsidP="009925A1">
            <w:pPr>
              <w:autoSpaceDE w:val="0"/>
              <w:autoSpaceDN w:val="0"/>
              <w:adjustRightInd w:val="0"/>
              <w:jc w:val="center"/>
              <w:rPr>
                <w:color w:val="000000" w:themeColor="text1"/>
                <w:sz w:val="24"/>
                <w:szCs w:val="24"/>
                <w:lang w:val="it-IT"/>
              </w:rPr>
            </w:pPr>
            <w:r w:rsidRPr="008F3CEA">
              <w:rPr>
                <w:color w:val="000000" w:themeColor="text1"/>
              </w:rPr>
              <w:object w:dxaOrig="2592" w:dyaOrig="951">
                <v:shape id="_x0000_i1042" type="#_x0000_t75" style="width:117.75pt;height:43.5pt" o:ole="">
                  <v:imagedata r:id="rId129" o:title=""/>
                </v:shape>
                <o:OLEObject Type="Embed" ProgID="ChemDraw.Document.6.0" ShapeID="_x0000_i1042" DrawAspect="Content" ObjectID="_1406466516" r:id="rId130"/>
              </w:object>
            </w:r>
          </w:p>
        </w:tc>
      </w:tr>
    </w:tbl>
    <w:p w:rsidR="00550A30" w:rsidRPr="008F3CEA" w:rsidRDefault="00550A30" w:rsidP="00550A30">
      <w:pPr>
        <w:pStyle w:val="Didascalia"/>
        <w:spacing w:before="120"/>
        <w:rPr>
          <w:rFonts w:ascii="Arial" w:hAnsi="Arial" w:cs="Arial"/>
          <w:sz w:val="24"/>
          <w:szCs w:val="24"/>
          <w:lang w:val="en-US"/>
        </w:rPr>
      </w:pPr>
      <w:r w:rsidRPr="008F3CEA">
        <w:t xml:space="preserve">Table A. </w:t>
      </w:r>
      <w:fldSimple w:instr=" SEQ Table_5. \* ARABIC ">
        <w:r w:rsidRPr="008F3CEA">
          <w:rPr>
            <w:noProof/>
          </w:rPr>
          <w:t>3</w:t>
        </w:r>
      </w:fldSimple>
      <w:r w:rsidRPr="008F3CEA">
        <w:t xml:space="preserve"> List of chain extenders used during PU synthesis. Adapted from [5]</w:t>
      </w:r>
      <w:r w:rsidRPr="008F3CEA">
        <w:rPr>
          <w:lang w:val="en-US"/>
        </w:rPr>
        <w:t>.</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In general, aliphatic chain extenders bring to softer materials while cyclic ones or a mixture of the two can be adopted to increase the rigidity of the polymer.</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Diamine-based chain extenders react rapidly and vigorously to produce urea groups, for the production of polyurethane-urea polymer. </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Glycol extended PUs are more flexible but less strong than amine-extended analogs. </w:t>
      </w:r>
    </w:p>
    <w:p w:rsidR="00D873AE" w:rsidRDefault="00D873AE" w:rsidP="00550A30">
      <w:pPr>
        <w:spacing w:before="240" w:after="240"/>
        <w:rPr>
          <w:rFonts w:ascii="Arial" w:hAnsi="Arial" w:cs="Arial"/>
          <w:b/>
          <w:sz w:val="24"/>
          <w:szCs w:val="24"/>
          <w:lang w:val="en-US"/>
        </w:rPr>
      </w:pPr>
    </w:p>
    <w:p w:rsidR="00D873AE" w:rsidRDefault="00D873AE" w:rsidP="00550A30">
      <w:pPr>
        <w:spacing w:before="240" w:after="240"/>
        <w:rPr>
          <w:rFonts w:ascii="Arial" w:hAnsi="Arial" w:cs="Arial"/>
          <w:b/>
          <w:sz w:val="24"/>
          <w:szCs w:val="24"/>
          <w:lang w:val="en-US"/>
        </w:rPr>
      </w:pPr>
    </w:p>
    <w:p w:rsidR="00D873AE" w:rsidRDefault="00D873AE" w:rsidP="00550A30">
      <w:pPr>
        <w:spacing w:before="240" w:after="240"/>
        <w:rPr>
          <w:rFonts w:ascii="Arial" w:hAnsi="Arial" w:cs="Arial"/>
          <w:b/>
          <w:sz w:val="24"/>
          <w:szCs w:val="24"/>
          <w:lang w:val="en-US"/>
        </w:rPr>
      </w:pPr>
    </w:p>
    <w:p w:rsidR="00550A30" w:rsidRPr="008F3CEA" w:rsidRDefault="00550A30" w:rsidP="00550A30">
      <w:pPr>
        <w:spacing w:before="240" w:after="240"/>
        <w:rPr>
          <w:rFonts w:ascii="Arial" w:hAnsi="Arial" w:cs="Arial"/>
          <w:b/>
          <w:sz w:val="24"/>
          <w:szCs w:val="24"/>
          <w:lang w:val="en-US"/>
        </w:rPr>
      </w:pPr>
      <w:r w:rsidRPr="008F3CEA">
        <w:rPr>
          <w:rFonts w:ascii="Arial" w:hAnsi="Arial" w:cs="Arial"/>
          <w:b/>
          <w:sz w:val="24"/>
          <w:szCs w:val="24"/>
          <w:lang w:val="en-US"/>
        </w:rPr>
        <w:lastRenderedPageBreak/>
        <w:t>A.4 Tuning PU properties</w:t>
      </w:r>
    </w:p>
    <w:p w:rsidR="00550A30" w:rsidRPr="008F3CEA" w:rsidRDefault="00550A30" w:rsidP="00550A30">
      <w:pPr>
        <w:spacing w:before="240" w:after="240"/>
        <w:rPr>
          <w:rFonts w:ascii="Arial" w:hAnsi="Arial" w:cs="Arial"/>
          <w:b/>
          <w:sz w:val="24"/>
          <w:szCs w:val="24"/>
          <w:lang w:val="en-US"/>
        </w:rPr>
      </w:pPr>
      <w:r w:rsidRPr="008F3CEA">
        <w:rPr>
          <w:rFonts w:ascii="Arial" w:hAnsi="Arial" w:cs="Arial"/>
          <w:b/>
          <w:sz w:val="24"/>
          <w:szCs w:val="24"/>
          <w:lang w:val="en-US"/>
        </w:rPr>
        <w:t xml:space="preserve">A.4.1 Bulk modification </w:t>
      </w:r>
    </w:p>
    <w:p w:rsidR="00550A30" w:rsidRPr="008F3CEA" w:rsidRDefault="00550A30" w:rsidP="00550A30">
      <w:pPr>
        <w:spacing w:before="240" w:after="0" w:line="360" w:lineRule="auto"/>
        <w:jc w:val="both"/>
        <w:rPr>
          <w:rFonts w:ascii="Arial" w:hAnsi="Arial" w:cs="Arial"/>
          <w:sz w:val="24"/>
          <w:szCs w:val="24"/>
          <w:lang w:val="en-US"/>
        </w:rPr>
      </w:pPr>
      <w:r w:rsidRPr="008F3CEA">
        <w:rPr>
          <w:rFonts w:ascii="Arial" w:hAnsi="Arial" w:cs="Arial"/>
          <w:sz w:val="24"/>
          <w:szCs w:val="24"/>
          <w:lang w:val="en-US"/>
        </w:rPr>
        <w:t>Polyurethanes are versatile polymers and therefore provides a great variety of synthesis options. By selecting the chemistry of each reagent (diisocyanate, soft or hard segment, chain extender) it is possible to incorporate specific functional groups inside the polymer structure, according to the selected application.</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 xml:space="preserve">These groups can modify the biological performance or can provide sites for further modification, to improve biocompatibility. Ionic groups, such as sulfonate, carboxyl or amino groups can be incorporated to change the physico-chemical properties of the material [7]. Other additives, such as anti-oxidants, proteins or surfactants, can be added during the synthesis [8]. These molecules are then able to migrate towards the surface, once implanted </w:t>
      </w:r>
      <w:r w:rsidRPr="008F3CEA">
        <w:rPr>
          <w:rFonts w:ascii="Arial" w:hAnsi="Arial" w:cs="Arial"/>
          <w:i/>
          <w:sz w:val="24"/>
          <w:szCs w:val="24"/>
          <w:lang w:val="en-US"/>
        </w:rPr>
        <w:t>in vivo</w:t>
      </w:r>
      <w:r w:rsidRPr="008F3CEA">
        <w:rPr>
          <w:rFonts w:ascii="Arial" w:hAnsi="Arial" w:cs="Arial"/>
          <w:sz w:val="24"/>
          <w:szCs w:val="24"/>
          <w:lang w:val="en-US"/>
        </w:rPr>
        <w:t xml:space="preserve"> providing excellent biomimetic properties and increasing biocompatibility.  </w:t>
      </w:r>
    </w:p>
    <w:p w:rsidR="00550A30" w:rsidRPr="008F3CEA" w:rsidRDefault="00550A30" w:rsidP="00550A30">
      <w:pPr>
        <w:spacing w:before="240" w:after="240"/>
        <w:rPr>
          <w:rFonts w:ascii="Arial" w:hAnsi="Arial" w:cs="Arial"/>
          <w:b/>
          <w:sz w:val="24"/>
          <w:szCs w:val="24"/>
          <w:lang w:val="en-US"/>
        </w:rPr>
      </w:pPr>
      <w:r w:rsidRPr="008F3CEA">
        <w:rPr>
          <w:rFonts w:ascii="Arial" w:hAnsi="Arial" w:cs="Arial"/>
          <w:b/>
          <w:sz w:val="24"/>
          <w:szCs w:val="24"/>
          <w:lang w:val="en-US"/>
        </w:rPr>
        <w:t>A.4.2 Surface modification</w:t>
      </w:r>
    </w:p>
    <w:p w:rsidR="00550A30" w:rsidRPr="008F3CEA" w:rsidRDefault="00550A30" w:rsidP="00550A30">
      <w:pPr>
        <w:spacing w:after="0" w:line="360" w:lineRule="auto"/>
        <w:jc w:val="both"/>
        <w:rPr>
          <w:rFonts w:ascii="Arial" w:hAnsi="Arial" w:cs="Arial"/>
          <w:sz w:val="24"/>
          <w:szCs w:val="24"/>
          <w:lang w:val="en-US"/>
        </w:rPr>
      </w:pPr>
      <w:r w:rsidRPr="008F3CEA">
        <w:rPr>
          <w:rFonts w:ascii="Arial" w:hAnsi="Arial" w:cs="Arial"/>
          <w:sz w:val="24"/>
          <w:szCs w:val="24"/>
          <w:lang w:val="en-US"/>
        </w:rPr>
        <w:t>Modification of the bulk material, often results in surface modification as well. Since this approach may cause excessive alteration of the physico-chemical properties, treatments for surface modification have been developed, including: (i) surface treatment after bulk modification and (ii) surface treatment alone. The insertion of carboxyl groups in the bulk material can be exploited for further attachments of peptides to the surface, as proposed by Lin et al. [9]. Heparinized surfaces to improve the hemocompatibility of the material have been obtained by incorporating ammonium groups which are able to bind Heparin through the formation of ionic bonds [10]. Molecules, such as pharmaceutical agents, peptides etc., can be covalently attached to the surface through the use of diisocyanate bridges. A large number of molecules can be attached to the surface, including poly(ethylene oxide) (PEO), albumin and heparin [11,12]. Other techniques for surface modification include graft photo-polymerization [13] and plasma glow discharge technology [14].</w:t>
      </w:r>
    </w:p>
    <w:p w:rsidR="00550A30" w:rsidRPr="008F3CEA" w:rsidRDefault="00550A30" w:rsidP="00550A30">
      <w:pPr>
        <w:spacing w:before="240" w:after="240"/>
        <w:rPr>
          <w:rFonts w:ascii="Arial" w:hAnsi="Arial" w:cs="Arial"/>
          <w:b/>
          <w:sz w:val="24"/>
          <w:szCs w:val="24"/>
          <w:lang w:val="en-US"/>
        </w:rPr>
      </w:pPr>
      <w:r w:rsidRPr="008F3CEA">
        <w:rPr>
          <w:rFonts w:ascii="Arial" w:hAnsi="Arial" w:cs="Arial"/>
          <w:b/>
          <w:sz w:val="24"/>
          <w:szCs w:val="24"/>
          <w:lang w:val="en-US"/>
        </w:rPr>
        <w:t>A.5 Biodegradation of Polyurethanes</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It is known that many PU degrade </w:t>
      </w:r>
      <w:r w:rsidRPr="008F3CEA">
        <w:rPr>
          <w:rFonts w:ascii="Arial" w:hAnsi="Arial" w:cs="Arial"/>
          <w:i/>
          <w:sz w:val="24"/>
          <w:szCs w:val="24"/>
          <w:lang w:val="en-US"/>
        </w:rPr>
        <w:t xml:space="preserve">in vivo </w:t>
      </w:r>
      <w:r w:rsidRPr="008F3CEA">
        <w:rPr>
          <w:rFonts w:ascii="Arial" w:hAnsi="Arial" w:cs="Arial"/>
          <w:sz w:val="24"/>
          <w:szCs w:val="24"/>
          <w:lang w:val="en-US"/>
        </w:rPr>
        <w:t>as a result of a number of processes, including hydrolysis and oxidation, leading to significant changes in the mechanical properties and surface chemistry of the material [5].</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lastRenderedPageBreak/>
        <w:t>In general, when polyesters are used as macrodiols, the material is more sensitive to hydrolytic degradation; while if the PU is based on polyether diols oxidation will be the main mechanism of degradation.</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Hydrolysis is one of main mechanisms of degradation of PU in aqueous environment. Urethane bonds are little susceptible to hydrolysis and the process is facilitated by the presence of ester bonds or polar groups in the polymer. </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The hydrolysis rate depends upon the reactivity of the chemical bonds and on the concentration of water inside the polymer, which is also dependent on the diffusion properties of the material. </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Hydrolysis results in the cleavage of polymer chains, which causes a reduction of the molecular weight and therefore an alteration of the mechanical and physical properties of the material. </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Different components, like cells, enzymes, vitamins, water, salts and peroxides are responsible for the degradation of these materials. Generally, for hydrophobic PUs degradation involves only the surface, while more hydrophilic materials undergo bulk hydrolysis.</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In chemically active media, like plasma, degradation occurs through different stages:</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1. Adsorption of the medium on the polymer surface</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2. Diffusion into the bulk material</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3. Chemical reaction with the chemically unstable bonds of the material</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4. Desorption and diffusion of the degradation products out of the material. </w:t>
      </w:r>
    </w:p>
    <w:p w:rsidR="00550A30" w:rsidRPr="008F3CEA" w:rsidRDefault="00550A30" w:rsidP="00550A30">
      <w:pPr>
        <w:autoSpaceDE w:val="0"/>
        <w:autoSpaceDN w:val="0"/>
        <w:adjustRightInd w:val="0"/>
        <w:spacing w:after="0" w:line="240" w:lineRule="auto"/>
        <w:rPr>
          <w:rFonts w:ascii="Arial" w:hAnsi="Arial" w:cs="Arial"/>
          <w:sz w:val="24"/>
          <w:szCs w:val="24"/>
          <w:lang w:val="en-US"/>
        </w:rPr>
      </w:pP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Different enzymes and Fungi are also known to cause PU degradation [2]. Porcine pancreatic elastase rapidly degrades polyester-based PU, at 10-times higher rate than polyether PUs [15]. Phua et al. [16] tested the activity of two proteolitic enzymes, papain and urease, on polyether PUs, demonstrating that papain is able to degrade both cross-linked and not cross-linked polymers, by hydrolyzing the urethane and urea linkages producing free amine and hydroxyl groups. Urease activity, because of its high molecular weight (473 kDa), was limited to the PU surface and therefore was not significant. </w:t>
      </w:r>
    </w:p>
    <w:p w:rsidR="00550A30" w:rsidRPr="008F3CEA" w:rsidRDefault="00550A30" w:rsidP="00550A30">
      <w:pPr>
        <w:spacing w:before="240" w:after="240"/>
        <w:rPr>
          <w:rFonts w:ascii="Arial" w:hAnsi="Arial" w:cs="Arial"/>
          <w:b/>
          <w:sz w:val="24"/>
          <w:szCs w:val="24"/>
          <w:lang w:val="en-US"/>
        </w:rPr>
      </w:pPr>
      <w:r w:rsidRPr="008F3CEA">
        <w:rPr>
          <w:rFonts w:ascii="Arial" w:hAnsi="Arial" w:cs="Arial"/>
          <w:b/>
          <w:sz w:val="24"/>
          <w:szCs w:val="24"/>
          <w:lang w:val="en-US"/>
        </w:rPr>
        <w:t>References</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[1] Bayer O. </w:t>
      </w:r>
      <w:r w:rsidRPr="008F3CEA">
        <w:rPr>
          <w:rFonts w:ascii="Arial" w:hAnsi="Arial" w:cs="Arial"/>
          <w:b/>
          <w:sz w:val="24"/>
          <w:szCs w:val="24"/>
          <w:lang w:val="en-US"/>
        </w:rPr>
        <w:t>1947</w:t>
      </w:r>
      <w:r w:rsidRPr="008F3CEA">
        <w:rPr>
          <w:rFonts w:ascii="Arial" w:hAnsi="Arial" w:cs="Arial"/>
          <w:sz w:val="24"/>
          <w:szCs w:val="24"/>
          <w:lang w:val="en-US"/>
        </w:rPr>
        <w:t xml:space="preserve"> Modern plastics 24: 149</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[2] Howard G.T. </w:t>
      </w:r>
      <w:r w:rsidRPr="008F3CEA">
        <w:rPr>
          <w:rFonts w:ascii="Arial" w:hAnsi="Arial" w:cs="Arial"/>
          <w:b/>
          <w:sz w:val="24"/>
          <w:szCs w:val="24"/>
          <w:lang w:val="en-US"/>
        </w:rPr>
        <w:t>2002</w:t>
      </w:r>
      <w:r w:rsidRPr="008F3CEA">
        <w:rPr>
          <w:rFonts w:ascii="Arial" w:hAnsi="Arial" w:cs="Arial"/>
          <w:sz w:val="24"/>
          <w:szCs w:val="24"/>
          <w:lang w:val="en-US"/>
        </w:rPr>
        <w:t xml:space="preserve"> Int. Biodeterioration Biodegradation 49:245 </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lastRenderedPageBreak/>
        <w:t xml:space="preserve">[3] Saunders JH et al. </w:t>
      </w:r>
      <w:r w:rsidRPr="008F3CEA">
        <w:rPr>
          <w:rFonts w:ascii="Arial" w:hAnsi="Arial" w:cs="Arial"/>
          <w:b/>
          <w:sz w:val="24"/>
          <w:szCs w:val="24"/>
          <w:lang w:val="en-US"/>
        </w:rPr>
        <w:t>1964</w:t>
      </w:r>
      <w:r w:rsidRPr="008F3CEA">
        <w:rPr>
          <w:rFonts w:ascii="Arial" w:hAnsi="Arial" w:cs="Arial"/>
          <w:sz w:val="24"/>
          <w:szCs w:val="24"/>
          <w:lang w:val="en-US"/>
        </w:rPr>
        <w:t xml:space="preserve"> in: Polyurethanes: chemistry and technology part II: technology. Interscience publishers, New York. </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[4] Urbanski J. et al. </w:t>
      </w:r>
      <w:r w:rsidRPr="008F3CEA">
        <w:rPr>
          <w:rFonts w:ascii="Arial" w:hAnsi="Arial" w:cs="Arial"/>
          <w:b/>
          <w:sz w:val="24"/>
          <w:szCs w:val="24"/>
          <w:lang w:val="en-US"/>
        </w:rPr>
        <w:t xml:space="preserve">1977 </w:t>
      </w:r>
      <w:r w:rsidRPr="008F3CEA">
        <w:rPr>
          <w:rFonts w:ascii="Arial" w:hAnsi="Arial" w:cs="Arial"/>
          <w:sz w:val="24"/>
          <w:szCs w:val="24"/>
          <w:lang w:val="en-US"/>
        </w:rPr>
        <w:t>in: Handbook</w:t>
      </w:r>
      <w:r w:rsidRPr="008F3CEA">
        <w:rPr>
          <w:rFonts w:ascii="Arial" w:hAnsi="Arial" w:cs="Arial"/>
          <w:b/>
          <w:sz w:val="24"/>
          <w:szCs w:val="24"/>
          <w:lang w:val="en-US"/>
        </w:rPr>
        <w:t xml:space="preserve"> </w:t>
      </w:r>
      <w:r w:rsidRPr="008F3CEA">
        <w:rPr>
          <w:rFonts w:ascii="Arial" w:hAnsi="Arial" w:cs="Arial"/>
          <w:sz w:val="24"/>
          <w:szCs w:val="24"/>
          <w:lang w:val="en-US"/>
        </w:rPr>
        <w:t>of analysis of synthetic polymers and plastics. Hellis Horwood Limited, Chichester, UK.</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[5] Lamba N.M.K. et al. </w:t>
      </w:r>
      <w:r w:rsidRPr="008F3CEA">
        <w:rPr>
          <w:rFonts w:ascii="Arial" w:hAnsi="Arial" w:cs="Arial"/>
          <w:b/>
          <w:sz w:val="24"/>
          <w:szCs w:val="24"/>
          <w:lang w:val="en-US"/>
        </w:rPr>
        <w:t xml:space="preserve">1998 </w:t>
      </w:r>
      <w:r w:rsidRPr="008F3CEA">
        <w:rPr>
          <w:rFonts w:ascii="Arial" w:hAnsi="Arial" w:cs="Arial"/>
          <w:sz w:val="24"/>
          <w:szCs w:val="24"/>
          <w:lang w:val="en-US"/>
        </w:rPr>
        <w:t>in: Polyurethanes in biomedical applications, CRC press</w:t>
      </w:r>
    </w:p>
    <w:p w:rsidR="00550A30" w:rsidRPr="008F3CEA" w:rsidRDefault="00550A30" w:rsidP="00550A30">
      <w:pPr>
        <w:autoSpaceDE w:val="0"/>
        <w:autoSpaceDN w:val="0"/>
        <w:adjustRightInd w:val="0"/>
        <w:spacing w:after="0" w:line="360" w:lineRule="auto"/>
        <w:jc w:val="both"/>
        <w:rPr>
          <w:rFonts w:ascii="Arial" w:hAnsi="Arial" w:cs="Arial"/>
          <w:noProof/>
          <w:sz w:val="24"/>
          <w:szCs w:val="24"/>
        </w:rPr>
      </w:pPr>
      <w:r w:rsidRPr="008F3CEA">
        <w:rPr>
          <w:rFonts w:ascii="Arial" w:hAnsi="Arial" w:cs="Arial"/>
          <w:sz w:val="24"/>
          <w:szCs w:val="24"/>
          <w:lang w:val="en-US"/>
        </w:rPr>
        <w:t xml:space="preserve">[6] </w:t>
      </w:r>
      <w:r w:rsidRPr="008F3CEA">
        <w:rPr>
          <w:rFonts w:ascii="Arial" w:hAnsi="Arial" w:cs="Arial"/>
          <w:bCs/>
          <w:noProof/>
          <w:sz w:val="24"/>
          <w:szCs w:val="24"/>
        </w:rPr>
        <w:t>Skarja G.A., Woodhouse K.A.</w:t>
      </w:r>
      <w:r w:rsidRPr="008F3CEA">
        <w:rPr>
          <w:rFonts w:ascii="Arial" w:hAnsi="Arial" w:cs="Arial"/>
          <w:noProof/>
          <w:sz w:val="24"/>
          <w:szCs w:val="24"/>
        </w:rPr>
        <w:t xml:space="preserve"> </w:t>
      </w:r>
      <w:r w:rsidRPr="008F3CEA">
        <w:rPr>
          <w:rFonts w:ascii="Arial" w:hAnsi="Arial" w:cs="Arial"/>
          <w:b/>
          <w:noProof/>
          <w:sz w:val="24"/>
          <w:szCs w:val="24"/>
        </w:rPr>
        <w:t>2000</w:t>
      </w:r>
      <w:r w:rsidRPr="008F3CEA">
        <w:rPr>
          <w:rFonts w:ascii="Arial" w:hAnsi="Arial" w:cs="Arial"/>
          <w:noProof/>
          <w:sz w:val="24"/>
          <w:szCs w:val="24"/>
        </w:rPr>
        <w:t xml:space="preserve"> Journal of Applied Polymer Science 75: 1522</w:t>
      </w:r>
    </w:p>
    <w:p w:rsidR="00550A30" w:rsidRPr="008F3CEA" w:rsidRDefault="00550A30" w:rsidP="00550A30">
      <w:pPr>
        <w:autoSpaceDE w:val="0"/>
        <w:autoSpaceDN w:val="0"/>
        <w:adjustRightInd w:val="0"/>
        <w:spacing w:after="0" w:line="360" w:lineRule="auto"/>
        <w:jc w:val="both"/>
        <w:rPr>
          <w:rFonts w:ascii="Arial" w:hAnsi="Arial" w:cs="Arial"/>
          <w:sz w:val="24"/>
          <w:szCs w:val="24"/>
          <w:lang w:val="fr-FR"/>
        </w:rPr>
      </w:pPr>
      <w:r w:rsidRPr="008F3CEA">
        <w:rPr>
          <w:rFonts w:ascii="Arial" w:hAnsi="Arial" w:cs="Arial"/>
          <w:sz w:val="24"/>
          <w:szCs w:val="24"/>
          <w:lang w:val="en-US"/>
        </w:rPr>
        <w:t xml:space="preserve">[7] Harvey R.A. et al. </w:t>
      </w:r>
      <w:r w:rsidRPr="008F3CEA">
        <w:rPr>
          <w:rFonts w:ascii="Arial" w:hAnsi="Arial" w:cs="Arial"/>
          <w:b/>
          <w:sz w:val="24"/>
          <w:szCs w:val="24"/>
          <w:lang w:val="en-US"/>
        </w:rPr>
        <w:t xml:space="preserve">1989 </w:t>
      </w:r>
      <w:r w:rsidRPr="008F3CEA">
        <w:rPr>
          <w:rFonts w:ascii="Arial" w:hAnsi="Arial" w:cs="Arial"/>
          <w:sz w:val="24"/>
          <w:szCs w:val="24"/>
          <w:lang w:val="en-US"/>
        </w:rPr>
        <w:t xml:space="preserve">Thromb. </w:t>
      </w:r>
      <w:r w:rsidRPr="008F3CEA">
        <w:rPr>
          <w:rFonts w:ascii="Arial" w:hAnsi="Arial" w:cs="Arial"/>
          <w:sz w:val="24"/>
          <w:szCs w:val="24"/>
          <w:lang w:val="fr-FR"/>
        </w:rPr>
        <w:t>Haemostat. 61:131</w:t>
      </w:r>
    </w:p>
    <w:p w:rsidR="00550A30" w:rsidRPr="008F3CEA" w:rsidRDefault="00550A30" w:rsidP="00550A30">
      <w:pPr>
        <w:autoSpaceDE w:val="0"/>
        <w:autoSpaceDN w:val="0"/>
        <w:adjustRightInd w:val="0"/>
        <w:spacing w:after="0" w:line="360" w:lineRule="auto"/>
        <w:jc w:val="both"/>
        <w:rPr>
          <w:rFonts w:ascii="Arial" w:hAnsi="Arial" w:cs="Arial"/>
          <w:sz w:val="24"/>
          <w:szCs w:val="24"/>
          <w:lang w:val="fr-FR"/>
        </w:rPr>
      </w:pPr>
      <w:r w:rsidRPr="008F3CEA">
        <w:rPr>
          <w:rFonts w:ascii="Arial" w:hAnsi="Arial" w:cs="Arial"/>
          <w:sz w:val="24"/>
          <w:szCs w:val="24"/>
          <w:lang w:val="fr-FR"/>
        </w:rPr>
        <w:t xml:space="preserve">[8] Santerre J.P. et al. </w:t>
      </w:r>
      <w:r w:rsidRPr="008F3CEA">
        <w:rPr>
          <w:rFonts w:ascii="Arial" w:hAnsi="Arial" w:cs="Arial"/>
          <w:b/>
          <w:sz w:val="24"/>
          <w:szCs w:val="24"/>
          <w:lang w:val="fr-FR"/>
        </w:rPr>
        <w:t xml:space="preserve">1991 </w:t>
      </w:r>
      <w:r w:rsidRPr="008F3CEA">
        <w:rPr>
          <w:rFonts w:ascii="Arial" w:hAnsi="Arial" w:cs="Arial"/>
          <w:sz w:val="24"/>
          <w:szCs w:val="24"/>
          <w:lang w:val="fr-FR"/>
        </w:rPr>
        <w:t>Macromolecules 24:5497</w:t>
      </w:r>
    </w:p>
    <w:p w:rsidR="00550A30" w:rsidRPr="008F3CEA" w:rsidRDefault="00550A30" w:rsidP="00550A30">
      <w:pPr>
        <w:autoSpaceDE w:val="0"/>
        <w:autoSpaceDN w:val="0"/>
        <w:adjustRightInd w:val="0"/>
        <w:spacing w:after="0" w:line="360" w:lineRule="auto"/>
        <w:jc w:val="both"/>
        <w:rPr>
          <w:rFonts w:ascii="Arial" w:hAnsi="Arial" w:cs="Arial"/>
          <w:sz w:val="24"/>
          <w:szCs w:val="24"/>
          <w:lang w:val="fr-FR"/>
        </w:rPr>
      </w:pPr>
      <w:r w:rsidRPr="008F3CEA">
        <w:rPr>
          <w:rFonts w:ascii="Arial" w:hAnsi="Arial" w:cs="Arial"/>
          <w:sz w:val="24"/>
          <w:szCs w:val="24"/>
          <w:lang w:val="fr-FR"/>
        </w:rPr>
        <w:t xml:space="preserve">[9] Lin H.B. et al. </w:t>
      </w:r>
      <w:r w:rsidRPr="008F3CEA">
        <w:rPr>
          <w:rFonts w:ascii="Arial" w:hAnsi="Arial" w:cs="Arial"/>
          <w:b/>
          <w:sz w:val="24"/>
          <w:szCs w:val="24"/>
          <w:lang w:val="fr-FR"/>
        </w:rPr>
        <w:t>1994</w:t>
      </w:r>
      <w:r w:rsidRPr="008F3CEA">
        <w:rPr>
          <w:rFonts w:ascii="Arial" w:hAnsi="Arial" w:cs="Arial"/>
          <w:sz w:val="24"/>
          <w:szCs w:val="24"/>
          <w:lang w:val="fr-FR"/>
        </w:rPr>
        <w:t xml:space="preserve"> J. Biomed. Mater. Res. 28:329</w:t>
      </w:r>
    </w:p>
    <w:p w:rsidR="00550A30" w:rsidRPr="008F3CEA" w:rsidRDefault="00550A30" w:rsidP="00550A30">
      <w:pPr>
        <w:autoSpaceDE w:val="0"/>
        <w:autoSpaceDN w:val="0"/>
        <w:adjustRightInd w:val="0"/>
        <w:spacing w:after="0" w:line="360" w:lineRule="auto"/>
        <w:jc w:val="both"/>
        <w:rPr>
          <w:rFonts w:ascii="Arial" w:hAnsi="Arial" w:cs="Arial"/>
          <w:sz w:val="24"/>
          <w:szCs w:val="24"/>
          <w:lang w:val="fr-FR"/>
        </w:rPr>
      </w:pPr>
      <w:r w:rsidRPr="008F3CEA">
        <w:rPr>
          <w:rFonts w:ascii="Arial" w:hAnsi="Arial" w:cs="Arial"/>
          <w:sz w:val="24"/>
          <w:szCs w:val="24"/>
          <w:lang w:val="fr-FR"/>
        </w:rPr>
        <w:t xml:space="preserve">[10] Ito Y. et al. </w:t>
      </w:r>
      <w:r w:rsidRPr="008F3CEA">
        <w:rPr>
          <w:rFonts w:ascii="Arial" w:hAnsi="Arial" w:cs="Arial"/>
          <w:b/>
          <w:sz w:val="24"/>
          <w:szCs w:val="24"/>
          <w:lang w:val="fr-FR"/>
        </w:rPr>
        <w:t>1986</w:t>
      </w:r>
      <w:r w:rsidRPr="008F3CEA">
        <w:rPr>
          <w:rFonts w:ascii="Arial" w:hAnsi="Arial" w:cs="Arial"/>
          <w:sz w:val="24"/>
          <w:szCs w:val="24"/>
          <w:lang w:val="fr-FR"/>
        </w:rPr>
        <w:t xml:space="preserve"> J. Biomed. Mater. Res. 20:1017</w:t>
      </w:r>
    </w:p>
    <w:p w:rsidR="00550A30" w:rsidRPr="008F3CEA" w:rsidRDefault="00550A30" w:rsidP="00550A30">
      <w:pPr>
        <w:autoSpaceDE w:val="0"/>
        <w:autoSpaceDN w:val="0"/>
        <w:adjustRightInd w:val="0"/>
        <w:spacing w:after="0" w:line="360" w:lineRule="auto"/>
        <w:jc w:val="both"/>
        <w:rPr>
          <w:rFonts w:ascii="Arial" w:hAnsi="Arial" w:cs="Arial"/>
          <w:sz w:val="24"/>
          <w:szCs w:val="24"/>
          <w:lang w:val="fr-FR"/>
        </w:rPr>
      </w:pPr>
      <w:r w:rsidRPr="008F3CEA">
        <w:rPr>
          <w:rFonts w:ascii="Arial" w:hAnsi="Arial" w:cs="Arial"/>
          <w:sz w:val="24"/>
          <w:szCs w:val="24"/>
          <w:lang w:val="fr-FR"/>
        </w:rPr>
        <w:t xml:space="preserve">[11] Bamford C.H. et al. </w:t>
      </w:r>
      <w:r w:rsidRPr="008F3CEA">
        <w:rPr>
          <w:rFonts w:ascii="Arial" w:hAnsi="Arial" w:cs="Arial"/>
          <w:b/>
          <w:sz w:val="24"/>
          <w:szCs w:val="24"/>
          <w:lang w:val="fr-FR"/>
        </w:rPr>
        <w:t xml:space="preserve">1984 </w:t>
      </w:r>
      <w:r w:rsidRPr="008F3CEA">
        <w:rPr>
          <w:rFonts w:ascii="Arial" w:hAnsi="Arial" w:cs="Arial"/>
          <w:sz w:val="24"/>
          <w:szCs w:val="24"/>
          <w:lang w:val="fr-FR"/>
        </w:rPr>
        <w:t>Polymer Prepr. 25:27</w:t>
      </w:r>
    </w:p>
    <w:p w:rsidR="00550A30" w:rsidRPr="008F3CEA" w:rsidRDefault="00550A30" w:rsidP="00550A30">
      <w:pPr>
        <w:autoSpaceDE w:val="0"/>
        <w:autoSpaceDN w:val="0"/>
        <w:adjustRightInd w:val="0"/>
        <w:spacing w:after="0" w:line="360" w:lineRule="auto"/>
        <w:jc w:val="both"/>
        <w:rPr>
          <w:rFonts w:ascii="Arial" w:hAnsi="Arial" w:cs="Arial"/>
          <w:sz w:val="24"/>
          <w:szCs w:val="24"/>
          <w:lang w:val="fr-FR"/>
        </w:rPr>
      </w:pPr>
      <w:r w:rsidRPr="008F3CEA">
        <w:rPr>
          <w:rFonts w:ascii="Arial" w:hAnsi="Arial" w:cs="Arial"/>
          <w:sz w:val="24"/>
          <w:szCs w:val="24"/>
          <w:lang w:val="fr-FR"/>
        </w:rPr>
        <w:t xml:space="preserve">[12] Joseph G. et al. </w:t>
      </w:r>
      <w:r w:rsidRPr="008F3CEA">
        <w:rPr>
          <w:rFonts w:ascii="Arial" w:hAnsi="Arial" w:cs="Arial"/>
          <w:b/>
          <w:sz w:val="24"/>
          <w:szCs w:val="24"/>
          <w:lang w:val="fr-FR"/>
        </w:rPr>
        <w:t>1987</w:t>
      </w:r>
      <w:r w:rsidRPr="008F3CEA">
        <w:rPr>
          <w:rFonts w:ascii="Arial" w:hAnsi="Arial" w:cs="Arial"/>
          <w:sz w:val="24"/>
          <w:szCs w:val="24"/>
          <w:lang w:val="fr-FR"/>
        </w:rPr>
        <w:t xml:space="preserve"> J. Biomed. Mater. Res 21:937</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fr-FR"/>
        </w:rPr>
        <w:t xml:space="preserve">[13] Jansen B. et al </w:t>
      </w:r>
      <w:r w:rsidRPr="008F3CEA">
        <w:rPr>
          <w:rFonts w:ascii="Arial" w:hAnsi="Arial" w:cs="Arial"/>
          <w:b/>
          <w:sz w:val="24"/>
          <w:szCs w:val="24"/>
          <w:lang w:val="fr-FR"/>
        </w:rPr>
        <w:t>1985</w:t>
      </w:r>
      <w:r w:rsidRPr="008F3CEA">
        <w:rPr>
          <w:rFonts w:ascii="Arial" w:hAnsi="Arial" w:cs="Arial"/>
          <w:sz w:val="24"/>
          <w:szCs w:val="24"/>
          <w:lang w:val="fr-FR"/>
        </w:rPr>
        <w:t xml:space="preserve">. </w:t>
      </w:r>
      <w:r w:rsidRPr="008F3CEA">
        <w:rPr>
          <w:rFonts w:ascii="Arial" w:hAnsi="Arial" w:cs="Arial"/>
          <w:sz w:val="24"/>
          <w:szCs w:val="24"/>
          <w:lang w:val="en-US"/>
        </w:rPr>
        <w:t>J. Biomed. Mater. Res 19: 1085</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[14] Gombotz W.R. et al. </w:t>
      </w:r>
      <w:r w:rsidRPr="008F3CEA">
        <w:rPr>
          <w:rFonts w:ascii="Arial" w:hAnsi="Arial" w:cs="Arial"/>
          <w:b/>
          <w:sz w:val="24"/>
          <w:szCs w:val="24"/>
          <w:lang w:val="en-US"/>
        </w:rPr>
        <w:t xml:space="preserve">1987 </w:t>
      </w:r>
      <w:r w:rsidRPr="008F3CEA">
        <w:rPr>
          <w:rFonts w:ascii="Arial" w:hAnsi="Arial" w:cs="Arial"/>
          <w:sz w:val="24"/>
          <w:szCs w:val="24"/>
          <w:lang w:val="en-US"/>
        </w:rPr>
        <w:t>in Critical Reviews in Biocompatibility, CRC press.</w:t>
      </w:r>
    </w:p>
    <w:p w:rsidR="00550A30" w:rsidRPr="008F3CEA"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en-US"/>
        </w:rPr>
        <w:t xml:space="preserve">[15] Labrow R.S. et al. </w:t>
      </w:r>
      <w:r w:rsidRPr="008F3CEA">
        <w:rPr>
          <w:rFonts w:ascii="Arial" w:hAnsi="Arial" w:cs="Arial"/>
          <w:b/>
          <w:sz w:val="24"/>
          <w:szCs w:val="24"/>
          <w:lang w:val="en-US"/>
        </w:rPr>
        <w:t xml:space="preserve">1996 </w:t>
      </w:r>
      <w:r w:rsidRPr="008F3CEA">
        <w:rPr>
          <w:rFonts w:ascii="Arial" w:hAnsi="Arial" w:cs="Arial"/>
          <w:sz w:val="24"/>
          <w:szCs w:val="24"/>
          <w:lang w:val="en-US"/>
        </w:rPr>
        <w:t>Biomaterials 17: 2381</w:t>
      </w:r>
    </w:p>
    <w:p w:rsidR="00550A30" w:rsidRPr="00916801" w:rsidRDefault="00550A30" w:rsidP="00550A30">
      <w:pPr>
        <w:autoSpaceDE w:val="0"/>
        <w:autoSpaceDN w:val="0"/>
        <w:adjustRightInd w:val="0"/>
        <w:spacing w:after="0" w:line="360" w:lineRule="auto"/>
        <w:jc w:val="both"/>
        <w:rPr>
          <w:rFonts w:ascii="Arial" w:hAnsi="Arial" w:cs="Arial"/>
          <w:sz w:val="24"/>
          <w:szCs w:val="24"/>
          <w:lang w:val="en-US"/>
        </w:rPr>
      </w:pPr>
      <w:r w:rsidRPr="008F3CEA">
        <w:rPr>
          <w:rFonts w:ascii="Arial" w:hAnsi="Arial" w:cs="Arial"/>
          <w:sz w:val="24"/>
          <w:szCs w:val="24"/>
          <w:lang w:val="fr-FR"/>
        </w:rPr>
        <w:t xml:space="preserve">[16] Phua S.K. et al. </w:t>
      </w:r>
      <w:r w:rsidRPr="008F3CEA">
        <w:rPr>
          <w:rFonts w:ascii="Arial" w:hAnsi="Arial" w:cs="Arial"/>
          <w:b/>
          <w:sz w:val="24"/>
          <w:szCs w:val="24"/>
          <w:lang w:val="fr-FR"/>
        </w:rPr>
        <w:t xml:space="preserve">1987 </w:t>
      </w:r>
      <w:r w:rsidRPr="008F3CEA">
        <w:rPr>
          <w:rFonts w:ascii="Arial" w:hAnsi="Arial" w:cs="Arial"/>
          <w:sz w:val="24"/>
          <w:szCs w:val="24"/>
          <w:lang w:val="fr-FR"/>
        </w:rPr>
        <w:t xml:space="preserve">J. Biomed. </w:t>
      </w:r>
      <w:r w:rsidRPr="008F3CEA">
        <w:rPr>
          <w:rFonts w:ascii="Arial" w:hAnsi="Arial" w:cs="Arial"/>
          <w:sz w:val="24"/>
          <w:szCs w:val="24"/>
          <w:lang w:val="en-US"/>
        </w:rPr>
        <w:t>Mat. Research 21:231</w:t>
      </w:r>
    </w:p>
    <w:p w:rsidR="00550A30" w:rsidRPr="00916801" w:rsidRDefault="00550A30" w:rsidP="00550A30">
      <w:pPr>
        <w:spacing w:after="0" w:line="360" w:lineRule="auto"/>
        <w:jc w:val="both"/>
        <w:rPr>
          <w:rFonts w:ascii="Arial" w:hAnsi="Arial" w:cs="Arial"/>
          <w:sz w:val="24"/>
          <w:szCs w:val="24"/>
          <w:lang w:val="en-US"/>
        </w:rPr>
      </w:pPr>
      <w:r w:rsidRPr="00916801">
        <w:rPr>
          <w:rFonts w:ascii="Arial" w:hAnsi="Arial" w:cs="Arial"/>
          <w:sz w:val="24"/>
          <w:szCs w:val="24"/>
          <w:lang w:val="en-US"/>
        </w:rPr>
        <w:t xml:space="preserve">    </w:t>
      </w:r>
    </w:p>
    <w:p w:rsidR="00550A30" w:rsidRPr="00C41A52" w:rsidRDefault="00550A30" w:rsidP="00550A30">
      <w:pPr>
        <w:spacing w:line="360" w:lineRule="auto"/>
        <w:jc w:val="right"/>
        <w:rPr>
          <w:rFonts w:ascii="Arial" w:hAnsi="Arial" w:cs="Arial"/>
          <w:b/>
          <w:sz w:val="120"/>
          <w:szCs w:val="120"/>
          <w:lang w:val="en-US"/>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Default="00550A30" w:rsidP="00387A07">
      <w:pPr>
        <w:tabs>
          <w:tab w:val="left" w:pos="1785"/>
        </w:tabs>
        <w:rPr>
          <w:lang w:val="it-IT"/>
        </w:rPr>
      </w:pPr>
    </w:p>
    <w:p w:rsidR="00550A30" w:rsidRPr="00550A30" w:rsidRDefault="00550A30" w:rsidP="00387A07">
      <w:pPr>
        <w:tabs>
          <w:tab w:val="left" w:pos="1785"/>
        </w:tabs>
        <w:rPr>
          <w:lang w:val="it-IT"/>
        </w:rPr>
      </w:pPr>
    </w:p>
    <w:sectPr w:rsidR="00550A30" w:rsidRPr="00550A30" w:rsidSect="00AE042B">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2536" w:rsidRDefault="00B02536" w:rsidP="00387A07">
      <w:pPr>
        <w:spacing w:after="0" w:line="240" w:lineRule="auto"/>
      </w:pPr>
      <w:r>
        <w:separator/>
      </w:r>
    </w:p>
  </w:endnote>
  <w:endnote w:type="continuationSeparator" w:id="1">
    <w:p w:rsidR="00B02536" w:rsidRDefault="00B02536" w:rsidP="00387A0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dvTimes">
    <w:altName w:val="Arial Unicode MS"/>
    <w:panose1 w:val="00000000000000000000"/>
    <w:charset w:val="81"/>
    <w:family w:val="auto"/>
    <w:notTrueType/>
    <w:pitch w:val="default"/>
    <w:sig w:usb0="00000003" w:usb1="09060000" w:usb2="00000010" w:usb3="00000000" w:csb0="00080001" w:csb1="00000000"/>
  </w:font>
  <w:font w:name="Cambria Math">
    <w:panose1 w:val="02040503050406030204"/>
    <w:charset w:val="00"/>
    <w:family w:val="roman"/>
    <w:pitch w:val="variable"/>
    <w:sig w:usb0="E00002FF" w:usb1="420024FF" w:usb2="00000000" w:usb3="00000000" w:csb0="0000019F" w:csb1="00000000"/>
  </w:font>
  <w:font w:name="TimesNRMT">
    <w:panose1 w:val="00000000000000000000"/>
    <w:charset w:val="00"/>
    <w:family w:val="roman"/>
    <w:notTrueType/>
    <w:pitch w:val="default"/>
    <w:sig w:usb0="00000003" w:usb1="00000000" w:usb2="00000000" w:usb3="00000000" w:csb0="00000001" w:csb1="00000000"/>
  </w:font>
  <w:font w:name="OneGulliverA">
    <w:altName w:val="MS Mincho"/>
    <w:panose1 w:val="00000000000000000000"/>
    <w:charset w:val="00"/>
    <w:family w:val="auto"/>
    <w:notTrueType/>
    <w:pitch w:val="default"/>
    <w:sig w:usb0="00000000"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25A1" w:rsidRDefault="009925A1">
    <w:pPr>
      <w:pStyle w:val="Pidipagina"/>
      <w:jc w:val="center"/>
    </w:pPr>
    <w:fldSimple w:instr=" PAGE   \* MERGEFORMAT ">
      <w:r w:rsidR="00426A28">
        <w:rPr>
          <w:noProof/>
        </w:rPr>
        <w:t>11</w:t>
      </w:r>
    </w:fldSimple>
  </w:p>
  <w:p w:rsidR="009925A1" w:rsidRDefault="009925A1">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3958"/>
      <w:docPartObj>
        <w:docPartGallery w:val="Page Numbers (Bottom of Page)"/>
        <w:docPartUnique/>
      </w:docPartObj>
    </w:sdtPr>
    <w:sdtContent>
      <w:p w:rsidR="009925A1" w:rsidRDefault="009925A1">
        <w:pPr>
          <w:pStyle w:val="Pidipagina"/>
          <w:jc w:val="center"/>
        </w:pPr>
        <w:fldSimple w:instr=" PAGE   \* MERGEFORMAT ">
          <w:r w:rsidR="00D873AE">
            <w:rPr>
              <w:noProof/>
            </w:rPr>
            <w:t>85</w:t>
          </w:r>
        </w:fldSimple>
      </w:p>
    </w:sdtContent>
  </w:sdt>
  <w:p w:rsidR="009925A1" w:rsidRDefault="009925A1">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2536" w:rsidRDefault="00B02536" w:rsidP="00387A07">
      <w:pPr>
        <w:spacing w:after="0" w:line="240" w:lineRule="auto"/>
      </w:pPr>
      <w:r>
        <w:separator/>
      </w:r>
    </w:p>
  </w:footnote>
  <w:footnote w:type="continuationSeparator" w:id="1">
    <w:p w:rsidR="00B02536" w:rsidRDefault="00B02536" w:rsidP="00387A0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singleLevel"/>
    <w:tmpl w:val="00000006"/>
    <w:name w:val="WW8Num6"/>
    <w:lvl w:ilvl="0">
      <w:numFmt w:val="bullet"/>
      <w:lvlText w:val=""/>
      <w:lvlJc w:val="left"/>
      <w:pPr>
        <w:tabs>
          <w:tab w:val="num" w:pos="0"/>
        </w:tabs>
        <w:ind w:left="283" w:hanging="283"/>
      </w:pPr>
      <w:rPr>
        <w:rFonts w:ascii="Symbol" w:hAnsi="Symbol"/>
      </w:rPr>
    </w:lvl>
  </w:abstractNum>
  <w:abstractNum w:abstractNumId="1">
    <w:nsid w:val="028D7C7A"/>
    <w:multiLevelType w:val="hybridMultilevel"/>
    <w:tmpl w:val="D6EA6BA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5D560C1"/>
    <w:multiLevelType w:val="hybridMultilevel"/>
    <w:tmpl w:val="E5A6D056"/>
    <w:lvl w:ilvl="0" w:tplc="F02ED86A">
      <w:start w:val="223"/>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0B6D7E11"/>
    <w:multiLevelType w:val="hybridMultilevel"/>
    <w:tmpl w:val="2B3E5AD4"/>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4">
    <w:nsid w:val="0B725227"/>
    <w:multiLevelType w:val="hybridMultilevel"/>
    <w:tmpl w:val="8C52B52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0CD91B63"/>
    <w:multiLevelType w:val="multilevel"/>
    <w:tmpl w:val="B1A0E466"/>
    <w:lvl w:ilvl="0">
      <w:start w:val="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0FCA7281"/>
    <w:multiLevelType w:val="hybridMultilevel"/>
    <w:tmpl w:val="3FEC9EB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125E5689"/>
    <w:multiLevelType w:val="multilevel"/>
    <w:tmpl w:val="143EF3C2"/>
    <w:lvl w:ilvl="0">
      <w:start w:val="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19F75215"/>
    <w:multiLevelType w:val="hybridMultilevel"/>
    <w:tmpl w:val="F6E07280"/>
    <w:lvl w:ilvl="0" w:tplc="C58410CE">
      <w:start w:val="1"/>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26721C48"/>
    <w:multiLevelType w:val="hybridMultilevel"/>
    <w:tmpl w:val="FF1C8358"/>
    <w:lvl w:ilvl="0" w:tplc="BE124A34">
      <w:start w:val="16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28B7391A"/>
    <w:multiLevelType w:val="multilevel"/>
    <w:tmpl w:val="CFB8600A"/>
    <w:lvl w:ilvl="0">
      <w:start w:val="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28EC150E"/>
    <w:multiLevelType w:val="hybridMultilevel"/>
    <w:tmpl w:val="BB8C5C26"/>
    <w:lvl w:ilvl="0" w:tplc="0410000F">
      <w:start w:val="1"/>
      <w:numFmt w:val="decimal"/>
      <w:lvlText w:val="%1."/>
      <w:lvlJc w:val="left"/>
      <w:pPr>
        <w:ind w:left="780" w:hanging="360"/>
      </w:pPr>
    </w:lvl>
    <w:lvl w:ilvl="1" w:tplc="04100019" w:tentative="1">
      <w:start w:val="1"/>
      <w:numFmt w:val="lowerLetter"/>
      <w:lvlText w:val="%2."/>
      <w:lvlJc w:val="left"/>
      <w:pPr>
        <w:ind w:left="1500" w:hanging="360"/>
      </w:pPr>
    </w:lvl>
    <w:lvl w:ilvl="2" w:tplc="0410001B" w:tentative="1">
      <w:start w:val="1"/>
      <w:numFmt w:val="lowerRoman"/>
      <w:lvlText w:val="%3."/>
      <w:lvlJc w:val="right"/>
      <w:pPr>
        <w:ind w:left="2220" w:hanging="180"/>
      </w:pPr>
    </w:lvl>
    <w:lvl w:ilvl="3" w:tplc="0410000F" w:tentative="1">
      <w:start w:val="1"/>
      <w:numFmt w:val="decimal"/>
      <w:lvlText w:val="%4."/>
      <w:lvlJc w:val="left"/>
      <w:pPr>
        <w:ind w:left="2940" w:hanging="360"/>
      </w:pPr>
    </w:lvl>
    <w:lvl w:ilvl="4" w:tplc="04100019" w:tentative="1">
      <w:start w:val="1"/>
      <w:numFmt w:val="lowerLetter"/>
      <w:lvlText w:val="%5."/>
      <w:lvlJc w:val="left"/>
      <w:pPr>
        <w:ind w:left="3660" w:hanging="360"/>
      </w:pPr>
    </w:lvl>
    <w:lvl w:ilvl="5" w:tplc="0410001B" w:tentative="1">
      <w:start w:val="1"/>
      <w:numFmt w:val="lowerRoman"/>
      <w:lvlText w:val="%6."/>
      <w:lvlJc w:val="right"/>
      <w:pPr>
        <w:ind w:left="4380" w:hanging="180"/>
      </w:pPr>
    </w:lvl>
    <w:lvl w:ilvl="6" w:tplc="0410000F" w:tentative="1">
      <w:start w:val="1"/>
      <w:numFmt w:val="decimal"/>
      <w:lvlText w:val="%7."/>
      <w:lvlJc w:val="left"/>
      <w:pPr>
        <w:ind w:left="5100" w:hanging="360"/>
      </w:pPr>
    </w:lvl>
    <w:lvl w:ilvl="7" w:tplc="04100019" w:tentative="1">
      <w:start w:val="1"/>
      <w:numFmt w:val="lowerLetter"/>
      <w:lvlText w:val="%8."/>
      <w:lvlJc w:val="left"/>
      <w:pPr>
        <w:ind w:left="5820" w:hanging="360"/>
      </w:pPr>
    </w:lvl>
    <w:lvl w:ilvl="8" w:tplc="0410001B" w:tentative="1">
      <w:start w:val="1"/>
      <w:numFmt w:val="lowerRoman"/>
      <w:lvlText w:val="%9."/>
      <w:lvlJc w:val="right"/>
      <w:pPr>
        <w:ind w:left="6540" w:hanging="180"/>
      </w:pPr>
    </w:lvl>
  </w:abstractNum>
  <w:abstractNum w:abstractNumId="12">
    <w:nsid w:val="2AAB1A52"/>
    <w:multiLevelType w:val="hybridMultilevel"/>
    <w:tmpl w:val="9DFAF930"/>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2C3E00F9"/>
    <w:multiLevelType w:val="multilevel"/>
    <w:tmpl w:val="E8CA4C9E"/>
    <w:lvl w:ilvl="0">
      <w:start w:val="3"/>
      <w:numFmt w:val="decimal"/>
      <w:lvlText w:val="%1"/>
      <w:lvlJc w:val="left"/>
      <w:pPr>
        <w:ind w:left="405" w:hanging="405"/>
      </w:pPr>
      <w:rPr>
        <w:rFonts w:hint="default"/>
      </w:rPr>
    </w:lvl>
    <w:lvl w:ilvl="1">
      <w:start w:val="3"/>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3120" w:hanging="144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4">
    <w:nsid w:val="2F102B95"/>
    <w:multiLevelType w:val="hybridMultilevel"/>
    <w:tmpl w:val="BBA65B96"/>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35F2310B"/>
    <w:multiLevelType w:val="hybridMultilevel"/>
    <w:tmpl w:val="502ACC0A"/>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6">
    <w:nsid w:val="375D197E"/>
    <w:multiLevelType w:val="hybridMultilevel"/>
    <w:tmpl w:val="75DA967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3E6154E6"/>
    <w:multiLevelType w:val="hybridMultilevel"/>
    <w:tmpl w:val="7282602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45C13B01"/>
    <w:multiLevelType w:val="hybridMultilevel"/>
    <w:tmpl w:val="B99E75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48372D5F"/>
    <w:multiLevelType w:val="multilevel"/>
    <w:tmpl w:val="4462F4D2"/>
    <w:lvl w:ilvl="0">
      <w:start w:val="1"/>
      <w:numFmt w:val="decimal"/>
      <w:lvlText w:val="%1."/>
      <w:lvlJc w:val="left"/>
      <w:pPr>
        <w:ind w:left="780" w:hanging="360"/>
      </w:pPr>
    </w:lvl>
    <w:lvl w:ilvl="1">
      <w:start w:val="3"/>
      <w:numFmt w:val="decimal"/>
      <w:isLgl/>
      <w:lvlText w:val="%1.%2"/>
      <w:lvlJc w:val="left"/>
      <w:pPr>
        <w:ind w:left="1005" w:hanging="585"/>
      </w:pPr>
      <w:rPr>
        <w:rFonts w:hint="default"/>
      </w:rPr>
    </w:lvl>
    <w:lvl w:ilvl="2">
      <w:start w:val="2"/>
      <w:numFmt w:val="decimal"/>
      <w:isLgl/>
      <w:lvlText w:val="%1.%2.%3"/>
      <w:lvlJc w:val="left"/>
      <w:pPr>
        <w:ind w:left="1140" w:hanging="720"/>
      </w:pPr>
      <w:rPr>
        <w:rFonts w:hint="default"/>
      </w:rPr>
    </w:lvl>
    <w:lvl w:ilvl="3">
      <w:start w:val="1"/>
      <w:numFmt w:val="decimal"/>
      <w:isLgl/>
      <w:lvlText w:val="%1.%2.%3.%4"/>
      <w:lvlJc w:val="left"/>
      <w:pPr>
        <w:ind w:left="1500" w:hanging="1080"/>
      </w:pPr>
      <w:rPr>
        <w:rFonts w:hint="default"/>
      </w:rPr>
    </w:lvl>
    <w:lvl w:ilvl="4">
      <w:start w:val="1"/>
      <w:numFmt w:val="decimal"/>
      <w:isLgl/>
      <w:lvlText w:val="%1.%2.%3.%4.%5"/>
      <w:lvlJc w:val="left"/>
      <w:pPr>
        <w:ind w:left="1500" w:hanging="1080"/>
      </w:pPr>
      <w:rPr>
        <w:rFonts w:hint="default"/>
      </w:rPr>
    </w:lvl>
    <w:lvl w:ilvl="5">
      <w:start w:val="1"/>
      <w:numFmt w:val="decimal"/>
      <w:isLgl/>
      <w:lvlText w:val="%1.%2.%3.%4.%5.%6"/>
      <w:lvlJc w:val="left"/>
      <w:pPr>
        <w:ind w:left="1860" w:hanging="1440"/>
      </w:pPr>
      <w:rPr>
        <w:rFonts w:hint="default"/>
      </w:rPr>
    </w:lvl>
    <w:lvl w:ilvl="6">
      <w:start w:val="1"/>
      <w:numFmt w:val="decimal"/>
      <w:isLgl/>
      <w:lvlText w:val="%1.%2.%3.%4.%5.%6.%7"/>
      <w:lvlJc w:val="left"/>
      <w:pPr>
        <w:ind w:left="1860" w:hanging="1440"/>
      </w:pPr>
      <w:rPr>
        <w:rFonts w:hint="default"/>
      </w:rPr>
    </w:lvl>
    <w:lvl w:ilvl="7">
      <w:start w:val="1"/>
      <w:numFmt w:val="decimal"/>
      <w:isLgl/>
      <w:lvlText w:val="%1.%2.%3.%4.%5.%6.%7.%8"/>
      <w:lvlJc w:val="left"/>
      <w:pPr>
        <w:ind w:left="2220" w:hanging="1800"/>
      </w:pPr>
      <w:rPr>
        <w:rFonts w:hint="default"/>
      </w:rPr>
    </w:lvl>
    <w:lvl w:ilvl="8">
      <w:start w:val="1"/>
      <w:numFmt w:val="decimal"/>
      <w:isLgl/>
      <w:lvlText w:val="%1.%2.%3.%4.%5.%6.%7.%8.%9"/>
      <w:lvlJc w:val="left"/>
      <w:pPr>
        <w:ind w:left="2220" w:hanging="1800"/>
      </w:pPr>
      <w:rPr>
        <w:rFonts w:hint="default"/>
      </w:rPr>
    </w:lvl>
  </w:abstractNum>
  <w:abstractNum w:abstractNumId="20">
    <w:nsid w:val="49AA35A5"/>
    <w:multiLevelType w:val="multilevel"/>
    <w:tmpl w:val="961ACC06"/>
    <w:lvl w:ilvl="0">
      <w:start w:val="3"/>
      <w:numFmt w:val="decimal"/>
      <w:lvlText w:val="%1"/>
      <w:lvlJc w:val="left"/>
      <w:pPr>
        <w:ind w:left="660" w:hanging="660"/>
      </w:pPr>
      <w:rPr>
        <w:rFonts w:hint="default"/>
      </w:rPr>
    </w:lvl>
    <w:lvl w:ilvl="1">
      <w:start w:val="2"/>
      <w:numFmt w:val="decimal"/>
      <w:lvlText w:val="%1.%2"/>
      <w:lvlJc w:val="left"/>
      <w:pPr>
        <w:ind w:left="720" w:hanging="720"/>
      </w:pPr>
      <w:rPr>
        <w:rFonts w:hint="default"/>
      </w:rPr>
    </w:lvl>
    <w:lvl w:ilvl="2">
      <w:start w:val="1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4CA17BBF"/>
    <w:multiLevelType w:val="multilevel"/>
    <w:tmpl w:val="6298DAC4"/>
    <w:lvl w:ilvl="0">
      <w:start w:val="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4CC9057B"/>
    <w:multiLevelType w:val="multilevel"/>
    <w:tmpl w:val="CC5C7BD4"/>
    <w:lvl w:ilvl="0">
      <w:start w:val="2"/>
      <w:numFmt w:val="decimal"/>
      <w:lvlText w:val="%1"/>
      <w:lvlJc w:val="left"/>
      <w:pPr>
        <w:ind w:left="525" w:hanging="525"/>
      </w:pPr>
      <w:rPr>
        <w:rFonts w:hint="default"/>
      </w:rPr>
    </w:lvl>
    <w:lvl w:ilvl="1">
      <w:start w:val="2"/>
      <w:numFmt w:val="decimal"/>
      <w:lvlText w:val="%1.%2"/>
      <w:lvlJc w:val="left"/>
      <w:pPr>
        <w:ind w:left="1074" w:hanging="720"/>
      </w:pPr>
      <w:rPr>
        <w:rFonts w:hint="default"/>
      </w:rPr>
    </w:lvl>
    <w:lvl w:ilvl="2">
      <w:start w:val="9"/>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3">
    <w:nsid w:val="54F03BB6"/>
    <w:multiLevelType w:val="hybridMultilevel"/>
    <w:tmpl w:val="D4020B58"/>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4">
    <w:nsid w:val="5564252B"/>
    <w:multiLevelType w:val="multilevel"/>
    <w:tmpl w:val="49607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9A83E7C"/>
    <w:multiLevelType w:val="hybridMultilevel"/>
    <w:tmpl w:val="A180458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nsid w:val="5AD0289D"/>
    <w:multiLevelType w:val="hybridMultilevel"/>
    <w:tmpl w:val="C576D090"/>
    <w:lvl w:ilvl="0" w:tplc="243EEB56">
      <w:start w:val="1"/>
      <w:numFmt w:val="bullet"/>
      <w:lvlText w:val=""/>
      <w:lvlJc w:val="left"/>
      <w:pPr>
        <w:ind w:left="420" w:hanging="360"/>
      </w:pPr>
      <w:rPr>
        <w:rFonts w:ascii="Wingdings" w:eastAsiaTheme="minorHAnsi" w:hAnsi="Wingdings" w:cs="Arial" w:hint="default"/>
      </w:rPr>
    </w:lvl>
    <w:lvl w:ilvl="1" w:tplc="04100003" w:tentative="1">
      <w:start w:val="1"/>
      <w:numFmt w:val="bullet"/>
      <w:lvlText w:val="o"/>
      <w:lvlJc w:val="left"/>
      <w:pPr>
        <w:ind w:left="1140" w:hanging="360"/>
      </w:pPr>
      <w:rPr>
        <w:rFonts w:ascii="Courier New" w:hAnsi="Courier New" w:cs="Courier New" w:hint="default"/>
      </w:rPr>
    </w:lvl>
    <w:lvl w:ilvl="2" w:tplc="04100005" w:tentative="1">
      <w:start w:val="1"/>
      <w:numFmt w:val="bullet"/>
      <w:lvlText w:val=""/>
      <w:lvlJc w:val="left"/>
      <w:pPr>
        <w:ind w:left="1860" w:hanging="360"/>
      </w:pPr>
      <w:rPr>
        <w:rFonts w:ascii="Wingdings" w:hAnsi="Wingdings" w:hint="default"/>
      </w:rPr>
    </w:lvl>
    <w:lvl w:ilvl="3" w:tplc="04100001" w:tentative="1">
      <w:start w:val="1"/>
      <w:numFmt w:val="bullet"/>
      <w:lvlText w:val=""/>
      <w:lvlJc w:val="left"/>
      <w:pPr>
        <w:ind w:left="2580" w:hanging="360"/>
      </w:pPr>
      <w:rPr>
        <w:rFonts w:ascii="Symbol" w:hAnsi="Symbol" w:hint="default"/>
      </w:rPr>
    </w:lvl>
    <w:lvl w:ilvl="4" w:tplc="04100003" w:tentative="1">
      <w:start w:val="1"/>
      <w:numFmt w:val="bullet"/>
      <w:lvlText w:val="o"/>
      <w:lvlJc w:val="left"/>
      <w:pPr>
        <w:ind w:left="3300" w:hanging="360"/>
      </w:pPr>
      <w:rPr>
        <w:rFonts w:ascii="Courier New" w:hAnsi="Courier New" w:cs="Courier New" w:hint="default"/>
      </w:rPr>
    </w:lvl>
    <w:lvl w:ilvl="5" w:tplc="04100005" w:tentative="1">
      <w:start w:val="1"/>
      <w:numFmt w:val="bullet"/>
      <w:lvlText w:val=""/>
      <w:lvlJc w:val="left"/>
      <w:pPr>
        <w:ind w:left="4020" w:hanging="360"/>
      </w:pPr>
      <w:rPr>
        <w:rFonts w:ascii="Wingdings" w:hAnsi="Wingdings" w:hint="default"/>
      </w:rPr>
    </w:lvl>
    <w:lvl w:ilvl="6" w:tplc="04100001" w:tentative="1">
      <w:start w:val="1"/>
      <w:numFmt w:val="bullet"/>
      <w:lvlText w:val=""/>
      <w:lvlJc w:val="left"/>
      <w:pPr>
        <w:ind w:left="4740" w:hanging="360"/>
      </w:pPr>
      <w:rPr>
        <w:rFonts w:ascii="Symbol" w:hAnsi="Symbol" w:hint="default"/>
      </w:rPr>
    </w:lvl>
    <w:lvl w:ilvl="7" w:tplc="04100003" w:tentative="1">
      <w:start w:val="1"/>
      <w:numFmt w:val="bullet"/>
      <w:lvlText w:val="o"/>
      <w:lvlJc w:val="left"/>
      <w:pPr>
        <w:ind w:left="5460" w:hanging="360"/>
      </w:pPr>
      <w:rPr>
        <w:rFonts w:ascii="Courier New" w:hAnsi="Courier New" w:cs="Courier New" w:hint="default"/>
      </w:rPr>
    </w:lvl>
    <w:lvl w:ilvl="8" w:tplc="04100005" w:tentative="1">
      <w:start w:val="1"/>
      <w:numFmt w:val="bullet"/>
      <w:lvlText w:val=""/>
      <w:lvlJc w:val="left"/>
      <w:pPr>
        <w:ind w:left="6180" w:hanging="360"/>
      </w:pPr>
      <w:rPr>
        <w:rFonts w:ascii="Wingdings" w:hAnsi="Wingdings" w:hint="default"/>
      </w:rPr>
    </w:lvl>
  </w:abstractNum>
  <w:abstractNum w:abstractNumId="27">
    <w:nsid w:val="5AE71973"/>
    <w:multiLevelType w:val="multilevel"/>
    <w:tmpl w:val="22707A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6535289"/>
    <w:multiLevelType w:val="hybridMultilevel"/>
    <w:tmpl w:val="491C240A"/>
    <w:lvl w:ilvl="0" w:tplc="10D65F24">
      <w:start w:val="162"/>
      <w:numFmt w:val="bullet"/>
      <w:lvlText w:val="-"/>
      <w:lvlJc w:val="left"/>
      <w:pPr>
        <w:ind w:left="720" w:hanging="360"/>
      </w:pPr>
      <w:rPr>
        <w:rFonts w:ascii="Arial" w:eastAsia="Times New Roman" w:hAnsi="Arial" w:cs="Arial" w:hint="default"/>
        <w:color w:val="00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nsid w:val="68652CD1"/>
    <w:multiLevelType w:val="hybridMultilevel"/>
    <w:tmpl w:val="377AD5C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nsid w:val="7A1672D1"/>
    <w:multiLevelType w:val="hybridMultilevel"/>
    <w:tmpl w:val="0DB89DC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nsid w:val="7BC91923"/>
    <w:multiLevelType w:val="hybridMultilevel"/>
    <w:tmpl w:val="217C0442"/>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
  </w:num>
  <w:num w:numId="2">
    <w:abstractNumId w:val="3"/>
  </w:num>
  <w:num w:numId="3">
    <w:abstractNumId w:val="31"/>
  </w:num>
  <w:num w:numId="4">
    <w:abstractNumId w:val="14"/>
  </w:num>
  <w:num w:numId="5">
    <w:abstractNumId w:val="19"/>
  </w:num>
  <w:num w:numId="6">
    <w:abstractNumId w:val="22"/>
  </w:num>
  <w:num w:numId="7">
    <w:abstractNumId w:val="5"/>
  </w:num>
  <w:num w:numId="8">
    <w:abstractNumId w:val="25"/>
  </w:num>
  <w:num w:numId="9">
    <w:abstractNumId w:val="30"/>
  </w:num>
  <w:num w:numId="10">
    <w:abstractNumId w:val="16"/>
  </w:num>
  <w:num w:numId="11">
    <w:abstractNumId w:val="27"/>
  </w:num>
  <w:num w:numId="12">
    <w:abstractNumId w:val="24"/>
  </w:num>
  <w:num w:numId="13">
    <w:abstractNumId w:val="12"/>
  </w:num>
  <w:num w:numId="14">
    <w:abstractNumId w:val="6"/>
  </w:num>
  <w:num w:numId="15">
    <w:abstractNumId w:val="13"/>
  </w:num>
  <w:num w:numId="16">
    <w:abstractNumId w:val="20"/>
  </w:num>
  <w:num w:numId="17">
    <w:abstractNumId w:val="11"/>
  </w:num>
  <w:num w:numId="18">
    <w:abstractNumId w:val="29"/>
  </w:num>
  <w:num w:numId="19">
    <w:abstractNumId w:val="7"/>
  </w:num>
  <w:num w:numId="20">
    <w:abstractNumId w:val="21"/>
  </w:num>
  <w:num w:numId="21">
    <w:abstractNumId w:val="28"/>
  </w:num>
  <w:num w:numId="22">
    <w:abstractNumId w:val="9"/>
  </w:num>
  <w:num w:numId="23">
    <w:abstractNumId w:val="2"/>
  </w:num>
  <w:num w:numId="24">
    <w:abstractNumId w:val="17"/>
  </w:num>
  <w:num w:numId="25">
    <w:abstractNumId w:val="18"/>
  </w:num>
  <w:num w:numId="26">
    <w:abstractNumId w:val="15"/>
  </w:num>
  <w:num w:numId="27">
    <w:abstractNumId w:val="1"/>
  </w:num>
  <w:num w:numId="28">
    <w:abstractNumId w:val="10"/>
  </w:num>
  <w:num w:numId="29">
    <w:abstractNumId w:val="0"/>
  </w:num>
  <w:num w:numId="30">
    <w:abstractNumId w:val="26"/>
  </w:num>
  <w:num w:numId="31">
    <w:abstractNumId w:val="8"/>
  </w:num>
  <w:num w:numId="32">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283"/>
  <w:characterSpacingControl w:val="doNotCompress"/>
  <w:footnotePr>
    <w:footnote w:id="0"/>
    <w:footnote w:id="1"/>
  </w:footnotePr>
  <w:endnotePr>
    <w:endnote w:id="0"/>
    <w:endnote w:id="1"/>
  </w:endnotePr>
  <w:compat/>
  <w:rsids>
    <w:rsidRoot w:val="002014C1"/>
    <w:rsid w:val="001C2C90"/>
    <w:rsid w:val="002014C1"/>
    <w:rsid w:val="00267C73"/>
    <w:rsid w:val="00355918"/>
    <w:rsid w:val="00387A07"/>
    <w:rsid w:val="003D19E2"/>
    <w:rsid w:val="00426A28"/>
    <w:rsid w:val="00543234"/>
    <w:rsid w:val="00550A30"/>
    <w:rsid w:val="00562711"/>
    <w:rsid w:val="005F30E0"/>
    <w:rsid w:val="00634FC3"/>
    <w:rsid w:val="006B70F8"/>
    <w:rsid w:val="006C3574"/>
    <w:rsid w:val="008141DD"/>
    <w:rsid w:val="00860AC7"/>
    <w:rsid w:val="008700B9"/>
    <w:rsid w:val="00924D96"/>
    <w:rsid w:val="009558D0"/>
    <w:rsid w:val="009925A1"/>
    <w:rsid w:val="00A63D9E"/>
    <w:rsid w:val="00AE042B"/>
    <w:rsid w:val="00B02536"/>
    <w:rsid w:val="00B06AD9"/>
    <w:rsid w:val="00BF5547"/>
    <w:rsid w:val="00BF6AD7"/>
    <w:rsid w:val="00C72B4C"/>
    <w:rsid w:val="00CD0CDC"/>
    <w:rsid w:val="00D873AE"/>
    <w:rsid w:val="00E00734"/>
    <w:rsid w:val="00E00D62"/>
    <w:rsid w:val="00E2729C"/>
    <w:rsid w:val="00EA6427"/>
    <w:rsid w:val="00F63C79"/>
    <w:rsid w:val="00F97E81"/>
    <w:rsid w:val="00FC2893"/>
    <w:rsid w:val="00FE751F"/>
    <w:rsid w:val="00FF1DD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country-region"/>
  <w:smartTagType w:namespaceuri="urn:schemas:contacts" w:name="Sn"/>
  <w:smartTagType w:namespaceuri="urn:schemas-microsoft-com:office:smarttags" w:name="plac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014C1"/>
    <w:rPr>
      <w:lang w:val="en-GB"/>
    </w:rPr>
  </w:style>
  <w:style w:type="paragraph" w:styleId="Titolo1">
    <w:name w:val="heading 1"/>
    <w:basedOn w:val="Normale"/>
    <w:next w:val="Normale"/>
    <w:link w:val="Titolo1Carattere"/>
    <w:uiPriority w:val="9"/>
    <w:qFormat/>
    <w:rsid w:val="00387A07"/>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387A07"/>
    <w:pPr>
      <w:keepNext/>
      <w:keepLines/>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387A07"/>
    <w:pPr>
      <w:keepNext/>
      <w:keepLines/>
      <w:spacing w:before="200" w:after="0" w:line="240" w:lineRule="auto"/>
      <w:outlineLvl w:val="2"/>
    </w:pPr>
    <w:rPr>
      <w:rFonts w:asciiTheme="majorHAnsi" w:eastAsiaTheme="majorEastAsia" w:hAnsiTheme="majorHAnsi" w:cstheme="majorBidi"/>
      <w:b/>
      <w:bCs/>
      <w:color w:val="4F81BD" w:themeColor="accent1"/>
      <w:sz w:val="20"/>
      <w:szCs w:val="20"/>
    </w:rPr>
  </w:style>
  <w:style w:type="paragraph" w:styleId="Titolo4">
    <w:name w:val="heading 4"/>
    <w:basedOn w:val="Normale"/>
    <w:next w:val="Normale"/>
    <w:link w:val="Titolo4Carattere"/>
    <w:uiPriority w:val="9"/>
    <w:unhideWhenUsed/>
    <w:qFormat/>
    <w:rsid w:val="00387A07"/>
    <w:pPr>
      <w:keepNext/>
      <w:keepLines/>
      <w:spacing w:before="200" w:after="0" w:line="240" w:lineRule="auto"/>
      <w:outlineLvl w:val="3"/>
    </w:pPr>
    <w:rPr>
      <w:rFonts w:asciiTheme="majorHAnsi" w:eastAsiaTheme="majorEastAsia" w:hAnsiTheme="majorHAnsi" w:cstheme="majorBidi"/>
      <w:b/>
      <w:bCs/>
      <w:i/>
      <w:iCs/>
      <w:color w:val="4F81BD" w:themeColor="accent1"/>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2014C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014C1"/>
    <w:rPr>
      <w:rFonts w:ascii="Tahoma" w:hAnsi="Tahoma" w:cs="Tahoma"/>
      <w:sz w:val="16"/>
      <w:szCs w:val="16"/>
      <w:lang w:val="en-GB"/>
    </w:rPr>
  </w:style>
  <w:style w:type="paragraph" w:customStyle="1" w:styleId="Default">
    <w:name w:val="Default"/>
    <w:rsid w:val="00387A07"/>
    <w:pPr>
      <w:autoSpaceDE w:val="0"/>
      <w:autoSpaceDN w:val="0"/>
      <w:adjustRightInd w:val="0"/>
      <w:spacing w:after="0" w:line="240" w:lineRule="auto"/>
    </w:pPr>
    <w:rPr>
      <w:rFonts w:ascii="Times New Roman" w:hAnsi="Times New Roman" w:cs="Times New Roman"/>
      <w:color w:val="000000"/>
      <w:sz w:val="24"/>
      <w:szCs w:val="24"/>
    </w:rPr>
  </w:style>
  <w:style w:type="table" w:styleId="Grigliatabella">
    <w:name w:val="Table Grid"/>
    <w:basedOn w:val="Tabellanormale"/>
    <w:uiPriority w:val="59"/>
    <w:rsid w:val="00387A0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foelenco">
    <w:name w:val="List Paragraph"/>
    <w:basedOn w:val="Normale"/>
    <w:uiPriority w:val="34"/>
    <w:qFormat/>
    <w:rsid w:val="00387A07"/>
    <w:pPr>
      <w:ind w:left="720"/>
      <w:contextualSpacing/>
    </w:pPr>
  </w:style>
  <w:style w:type="character" w:styleId="Enfasicorsivo">
    <w:name w:val="Emphasis"/>
    <w:uiPriority w:val="20"/>
    <w:qFormat/>
    <w:rsid w:val="00387A07"/>
    <w:rPr>
      <w:i/>
      <w:iCs/>
    </w:rPr>
  </w:style>
  <w:style w:type="paragraph" w:customStyle="1" w:styleId="NanotechAuthors">
    <w:name w:val="Nanotech Authors"/>
    <w:basedOn w:val="Normale"/>
    <w:uiPriority w:val="99"/>
    <w:rsid w:val="00387A07"/>
    <w:pPr>
      <w:spacing w:after="0" w:line="240" w:lineRule="auto"/>
      <w:jc w:val="center"/>
    </w:pPr>
    <w:rPr>
      <w:rFonts w:ascii="Times New Roman" w:eastAsia="Times New Roman" w:hAnsi="Times New Roman" w:cs="Times New Roman"/>
      <w:noProof/>
      <w:sz w:val="24"/>
      <w:szCs w:val="20"/>
      <w:lang w:val="en-US"/>
    </w:rPr>
  </w:style>
  <w:style w:type="character" w:styleId="MacchinadascrivereHTML">
    <w:name w:val="HTML Typewriter"/>
    <w:basedOn w:val="Carpredefinitoparagrafo"/>
    <w:uiPriority w:val="99"/>
    <w:unhideWhenUsed/>
    <w:rsid w:val="00387A07"/>
    <w:rPr>
      <w:rFonts w:ascii="Courier New" w:eastAsia="Times New Roman" w:hAnsi="Courier New" w:cs="Courier New"/>
      <w:sz w:val="20"/>
      <w:szCs w:val="20"/>
    </w:rPr>
  </w:style>
  <w:style w:type="paragraph" w:styleId="Didascalia">
    <w:name w:val="caption"/>
    <w:basedOn w:val="Normale"/>
    <w:next w:val="Normale"/>
    <w:uiPriority w:val="35"/>
    <w:unhideWhenUsed/>
    <w:qFormat/>
    <w:rsid w:val="00387A07"/>
    <w:pPr>
      <w:spacing w:line="240" w:lineRule="auto"/>
    </w:pPr>
    <w:rPr>
      <w:b/>
      <w:bCs/>
      <w:color w:val="4F81BD" w:themeColor="accent1"/>
      <w:sz w:val="18"/>
      <w:szCs w:val="18"/>
    </w:rPr>
  </w:style>
  <w:style w:type="paragraph" w:styleId="Testonormale">
    <w:name w:val="Plain Text"/>
    <w:basedOn w:val="Normale"/>
    <w:link w:val="TestonormaleCarattere"/>
    <w:rsid w:val="00387A07"/>
    <w:pPr>
      <w:spacing w:after="0" w:line="240" w:lineRule="auto"/>
    </w:pPr>
    <w:rPr>
      <w:rFonts w:ascii="Courier New" w:eastAsia="Times New Roman" w:hAnsi="Courier New" w:cs="Times New Roman"/>
      <w:noProof/>
      <w:sz w:val="20"/>
      <w:szCs w:val="20"/>
      <w:lang w:val="en-US"/>
    </w:rPr>
  </w:style>
  <w:style w:type="character" w:customStyle="1" w:styleId="TestonormaleCarattere">
    <w:name w:val="Testo normale Carattere"/>
    <w:basedOn w:val="Carpredefinitoparagrafo"/>
    <w:link w:val="Testonormale"/>
    <w:rsid w:val="00387A07"/>
    <w:rPr>
      <w:rFonts w:ascii="Courier New" w:eastAsia="Times New Roman" w:hAnsi="Courier New" w:cs="Times New Roman"/>
      <w:noProof/>
      <w:sz w:val="20"/>
      <w:szCs w:val="20"/>
      <w:lang w:val="en-US"/>
    </w:rPr>
  </w:style>
  <w:style w:type="character" w:customStyle="1" w:styleId="Titolo1Carattere">
    <w:name w:val="Titolo 1 Carattere"/>
    <w:basedOn w:val="Carpredefinitoparagrafo"/>
    <w:link w:val="Titolo1"/>
    <w:uiPriority w:val="9"/>
    <w:rsid w:val="00387A07"/>
    <w:rPr>
      <w:rFonts w:asciiTheme="majorHAnsi" w:eastAsiaTheme="majorEastAsia" w:hAnsiTheme="majorHAnsi" w:cstheme="majorBidi"/>
      <w:b/>
      <w:bCs/>
      <w:color w:val="365F91" w:themeColor="accent1" w:themeShade="BF"/>
      <w:sz w:val="28"/>
      <w:szCs w:val="28"/>
      <w:lang w:val="en-GB"/>
    </w:rPr>
  </w:style>
  <w:style w:type="character" w:customStyle="1" w:styleId="Titolo2Carattere">
    <w:name w:val="Titolo 2 Carattere"/>
    <w:basedOn w:val="Carpredefinitoparagrafo"/>
    <w:link w:val="Titolo2"/>
    <w:uiPriority w:val="9"/>
    <w:rsid w:val="00387A07"/>
    <w:rPr>
      <w:rFonts w:asciiTheme="majorHAnsi" w:eastAsiaTheme="majorEastAsia" w:hAnsiTheme="majorHAnsi" w:cstheme="majorBidi"/>
      <w:b/>
      <w:bCs/>
      <w:color w:val="4F81BD" w:themeColor="accent1"/>
      <w:sz w:val="26"/>
      <w:szCs w:val="26"/>
      <w:lang w:val="en-GB"/>
    </w:rPr>
  </w:style>
  <w:style w:type="character" w:customStyle="1" w:styleId="Titolo3Carattere">
    <w:name w:val="Titolo 3 Carattere"/>
    <w:basedOn w:val="Carpredefinitoparagrafo"/>
    <w:link w:val="Titolo3"/>
    <w:uiPriority w:val="9"/>
    <w:rsid w:val="00387A07"/>
    <w:rPr>
      <w:rFonts w:asciiTheme="majorHAnsi" w:eastAsiaTheme="majorEastAsia" w:hAnsiTheme="majorHAnsi" w:cstheme="majorBidi"/>
      <w:b/>
      <w:bCs/>
      <w:color w:val="4F81BD" w:themeColor="accent1"/>
      <w:sz w:val="20"/>
      <w:szCs w:val="20"/>
      <w:lang w:val="en-GB"/>
    </w:rPr>
  </w:style>
  <w:style w:type="character" w:customStyle="1" w:styleId="Titolo4Carattere">
    <w:name w:val="Titolo 4 Carattere"/>
    <w:basedOn w:val="Carpredefinitoparagrafo"/>
    <w:link w:val="Titolo4"/>
    <w:uiPriority w:val="9"/>
    <w:rsid w:val="00387A07"/>
    <w:rPr>
      <w:rFonts w:asciiTheme="majorHAnsi" w:eastAsiaTheme="majorEastAsia" w:hAnsiTheme="majorHAnsi" w:cstheme="majorBidi"/>
      <w:b/>
      <w:bCs/>
      <w:i/>
      <w:iCs/>
      <w:color w:val="4F81BD" w:themeColor="accent1"/>
      <w:sz w:val="20"/>
      <w:szCs w:val="20"/>
      <w:lang w:val="en-GB"/>
    </w:rPr>
  </w:style>
  <w:style w:type="paragraph" w:styleId="Intestazione">
    <w:name w:val="header"/>
    <w:basedOn w:val="Normale"/>
    <w:link w:val="IntestazioneCarattere"/>
    <w:uiPriority w:val="99"/>
    <w:semiHidden/>
    <w:unhideWhenUsed/>
    <w:rsid w:val="00387A0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387A07"/>
    <w:rPr>
      <w:lang w:val="en-GB"/>
    </w:rPr>
  </w:style>
  <w:style w:type="paragraph" w:styleId="Pidipagina">
    <w:name w:val="footer"/>
    <w:basedOn w:val="Normale"/>
    <w:link w:val="PidipaginaCarattere"/>
    <w:uiPriority w:val="99"/>
    <w:unhideWhenUsed/>
    <w:rsid w:val="00387A0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87A07"/>
    <w:rPr>
      <w:lang w:val="en-GB"/>
    </w:rPr>
  </w:style>
  <w:style w:type="character" w:styleId="Collegamentoipertestuale">
    <w:name w:val="Hyperlink"/>
    <w:basedOn w:val="Carpredefinitoparagrafo"/>
    <w:uiPriority w:val="99"/>
    <w:semiHidden/>
    <w:unhideWhenUsed/>
    <w:rsid w:val="00387A07"/>
    <w:rPr>
      <w:color w:val="0000FF"/>
      <w:u w:val="single"/>
    </w:rPr>
  </w:style>
  <w:style w:type="character" w:styleId="Rimandocommento">
    <w:name w:val="annotation reference"/>
    <w:basedOn w:val="Carpredefinitoparagrafo"/>
    <w:uiPriority w:val="99"/>
    <w:semiHidden/>
    <w:unhideWhenUsed/>
    <w:rsid w:val="00387A07"/>
    <w:rPr>
      <w:sz w:val="16"/>
      <w:szCs w:val="16"/>
    </w:rPr>
  </w:style>
  <w:style w:type="paragraph" w:styleId="Testocommento">
    <w:name w:val="annotation text"/>
    <w:basedOn w:val="Normale"/>
    <w:link w:val="TestocommentoCarattere"/>
    <w:uiPriority w:val="99"/>
    <w:semiHidden/>
    <w:unhideWhenUsed/>
    <w:rsid w:val="00387A07"/>
    <w:pPr>
      <w:spacing w:after="0" w:line="240" w:lineRule="auto"/>
    </w:pPr>
    <w:rPr>
      <w:rFonts w:ascii="Times New Roman" w:eastAsia="Times New Roman" w:hAnsi="Times New Roman" w:cs="Times New Roman"/>
      <w:sz w:val="20"/>
      <w:szCs w:val="20"/>
    </w:rPr>
  </w:style>
  <w:style w:type="character" w:customStyle="1" w:styleId="TestocommentoCarattere">
    <w:name w:val="Testo commento Carattere"/>
    <w:basedOn w:val="Carpredefinitoparagrafo"/>
    <w:link w:val="Testocommento"/>
    <w:uiPriority w:val="99"/>
    <w:semiHidden/>
    <w:rsid w:val="00387A07"/>
    <w:rPr>
      <w:rFonts w:ascii="Times New Roman" w:eastAsia="Times New Roman" w:hAnsi="Times New Roman" w:cs="Times New Roman"/>
      <w:sz w:val="20"/>
      <w:szCs w:val="20"/>
      <w:lang w:val="en-GB"/>
    </w:rPr>
  </w:style>
  <w:style w:type="paragraph" w:customStyle="1" w:styleId="NanotechReferences">
    <w:name w:val="Nanotech References"/>
    <w:basedOn w:val="Normale"/>
    <w:rsid w:val="00387A07"/>
    <w:pPr>
      <w:spacing w:after="0" w:line="240" w:lineRule="auto"/>
      <w:ind w:left="630" w:hanging="360"/>
      <w:jc w:val="both"/>
    </w:pPr>
    <w:rPr>
      <w:rFonts w:ascii="Times New Roman" w:eastAsia="Times New Roman" w:hAnsi="Times New Roman" w:cs="Times New Roman"/>
      <w:noProof/>
      <w:sz w:val="20"/>
      <w:szCs w:val="20"/>
      <w:lang w:val="en-US"/>
    </w:rPr>
  </w:style>
  <w:style w:type="character" w:styleId="Enfasigrassetto">
    <w:name w:val="Strong"/>
    <w:basedOn w:val="Carpredefinitoparagrafo"/>
    <w:uiPriority w:val="22"/>
    <w:qFormat/>
    <w:rsid w:val="00387A07"/>
    <w:rPr>
      <w:b/>
      <w:bCs/>
    </w:rPr>
  </w:style>
  <w:style w:type="character" w:customStyle="1" w:styleId="apple-style-span">
    <w:name w:val="apple-style-span"/>
    <w:basedOn w:val="Carpredefinitoparagrafo"/>
    <w:rsid w:val="00387A07"/>
  </w:style>
  <w:style w:type="paragraph" w:styleId="NormaleWeb">
    <w:name w:val="Normal (Web)"/>
    <w:basedOn w:val="Normale"/>
    <w:rsid w:val="00387A07"/>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customStyle="1" w:styleId="NanotechMainText">
    <w:name w:val="Nanotech Main Text"/>
    <w:basedOn w:val="Normale"/>
    <w:rsid w:val="00387A07"/>
    <w:pPr>
      <w:spacing w:after="0" w:line="240" w:lineRule="auto"/>
      <w:ind w:firstLine="284"/>
      <w:jc w:val="both"/>
    </w:pPr>
    <w:rPr>
      <w:rFonts w:ascii="Times New Roman" w:eastAsia="Times New Roman" w:hAnsi="Times New Roman" w:cs="Times New Roman"/>
      <w:noProof/>
      <w:sz w:val="20"/>
      <w:szCs w:val="20"/>
      <w:lang w:val="en-US"/>
    </w:rPr>
  </w:style>
  <w:style w:type="paragraph" w:styleId="Corpodeltesto2">
    <w:name w:val="Body Text 2"/>
    <w:basedOn w:val="Normale"/>
    <w:link w:val="Corpodeltesto2Carattere"/>
    <w:rsid w:val="00387A07"/>
    <w:pPr>
      <w:spacing w:after="0" w:line="240" w:lineRule="auto"/>
      <w:ind w:firstLine="284"/>
      <w:jc w:val="both"/>
    </w:pPr>
    <w:rPr>
      <w:rFonts w:ascii="Times New Roman" w:eastAsia="Times New Roman" w:hAnsi="Times New Roman" w:cs="Times New Roman"/>
      <w:sz w:val="20"/>
      <w:szCs w:val="20"/>
      <w:lang w:val="en-US"/>
    </w:rPr>
  </w:style>
  <w:style w:type="character" w:customStyle="1" w:styleId="Corpodeltesto2Carattere">
    <w:name w:val="Corpo del testo 2 Carattere"/>
    <w:basedOn w:val="Carpredefinitoparagrafo"/>
    <w:link w:val="Corpodeltesto2"/>
    <w:rsid w:val="00387A07"/>
    <w:rPr>
      <w:rFonts w:ascii="Times New Roman" w:eastAsia="Times New Roman" w:hAnsi="Times New Roman" w:cs="Times New Roman"/>
      <w:sz w:val="20"/>
      <w:szCs w:val="20"/>
      <w:lang w:val="en-US"/>
    </w:rPr>
  </w:style>
  <w:style w:type="character" w:customStyle="1" w:styleId="TestonotadichiusuraCarattere">
    <w:name w:val="Testo nota di chiusura Carattere"/>
    <w:basedOn w:val="Carpredefinitoparagrafo"/>
    <w:link w:val="Testonotadichiusura"/>
    <w:uiPriority w:val="99"/>
    <w:semiHidden/>
    <w:rsid w:val="00387A07"/>
    <w:rPr>
      <w:rFonts w:ascii="Times New Roman" w:eastAsia="Times New Roman" w:hAnsi="Times New Roman" w:cs="Times New Roman"/>
      <w:sz w:val="20"/>
      <w:szCs w:val="20"/>
      <w:lang w:val="en-GB"/>
    </w:rPr>
  </w:style>
  <w:style w:type="paragraph" w:styleId="Testonotadichiusura">
    <w:name w:val="endnote text"/>
    <w:basedOn w:val="Normale"/>
    <w:link w:val="TestonotadichiusuraCarattere"/>
    <w:uiPriority w:val="99"/>
    <w:semiHidden/>
    <w:unhideWhenUsed/>
    <w:rsid w:val="00387A07"/>
    <w:pPr>
      <w:spacing w:after="0" w:line="240" w:lineRule="auto"/>
    </w:pPr>
    <w:rPr>
      <w:rFonts w:ascii="Times New Roman" w:eastAsia="Times New Roman" w:hAnsi="Times New Roman" w:cs="Times New Roman"/>
      <w:sz w:val="20"/>
      <w:szCs w:val="20"/>
    </w:rPr>
  </w:style>
  <w:style w:type="character" w:customStyle="1" w:styleId="TestonotadichiusuraCarattere1">
    <w:name w:val="Testo nota di chiusura Carattere1"/>
    <w:basedOn w:val="Carpredefinitoparagrafo"/>
    <w:link w:val="Testonotadichiusura"/>
    <w:uiPriority w:val="99"/>
    <w:semiHidden/>
    <w:rsid w:val="00387A07"/>
    <w:rPr>
      <w:sz w:val="20"/>
      <w:szCs w:val="20"/>
      <w:lang w:val="en-GB"/>
    </w:rPr>
  </w:style>
  <w:style w:type="paragraph" w:styleId="Testonotaapidipagina">
    <w:name w:val="footnote text"/>
    <w:basedOn w:val="Normale"/>
    <w:link w:val="TestonotaapidipaginaCarattere"/>
    <w:uiPriority w:val="99"/>
    <w:semiHidden/>
    <w:unhideWhenUsed/>
    <w:rsid w:val="00387A07"/>
    <w:pPr>
      <w:spacing w:after="0" w:line="240" w:lineRule="auto"/>
    </w:pPr>
    <w:rPr>
      <w:rFonts w:ascii="Times New Roman" w:eastAsia="Times New Roman" w:hAnsi="Times New Roman" w:cs="Times New Roman"/>
      <w:sz w:val="20"/>
      <w:szCs w:val="20"/>
    </w:rPr>
  </w:style>
  <w:style w:type="character" w:customStyle="1" w:styleId="TestonotaapidipaginaCarattere">
    <w:name w:val="Testo nota a piè di pagina Carattere"/>
    <w:basedOn w:val="Carpredefinitoparagrafo"/>
    <w:link w:val="Testonotaapidipagina"/>
    <w:uiPriority w:val="99"/>
    <w:semiHidden/>
    <w:rsid w:val="00387A07"/>
    <w:rPr>
      <w:rFonts w:ascii="Times New Roman" w:eastAsia="Times New Roman" w:hAnsi="Times New Roman" w:cs="Times New Roman"/>
      <w:sz w:val="20"/>
      <w:szCs w:val="20"/>
      <w:lang w:val="en-GB"/>
    </w:rPr>
  </w:style>
  <w:style w:type="character" w:customStyle="1" w:styleId="SoggettocommentoCarattere">
    <w:name w:val="Soggetto commento Carattere"/>
    <w:basedOn w:val="TestocommentoCarattere"/>
    <w:link w:val="Soggettocommento"/>
    <w:uiPriority w:val="99"/>
    <w:semiHidden/>
    <w:rsid w:val="00387A07"/>
    <w:rPr>
      <w:b/>
      <w:bCs/>
    </w:rPr>
  </w:style>
  <w:style w:type="paragraph" w:styleId="Soggettocommento">
    <w:name w:val="annotation subject"/>
    <w:basedOn w:val="Testocommento"/>
    <w:next w:val="Testocommento"/>
    <w:link w:val="SoggettocommentoCarattere"/>
    <w:uiPriority w:val="99"/>
    <w:semiHidden/>
    <w:unhideWhenUsed/>
    <w:rsid w:val="00387A07"/>
    <w:rPr>
      <w:b/>
      <w:bCs/>
    </w:rPr>
  </w:style>
  <w:style w:type="character" w:customStyle="1" w:styleId="SoggettocommentoCarattere1">
    <w:name w:val="Soggetto commento Carattere1"/>
    <w:basedOn w:val="TestocommentoCarattere"/>
    <w:link w:val="Soggettocommento"/>
    <w:uiPriority w:val="99"/>
    <w:semiHidden/>
    <w:rsid w:val="00387A07"/>
    <w:rPr>
      <w:b/>
      <w:bCs/>
    </w:rPr>
  </w:style>
  <w:style w:type="table" w:styleId="Sfondochiaro-Colore5">
    <w:name w:val="Light Shading Accent 5"/>
    <w:basedOn w:val="Tabellanormale"/>
    <w:uiPriority w:val="99"/>
    <w:rsid w:val="00387A07"/>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styleId="Testosegnaposto">
    <w:name w:val="Placeholder Text"/>
    <w:basedOn w:val="Carpredefinitoparagrafo"/>
    <w:uiPriority w:val="99"/>
    <w:semiHidden/>
    <w:rsid w:val="00387A07"/>
    <w:rPr>
      <w:color w:val="808080"/>
    </w:rPr>
  </w:style>
  <w:style w:type="table" w:customStyle="1" w:styleId="Sfondochiaro1">
    <w:name w:val="Sfondo chiaro1"/>
    <w:basedOn w:val="Tabellanormale"/>
    <w:uiPriority w:val="60"/>
    <w:rsid w:val="00387A0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Rimandonotadichiusura">
    <w:name w:val="endnote reference"/>
    <w:basedOn w:val="Carpredefinitoparagrafo"/>
    <w:uiPriority w:val="99"/>
    <w:semiHidden/>
    <w:unhideWhenUsed/>
    <w:rsid w:val="00387A07"/>
    <w:rPr>
      <w:vertAlign w:val="superscript"/>
    </w:rPr>
  </w:style>
  <w:style w:type="character" w:styleId="Rimandonotaapidipagina">
    <w:name w:val="footnote reference"/>
    <w:basedOn w:val="Carpredefinitoparagrafo"/>
    <w:uiPriority w:val="99"/>
    <w:semiHidden/>
    <w:unhideWhenUsed/>
    <w:rsid w:val="00387A07"/>
    <w:rPr>
      <w:vertAlign w:val="superscript"/>
    </w:rPr>
  </w:style>
  <w:style w:type="character" w:customStyle="1" w:styleId="fn">
    <w:name w:val="fn"/>
    <w:basedOn w:val="Carpredefinitoparagrafo"/>
    <w:rsid w:val="00387A0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117" Type="http://schemas.openxmlformats.org/officeDocument/2006/relationships/image" Target="media/image96.emf"/><Relationship Id="rId21" Type="http://schemas.openxmlformats.org/officeDocument/2006/relationships/image" Target="media/image14.emf"/><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emf"/><Relationship Id="rId84" Type="http://schemas.openxmlformats.org/officeDocument/2006/relationships/image" Target="media/image74.emf"/><Relationship Id="rId89" Type="http://schemas.openxmlformats.org/officeDocument/2006/relationships/image" Target="media/image79.png"/><Relationship Id="rId112" Type="http://schemas.openxmlformats.org/officeDocument/2006/relationships/oleObject" Target="embeddings/oleObject9.bin"/><Relationship Id="rId16" Type="http://schemas.openxmlformats.org/officeDocument/2006/relationships/image" Target="media/image9.emf"/><Relationship Id="rId107" Type="http://schemas.openxmlformats.org/officeDocument/2006/relationships/image" Target="media/image91.emf"/><Relationship Id="rId11" Type="http://schemas.openxmlformats.org/officeDocument/2006/relationships/image" Target="media/image5.jpeg"/><Relationship Id="rId32" Type="http://schemas.openxmlformats.org/officeDocument/2006/relationships/image" Target="media/image24.png"/><Relationship Id="rId37" Type="http://schemas.openxmlformats.org/officeDocument/2006/relationships/chart" Target="charts/chart1.xml"/><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4.png"/><Relationship Id="rId79" Type="http://schemas.openxmlformats.org/officeDocument/2006/relationships/image" Target="media/image69.emf"/><Relationship Id="rId102" Type="http://schemas.openxmlformats.org/officeDocument/2006/relationships/oleObject" Target="embeddings/oleObject4.bin"/><Relationship Id="rId123" Type="http://schemas.openxmlformats.org/officeDocument/2006/relationships/image" Target="media/image99.emf"/><Relationship Id="rId128" Type="http://schemas.openxmlformats.org/officeDocument/2006/relationships/oleObject" Target="embeddings/oleObject17.bin"/><Relationship Id="rId5" Type="http://schemas.openxmlformats.org/officeDocument/2006/relationships/footnotes" Target="footnotes.xml"/><Relationship Id="rId90" Type="http://schemas.openxmlformats.org/officeDocument/2006/relationships/image" Target="media/image80.png"/><Relationship Id="rId95" Type="http://schemas.openxmlformats.org/officeDocument/2006/relationships/image" Target="media/image85.emf"/><Relationship Id="rId19" Type="http://schemas.openxmlformats.org/officeDocument/2006/relationships/image" Target="media/image1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emf"/><Relationship Id="rId69" Type="http://schemas.openxmlformats.org/officeDocument/2006/relationships/image" Target="media/image59.emf"/><Relationship Id="rId77" Type="http://schemas.openxmlformats.org/officeDocument/2006/relationships/image" Target="media/image67.emf"/><Relationship Id="rId100" Type="http://schemas.openxmlformats.org/officeDocument/2006/relationships/oleObject" Target="embeddings/oleObject3.bin"/><Relationship Id="rId105" Type="http://schemas.openxmlformats.org/officeDocument/2006/relationships/image" Target="media/image90.emf"/><Relationship Id="rId113" Type="http://schemas.openxmlformats.org/officeDocument/2006/relationships/image" Target="media/image94.emf"/><Relationship Id="rId118" Type="http://schemas.openxmlformats.org/officeDocument/2006/relationships/oleObject" Target="embeddings/oleObject12.bin"/><Relationship Id="rId126" Type="http://schemas.openxmlformats.org/officeDocument/2006/relationships/oleObject" Target="embeddings/oleObject16.bin"/><Relationship Id="rId8" Type="http://schemas.openxmlformats.org/officeDocument/2006/relationships/image" Target="media/image2.png"/><Relationship Id="rId51" Type="http://schemas.openxmlformats.org/officeDocument/2006/relationships/image" Target="media/image41.png"/><Relationship Id="rId72" Type="http://schemas.openxmlformats.org/officeDocument/2006/relationships/image" Target="media/image62.emf"/><Relationship Id="rId80" Type="http://schemas.openxmlformats.org/officeDocument/2006/relationships/image" Target="media/image70.emf"/><Relationship Id="rId85" Type="http://schemas.openxmlformats.org/officeDocument/2006/relationships/image" Target="media/image75.png"/><Relationship Id="rId93" Type="http://schemas.openxmlformats.org/officeDocument/2006/relationships/image" Target="media/image83.png"/><Relationship Id="rId98" Type="http://schemas.openxmlformats.org/officeDocument/2006/relationships/oleObject" Target="embeddings/oleObject2.bin"/><Relationship Id="rId121" Type="http://schemas.openxmlformats.org/officeDocument/2006/relationships/image" Target="media/image98.emf"/><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0.emf"/><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29.png"/><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image" Target="media/image57.emf"/><Relationship Id="rId103" Type="http://schemas.openxmlformats.org/officeDocument/2006/relationships/image" Target="media/image89.emf"/><Relationship Id="rId108" Type="http://schemas.openxmlformats.org/officeDocument/2006/relationships/oleObject" Target="embeddings/oleObject7.bin"/><Relationship Id="rId116" Type="http://schemas.openxmlformats.org/officeDocument/2006/relationships/oleObject" Target="embeddings/oleObject11.bin"/><Relationship Id="rId124" Type="http://schemas.openxmlformats.org/officeDocument/2006/relationships/oleObject" Target="embeddings/oleObject15.bin"/><Relationship Id="rId129" Type="http://schemas.openxmlformats.org/officeDocument/2006/relationships/image" Target="media/image102.emf"/><Relationship Id="rId20" Type="http://schemas.openxmlformats.org/officeDocument/2006/relationships/image" Target="media/image13.emf"/><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image" Target="media/image60.emf"/><Relationship Id="rId75" Type="http://schemas.openxmlformats.org/officeDocument/2006/relationships/image" Target="media/image65.emf"/><Relationship Id="rId83" Type="http://schemas.openxmlformats.org/officeDocument/2006/relationships/image" Target="media/image73.emf"/><Relationship Id="rId88" Type="http://schemas.openxmlformats.org/officeDocument/2006/relationships/image" Target="media/image78.emf"/><Relationship Id="rId91" Type="http://schemas.openxmlformats.org/officeDocument/2006/relationships/image" Target="media/image81.png"/><Relationship Id="rId96" Type="http://schemas.openxmlformats.org/officeDocument/2006/relationships/oleObject" Target="embeddings/oleObject1.bin"/><Relationship Id="rId111" Type="http://schemas.openxmlformats.org/officeDocument/2006/relationships/image" Target="media/image93.emf"/><Relationship Id="rId13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png"/><Relationship Id="rId23" Type="http://schemas.openxmlformats.org/officeDocument/2006/relationships/image" Target="media/image16.emf"/><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39.png"/><Relationship Id="rId57" Type="http://schemas.openxmlformats.org/officeDocument/2006/relationships/image" Target="media/image47.png"/><Relationship Id="rId106" Type="http://schemas.openxmlformats.org/officeDocument/2006/relationships/oleObject" Target="embeddings/oleObject6.bin"/><Relationship Id="rId114" Type="http://schemas.openxmlformats.org/officeDocument/2006/relationships/oleObject" Target="embeddings/oleObject10.bin"/><Relationship Id="rId119" Type="http://schemas.openxmlformats.org/officeDocument/2006/relationships/image" Target="media/image97.emf"/><Relationship Id="rId127" Type="http://schemas.openxmlformats.org/officeDocument/2006/relationships/image" Target="media/image101.emf"/><Relationship Id="rId10" Type="http://schemas.openxmlformats.org/officeDocument/2006/relationships/image" Target="media/image4.jpeg"/><Relationship Id="rId31" Type="http://schemas.openxmlformats.org/officeDocument/2006/relationships/image" Target="media/image23.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emf"/><Relationship Id="rId73" Type="http://schemas.openxmlformats.org/officeDocument/2006/relationships/image" Target="media/image63.emf"/><Relationship Id="rId78" Type="http://schemas.openxmlformats.org/officeDocument/2006/relationships/image" Target="media/image68.emf"/><Relationship Id="rId81" Type="http://schemas.openxmlformats.org/officeDocument/2006/relationships/image" Target="media/image71.emf"/><Relationship Id="rId86" Type="http://schemas.openxmlformats.org/officeDocument/2006/relationships/image" Target="media/image76.png"/><Relationship Id="rId94" Type="http://schemas.openxmlformats.org/officeDocument/2006/relationships/image" Target="media/image84.png"/><Relationship Id="rId99" Type="http://schemas.openxmlformats.org/officeDocument/2006/relationships/image" Target="media/image87.emf"/><Relationship Id="rId101" Type="http://schemas.openxmlformats.org/officeDocument/2006/relationships/image" Target="media/image88.emf"/><Relationship Id="rId122" Type="http://schemas.openxmlformats.org/officeDocument/2006/relationships/oleObject" Target="embeddings/oleObject14.bin"/><Relationship Id="rId130" Type="http://schemas.openxmlformats.org/officeDocument/2006/relationships/oleObject" Target="embeddings/oleObject18.bin"/><Relationship Id="rId4" Type="http://schemas.openxmlformats.org/officeDocument/2006/relationships/webSettings" Target="webSettings.xml"/><Relationship Id="rId9" Type="http://schemas.openxmlformats.org/officeDocument/2006/relationships/image" Target="media/image3.emf"/><Relationship Id="rId13" Type="http://schemas.openxmlformats.org/officeDocument/2006/relationships/hyperlink" Target="http://en.wikipedia.org/wiki/Emulsified" TargetMode="External"/><Relationship Id="rId18" Type="http://schemas.openxmlformats.org/officeDocument/2006/relationships/image" Target="media/image11.emf"/><Relationship Id="rId39" Type="http://schemas.openxmlformats.org/officeDocument/2006/relationships/footer" Target="footer2.xml"/><Relationship Id="rId109" Type="http://schemas.openxmlformats.org/officeDocument/2006/relationships/image" Target="media/image92.emf"/><Relationship Id="rId34" Type="http://schemas.openxmlformats.org/officeDocument/2006/relationships/image" Target="media/image26.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emf"/><Relationship Id="rId97" Type="http://schemas.openxmlformats.org/officeDocument/2006/relationships/image" Target="media/image86.emf"/><Relationship Id="rId104" Type="http://schemas.openxmlformats.org/officeDocument/2006/relationships/oleObject" Target="embeddings/oleObject5.bin"/><Relationship Id="rId120" Type="http://schemas.openxmlformats.org/officeDocument/2006/relationships/oleObject" Target="embeddings/oleObject13.bin"/><Relationship Id="rId125" Type="http://schemas.openxmlformats.org/officeDocument/2006/relationships/image" Target="media/image100.emf"/><Relationship Id="rId7" Type="http://schemas.openxmlformats.org/officeDocument/2006/relationships/image" Target="media/image1.gif"/><Relationship Id="rId71" Type="http://schemas.openxmlformats.org/officeDocument/2006/relationships/image" Target="media/image61.emf"/><Relationship Id="rId92" Type="http://schemas.openxmlformats.org/officeDocument/2006/relationships/image" Target="media/image82.png"/><Relationship Id="rId2" Type="http://schemas.openxmlformats.org/officeDocument/2006/relationships/styles" Target="styles.xml"/><Relationship Id="rId29" Type="http://schemas.openxmlformats.org/officeDocument/2006/relationships/image" Target="media/image21.png"/><Relationship Id="rId24" Type="http://schemas.openxmlformats.org/officeDocument/2006/relationships/footer" Target="footer1.xml"/><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emf"/><Relationship Id="rId87" Type="http://schemas.openxmlformats.org/officeDocument/2006/relationships/image" Target="media/image77.emf"/><Relationship Id="rId110" Type="http://schemas.openxmlformats.org/officeDocument/2006/relationships/oleObject" Target="embeddings/oleObject8.bin"/><Relationship Id="rId115" Type="http://schemas.openxmlformats.org/officeDocument/2006/relationships/image" Target="media/image95.emf"/><Relationship Id="rId131" Type="http://schemas.openxmlformats.org/officeDocument/2006/relationships/fontTable" Target="fontTable.xml"/><Relationship Id="rId61" Type="http://schemas.openxmlformats.org/officeDocument/2006/relationships/image" Target="media/image51.png"/><Relationship Id="rId82" Type="http://schemas.openxmlformats.org/officeDocument/2006/relationships/image" Target="media/image72.emf"/></Relationships>
</file>

<file path=word/charts/_rels/chart1.xml.rels><?xml version="1.0" encoding="UTF-8" standalone="yes"?>
<Relationships xmlns="http://schemas.openxmlformats.org/package/2006/relationships"><Relationship Id="rId1" Type="http://schemas.openxmlformats.org/officeDocument/2006/relationships/oleObject" Target="file:///C:\Users\Clara\Desktop\dati_assorbimento_a43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it-IT"/>
  <c:style val="1"/>
  <c:chart>
    <c:title>
      <c:tx>
        <c:rich>
          <a:bodyPr/>
          <a:lstStyle/>
          <a:p>
            <a:pPr>
              <a:defRPr/>
            </a:pPr>
            <a:r>
              <a:rPr lang="it-IT"/>
              <a:t>Uptake of nps by A431 cells</a:t>
            </a:r>
          </a:p>
        </c:rich>
      </c:tx>
    </c:title>
    <c:plotArea>
      <c:layout/>
      <c:barChart>
        <c:barDir val="col"/>
        <c:grouping val="clustered"/>
        <c:ser>
          <c:idx val="0"/>
          <c:order val="0"/>
          <c:errBars>
            <c:errBarType val="both"/>
            <c:errValType val="cust"/>
            <c:plus>
              <c:numRef>
                <c:f>Foglio1!$Q$22:$S$22</c:f>
                <c:numCache>
                  <c:formatCode>General</c:formatCode>
                  <c:ptCount val="3"/>
                  <c:pt idx="0">
                    <c:v>19.2</c:v>
                  </c:pt>
                  <c:pt idx="1">
                    <c:v>6.9</c:v>
                  </c:pt>
                  <c:pt idx="2">
                    <c:v>22.1</c:v>
                  </c:pt>
                </c:numCache>
              </c:numRef>
            </c:plus>
            <c:minus>
              <c:numRef>
                <c:f>Foglio1!$Q$22:$S$22</c:f>
                <c:numCache>
                  <c:formatCode>General</c:formatCode>
                  <c:ptCount val="3"/>
                  <c:pt idx="0">
                    <c:v>19.2</c:v>
                  </c:pt>
                  <c:pt idx="1">
                    <c:v>6.9</c:v>
                  </c:pt>
                  <c:pt idx="2">
                    <c:v>22.1</c:v>
                  </c:pt>
                </c:numCache>
              </c:numRef>
            </c:minus>
          </c:errBars>
          <c:cat>
            <c:strRef>
              <c:f>Foglio1!$Q$20:$S$20</c:f>
              <c:strCache>
                <c:ptCount val="3"/>
                <c:pt idx="0">
                  <c:v>PCL</c:v>
                </c:pt>
                <c:pt idx="1">
                  <c:v>PLA</c:v>
                </c:pt>
                <c:pt idx="2">
                  <c:v>C-BC2000</c:v>
                </c:pt>
              </c:strCache>
            </c:strRef>
          </c:cat>
          <c:val>
            <c:numRef>
              <c:f>Foglio1!$Q$21:$S$21</c:f>
              <c:numCache>
                <c:formatCode>General</c:formatCode>
                <c:ptCount val="3"/>
                <c:pt idx="0">
                  <c:v>92.9</c:v>
                </c:pt>
                <c:pt idx="1">
                  <c:v>94.1</c:v>
                </c:pt>
                <c:pt idx="2">
                  <c:v>96.1</c:v>
                </c:pt>
              </c:numCache>
            </c:numRef>
          </c:val>
        </c:ser>
        <c:axId val="189999360"/>
        <c:axId val="190001152"/>
      </c:barChart>
      <c:catAx>
        <c:axId val="189999360"/>
        <c:scaling>
          <c:orientation val="minMax"/>
        </c:scaling>
        <c:axPos val="b"/>
        <c:tickLblPos val="nextTo"/>
        <c:crossAx val="190001152"/>
        <c:crosses val="autoZero"/>
        <c:auto val="1"/>
        <c:lblAlgn val="ctr"/>
        <c:lblOffset val="100"/>
      </c:catAx>
      <c:valAx>
        <c:axId val="190001152"/>
        <c:scaling>
          <c:orientation val="minMax"/>
          <c:max val="120"/>
          <c:min val="0"/>
        </c:scaling>
        <c:axPos val="l"/>
        <c:majorGridlines/>
        <c:numFmt formatCode="General" sourceLinked="1"/>
        <c:tickLblPos val="nextTo"/>
        <c:crossAx val="189999360"/>
        <c:crosses val="autoZero"/>
        <c:crossBetween val="between"/>
      </c:valAx>
    </c:plotArea>
    <c:plotVisOnly val="1"/>
  </c:chart>
  <c:externalData r:id="rId1"/>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170</Pages>
  <Words>36780</Words>
  <Characters>209649</Characters>
  <Application>Microsoft Office Word</Application>
  <DocSecurity>0</DocSecurity>
  <Lines>1747</Lines>
  <Paragraphs>491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245938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Clara</dc:creator>
  <cp:lastModifiedBy>Clara</cp:lastModifiedBy>
  <cp:revision>4</cp:revision>
  <dcterms:created xsi:type="dcterms:W3CDTF">2012-08-14T13:41:00Z</dcterms:created>
  <dcterms:modified xsi:type="dcterms:W3CDTF">2012-08-14T14:21:00Z</dcterms:modified>
</cp:coreProperties>
</file>