
<file path=[Content_Types].xml><?xml version="1.0" encoding="utf-8"?>
<Types xmlns="http://schemas.openxmlformats.org/package/2006/content-types">
  <Override PartName="/word/footnotes.xml" ContentType="application/vnd.openxmlformats-officedocument.wordprocessingml.footnotes+xml"/>
  <Default Extension="emf" ContentType="image/x-emf"/>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81ABF" w:rsidRPr="00DA6FDF" w:rsidRDefault="00381ABF" w:rsidP="008D2DF6">
      <w:pPr>
        <w:pStyle w:val="NormaleWeb"/>
        <w:spacing w:after="0" w:line="360" w:lineRule="auto"/>
      </w:pPr>
    </w:p>
    <w:p w:rsidR="00381ABF" w:rsidRPr="00DA6FDF" w:rsidRDefault="00381ABF" w:rsidP="008D2DF6">
      <w:pPr>
        <w:pStyle w:val="NormaleWeb"/>
        <w:spacing w:after="0" w:line="360" w:lineRule="auto"/>
        <w:jc w:val="center"/>
      </w:pPr>
      <w:r w:rsidRPr="00DA6FDF">
        <w:rPr>
          <w:noProof/>
        </w:rPr>
        <w:drawing>
          <wp:inline distT="0" distB="0" distL="0" distR="0">
            <wp:extent cx="855592" cy="818984"/>
            <wp:effectExtent l="1905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srcRect/>
                    <a:stretch>
                      <a:fillRect/>
                    </a:stretch>
                  </pic:blipFill>
                  <pic:spPr bwMode="auto">
                    <a:xfrm>
                      <a:off x="0" y="0"/>
                      <a:ext cx="855593" cy="818984"/>
                    </a:xfrm>
                    <a:prstGeom prst="rect">
                      <a:avLst/>
                    </a:prstGeom>
                    <a:noFill/>
                    <a:ln w="9525">
                      <a:noFill/>
                      <a:miter lim="800000"/>
                      <a:headEnd/>
                      <a:tailEnd/>
                    </a:ln>
                  </pic:spPr>
                </pic:pic>
              </a:graphicData>
            </a:graphic>
          </wp:inline>
        </w:drawing>
      </w:r>
    </w:p>
    <w:p w:rsidR="00381ABF" w:rsidRPr="00DA6FDF" w:rsidRDefault="00381ABF" w:rsidP="008D2DF6">
      <w:pPr>
        <w:pStyle w:val="NormaleWeb"/>
        <w:spacing w:after="0" w:line="360" w:lineRule="auto"/>
        <w:jc w:val="center"/>
        <w:rPr>
          <w:sz w:val="32"/>
          <w:szCs w:val="32"/>
        </w:rPr>
      </w:pPr>
      <w:r w:rsidRPr="00DA6FDF">
        <w:rPr>
          <w:sz w:val="32"/>
          <w:szCs w:val="32"/>
        </w:rPr>
        <w:t>Dipartimento di Psicologia</w:t>
      </w:r>
    </w:p>
    <w:p w:rsidR="00381ABF" w:rsidRPr="00DA6FDF" w:rsidRDefault="00381ABF" w:rsidP="008D2DF6">
      <w:pPr>
        <w:pStyle w:val="NormaleWeb"/>
        <w:spacing w:after="0" w:line="360" w:lineRule="auto"/>
        <w:jc w:val="center"/>
      </w:pPr>
      <w:r w:rsidRPr="00DA6FDF">
        <w:rPr>
          <w:noProof/>
        </w:rPr>
        <w:drawing>
          <wp:inline distT="0" distB="0" distL="0" distR="0">
            <wp:extent cx="6120130" cy="1473420"/>
            <wp:effectExtent l="19050" t="0" r="0" b="0"/>
            <wp:docPr id="2"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6120130" cy="1473420"/>
                    </a:xfrm>
                    <a:prstGeom prst="rect">
                      <a:avLst/>
                    </a:prstGeom>
                    <a:noFill/>
                    <a:ln w="9525">
                      <a:noFill/>
                      <a:miter lim="800000"/>
                      <a:headEnd/>
                      <a:tailEnd/>
                    </a:ln>
                  </pic:spPr>
                </pic:pic>
              </a:graphicData>
            </a:graphic>
          </wp:inline>
        </w:drawing>
      </w:r>
    </w:p>
    <w:p w:rsidR="00381ABF" w:rsidRPr="00DA6FDF" w:rsidRDefault="00381ABF" w:rsidP="008D2DF6">
      <w:pPr>
        <w:pStyle w:val="NormaleWeb"/>
        <w:spacing w:after="0" w:line="360" w:lineRule="auto"/>
        <w:ind w:left="284" w:right="567"/>
        <w:jc w:val="center"/>
      </w:pPr>
      <w:r w:rsidRPr="00DA6FDF">
        <w:rPr>
          <w:b/>
          <w:bCs/>
        </w:rPr>
        <w:t>____________________________________________________</w:t>
      </w:r>
    </w:p>
    <w:p w:rsidR="00381ABF" w:rsidRPr="00DA6FDF" w:rsidRDefault="00381ABF" w:rsidP="008D2DF6">
      <w:pPr>
        <w:pStyle w:val="NormaleWeb"/>
        <w:spacing w:after="0" w:line="360" w:lineRule="auto"/>
        <w:jc w:val="center"/>
        <w:rPr>
          <w:sz w:val="27"/>
          <w:szCs w:val="27"/>
        </w:rPr>
      </w:pPr>
      <w:r w:rsidRPr="00DA6FDF">
        <w:rPr>
          <w:sz w:val="27"/>
          <w:szCs w:val="27"/>
        </w:rPr>
        <w:t>Dottorato di Ricerca</w:t>
      </w:r>
      <w:r w:rsidRPr="00DA6FDF">
        <w:t xml:space="preserve"> </w:t>
      </w:r>
      <w:r w:rsidRPr="00DA6FDF">
        <w:rPr>
          <w:sz w:val="27"/>
          <w:szCs w:val="27"/>
        </w:rPr>
        <w:t>in Pubbliche Relazioni</w:t>
      </w:r>
      <w:r w:rsidRPr="00DA6FDF">
        <w:t xml:space="preserve"> </w:t>
      </w:r>
      <w:r w:rsidRPr="00DA6FDF">
        <w:rPr>
          <w:sz w:val="27"/>
          <w:szCs w:val="27"/>
        </w:rPr>
        <w:t>XXII Ciclo</w:t>
      </w:r>
    </w:p>
    <w:p w:rsidR="00381ABF" w:rsidRPr="00DA6FDF" w:rsidRDefault="00381ABF" w:rsidP="008D2DF6">
      <w:pPr>
        <w:pStyle w:val="NormaleWeb"/>
        <w:spacing w:after="0" w:line="360" w:lineRule="auto"/>
        <w:jc w:val="center"/>
        <w:rPr>
          <w:sz w:val="27"/>
          <w:szCs w:val="27"/>
        </w:rPr>
      </w:pPr>
      <w:r w:rsidRPr="00DA6FDF">
        <w:rPr>
          <w:sz w:val="27"/>
          <w:szCs w:val="27"/>
        </w:rPr>
        <w:t>S.S.D. M-PSI/08</w:t>
      </w:r>
    </w:p>
    <w:p w:rsidR="00381ABF" w:rsidRPr="00DA6FDF" w:rsidRDefault="00381ABF" w:rsidP="008D2DF6">
      <w:pPr>
        <w:pStyle w:val="NormaleWeb"/>
        <w:spacing w:after="0" w:line="360" w:lineRule="auto"/>
        <w:jc w:val="center"/>
        <w:rPr>
          <w:sz w:val="27"/>
          <w:szCs w:val="27"/>
        </w:rPr>
      </w:pPr>
    </w:p>
    <w:p w:rsidR="00381ABF" w:rsidRPr="00DA6FDF" w:rsidRDefault="00381ABF" w:rsidP="008D2DF6">
      <w:pPr>
        <w:pStyle w:val="NormaleWeb"/>
        <w:spacing w:line="360" w:lineRule="auto"/>
        <w:jc w:val="center"/>
        <w:rPr>
          <w:b/>
          <w:bCs/>
          <w:i/>
          <w:iCs/>
          <w:sz w:val="27"/>
          <w:szCs w:val="27"/>
        </w:rPr>
      </w:pPr>
      <w:r w:rsidRPr="00DA6FDF">
        <w:rPr>
          <w:b/>
          <w:bCs/>
          <w:i/>
          <w:iCs/>
          <w:sz w:val="27"/>
          <w:szCs w:val="27"/>
        </w:rPr>
        <w:t>IL DECISION MAKING NELLA COMUNICAZIONE MEDICO PAZIENTE: COMPARAZIONE DEGLI EFFETTI EMOTIVI IN RAPPORTO A DIVERSI MODELLI RELAZIONALI</w:t>
      </w:r>
    </w:p>
    <w:p w:rsidR="00381ABF" w:rsidRPr="00DA6FDF" w:rsidRDefault="00381ABF" w:rsidP="008D2DF6">
      <w:pPr>
        <w:pStyle w:val="NormaleWeb"/>
        <w:spacing w:line="360" w:lineRule="auto"/>
        <w:jc w:val="center"/>
        <w:rPr>
          <w:b/>
          <w:bCs/>
          <w:i/>
          <w:iCs/>
          <w:sz w:val="27"/>
          <w:szCs w:val="27"/>
        </w:rPr>
      </w:pPr>
    </w:p>
    <w:p w:rsidR="00381ABF" w:rsidRPr="00DA6FDF" w:rsidRDefault="00381ABF" w:rsidP="008D2DF6">
      <w:pPr>
        <w:pStyle w:val="NormaleWeb"/>
        <w:spacing w:after="0" w:line="360" w:lineRule="auto"/>
      </w:pPr>
      <w:r w:rsidRPr="00DA6FDF">
        <w:rPr>
          <w:b/>
          <w:bCs/>
        </w:rPr>
        <w:t xml:space="preserve">Dottoranda: </w:t>
      </w:r>
      <w:r w:rsidRPr="00DA6FDF">
        <w:t xml:space="preserve"> Dott.ssa Manuela Scrima </w:t>
      </w:r>
    </w:p>
    <w:p w:rsidR="00381ABF" w:rsidRPr="00DA6FDF" w:rsidRDefault="00381ABF" w:rsidP="008D2DF6">
      <w:pPr>
        <w:pStyle w:val="NormaleWeb"/>
        <w:spacing w:after="0" w:line="360" w:lineRule="auto"/>
        <w:rPr>
          <w:b/>
          <w:bCs/>
        </w:rPr>
      </w:pPr>
      <w:r w:rsidRPr="00DA6FDF">
        <w:rPr>
          <w:b/>
          <w:bCs/>
        </w:rPr>
        <w:t xml:space="preserve">Coordinatore: </w:t>
      </w:r>
      <w:r w:rsidRPr="00DA6FDF">
        <w:t xml:space="preserve">Chiarissima Prof.ssa Alida Lo Coco </w:t>
      </w:r>
    </w:p>
    <w:p w:rsidR="00381ABF" w:rsidRPr="00DA6FDF" w:rsidRDefault="00381ABF" w:rsidP="008D2DF6">
      <w:pPr>
        <w:pStyle w:val="NormaleWeb"/>
        <w:spacing w:after="0" w:line="360" w:lineRule="auto"/>
        <w:jc w:val="both"/>
      </w:pPr>
      <w:r w:rsidRPr="00DA6FDF">
        <w:rPr>
          <w:b/>
          <w:bCs/>
        </w:rPr>
        <w:t>Tutor:</w:t>
      </w:r>
      <w:r w:rsidRPr="00DA6FDF">
        <w:t xml:space="preserve"> Chiarissimo Prof. Gianluca Lo Coco</w:t>
      </w:r>
    </w:p>
    <w:p w:rsidR="007A75F4" w:rsidRDefault="00381ABF" w:rsidP="00BB0D4B">
      <w:pPr>
        <w:pStyle w:val="NormaleWeb"/>
        <w:pBdr>
          <w:top w:val="single" w:sz="4" w:space="1" w:color="auto"/>
        </w:pBdr>
        <w:spacing w:after="0" w:line="360" w:lineRule="auto"/>
        <w:jc w:val="center"/>
        <w:rPr>
          <w:b/>
        </w:rPr>
      </w:pPr>
      <w:r w:rsidRPr="00DA6FDF">
        <w:rPr>
          <w:b/>
        </w:rPr>
        <w:t>Anno Accademico 2010- 2011</w:t>
      </w:r>
    </w:p>
    <w:p w:rsidR="00BB0D4B" w:rsidRPr="00BB0D4B" w:rsidRDefault="00BB0D4B" w:rsidP="00BB0D4B">
      <w:pPr>
        <w:pStyle w:val="NormaleWeb"/>
        <w:pBdr>
          <w:top w:val="single" w:sz="4" w:space="1" w:color="auto"/>
        </w:pBdr>
        <w:spacing w:after="0" w:line="360" w:lineRule="auto"/>
        <w:jc w:val="center"/>
        <w:rPr>
          <w:b/>
        </w:rPr>
      </w:pPr>
    </w:p>
    <w:p w:rsidR="00381ABF" w:rsidRPr="00DA6FDF" w:rsidRDefault="00381ABF" w:rsidP="008D2DF6">
      <w:pPr>
        <w:spacing w:line="360" w:lineRule="auto"/>
        <w:rPr>
          <w:rFonts w:ascii="Times New Roman" w:hAnsi="Times New Roman" w:cs="Times New Roman"/>
          <w:b/>
          <w:sz w:val="24"/>
          <w:szCs w:val="24"/>
        </w:rPr>
      </w:pPr>
      <w:r w:rsidRPr="00DA6FDF">
        <w:rPr>
          <w:rFonts w:ascii="Times New Roman" w:hAnsi="Times New Roman" w:cs="Times New Roman"/>
          <w:b/>
          <w:sz w:val="24"/>
          <w:szCs w:val="24"/>
        </w:rPr>
        <w:t>Indice</w:t>
      </w:r>
    </w:p>
    <w:p w:rsidR="00381ABF" w:rsidRDefault="00381ABF" w:rsidP="008D2DF6">
      <w:pPr>
        <w:spacing w:line="360" w:lineRule="auto"/>
        <w:rPr>
          <w:rFonts w:ascii="Times New Roman" w:hAnsi="Times New Roman" w:cs="Times New Roman"/>
          <w:sz w:val="24"/>
          <w:szCs w:val="24"/>
        </w:rPr>
      </w:pPr>
      <w:r w:rsidRPr="00DA6FDF">
        <w:rPr>
          <w:rFonts w:ascii="Times New Roman" w:hAnsi="Times New Roman" w:cs="Times New Roman"/>
          <w:b/>
          <w:sz w:val="24"/>
          <w:szCs w:val="24"/>
        </w:rPr>
        <w:t>Premessa</w:t>
      </w:r>
      <w:r w:rsidRPr="00DA6FDF">
        <w:rPr>
          <w:rFonts w:ascii="Times New Roman" w:hAnsi="Times New Roman" w:cs="Times New Roman"/>
          <w:sz w:val="24"/>
          <w:szCs w:val="24"/>
        </w:rPr>
        <w:t xml:space="preserve"> …</w:t>
      </w:r>
      <w:r w:rsidR="007A75F4">
        <w:rPr>
          <w:rFonts w:ascii="Times New Roman" w:hAnsi="Times New Roman" w:cs="Times New Roman"/>
          <w:sz w:val="24"/>
          <w:szCs w:val="24"/>
        </w:rPr>
        <w:t>…………………………………………………………..</w:t>
      </w:r>
      <w:r w:rsidRPr="00DA6FDF">
        <w:rPr>
          <w:rFonts w:ascii="Times New Roman" w:hAnsi="Times New Roman" w:cs="Times New Roman"/>
          <w:sz w:val="24"/>
          <w:szCs w:val="24"/>
        </w:rPr>
        <w:t>………pag 1</w:t>
      </w:r>
    </w:p>
    <w:p w:rsidR="00D564CF" w:rsidRPr="00DA6FDF" w:rsidRDefault="00D564CF" w:rsidP="008D2DF6">
      <w:pPr>
        <w:spacing w:line="360" w:lineRule="auto"/>
        <w:rPr>
          <w:rFonts w:ascii="Times New Roman" w:hAnsi="Times New Roman" w:cs="Times New Roman"/>
          <w:sz w:val="24"/>
          <w:szCs w:val="24"/>
        </w:rPr>
      </w:pPr>
    </w:p>
    <w:p w:rsidR="00381ABF" w:rsidRPr="00DA6FDF" w:rsidRDefault="00381ABF" w:rsidP="008D2DF6">
      <w:pPr>
        <w:spacing w:line="360" w:lineRule="auto"/>
        <w:rPr>
          <w:rFonts w:ascii="Times New Roman" w:hAnsi="Times New Roman" w:cs="Times New Roman"/>
          <w:sz w:val="24"/>
          <w:szCs w:val="24"/>
        </w:rPr>
      </w:pPr>
      <w:r w:rsidRPr="00DA6FDF">
        <w:rPr>
          <w:rFonts w:ascii="Times New Roman" w:hAnsi="Times New Roman" w:cs="Times New Roman"/>
          <w:b/>
          <w:sz w:val="24"/>
          <w:szCs w:val="24"/>
        </w:rPr>
        <w:t>Capitolo Primo</w:t>
      </w:r>
      <w:r w:rsidRPr="00DA6FDF">
        <w:rPr>
          <w:rFonts w:ascii="Times New Roman" w:hAnsi="Times New Roman" w:cs="Times New Roman"/>
          <w:sz w:val="24"/>
          <w:szCs w:val="24"/>
        </w:rPr>
        <w:t xml:space="preserve"> - </w:t>
      </w:r>
      <w:r w:rsidRPr="00DA6FDF">
        <w:rPr>
          <w:rFonts w:ascii="Times New Roman" w:hAnsi="Times New Roman" w:cs="Times New Roman"/>
          <w:b/>
          <w:sz w:val="24"/>
          <w:szCs w:val="24"/>
        </w:rPr>
        <w:t>La comunicazione medico pazient</w:t>
      </w:r>
      <w:r w:rsidR="007A75F4">
        <w:rPr>
          <w:rFonts w:ascii="Times New Roman" w:hAnsi="Times New Roman" w:cs="Times New Roman"/>
          <w:b/>
          <w:sz w:val="24"/>
          <w:szCs w:val="24"/>
        </w:rPr>
        <w:t>e</w:t>
      </w:r>
      <w:r w:rsidR="007A75F4">
        <w:rPr>
          <w:rFonts w:ascii="Times New Roman" w:hAnsi="Times New Roman" w:cs="Times New Roman"/>
          <w:sz w:val="24"/>
          <w:szCs w:val="24"/>
        </w:rPr>
        <w:t>……………………</w:t>
      </w:r>
      <w:r w:rsidR="0070190A">
        <w:rPr>
          <w:rFonts w:ascii="Times New Roman" w:hAnsi="Times New Roman" w:cs="Times New Roman"/>
          <w:sz w:val="24"/>
          <w:szCs w:val="24"/>
        </w:rPr>
        <w:t>.....“ 8</w:t>
      </w:r>
    </w:p>
    <w:p w:rsidR="00381ABF" w:rsidRPr="00DA6FDF" w:rsidRDefault="00381ABF" w:rsidP="008D2DF6">
      <w:pPr>
        <w:spacing w:line="360" w:lineRule="auto"/>
        <w:rPr>
          <w:rFonts w:ascii="Times New Roman" w:hAnsi="Times New Roman" w:cs="Times New Roman"/>
          <w:sz w:val="24"/>
          <w:szCs w:val="24"/>
        </w:rPr>
      </w:pPr>
      <w:r w:rsidRPr="00DA6FDF">
        <w:rPr>
          <w:rFonts w:ascii="Times New Roman" w:hAnsi="Times New Roman" w:cs="Times New Roman"/>
          <w:sz w:val="24"/>
          <w:szCs w:val="24"/>
        </w:rPr>
        <w:t>1.1 Importanza della comunicazione n</w:t>
      </w:r>
      <w:r w:rsidR="007A75F4">
        <w:rPr>
          <w:rFonts w:ascii="Times New Roman" w:hAnsi="Times New Roman" w:cs="Times New Roman"/>
          <w:sz w:val="24"/>
          <w:szCs w:val="24"/>
        </w:rPr>
        <w:t>el trattamento terapeutico……………………….</w:t>
      </w:r>
      <w:r w:rsidR="0070190A">
        <w:rPr>
          <w:rFonts w:ascii="Times New Roman" w:hAnsi="Times New Roman" w:cs="Times New Roman"/>
          <w:sz w:val="24"/>
          <w:szCs w:val="24"/>
        </w:rPr>
        <w:t>…………………………………………….. “ 8</w:t>
      </w:r>
    </w:p>
    <w:p w:rsidR="00381ABF" w:rsidRPr="00DA6FDF" w:rsidRDefault="00381ABF" w:rsidP="008D2DF6">
      <w:pPr>
        <w:tabs>
          <w:tab w:val="left" w:pos="8056"/>
        </w:tabs>
        <w:spacing w:line="360" w:lineRule="auto"/>
        <w:rPr>
          <w:rFonts w:ascii="Times New Roman" w:hAnsi="Times New Roman" w:cs="Times New Roman"/>
          <w:sz w:val="24"/>
          <w:szCs w:val="24"/>
        </w:rPr>
      </w:pPr>
      <w:r w:rsidRPr="00DA6FDF">
        <w:rPr>
          <w:rFonts w:ascii="Times New Roman" w:hAnsi="Times New Roman" w:cs="Times New Roman"/>
          <w:sz w:val="24"/>
          <w:szCs w:val="24"/>
        </w:rPr>
        <w:t>1.2.1 Il canale verbale della comunicazione nell’interazione medi</w:t>
      </w:r>
      <w:r w:rsidR="007A75F4">
        <w:rPr>
          <w:rFonts w:ascii="Times New Roman" w:hAnsi="Times New Roman" w:cs="Times New Roman"/>
          <w:sz w:val="24"/>
          <w:szCs w:val="24"/>
        </w:rPr>
        <w:t>co paziente……………………………………..</w:t>
      </w:r>
      <w:r w:rsidRPr="00DA6FDF">
        <w:rPr>
          <w:rFonts w:ascii="Times New Roman" w:hAnsi="Times New Roman" w:cs="Times New Roman"/>
          <w:sz w:val="24"/>
          <w:szCs w:val="24"/>
        </w:rPr>
        <w:t>…………………………………</w:t>
      </w:r>
      <w:r w:rsidR="0070190A">
        <w:rPr>
          <w:rFonts w:ascii="Times New Roman" w:hAnsi="Times New Roman" w:cs="Times New Roman"/>
          <w:sz w:val="24"/>
          <w:szCs w:val="24"/>
        </w:rPr>
        <w:t>..“ 8</w:t>
      </w:r>
    </w:p>
    <w:p w:rsidR="00381ABF" w:rsidRPr="00DA6FDF" w:rsidRDefault="00381ABF" w:rsidP="008D2DF6">
      <w:pPr>
        <w:tabs>
          <w:tab w:val="left" w:pos="8056"/>
        </w:tabs>
        <w:spacing w:line="360" w:lineRule="auto"/>
        <w:rPr>
          <w:rFonts w:ascii="Times New Roman" w:hAnsi="Times New Roman" w:cs="Times New Roman"/>
          <w:sz w:val="24"/>
          <w:szCs w:val="24"/>
        </w:rPr>
      </w:pPr>
      <w:r w:rsidRPr="00DA6FDF">
        <w:rPr>
          <w:rFonts w:ascii="Times New Roman" w:hAnsi="Times New Roman" w:cs="Times New Roman"/>
          <w:sz w:val="24"/>
          <w:szCs w:val="24"/>
        </w:rPr>
        <w:t>1.2.2 Il canale non verbale della comunicazione nell’interazione medico-paziente come strumento privilegiato degli scam</w:t>
      </w:r>
      <w:r w:rsidR="007A75F4">
        <w:rPr>
          <w:rFonts w:ascii="Times New Roman" w:hAnsi="Times New Roman" w:cs="Times New Roman"/>
          <w:sz w:val="24"/>
          <w:szCs w:val="24"/>
        </w:rPr>
        <w:t>bi emozionali ……………..</w:t>
      </w:r>
      <w:r w:rsidR="0070190A">
        <w:rPr>
          <w:rFonts w:ascii="Times New Roman" w:hAnsi="Times New Roman" w:cs="Times New Roman"/>
          <w:sz w:val="24"/>
          <w:szCs w:val="24"/>
        </w:rPr>
        <w:t>…….........“ 9</w:t>
      </w:r>
    </w:p>
    <w:p w:rsidR="00381ABF" w:rsidRPr="00DA6FDF" w:rsidRDefault="00381ABF" w:rsidP="008D2DF6">
      <w:pPr>
        <w:tabs>
          <w:tab w:val="left" w:pos="8056"/>
        </w:tabs>
        <w:spacing w:line="360" w:lineRule="auto"/>
        <w:rPr>
          <w:rFonts w:ascii="Times New Roman" w:hAnsi="Times New Roman" w:cs="Times New Roman"/>
          <w:sz w:val="24"/>
          <w:szCs w:val="24"/>
        </w:rPr>
      </w:pPr>
      <w:r w:rsidRPr="00DA6FDF">
        <w:rPr>
          <w:rFonts w:ascii="Times New Roman" w:hAnsi="Times New Roman" w:cs="Times New Roman"/>
          <w:sz w:val="24"/>
          <w:szCs w:val="24"/>
        </w:rPr>
        <w:t>1.3 I modelli di relazione med</w:t>
      </w:r>
      <w:r w:rsidR="007A75F4">
        <w:rPr>
          <w:rFonts w:ascii="Times New Roman" w:hAnsi="Times New Roman" w:cs="Times New Roman"/>
          <w:sz w:val="24"/>
          <w:szCs w:val="24"/>
        </w:rPr>
        <w:t>ico-paziente……………………………………</w:t>
      </w:r>
      <w:r w:rsidR="00E16033">
        <w:rPr>
          <w:rFonts w:ascii="Times New Roman" w:hAnsi="Times New Roman" w:cs="Times New Roman"/>
          <w:sz w:val="24"/>
          <w:szCs w:val="24"/>
        </w:rPr>
        <w:t>.</w:t>
      </w:r>
      <w:r w:rsidR="0070190A">
        <w:rPr>
          <w:rFonts w:ascii="Times New Roman" w:hAnsi="Times New Roman" w:cs="Times New Roman"/>
          <w:sz w:val="24"/>
          <w:szCs w:val="24"/>
        </w:rPr>
        <w:t>“ 11</w:t>
      </w:r>
    </w:p>
    <w:p w:rsidR="00381ABF" w:rsidRPr="00DA6FDF" w:rsidRDefault="00381ABF" w:rsidP="008D2DF6">
      <w:pPr>
        <w:tabs>
          <w:tab w:val="left" w:pos="8056"/>
        </w:tabs>
        <w:spacing w:line="360" w:lineRule="auto"/>
        <w:rPr>
          <w:rFonts w:ascii="Times New Roman" w:hAnsi="Times New Roman" w:cs="Times New Roman"/>
          <w:sz w:val="24"/>
          <w:szCs w:val="24"/>
        </w:rPr>
      </w:pPr>
      <w:r w:rsidRPr="00DA6FDF">
        <w:rPr>
          <w:rFonts w:ascii="Times New Roman" w:hAnsi="Times New Roman" w:cs="Times New Roman"/>
          <w:sz w:val="24"/>
          <w:szCs w:val="24"/>
        </w:rPr>
        <w:t>1.4.1 La relazione medico-</w:t>
      </w:r>
      <w:r w:rsidR="007A75F4">
        <w:rPr>
          <w:rFonts w:ascii="Times New Roman" w:hAnsi="Times New Roman" w:cs="Times New Roman"/>
          <w:sz w:val="24"/>
          <w:szCs w:val="24"/>
        </w:rPr>
        <w:t>paziente …………………………………………..</w:t>
      </w:r>
      <w:r w:rsidR="00590AF3">
        <w:rPr>
          <w:rFonts w:ascii="Times New Roman" w:hAnsi="Times New Roman" w:cs="Times New Roman"/>
          <w:sz w:val="24"/>
          <w:szCs w:val="24"/>
        </w:rPr>
        <w:t>.“ 16</w:t>
      </w:r>
    </w:p>
    <w:p w:rsidR="00381ABF" w:rsidRPr="00DA6FDF" w:rsidRDefault="00381ABF" w:rsidP="008D2DF6">
      <w:pPr>
        <w:tabs>
          <w:tab w:val="left" w:pos="8056"/>
        </w:tabs>
        <w:spacing w:line="360" w:lineRule="auto"/>
        <w:rPr>
          <w:rFonts w:ascii="Times New Roman" w:hAnsi="Times New Roman" w:cs="Times New Roman"/>
          <w:sz w:val="24"/>
          <w:szCs w:val="24"/>
        </w:rPr>
      </w:pPr>
      <w:r w:rsidRPr="00DA6FDF">
        <w:rPr>
          <w:rFonts w:ascii="Times New Roman" w:hAnsi="Times New Roman" w:cs="Times New Roman"/>
          <w:sz w:val="24"/>
          <w:szCs w:val="24"/>
        </w:rPr>
        <w:t>1.4.2 La relazione medico-paziente-fam</w:t>
      </w:r>
      <w:r w:rsidR="007A75F4">
        <w:rPr>
          <w:rFonts w:ascii="Times New Roman" w:hAnsi="Times New Roman" w:cs="Times New Roman"/>
          <w:sz w:val="24"/>
          <w:szCs w:val="24"/>
        </w:rPr>
        <w:t>iliari del paziente…………………..</w:t>
      </w:r>
      <w:r w:rsidR="00590AF3">
        <w:rPr>
          <w:rFonts w:ascii="Times New Roman" w:hAnsi="Times New Roman" w:cs="Times New Roman"/>
          <w:sz w:val="24"/>
          <w:szCs w:val="24"/>
        </w:rPr>
        <w:t>…“17</w:t>
      </w:r>
    </w:p>
    <w:p w:rsidR="00381ABF" w:rsidRPr="00DA6FDF" w:rsidRDefault="00381ABF" w:rsidP="008D2DF6">
      <w:pPr>
        <w:tabs>
          <w:tab w:val="left" w:pos="8056"/>
        </w:tabs>
        <w:spacing w:line="360" w:lineRule="auto"/>
        <w:rPr>
          <w:rFonts w:ascii="Times New Roman" w:hAnsi="Times New Roman" w:cs="Times New Roman"/>
          <w:sz w:val="24"/>
          <w:szCs w:val="24"/>
        </w:rPr>
      </w:pPr>
      <w:r w:rsidRPr="00DA6FDF">
        <w:rPr>
          <w:rFonts w:ascii="Times New Roman" w:hAnsi="Times New Roman" w:cs="Times New Roman"/>
          <w:sz w:val="24"/>
          <w:szCs w:val="24"/>
        </w:rPr>
        <w:t xml:space="preserve">1.5  </w:t>
      </w:r>
      <w:r w:rsidRPr="00DA6FDF">
        <w:rPr>
          <w:rFonts w:ascii="Times New Roman" w:hAnsi="Times New Roman" w:cs="Times New Roman"/>
          <w:i/>
          <w:sz w:val="24"/>
          <w:szCs w:val="24"/>
        </w:rPr>
        <w:t>Compliance</w:t>
      </w:r>
      <w:r w:rsidRPr="00DA6FDF">
        <w:rPr>
          <w:rFonts w:ascii="Times New Roman" w:hAnsi="Times New Roman" w:cs="Times New Roman"/>
          <w:sz w:val="24"/>
          <w:szCs w:val="24"/>
        </w:rPr>
        <w:t>, Aderenza (</w:t>
      </w:r>
      <w:r w:rsidRPr="00DA6FDF">
        <w:rPr>
          <w:rFonts w:ascii="Times New Roman" w:hAnsi="Times New Roman" w:cs="Times New Roman"/>
          <w:i/>
          <w:sz w:val="24"/>
          <w:szCs w:val="24"/>
        </w:rPr>
        <w:t>adhernce</w:t>
      </w:r>
      <w:r w:rsidR="007A75F4">
        <w:rPr>
          <w:rFonts w:ascii="Times New Roman" w:hAnsi="Times New Roman" w:cs="Times New Roman"/>
          <w:sz w:val="24"/>
          <w:szCs w:val="24"/>
        </w:rPr>
        <w:t>) e non Aderenza……………………</w:t>
      </w:r>
      <w:r w:rsidR="00E16033">
        <w:rPr>
          <w:rFonts w:ascii="Times New Roman" w:hAnsi="Times New Roman" w:cs="Times New Roman"/>
          <w:sz w:val="24"/>
          <w:szCs w:val="24"/>
        </w:rPr>
        <w:t>...</w:t>
      </w:r>
      <w:r w:rsidR="00590AF3">
        <w:rPr>
          <w:rFonts w:ascii="Times New Roman" w:hAnsi="Times New Roman" w:cs="Times New Roman"/>
          <w:sz w:val="24"/>
          <w:szCs w:val="24"/>
        </w:rPr>
        <w:t xml:space="preserve"> “ 19</w:t>
      </w:r>
    </w:p>
    <w:p w:rsidR="00381ABF" w:rsidRPr="00DA6FDF" w:rsidRDefault="00381ABF" w:rsidP="008D2DF6">
      <w:pPr>
        <w:tabs>
          <w:tab w:val="left" w:pos="8056"/>
        </w:tabs>
        <w:spacing w:before="240" w:line="360" w:lineRule="auto"/>
        <w:rPr>
          <w:rFonts w:ascii="Times New Roman" w:hAnsi="Times New Roman" w:cs="Times New Roman"/>
          <w:sz w:val="24"/>
          <w:szCs w:val="24"/>
        </w:rPr>
      </w:pPr>
      <w:r w:rsidRPr="00DA6FDF">
        <w:rPr>
          <w:rFonts w:ascii="Times New Roman" w:hAnsi="Times New Roman" w:cs="Times New Roman"/>
          <w:sz w:val="24"/>
          <w:szCs w:val="24"/>
        </w:rPr>
        <w:t>1.6 L’importanza dell’empatia nella comuni</w:t>
      </w:r>
      <w:r w:rsidR="00E16033">
        <w:rPr>
          <w:rFonts w:ascii="Times New Roman" w:hAnsi="Times New Roman" w:cs="Times New Roman"/>
          <w:sz w:val="24"/>
          <w:szCs w:val="24"/>
        </w:rPr>
        <w:t>cazione medico-paziente……….</w:t>
      </w:r>
      <w:r w:rsidR="00590AF3">
        <w:rPr>
          <w:rFonts w:ascii="Times New Roman" w:hAnsi="Times New Roman" w:cs="Times New Roman"/>
          <w:sz w:val="24"/>
          <w:szCs w:val="24"/>
        </w:rPr>
        <w:t xml:space="preserve"> “ 22</w:t>
      </w:r>
    </w:p>
    <w:p w:rsidR="00381ABF" w:rsidRPr="00DA6FDF" w:rsidRDefault="00381ABF" w:rsidP="008D2DF6">
      <w:pPr>
        <w:spacing w:line="360" w:lineRule="auto"/>
        <w:rPr>
          <w:rFonts w:ascii="Times New Roman" w:hAnsi="Times New Roman" w:cs="Times New Roman"/>
          <w:sz w:val="24"/>
          <w:szCs w:val="24"/>
        </w:rPr>
      </w:pPr>
      <w:r w:rsidRPr="00DA6FDF">
        <w:rPr>
          <w:rFonts w:ascii="Times New Roman" w:hAnsi="Times New Roman" w:cs="Times New Roman"/>
          <w:sz w:val="24"/>
          <w:szCs w:val="24"/>
        </w:rPr>
        <w:t>1.7 Incidenza delle caratteristiche personali dei pazienti e dei</w:t>
      </w:r>
      <w:r w:rsidR="00E16033">
        <w:rPr>
          <w:rFonts w:ascii="Times New Roman" w:hAnsi="Times New Roman" w:cs="Times New Roman"/>
          <w:sz w:val="24"/>
          <w:szCs w:val="24"/>
        </w:rPr>
        <w:t xml:space="preserve"> medici sulla comunicazione </w:t>
      </w:r>
      <w:r w:rsidRPr="00DA6FDF">
        <w:rPr>
          <w:rFonts w:ascii="Times New Roman" w:hAnsi="Times New Roman" w:cs="Times New Roman"/>
          <w:sz w:val="24"/>
          <w:szCs w:val="24"/>
        </w:rPr>
        <w:t>medico-pazi</w:t>
      </w:r>
      <w:r w:rsidR="00D564CF">
        <w:rPr>
          <w:rFonts w:ascii="Times New Roman" w:hAnsi="Times New Roman" w:cs="Times New Roman"/>
          <w:sz w:val="24"/>
          <w:szCs w:val="24"/>
        </w:rPr>
        <w:t>ente……………………………………….</w:t>
      </w:r>
      <w:r w:rsidRPr="00DA6FDF">
        <w:rPr>
          <w:rFonts w:ascii="Times New Roman" w:hAnsi="Times New Roman" w:cs="Times New Roman"/>
          <w:sz w:val="24"/>
          <w:szCs w:val="24"/>
        </w:rPr>
        <w:t>…</w:t>
      </w:r>
      <w:r w:rsidR="00E16033">
        <w:rPr>
          <w:rFonts w:ascii="Times New Roman" w:hAnsi="Times New Roman" w:cs="Times New Roman"/>
          <w:sz w:val="24"/>
          <w:szCs w:val="24"/>
        </w:rPr>
        <w:t>…</w:t>
      </w:r>
      <w:r w:rsidR="00590AF3">
        <w:rPr>
          <w:rFonts w:ascii="Times New Roman" w:hAnsi="Times New Roman" w:cs="Times New Roman"/>
          <w:sz w:val="24"/>
          <w:szCs w:val="24"/>
        </w:rPr>
        <w:t>…“ 24</w:t>
      </w:r>
    </w:p>
    <w:p w:rsidR="00381ABF" w:rsidRPr="00DA6FDF" w:rsidRDefault="00381ABF" w:rsidP="008D2DF6">
      <w:pPr>
        <w:spacing w:line="360" w:lineRule="auto"/>
        <w:rPr>
          <w:rFonts w:ascii="Times New Roman" w:hAnsi="Times New Roman" w:cs="Times New Roman"/>
          <w:sz w:val="24"/>
          <w:szCs w:val="24"/>
        </w:rPr>
      </w:pPr>
    </w:p>
    <w:p w:rsidR="00381ABF" w:rsidRPr="00DA6FDF" w:rsidRDefault="00381ABF" w:rsidP="008D2DF6">
      <w:pPr>
        <w:spacing w:line="360" w:lineRule="auto"/>
        <w:rPr>
          <w:rFonts w:ascii="Times New Roman" w:hAnsi="Times New Roman" w:cs="Times New Roman"/>
          <w:sz w:val="24"/>
          <w:szCs w:val="24"/>
        </w:rPr>
      </w:pPr>
      <w:r w:rsidRPr="00DA6FDF">
        <w:rPr>
          <w:rFonts w:ascii="Times New Roman" w:hAnsi="Times New Roman" w:cs="Times New Roman"/>
          <w:b/>
          <w:sz w:val="24"/>
          <w:szCs w:val="24"/>
        </w:rPr>
        <w:t xml:space="preserve">Capitolo Secondo.  Il </w:t>
      </w:r>
      <w:r w:rsidRPr="00DA6FDF">
        <w:rPr>
          <w:rFonts w:ascii="Times New Roman" w:hAnsi="Times New Roman" w:cs="Times New Roman"/>
          <w:b/>
          <w:i/>
          <w:sz w:val="24"/>
          <w:szCs w:val="24"/>
        </w:rPr>
        <w:t>Decision</w:t>
      </w:r>
      <w:r w:rsidRPr="00DA6FDF">
        <w:rPr>
          <w:rFonts w:ascii="Times New Roman" w:hAnsi="Times New Roman" w:cs="Times New Roman"/>
          <w:b/>
          <w:sz w:val="24"/>
          <w:szCs w:val="24"/>
        </w:rPr>
        <w:t xml:space="preserve"> </w:t>
      </w:r>
      <w:r w:rsidRPr="00DA6FDF">
        <w:rPr>
          <w:rFonts w:ascii="Times New Roman" w:hAnsi="Times New Roman" w:cs="Times New Roman"/>
          <w:b/>
          <w:i/>
          <w:sz w:val="24"/>
          <w:szCs w:val="24"/>
        </w:rPr>
        <w:t>Making</w:t>
      </w:r>
      <w:r w:rsidRPr="00DA6FDF">
        <w:rPr>
          <w:rFonts w:ascii="Times New Roman" w:hAnsi="Times New Roman" w:cs="Times New Roman"/>
          <w:b/>
          <w:sz w:val="24"/>
          <w:szCs w:val="24"/>
        </w:rPr>
        <w:t xml:space="preserve"> in ambito medico</w:t>
      </w:r>
      <w:r w:rsidR="00D564CF">
        <w:rPr>
          <w:rFonts w:ascii="Times New Roman" w:hAnsi="Times New Roman" w:cs="Times New Roman"/>
          <w:sz w:val="24"/>
          <w:szCs w:val="24"/>
        </w:rPr>
        <w:t>………………</w:t>
      </w:r>
      <w:r w:rsidR="008D1AFF">
        <w:rPr>
          <w:rFonts w:ascii="Times New Roman" w:hAnsi="Times New Roman" w:cs="Times New Roman"/>
          <w:sz w:val="24"/>
          <w:szCs w:val="24"/>
        </w:rPr>
        <w:t>…“ 28</w:t>
      </w:r>
    </w:p>
    <w:p w:rsidR="00381ABF" w:rsidRPr="00DA6FDF" w:rsidRDefault="00381ABF" w:rsidP="008D2DF6">
      <w:pPr>
        <w:spacing w:line="360" w:lineRule="auto"/>
        <w:rPr>
          <w:rFonts w:ascii="Times New Roman" w:hAnsi="Times New Roman" w:cs="Times New Roman"/>
          <w:sz w:val="24"/>
          <w:szCs w:val="24"/>
        </w:rPr>
      </w:pPr>
      <w:r w:rsidRPr="00DA6FDF">
        <w:rPr>
          <w:rFonts w:ascii="Times New Roman" w:hAnsi="Times New Roman" w:cs="Times New Roman"/>
          <w:sz w:val="24"/>
          <w:szCs w:val="24"/>
        </w:rPr>
        <w:t xml:space="preserve">2.1 Considerazioni generali sul </w:t>
      </w:r>
      <w:r w:rsidRPr="00DA6FDF">
        <w:rPr>
          <w:rFonts w:ascii="Times New Roman" w:hAnsi="Times New Roman" w:cs="Times New Roman"/>
          <w:i/>
          <w:sz w:val="24"/>
          <w:szCs w:val="24"/>
        </w:rPr>
        <w:t>Decision</w:t>
      </w:r>
      <w:r w:rsidRPr="00DA6FDF">
        <w:rPr>
          <w:rFonts w:ascii="Times New Roman" w:hAnsi="Times New Roman" w:cs="Times New Roman"/>
          <w:sz w:val="24"/>
          <w:szCs w:val="24"/>
        </w:rPr>
        <w:t xml:space="preserve"> </w:t>
      </w:r>
      <w:r w:rsidRPr="00DA6FDF">
        <w:rPr>
          <w:rFonts w:ascii="Times New Roman" w:hAnsi="Times New Roman" w:cs="Times New Roman"/>
          <w:i/>
          <w:sz w:val="24"/>
          <w:szCs w:val="24"/>
        </w:rPr>
        <w:t>Making</w:t>
      </w:r>
      <w:r w:rsidR="00D564CF">
        <w:rPr>
          <w:rFonts w:ascii="Times New Roman" w:hAnsi="Times New Roman" w:cs="Times New Roman"/>
          <w:sz w:val="24"/>
          <w:szCs w:val="24"/>
        </w:rPr>
        <w:t xml:space="preserve"> …………………………</w:t>
      </w:r>
      <w:r w:rsidR="008D1AFF">
        <w:rPr>
          <w:rFonts w:ascii="Times New Roman" w:hAnsi="Times New Roman" w:cs="Times New Roman"/>
          <w:sz w:val="24"/>
          <w:szCs w:val="24"/>
        </w:rPr>
        <w:t>…“ 28</w:t>
      </w:r>
    </w:p>
    <w:p w:rsidR="00381ABF" w:rsidRPr="00DA6FDF" w:rsidRDefault="00381ABF" w:rsidP="008D2DF6">
      <w:pPr>
        <w:spacing w:line="360" w:lineRule="auto"/>
        <w:rPr>
          <w:rFonts w:ascii="Times New Roman" w:hAnsi="Times New Roman" w:cs="Times New Roman"/>
          <w:sz w:val="24"/>
          <w:szCs w:val="24"/>
        </w:rPr>
      </w:pPr>
      <w:r w:rsidRPr="00DA6FDF">
        <w:rPr>
          <w:rFonts w:ascii="Times New Roman" w:hAnsi="Times New Roman" w:cs="Times New Roman"/>
          <w:sz w:val="24"/>
          <w:szCs w:val="24"/>
        </w:rPr>
        <w:t xml:space="preserve">2.2 Il ruolo delle emozioni nel </w:t>
      </w:r>
      <w:r w:rsidRPr="00DA6FDF">
        <w:rPr>
          <w:rFonts w:ascii="Times New Roman" w:hAnsi="Times New Roman" w:cs="Times New Roman"/>
          <w:i/>
          <w:sz w:val="24"/>
          <w:szCs w:val="24"/>
        </w:rPr>
        <w:t>Decision</w:t>
      </w:r>
      <w:r w:rsidRPr="00DA6FDF">
        <w:rPr>
          <w:rFonts w:ascii="Times New Roman" w:hAnsi="Times New Roman" w:cs="Times New Roman"/>
          <w:sz w:val="24"/>
          <w:szCs w:val="24"/>
        </w:rPr>
        <w:t xml:space="preserve"> </w:t>
      </w:r>
      <w:r w:rsidRPr="00DA6FDF">
        <w:rPr>
          <w:rFonts w:ascii="Times New Roman" w:hAnsi="Times New Roman" w:cs="Times New Roman"/>
          <w:i/>
          <w:sz w:val="24"/>
          <w:szCs w:val="24"/>
        </w:rPr>
        <w:t>Making</w:t>
      </w:r>
      <w:r w:rsidR="00D564CF">
        <w:rPr>
          <w:rFonts w:ascii="Times New Roman" w:hAnsi="Times New Roman" w:cs="Times New Roman"/>
          <w:sz w:val="24"/>
          <w:szCs w:val="24"/>
        </w:rPr>
        <w:t xml:space="preserve"> ……………………………</w:t>
      </w:r>
      <w:r w:rsidR="008D1AFF">
        <w:rPr>
          <w:rFonts w:ascii="Times New Roman" w:hAnsi="Times New Roman" w:cs="Times New Roman"/>
          <w:sz w:val="24"/>
          <w:szCs w:val="24"/>
        </w:rPr>
        <w:t>.“ 31</w:t>
      </w:r>
    </w:p>
    <w:p w:rsidR="00381ABF" w:rsidRPr="00DA6FDF" w:rsidRDefault="00381ABF" w:rsidP="008D2DF6">
      <w:pPr>
        <w:spacing w:line="360" w:lineRule="auto"/>
        <w:rPr>
          <w:rFonts w:ascii="Times New Roman" w:hAnsi="Times New Roman" w:cs="Times New Roman"/>
          <w:sz w:val="24"/>
          <w:szCs w:val="24"/>
        </w:rPr>
      </w:pPr>
      <w:r w:rsidRPr="00DA6FDF">
        <w:rPr>
          <w:rFonts w:ascii="Times New Roman" w:hAnsi="Times New Roman" w:cs="Times New Roman"/>
          <w:sz w:val="24"/>
          <w:szCs w:val="24"/>
        </w:rPr>
        <w:t xml:space="preserve">2.3 Il </w:t>
      </w:r>
      <w:r w:rsidRPr="00DA6FDF">
        <w:rPr>
          <w:rFonts w:ascii="Times New Roman" w:hAnsi="Times New Roman" w:cs="Times New Roman"/>
          <w:i/>
          <w:sz w:val="24"/>
          <w:szCs w:val="24"/>
        </w:rPr>
        <w:t>Decision</w:t>
      </w:r>
      <w:r w:rsidRPr="00DA6FDF">
        <w:rPr>
          <w:rFonts w:ascii="Times New Roman" w:hAnsi="Times New Roman" w:cs="Times New Roman"/>
          <w:sz w:val="24"/>
          <w:szCs w:val="24"/>
        </w:rPr>
        <w:t xml:space="preserve"> </w:t>
      </w:r>
      <w:r w:rsidRPr="00DA6FDF">
        <w:rPr>
          <w:rFonts w:ascii="Times New Roman" w:hAnsi="Times New Roman" w:cs="Times New Roman"/>
          <w:i/>
          <w:sz w:val="24"/>
          <w:szCs w:val="24"/>
        </w:rPr>
        <w:t>Making</w:t>
      </w:r>
      <w:r w:rsidRPr="00DA6FDF">
        <w:rPr>
          <w:rFonts w:ascii="Times New Roman" w:hAnsi="Times New Roman" w:cs="Times New Roman"/>
          <w:sz w:val="24"/>
          <w:szCs w:val="24"/>
        </w:rPr>
        <w:t xml:space="preserve"> in am</w:t>
      </w:r>
      <w:r w:rsidR="00D564CF">
        <w:rPr>
          <w:rFonts w:ascii="Times New Roman" w:hAnsi="Times New Roman" w:cs="Times New Roman"/>
          <w:sz w:val="24"/>
          <w:szCs w:val="24"/>
        </w:rPr>
        <w:t>bito medico…………………………………….</w:t>
      </w:r>
      <w:r w:rsidR="008D1AFF">
        <w:rPr>
          <w:rFonts w:ascii="Times New Roman" w:hAnsi="Times New Roman" w:cs="Times New Roman"/>
          <w:sz w:val="24"/>
          <w:szCs w:val="24"/>
        </w:rPr>
        <w:t>“ 34</w:t>
      </w:r>
    </w:p>
    <w:p w:rsidR="00381ABF" w:rsidRPr="00DA6FDF" w:rsidRDefault="00381ABF" w:rsidP="008D2DF6">
      <w:pPr>
        <w:spacing w:line="360" w:lineRule="auto"/>
        <w:rPr>
          <w:rFonts w:ascii="Times New Roman" w:hAnsi="Times New Roman" w:cs="Times New Roman"/>
          <w:sz w:val="24"/>
          <w:szCs w:val="24"/>
        </w:rPr>
      </w:pPr>
      <w:r w:rsidRPr="00DA6FDF">
        <w:rPr>
          <w:rFonts w:ascii="Times New Roman" w:hAnsi="Times New Roman" w:cs="Times New Roman"/>
          <w:sz w:val="24"/>
          <w:szCs w:val="24"/>
        </w:rPr>
        <w:t xml:space="preserve">2.4 </w:t>
      </w:r>
      <w:r w:rsidRPr="00DA6FDF">
        <w:rPr>
          <w:rFonts w:ascii="Times New Roman" w:hAnsi="Times New Roman" w:cs="Times New Roman"/>
          <w:i/>
          <w:sz w:val="24"/>
          <w:szCs w:val="24"/>
        </w:rPr>
        <w:t>Decision</w:t>
      </w:r>
      <w:r w:rsidRPr="00DA6FDF">
        <w:rPr>
          <w:rFonts w:ascii="Times New Roman" w:hAnsi="Times New Roman" w:cs="Times New Roman"/>
          <w:sz w:val="24"/>
          <w:szCs w:val="24"/>
        </w:rPr>
        <w:t xml:space="preserve"> </w:t>
      </w:r>
      <w:r w:rsidRPr="00DA6FDF">
        <w:rPr>
          <w:rFonts w:ascii="Times New Roman" w:hAnsi="Times New Roman" w:cs="Times New Roman"/>
          <w:i/>
          <w:sz w:val="24"/>
          <w:szCs w:val="24"/>
        </w:rPr>
        <w:t>Making</w:t>
      </w:r>
      <w:r w:rsidRPr="00DA6FDF">
        <w:rPr>
          <w:rFonts w:ascii="Times New Roman" w:hAnsi="Times New Roman" w:cs="Times New Roman"/>
          <w:sz w:val="24"/>
          <w:szCs w:val="24"/>
        </w:rPr>
        <w:t xml:space="preserve"> e modelli di relazio</w:t>
      </w:r>
      <w:r w:rsidR="00E16033">
        <w:rPr>
          <w:rFonts w:ascii="Times New Roman" w:hAnsi="Times New Roman" w:cs="Times New Roman"/>
          <w:sz w:val="24"/>
          <w:szCs w:val="24"/>
        </w:rPr>
        <w:t>ne medico-paziente……………….</w:t>
      </w:r>
      <w:r w:rsidR="008D1AFF">
        <w:rPr>
          <w:rFonts w:ascii="Times New Roman" w:hAnsi="Times New Roman" w:cs="Times New Roman"/>
          <w:sz w:val="24"/>
          <w:szCs w:val="24"/>
        </w:rPr>
        <w:t>“ 36</w:t>
      </w:r>
    </w:p>
    <w:p w:rsidR="00381ABF" w:rsidRPr="00DA6FDF" w:rsidRDefault="00381ABF" w:rsidP="008D2DF6">
      <w:pPr>
        <w:spacing w:line="360" w:lineRule="auto"/>
        <w:rPr>
          <w:rFonts w:ascii="Times New Roman" w:hAnsi="Times New Roman" w:cs="Times New Roman"/>
          <w:sz w:val="24"/>
          <w:szCs w:val="24"/>
        </w:rPr>
      </w:pPr>
      <w:r w:rsidRPr="00DA6FDF">
        <w:rPr>
          <w:rFonts w:ascii="Times New Roman" w:hAnsi="Times New Roman" w:cs="Times New Roman"/>
          <w:sz w:val="24"/>
          <w:szCs w:val="24"/>
        </w:rPr>
        <w:lastRenderedPageBreak/>
        <w:t>2.5 Elementi che influenzano il processo decisi</w:t>
      </w:r>
      <w:r w:rsidR="00D564CF">
        <w:rPr>
          <w:rFonts w:ascii="Times New Roman" w:hAnsi="Times New Roman" w:cs="Times New Roman"/>
          <w:sz w:val="24"/>
          <w:szCs w:val="24"/>
        </w:rPr>
        <w:t>onale in ambito medico…</w:t>
      </w:r>
      <w:r w:rsidR="00E16033">
        <w:rPr>
          <w:rFonts w:ascii="Times New Roman" w:hAnsi="Times New Roman" w:cs="Times New Roman"/>
          <w:sz w:val="24"/>
          <w:szCs w:val="24"/>
        </w:rPr>
        <w:t>...</w:t>
      </w:r>
      <w:r w:rsidR="00D564CF">
        <w:rPr>
          <w:rFonts w:ascii="Times New Roman" w:hAnsi="Times New Roman" w:cs="Times New Roman"/>
          <w:sz w:val="24"/>
          <w:szCs w:val="24"/>
        </w:rPr>
        <w:t>.</w:t>
      </w:r>
      <w:r w:rsidR="008D1AFF">
        <w:rPr>
          <w:rFonts w:ascii="Times New Roman" w:hAnsi="Times New Roman" w:cs="Times New Roman"/>
          <w:sz w:val="24"/>
          <w:szCs w:val="24"/>
        </w:rPr>
        <w:t>“ 38</w:t>
      </w:r>
    </w:p>
    <w:p w:rsidR="00381ABF" w:rsidRPr="00DA6FDF" w:rsidRDefault="00381ABF" w:rsidP="008D2DF6">
      <w:pPr>
        <w:spacing w:line="360" w:lineRule="auto"/>
        <w:rPr>
          <w:rFonts w:ascii="Times New Roman" w:hAnsi="Times New Roman" w:cs="Times New Roman"/>
          <w:sz w:val="24"/>
          <w:szCs w:val="24"/>
        </w:rPr>
      </w:pPr>
      <w:r w:rsidRPr="00DA6FDF">
        <w:rPr>
          <w:rFonts w:ascii="Times New Roman" w:hAnsi="Times New Roman" w:cs="Times New Roman"/>
          <w:sz w:val="24"/>
          <w:szCs w:val="24"/>
        </w:rPr>
        <w:t xml:space="preserve">2.6 Consenso Informato e </w:t>
      </w:r>
      <w:r w:rsidRPr="00DA6FDF">
        <w:rPr>
          <w:rFonts w:ascii="Times New Roman" w:hAnsi="Times New Roman" w:cs="Times New Roman"/>
          <w:i/>
          <w:sz w:val="24"/>
          <w:szCs w:val="24"/>
        </w:rPr>
        <w:t>Decision</w:t>
      </w:r>
      <w:r w:rsidRPr="00DA6FDF">
        <w:rPr>
          <w:rFonts w:ascii="Times New Roman" w:hAnsi="Times New Roman" w:cs="Times New Roman"/>
          <w:sz w:val="24"/>
          <w:szCs w:val="24"/>
        </w:rPr>
        <w:t xml:space="preserve"> </w:t>
      </w:r>
      <w:r w:rsidRPr="00DA6FDF">
        <w:rPr>
          <w:rFonts w:ascii="Times New Roman" w:hAnsi="Times New Roman" w:cs="Times New Roman"/>
          <w:i/>
          <w:sz w:val="24"/>
          <w:szCs w:val="24"/>
        </w:rPr>
        <w:t>Making</w:t>
      </w:r>
      <w:r w:rsidR="00E16033">
        <w:rPr>
          <w:rFonts w:ascii="Times New Roman" w:hAnsi="Times New Roman" w:cs="Times New Roman"/>
          <w:sz w:val="24"/>
          <w:szCs w:val="24"/>
        </w:rPr>
        <w:t xml:space="preserve"> …………………………….</w:t>
      </w:r>
      <w:r w:rsidR="00D564CF">
        <w:rPr>
          <w:rFonts w:ascii="Times New Roman" w:hAnsi="Times New Roman" w:cs="Times New Roman"/>
          <w:sz w:val="24"/>
          <w:szCs w:val="24"/>
        </w:rPr>
        <w:t>…</w:t>
      </w:r>
      <w:r w:rsidR="008D1AFF">
        <w:rPr>
          <w:rFonts w:ascii="Times New Roman" w:hAnsi="Times New Roman" w:cs="Times New Roman"/>
          <w:sz w:val="24"/>
          <w:szCs w:val="24"/>
        </w:rPr>
        <w:t xml:space="preserve"> “ 42</w:t>
      </w:r>
    </w:p>
    <w:p w:rsidR="00381ABF" w:rsidRPr="00DA6FDF" w:rsidRDefault="00381ABF" w:rsidP="008D2DF6">
      <w:pPr>
        <w:spacing w:line="360" w:lineRule="auto"/>
        <w:rPr>
          <w:rFonts w:ascii="Times New Roman" w:hAnsi="Times New Roman" w:cs="Times New Roman"/>
          <w:sz w:val="24"/>
          <w:szCs w:val="24"/>
        </w:rPr>
      </w:pPr>
    </w:p>
    <w:p w:rsidR="00381ABF" w:rsidRPr="00DA6FDF" w:rsidRDefault="00381ABF" w:rsidP="008D2DF6">
      <w:pPr>
        <w:spacing w:line="360" w:lineRule="auto"/>
        <w:rPr>
          <w:rFonts w:ascii="Times New Roman" w:hAnsi="Times New Roman" w:cs="Times New Roman"/>
          <w:sz w:val="24"/>
          <w:szCs w:val="24"/>
        </w:rPr>
      </w:pPr>
      <w:r w:rsidRPr="00DA6FDF">
        <w:rPr>
          <w:rFonts w:ascii="Times New Roman" w:hAnsi="Times New Roman" w:cs="Times New Roman"/>
          <w:b/>
          <w:sz w:val="24"/>
          <w:szCs w:val="24"/>
        </w:rPr>
        <w:t>Capitolo Terzo. I Genitori posti di fronte a Tragiche Scelte. Comparazione degli Effetti Emotivi in relazione ai diversi Modelli di Comunicazione in ambito medico.</w:t>
      </w:r>
      <w:r w:rsidRPr="00DA6FDF">
        <w:rPr>
          <w:rFonts w:ascii="Times New Roman" w:hAnsi="Times New Roman" w:cs="Times New Roman"/>
          <w:sz w:val="24"/>
          <w:szCs w:val="24"/>
        </w:rPr>
        <w:t xml:space="preserve"> …………</w:t>
      </w:r>
      <w:r w:rsidR="00E16033">
        <w:rPr>
          <w:rFonts w:ascii="Times New Roman" w:hAnsi="Times New Roman" w:cs="Times New Roman"/>
          <w:sz w:val="24"/>
          <w:szCs w:val="24"/>
        </w:rPr>
        <w:t>………………………………………………….</w:t>
      </w:r>
      <w:r w:rsidR="008D1AFF">
        <w:rPr>
          <w:rFonts w:ascii="Times New Roman" w:hAnsi="Times New Roman" w:cs="Times New Roman"/>
          <w:sz w:val="24"/>
          <w:szCs w:val="24"/>
        </w:rPr>
        <w:t>.“ 46</w:t>
      </w:r>
    </w:p>
    <w:p w:rsidR="00381ABF" w:rsidRPr="00DA6FDF" w:rsidRDefault="00381ABF" w:rsidP="008D2DF6">
      <w:pPr>
        <w:spacing w:line="360" w:lineRule="auto"/>
        <w:rPr>
          <w:rFonts w:ascii="Times New Roman" w:hAnsi="Times New Roman" w:cs="Times New Roman"/>
          <w:sz w:val="24"/>
          <w:szCs w:val="24"/>
        </w:rPr>
      </w:pPr>
      <w:r w:rsidRPr="00DA6FDF">
        <w:rPr>
          <w:rFonts w:ascii="Times New Roman" w:hAnsi="Times New Roman" w:cs="Times New Roman"/>
          <w:sz w:val="24"/>
          <w:szCs w:val="24"/>
        </w:rPr>
        <w:t>3.1 Introduzi</w:t>
      </w:r>
      <w:r w:rsidR="00E16033">
        <w:rPr>
          <w:rFonts w:ascii="Times New Roman" w:hAnsi="Times New Roman" w:cs="Times New Roman"/>
          <w:sz w:val="24"/>
          <w:szCs w:val="24"/>
        </w:rPr>
        <w:t>one…………………………………………………………</w:t>
      </w:r>
      <w:r w:rsidR="008D1AFF">
        <w:rPr>
          <w:rFonts w:ascii="Times New Roman" w:hAnsi="Times New Roman" w:cs="Times New Roman"/>
          <w:sz w:val="24"/>
          <w:szCs w:val="24"/>
        </w:rPr>
        <w:t>.......“ 46</w:t>
      </w:r>
    </w:p>
    <w:p w:rsidR="00381ABF" w:rsidRPr="00DA6FDF" w:rsidRDefault="00381ABF" w:rsidP="008D2DF6">
      <w:pPr>
        <w:spacing w:line="360" w:lineRule="auto"/>
        <w:rPr>
          <w:rFonts w:ascii="Times New Roman" w:hAnsi="Times New Roman" w:cs="Times New Roman"/>
          <w:sz w:val="24"/>
          <w:szCs w:val="24"/>
        </w:rPr>
      </w:pPr>
      <w:r w:rsidRPr="00DA6FDF">
        <w:rPr>
          <w:rFonts w:ascii="Times New Roman" w:hAnsi="Times New Roman" w:cs="Times New Roman"/>
          <w:sz w:val="24"/>
          <w:szCs w:val="24"/>
        </w:rPr>
        <w:t>3.2 Obiettivi e ipotesi della ric</w:t>
      </w:r>
      <w:r w:rsidR="00E16033">
        <w:rPr>
          <w:rFonts w:ascii="Times New Roman" w:hAnsi="Times New Roman" w:cs="Times New Roman"/>
          <w:sz w:val="24"/>
          <w:szCs w:val="24"/>
        </w:rPr>
        <w:t>erca……………………………………..……</w:t>
      </w:r>
      <w:r w:rsidR="008D1AFF">
        <w:rPr>
          <w:rFonts w:ascii="Times New Roman" w:hAnsi="Times New Roman" w:cs="Times New Roman"/>
          <w:sz w:val="24"/>
          <w:szCs w:val="24"/>
        </w:rPr>
        <w:t>“ 52</w:t>
      </w:r>
    </w:p>
    <w:p w:rsidR="00381ABF" w:rsidRPr="00DA6FDF" w:rsidRDefault="00381ABF" w:rsidP="008D2DF6">
      <w:pPr>
        <w:spacing w:line="360" w:lineRule="auto"/>
        <w:rPr>
          <w:rFonts w:ascii="Times New Roman" w:hAnsi="Times New Roman" w:cs="Times New Roman"/>
          <w:sz w:val="24"/>
          <w:szCs w:val="24"/>
        </w:rPr>
      </w:pPr>
      <w:r w:rsidRPr="00DA6FDF">
        <w:rPr>
          <w:rFonts w:ascii="Times New Roman" w:hAnsi="Times New Roman" w:cs="Times New Roman"/>
          <w:sz w:val="24"/>
          <w:szCs w:val="24"/>
        </w:rPr>
        <w:t>3.2.1 Obiett</w:t>
      </w:r>
      <w:r w:rsidR="00E16033">
        <w:rPr>
          <w:rFonts w:ascii="Times New Roman" w:hAnsi="Times New Roman" w:cs="Times New Roman"/>
          <w:sz w:val="24"/>
          <w:szCs w:val="24"/>
        </w:rPr>
        <w:t>ivi……………………………………………………………</w:t>
      </w:r>
      <w:r w:rsidR="008D1AFF">
        <w:rPr>
          <w:rFonts w:ascii="Times New Roman" w:hAnsi="Times New Roman" w:cs="Times New Roman"/>
          <w:sz w:val="24"/>
          <w:szCs w:val="24"/>
        </w:rPr>
        <w:t>….. “ 52</w:t>
      </w:r>
    </w:p>
    <w:p w:rsidR="00381ABF" w:rsidRPr="00DA6FDF" w:rsidRDefault="00381ABF" w:rsidP="008D2DF6">
      <w:pPr>
        <w:spacing w:line="360" w:lineRule="auto"/>
        <w:rPr>
          <w:rFonts w:ascii="Times New Roman" w:hAnsi="Times New Roman" w:cs="Times New Roman"/>
          <w:sz w:val="24"/>
          <w:szCs w:val="24"/>
        </w:rPr>
      </w:pPr>
      <w:r w:rsidRPr="00DA6FDF">
        <w:rPr>
          <w:rFonts w:ascii="Times New Roman" w:hAnsi="Times New Roman" w:cs="Times New Roman"/>
          <w:sz w:val="24"/>
          <w:szCs w:val="24"/>
        </w:rPr>
        <w:t>3.2.2 I</w:t>
      </w:r>
      <w:r w:rsidR="00E16033">
        <w:rPr>
          <w:rFonts w:ascii="Times New Roman" w:hAnsi="Times New Roman" w:cs="Times New Roman"/>
          <w:sz w:val="24"/>
          <w:szCs w:val="24"/>
        </w:rPr>
        <w:t>potesi…………………………………………………….</w:t>
      </w:r>
      <w:r w:rsidRPr="00DA6FDF">
        <w:rPr>
          <w:rFonts w:ascii="Times New Roman" w:hAnsi="Times New Roman" w:cs="Times New Roman"/>
          <w:sz w:val="24"/>
          <w:szCs w:val="24"/>
        </w:rPr>
        <w:t>……….…….“ 52</w:t>
      </w:r>
    </w:p>
    <w:p w:rsidR="00381ABF" w:rsidRPr="00DA6FDF" w:rsidRDefault="00381ABF" w:rsidP="008D2DF6">
      <w:pPr>
        <w:spacing w:line="360" w:lineRule="auto"/>
        <w:rPr>
          <w:rFonts w:ascii="Times New Roman" w:hAnsi="Times New Roman" w:cs="Times New Roman"/>
          <w:sz w:val="24"/>
          <w:szCs w:val="24"/>
        </w:rPr>
      </w:pPr>
      <w:r w:rsidRPr="00DA6FDF">
        <w:rPr>
          <w:rFonts w:ascii="Times New Roman" w:hAnsi="Times New Roman" w:cs="Times New Roman"/>
          <w:sz w:val="24"/>
          <w:szCs w:val="24"/>
        </w:rPr>
        <w:t>3.3</w:t>
      </w:r>
      <w:r w:rsidR="00E16033">
        <w:rPr>
          <w:rFonts w:ascii="Times New Roman" w:hAnsi="Times New Roman" w:cs="Times New Roman"/>
          <w:sz w:val="24"/>
          <w:szCs w:val="24"/>
        </w:rPr>
        <w:t xml:space="preserve"> Metodologia……………………………………</w:t>
      </w:r>
      <w:r w:rsidRPr="00DA6FDF">
        <w:rPr>
          <w:rFonts w:ascii="Times New Roman" w:hAnsi="Times New Roman" w:cs="Times New Roman"/>
          <w:sz w:val="24"/>
          <w:szCs w:val="24"/>
        </w:rPr>
        <w:t>……………………</w:t>
      </w:r>
      <w:r w:rsidR="00E16033">
        <w:rPr>
          <w:rFonts w:ascii="Times New Roman" w:hAnsi="Times New Roman" w:cs="Times New Roman"/>
          <w:sz w:val="24"/>
          <w:szCs w:val="24"/>
        </w:rPr>
        <w:t>.</w:t>
      </w:r>
      <w:r w:rsidR="008D1AFF">
        <w:rPr>
          <w:rFonts w:ascii="Times New Roman" w:hAnsi="Times New Roman" w:cs="Times New Roman"/>
          <w:sz w:val="24"/>
          <w:szCs w:val="24"/>
        </w:rPr>
        <w:t>....... “53</w:t>
      </w:r>
    </w:p>
    <w:p w:rsidR="00381ABF" w:rsidRPr="00DA6FDF" w:rsidRDefault="00381ABF" w:rsidP="008D2DF6">
      <w:pPr>
        <w:spacing w:line="360" w:lineRule="auto"/>
        <w:rPr>
          <w:rFonts w:ascii="Times New Roman" w:hAnsi="Times New Roman" w:cs="Times New Roman"/>
          <w:sz w:val="24"/>
          <w:szCs w:val="24"/>
        </w:rPr>
      </w:pPr>
      <w:r w:rsidRPr="00DA6FDF">
        <w:rPr>
          <w:rFonts w:ascii="Times New Roman" w:hAnsi="Times New Roman" w:cs="Times New Roman"/>
          <w:sz w:val="24"/>
          <w:szCs w:val="24"/>
        </w:rPr>
        <w:t>3.3.1  Studio</w:t>
      </w:r>
      <w:r w:rsidR="00E16033">
        <w:rPr>
          <w:rFonts w:ascii="Times New Roman" w:hAnsi="Times New Roman" w:cs="Times New Roman"/>
          <w:sz w:val="24"/>
          <w:szCs w:val="24"/>
        </w:rPr>
        <w:t xml:space="preserve"> 1: Partecipanti…………………………</w:t>
      </w:r>
      <w:r w:rsidRPr="00DA6FDF">
        <w:rPr>
          <w:rFonts w:ascii="Times New Roman" w:hAnsi="Times New Roman" w:cs="Times New Roman"/>
          <w:sz w:val="24"/>
          <w:szCs w:val="24"/>
        </w:rPr>
        <w:t>…………………...</w:t>
      </w:r>
      <w:r w:rsidR="00E16033">
        <w:rPr>
          <w:rFonts w:ascii="Times New Roman" w:hAnsi="Times New Roman" w:cs="Times New Roman"/>
          <w:sz w:val="24"/>
          <w:szCs w:val="24"/>
        </w:rPr>
        <w:t>.</w:t>
      </w:r>
      <w:r w:rsidR="008D1AFF">
        <w:rPr>
          <w:rFonts w:ascii="Times New Roman" w:hAnsi="Times New Roman" w:cs="Times New Roman"/>
          <w:sz w:val="24"/>
          <w:szCs w:val="24"/>
        </w:rPr>
        <w:t>..... “ 54</w:t>
      </w:r>
    </w:p>
    <w:p w:rsidR="00381ABF" w:rsidRPr="00DA6FDF" w:rsidRDefault="00381ABF" w:rsidP="008D2DF6">
      <w:pPr>
        <w:spacing w:line="360" w:lineRule="auto"/>
        <w:rPr>
          <w:rFonts w:ascii="Times New Roman" w:hAnsi="Times New Roman" w:cs="Times New Roman"/>
          <w:sz w:val="24"/>
          <w:szCs w:val="24"/>
        </w:rPr>
      </w:pPr>
      <w:r w:rsidRPr="00DA6FDF">
        <w:rPr>
          <w:rFonts w:ascii="Times New Roman" w:hAnsi="Times New Roman" w:cs="Times New Roman"/>
          <w:sz w:val="24"/>
          <w:szCs w:val="24"/>
        </w:rPr>
        <w:t>3.3.2 Studio</w:t>
      </w:r>
      <w:r w:rsidR="00E16033">
        <w:rPr>
          <w:rFonts w:ascii="Times New Roman" w:hAnsi="Times New Roman" w:cs="Times New Roman"/>
          <w:sz w:val="24"/>
          <w:szCs w:val="24"/>
        </w:rPr>
        <w:t xml:space="preserve"> 2: Partecipanti…………………………</w:t>
      </w:r>
      <w:r w:rsidRPr="00DA6FDF">
        <w:rPr>
          <w:rFonts w:ascii="Times New Roman" w:hAnsi="Times New Roman" w:cs="Times New Roman"/>
          <w:sz w:val="24"/>
          <w:szCs w:val="24"/>
        </w:rPr>
        <w:t>……………………</w:t>
      </w:r>
      <w:r w:rsidR="00E16033">
        <w:rPr>
          <w:rFonts w:ascii="Times New Roman" w:hAnsi="Times New Roman" w:cs="Times New Roman"/>
          <w:sz w:val="24"/>
          <w:szCs w:val="24"/>
        </w:rPr>
        <w:t>..</w:t>
      </w:r>
      <w:r w:rsidR="008D1AFF">
        <w:rPr>
          <w:rFonts w:ascii="Times New Roman" w:hAnsi="Times New Roman" w:cs="Times New Roman"/>
          <w:sz w:val="24"/>
          <w:szCs w:val="24"/>
        </w:rPr>
        <w:t>…. “56</w:t>
      </w:r>
    </w:p>
    <w:p w:rsidR="00381ABF" w:rsidRPr="00DA6FDF" w:rsidRDefault="00381ABF" w:rsidP="008D2DF6">
      <w:pPr>
        <w:spacing w:line="360" w:lineRule="auto"/>
        <w:rPr>
          <w:rFonts w:ascii="Times New Roman" w:hAnsi="Times New Roman" w:cs="Times New Roman"/>
          <w:sz w:val="24"/>
          <w:szCs w:val="24"/>
        </w:rPr>
      </w:pPr>
      <w:r w:rsidRPr="00DA6FDF">
        <w:rPr>
          <w:rFonts w:ascii="Times New Roman" w:hAnsi="Times New Roman" w:cs="Times New Roman"/>
          <w:sz w:val="24"/>
          <w:szCs w:val="24"/>
        </w:rPr>
        <w:t>3.3.2 Dise</w:t>
      </w:r>
      <w:r w:rsidR="00E16033">
        <w:rPr>
          <w:rFonts w:ascii="Times New Roman" w:hAnsi="Times New Roman" w:cs="Times New Roman"/>
          <w:sz w:val="24"/>
          <w:szCs w:val="24"/>
        </w:rPr>
        <w:t>gno Sperimentale…………………………………………………...</w:t>
      </w:r>
      <w:r w:rsidR="008D1AFF">
        <w:rPr>
          <w:rFonts w:ascii="Times New Roman" w:hAnsi="Times New Roman" w:cs="Times New Roman"/>
          <w:sz w:val="24"/>
          <w:szCs w:val="24"/>
        </w:rPr>
        <w:t>“ 59</w:t>
      </w:r>
    </w:p>
    <w:p w:rsidR="00381ABF" w:rsidRPr="00DA6FDF" w:rsidRDefault="00381ABF" w:rsidP="008D2DF6">
      <w:pPr>
        <w:spacing w:line="360" w:lineRule="auto"/>
        <w:rPr>
          <w:rFonts w:ascii="Times New Roman" w:hAnsi="Times New Roman" w:cs="Times New Roman"/>
          <w:sz w:val="24"/>
          <w:szCs w:val="24"/>
        </w:rPr>
      </w:pPr>
      <w:r w:rsidRPr="00DA6FDF">
        <w:rPr>
          <w:rFonts w:ascii="Times New Roman" w:hAnsi="Times New Roman" w:cs="Times New Roman"/>
          <w:sz w:val="24"/>
          <w:szCs w:val="24"/>
        </w:rPr>
        <w:t>3.</w:t>
      </w:r>
      <w:r w:rsidR="00E16033">
        <w:rPr>
          <w:rFonts w:ascii="Times New Roman" w:hAnsi="Times New Roman" w:cs="Times New Roman"/>
          <w:sz w:val="24"/>
          <w:szCs w:val="24"/>
        </w:rPr>
        <w:t>3.3 Variabili…………………………………………………………………</w:t>
      </w:r>
      <w:r w:rsidR="008D1AFF">
        <w:rPr>
          <w:rFonts w:ascii="Times New Roman" w:hAnsi="Times New Roman" w:cs="Times New Roman"/>
          <w:sz w:val="24"/>
          <w:szCs w:val="24"/>
        </w:rPr>
        <w:t>“ 59</w:t>
      </w:r>
    </w:p>
    <w:p w:rsidR="00381ABF" w:rsidRPr="00DA6FDF" w:rsidRDefault="00381ABF" w:rsidP="008D2DF6">
      <w:pPr>
        <w:spacing w:line="360" w:lineRule="auto"/>
        <w:rPr>
          <w:rFonts w:ascii="Times New Roman" w:hAnsi="Times New Roman" w:cs="Times New Roman"/>
          <w:sz w:val="24"/>
          <w:szCs w:val="24"/>
        </w:rPr>
      </w:pPr>
      <w:r w:rsidRPr="00DA6FDF">
        <w:rPr>
          <w:rFonts w:ascii="Times New Roman" w:hAnsi="Times New Roman" w:cs="Times New Roman"/>
          <w:sz w:val="24"/>
          <w:szCs w:val="24"/>
        </w:rPr>
        <w:t>3.3.4</w:t>
      </w:r>
      <w:r w:rsidR="00E16033">
        <w:rPr>
          <w:rFonts w:ascii="Times New Roman" w:hAnsi="Times New Roman" w:cs="Times New Roman"/>
          <w:sz w:val="24"/>
          <w:szCs w:val="24"/>
        </w:rPr>
        <w:t xml:space="preserve"> Procedura………………………………………………………………..</w:t>
      </w:r>
      <w:r w:rsidR="008D1AFF">
        <w:rPr>
          <w:rFonts w:ascii="Times New Roman" w:hAnsi="Times New Roman" w:cs="Times New Roman"/>
          <w:sz w:val="24"/>
          <w:szCs w:val="24"/>
        </w:rPr>
        <w:t>“ 60</w:t>
      </w:r>
    </w:p>
    <w:p w:rsidR="00381ABF" w:rsidRPr="00DA6FDF" w:rsidRDefault="00E16033" w:rsidP="008D2DF6">
      <w:pPr>
        <w:spacing w:line="360" w:lineRule="auto"/>
        <w:rPr>
          <w:rFonts w:ascii="Times New Roman" w:hAnsi="Times New Roman" w:cs="Times New Roman"/>
          <w:sz w:val="24"/>
          <w:szCs w:val="24"/>
        </w:rPr>
      </w:pPr>
      <w:r>
        <w:rPr>
          <w:rFonts w:ascii="Times New Roman" w:hAnsi="Times New Roman" w:cs="Times New Roman"/>
          <w:sz w:val="24"/>
          <w:szCs w:val="24"/>
        </w:rPr>
        <w:t>3.3.5 Strumenti…………………</w:t>
      </w:r>
      <w:r w:rsidR="00381ABF" w:rsidRPr="00DA6FDF">
        <w:rPr>
          <w:rFonts w:ascii="Times New Roman" w:hAnsi="Times New Roman" w:cs="Times New Roman"/>
          <w:sz w:val="24"/>
          <w:szCs w:val="24"/>
        </w:rPr>
        <w:t xml:space="preserve">……………………………………….. …. </w:t>
      </w:r>
      <w:r>
        <w:rPr>
          <w:rFonts w:ascii="Times New Roman" w:hAnsi="Times New Roman" w:cs="Times New Roman"/>
          <w:sz w:val="24"/>
          <w:szCs w:val="24"/>
        </w:rPr>
        <w:t>.</w:t>
      </w:r>
      <w:r w:rsidR="008D1AFF">
        <w:rPr>
          <w:rFonts w:ascii="Times New Roman" w:hAnsi="Times New Roman" w:cs="Times New Roman"/>
          <w:sz w:val="24"/>
          <w:szCs w:val="24"/>
        </w:rPr>
        <w:t>“ 61</w:t>
      </w:r>
    </w:p>
    <w:p w:rsidR="00381ABF" w:rsidRPr="00DA6FDF" w:rsidRDefault="00381ABF" w:rsidP="008D2DF6">
      <w:pPr>
        <w:spacing w:line="360" w:lineRule="auto"/>
        <w:rPr>
          <w:rFonts w:ascii="Times New Roman" w:hAnsi="Times New Roman" w:cs="Times New Roman"/>
          <w:sz w:val="24"/>
          <w:szCs w:val="24"/>
        </w:rPr>
      </w:pPr>
      <w:r w:rsidRPr="00DA6FDF">
        <w:rPr>
          <w:rFonts w:ascii="Times New Roman" w:hAnsi="Times New Roman" w:cs="Times New Roman"/>
          <w:sz w:val="24"/>
          <w:szCs w:val="24"/>
        </w:rPr>
        <w:t>3.</w:t>
      </w:r>
      <w:r w:rsidR="00E16033">
        <w:rPr>
          <w:rFonts w:ascii="Times New Roman" w:hAnsi="Times New Roman" w:cs="Times New Roman"/>
          <w:sz w:val="24"/>
          <w:szCs w:val="24"/>
        </w:rPr>
        <w:t>3.6 Analisi dei dati………………</w:t>
      </w:r>
      <w:r w:rsidR="008D1AFF">
        <w:rPr>
          <w:rFonts w:ascii="Times New Roman" w:hAnsi="Times New Roman" w:cs="Times New Roman"/>
          <w:sz w:val="24"/>
          <w:szCs w:val="24"/>
        </w:rPr>
        <w:t>………………………………………… “ 62</w:t>
      </w:r>
    </w:p>
    <w:p w:rsidR="00381ABF" w:rsidRPr="00DA6FDF" w:rsidRDefault="00E16033" w:rsidP="008D2DF6">
      <w:pPr>
        <w:spacing w:line="360" w:lineRule="auto"/>
        <w:rPr>
          <w:rFonts w:ascii="Times New Roman" w:hAnsi="Times New Roman" w:cs="Times New Roman"/>
          <w:sz w:val="24"/>
          <w:szCs w:val="24"/>
        </w:rPr>
      </w:pPr>
      <w:r>
        <w:rPr>
          <w:rFonts w:ascii="Times New Roman" w:hAnsi="Times New Roman" w:cs="Times New Roman"/>
          <w:sz w:val="24"/>
          <w:szCs w:val="24"/>
        </w:rPr>
        <w:t>3.4 Risultati……………</w:t>
      </w:r>
      <w:r w:rsidR="008D1AFF">
        <w:rPr>
          <w:rFonts w:ascii="Times New Roman" w:hAnsi="Times New Roman" w:cs="Times New Roman"/>
          <w:sz w:val="24"/>
          <w:szCs w:val="24"/>
        </w:rPr>
        <w:t>……………………………………………………. “ 63</w:t>
      </w:r>
    </w:p>
    <w:p w:rsidR="00381ABF" w:rsidRPr="00DA6FDF" w:rsidRDefault="00381ABF" w:rsidP="008D2DF6">
      <w:pPr>
        <w:spacing w:line="360" w:lineRule="auto"/>
        <w:rPr>
          <w:rFonts w:ascii="Times New Roman" w:hAnsi="Times New Roman" w:cs="Times New Roman"/>
          <w:sz w:val="24"/>
          <w:szCs w:val="24"/>
        </w:rPr>
      </w:pPr>
      <w:r w:rsidRPr="00DA6FDF">
        <w:rPr>
          <w:rFonts w:ascii="Times New Roman" w:hAnsi="Times New Roman" w:cs="Times New Roman"/>
          <w:sz w:val="24"/>
          <w:szCs w:val="24"/>
        </w:rPr>
        <w:t>3</w:t>
      </w:r>
      <w:r w:rsidR="00E16033">
        <w:rPr>
          <w:rFonts w:ascii="Times New Roman" w:hAnsi="Times New Roman" w:cs="Times New Roman"/>
          <w:sz w:val="24"/>
          <w:szCs w:val="24"/>
        </w:rPr>
        <w:t>.4.1 Risultati Studio 1………</w:t>
      </w:r>
      <w:r w:rsidRPr="00DA6FDF">
        <w:rPr>
          <w:rFonts w:ascii="Times New Roman" w:hAnsi="Times New Roman" w:cs="Times New Roman"/>
          <w:sz w:val="24"/>
          <w:szCs w:val="24"/>
        </w:rPr>
        <w:t>……………………………………</w:t>
      </w:r>
      <w:r w:rsidR="008D1AFF">
        <w:rPr>
          <w:rFonts w:ascii="Times New Roman" w:hAnsi="Times New Roman" w:cs="Times New Roman"/>
          <w:sz w:val="24"/>
          <w:szCs w:val="24"/>
        </w:rPr>
        <w:t>………… “ 63</w:t>
      </w:r>
    </w:p>
    <w:p w:rsidR="00381ABF" w:rsidRPr="00DA6FDF" w:rsidRDefault="00381ABF" w:rsidP="008D2DF6">
      <w:pPr>
        <w:autoSpaceDE w:val="0"/>
        <w:autoSpaceDN w:val="0"/>
        <w:adjustRightInd w:val="0"/>
        <w:spacing w:line="360" w:lineRule="auto"/>
        <w:rPr>
          <w:rFonts w:ascii="Times New Roman" w:hAnsi="Times New Roman" w:cs="Times New Roman"/>
          <w:sz w:val="24"/>
          <w:szCs w:val="24"/>
        </w:rPr>
      </w:pPr>
      <w:r w:rsidRPr="00DA6FDF">
        <w:rPr>
          <w:rFonts w:ascii="Times New Roman" w:hAnsi="Times New Roman" w:cs="Times New Roman"/>
          <w:sz w:val="24"/>
          <w:szCs w:val="24"/>
        </w:rPr>
        <w:t>3.4.</w:t>
      </w:r>
      <w:r w:rsidR="00E16033">
        <w:rPr>
          <w:rFonts w:ascii="Times New Roman" w:hAnsi="Times New Roman" w:cs="Times New Roman"/>
          <w:sz w:val="24"/>
          <w:szCs w:val="24"/>
        </w:rPr>
        <w:t>2 Risultati Studio 2………………</w:t>
      </w:r>
      <w:r w:rsidR="008D1AFF">
        <w:rPr>
          <w:rFonts w:ascii="Times New Roman" w:hAnsi="Times New Roman" w:cs="Times New Roman"/>
          <w:sz w:val="24"/>
          <w:szCs w:val="24"/>
        </w:rPr>
        <w:t>……………………………………….“ 68</w:t>
      </w:r>
    </w:p>
    <w:p w:rsidR="00381ABF" w:rsidRPr="00DA6FDF" w:rsidRDefault="00381ABF" w:rsidP="008D2DF6">
      <w:pPr>
        <w:pStyle w:val="NormaleWeb"/>
        <w:spacing w:after="0" w:line="360" w:lineRule="auto"/>
      </w:pPr>
      <w:r w:rsidRPr="00DA6FDF">
        <w:t>4. Dis</w:t>
      </w:r>
      <w:r w:rsidR="00E16033">
        <w:t>cussione e Conclusioni…………</w:t>
      </w:r>
      <w:r w:rsidR="008D1AFF">
        <w:t>……………………………………... “ 76</w:t>
      </w:r>
    </w:p>
    <w:p w:rsidR="00381ABF" w:rsidRPr="00DA6FDF" w:rsidRDefault="00381ABF" w:rsidP="008D2DF6">
      <w:pPr>
        <w:pStyle w:val="NormaleWeb"/>
        <w:spacing w:after="0" w:line="360" w:lineRule="auto"/>
      </w:pPr>
    </w:p>
    <w:p w:rsidR="00381ABF" w:rsidRPr="00DA6FDF" w:rsidRDefault="00381ABF" w:rsidP="008D2DF6">
      <w:pPr>
        <w:autoSpaceDE w:val="0"/>
        <w:autoSpaceDN w:val="0"/>
        <w:adjustRightInd w:val="0"/>
        <w:spacing w:line="360" w:lineRule="auto"/>
        <w:rPr>
          <w:rFonts w:ascii="Times New Roman" w:hAnsi="Times New Roman" w:cs="Times New Roman"/>
          <w:color w:val="000000"/>
          <w:sz w:val="24"/>
          <w:szCs w:val="24"/>
        </w:rPr>
      </w:pPr>
      <w:r w:rsidRPr="00DA6FDF">
        <w:rPr>
          <w:rFonts w:ascii="Times New Roman" w:hAnsi="Times New Roman" w:cs="Times New Roman"/>
          <w:b/>
          <w:color w:val="000000"/>
          <w:sz w:val="24"/>
          <w:szCs w:val="24"/>
        </w:rPr>
        <w:lastRenderedPageBreak/>
        <w:t>Riferimenti bibliografici</w:t>
      </w:r>
      <w:r w:rsidRPr="00DA6FDF">
        <w:rPr>
          <w:rFonts w:ascii="Times New Roman" w:hAnsi="Times New Roman" w:cs="Times New Roman"/>
          <w:color w:val="000000"/>
          <w:sz w:val="24"/>
          <w:szCs w:val="24"/>
        </w:rPr>
        <w:t>.........</w:t>
      </w:r>
      <w:r w:rsidR="00E16033">
        <w:rPr>
          <w:rFonts w:ascii="Times New Roman" w:hAnsi="Times New Roman" w:cs="Times New Roman"/>
          <w:color w:val="000000"/>
          <w:sz w:val="24"/>
          <w:szCs w:val="24"/>
        </w:rPr>
        <w:t>...........</w:t>
      </w:r>
      <w:r w:rsidRPr="00DA6FDF">
        <w:rPr>
          <w:rFonts w:ascii="Times New Roman" w:hAnsi="Times New Roman" w:cs="Times New Roman"/>
          <w:color w:val="000000"/>
          <w:sz w:val="24"/>
          <w:szCs w:val="24"/>
        </w:rPr>
        <w:t xml:space="preserve">.............................................................. “ </w:t>
      </w:r>
      <w:r w:rsidR="008D1AFF">
        <w:rPr>
          <w:rFonts w:ascii="Times New Roman" w:hAnsi="Times New Roman" w:cs="Times New Roman"/>
          <w:color w:val="000000"/>
          <w:sz w:val="24"/>
          <w:szCs w:val="24"/>
        </w:rPr>
        <w:t>81</w:t>
      </w:r>
      <w:r w:rsidRPr="00DA6FDF">
        <w:rPr>
          <w:rFonts w:ascii="Times New Roman" w:hAnsi="Times New Roman" w:cs="Times New Roman"/>
          <w:b/>
          <w:color w:val="000000"/>
          <w:sz w:val="24"/>
          <w:szCs w:val="24"/>
        </w:rPr>
        <w:t xml:space="preserve"> </w:t>
      </w:r>
    </w:p>
    <w:p w:rsidR="00381ABF" w:rsidRPr="00DA6FDF" w:rsidRDefault="00381ABF" w:rsidP="008D2DF6">
      <w:pPr>
        <w:autoSpaceDE w:val="0"/>
        <w:autoSpaceDN w:val="0"/>
        <w:adjustRightInd w:val="0"/>
        <w:spacing w:line="360" w:lineRule="auto"/>
        <w:rPr>
          <w:rFonts w:ascii="Times New Roman" w:hAnsi="Times New Roman" w:cs="Times New Roman"/>
          <w:color w:val="000000"/>
          <w:sz w:val="24"/>
          <w:szCs w:val="24"/>
        </w:rPr>
      </w:pPr>
      <w:r w:rsidRPr="00DA6FDF">
        <w:rPr>
          <w:rFonts w:ascii="Times New Roman" w:hAnsi="Times New Roman" w:cs="Times New Roman"/>
          <w:b/>
          <w:color w:val="000000"/>
          <w:sz w:val="24"/>
          <w:szCs w:val="24"/>
        </w:rPr>
        <w:t>Appendice 1</w:t>
      </w:r>
    </w:p>
    <w:p w:rsidR="00381ABF" w:rsidRPr="00DA6FDF" w:rsidRDefault="00381ABF" w:rsidP="008D2DF6">
      <w:pPr>
        <w:autoSpaceDE w:val="0"/>
        <w:autoSpaceDN w:val="0"/>
        <w:adjustRightInd w:val="0"/>
        <w:spacing w:line="360" w:lineRule="auto"/>
        <w:rPr>
          <w:rFonts w:ascii="Times New Roman" w:hAnsi="Times New Roman" w:cs="Times New Roman"/>
          <w:color w:val="000000"/>
          <w:sz w:val="24"/>
          <w:szCs w:val="24"/>
        </w:rPr>
      </w:pPr>
      <w:r w:rsidRPr="00DA6FDF">
        <w:rPr>
          <w:rFonts w:ascii="Times New Roman" w:hAnsi="Times New Roman" w:cs="Times New Roman"/>
          <w:b/>
          <w:color w:val="000000"/>
          <w:sz w:val="24"/>
          <w:szCs w:val="24"/>
        </w:rPr>
        <w:t>Appendice 2</w:t>
      </w:r>
    </w:p>
    <w:p w:rsidR="0031793C" w:rsidRPr="00DA6FDF" w:rsidRDefault="00381ABF" w:rsidP="008D2DF6">
      <w:pPr>
        <w:spacing w:line="360" w:lineRule="auto"/>
        <w:rPr>
          <w:rFonts w:ascii="Times New Roman" w:hAnsi="Times New Roman" w:cs="Times New Roman"/>
        </w:rPr>
      </w:pPr>
      <w:r w:rsidRPr="00DA6FDF">
        <w:rPr>
          <w:rFonts w:ascii="Times New Roman" w:hAnsi="Times New Roman" w:cs="Times New Roman"/>
        </w:rPr>
        <w:br w:type="page"/>
      </w:r>
    </w:p>
    <w:p w:rsidR="00381ABF" w:rsidRPr="00940B98" w:rsidRDefault="00381ABF" w:rsidP="00940B98">
      <w:pPr>
        <w:spacing w:line="360" w:lineRule="auto"/>
        <w:jc w:val="center"/>
        <w:rPr>
          <w:rFonts w:ascii="Times New Roman" w:hAnsi="Times New Roman" w:cs="Times New Roman"/>
          <w:bCs/>
          <w:i/>
          <w:sz w:val="24"/>
          <w:szCs w:val="24"/>
        </w:rPr>
      </w:pPr>
      <w:r w:rsidRPr="00EF60B7">
        <w:rPr>
          <w:rFonts w:ascii="Times New Roman" w:hAnsi="Times New Roman" w:cs="Times New Roman"/>
          <w:bCs/>
          <w:i/>
          <w:sz w:val="24"/>
          <w:szCs w:val="24"/>
        </w:rPr>
        <w:lastRenderedPageBreak/>
        <w:t>PREMESSA</w:t>
      </w:r>
      <w:r w:rsidRPr="00EF60B7">
        <w:rPr>
          <w:rFonts w:ascii="Times New Roman" w:hAnsi="Times New Roman" w:cs="Times New Roman"/>
          <w:i/>
          <w:sz w:val="24"/>
          <w:szCs w:val="24"/>
        </w:rPr>
        <w:tab/>
      </w:r>
    </w:p>
    <w:p w:rsidR="00381ABF" w:rsidRPr="00EF60B7" w:rsidRDefault="00381ABF" w:rsidP="008D2DF6">
      <w:pPr>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 xml:space="preserve">Le Relazioni Pubbliche vanno sempre più definendosi come costituite da competenze specifiche e da un insieme vario ma preciso di attività, aventi come comune denominatore l’obiettivo generale di informare per influenzare l’opinione pubblica e i pubblici di un’organizzazione al fine di creare benevolenza ( </w:t>
      </w:r>
      <w:r w:rsidRPr="00EF60B7">
        <w:rPr>
          <w:rFonts w:ascii="Times New Roman" w:hAnsi="Times New Roman" w:cs="Times New Roman"/>
          <w:i/>
          <w:sz w:val="24"/>
          <w:szCs w:val="24"/>
        </w:rPr>
        <w:t>goodwill</w:t>
      </w:r>
      <w:r w:rsidRPr="00EF60B7">
        <w:rPr>
          <w:rFonts w:ascii="Times New Roman" w:hAnsi="Times New Roman" w:cs="Times New Roman"/>
          <w:sz w:val="24"/>
          <w:szCs w:val="24"/>
        </w:rPr>
        <w:t xml:space="preserve"> ) in un clima di comprensione reciproca. I </w:t>
      </w:r>
      <w:r w:rsidRPr="00EF60B7">
        <w:rPr>
          <w:rFonts w:ascii="Times New Roman" w:hAnsi="Times New Roman" w:cs="Times New Roman"/>
          <w:i/>
          <w:sz w:val="24"/>
          <w:szCs w:val="24"/>
        </w:rPr>
        <w:t xml:space="preserve">servizi </w:t>
      </w:r>
      <w:r w:rsidRPr="00EF60B7">
        <w:rPr>
          <w:rFonts w:ascii="Times New Roman" w:hAnsi="Times New Roman" w:cs="Times New Roman"/>
          <w:sz w:val="24"/>
          <w:szCs w:val="24"/>
        </w:rPr>
        <w:t xml:space="preserve">che ne definiscono il contenuto sono quelli considerati </w:t>
      </w:r>
      <w:r w:rsidRPr="00EF60B7">
        <w:rPr>
          <w:rFonts w:ascii="Times New Roman" w:hAnsi="Times New Roman" w:cs="Times New Roman"/>
          <w:i/>
          <w:sz w:val="24"/>
          <w:szCs w:val="24"/>
        </w:rPr>
        <w:t>di base</w:t>
      </w:r>
      <w:r w:rsidRPr="00EF60B7">
        <w:rPr>
          <w:rFonts w:ascii="Times New Roman" w:hAnsi="Times New Roman" w:cs="Times New Roman"/>
          <w:sz w:val="24"/>
          <w:szCs w:val="24"/>
        </w:rPr>
        <w:t xml:space="preserve"> e rappresentati dalle relazioni con i </w:t>
      </w:r>
      <w:r w:rsidRPr="00EF60B7">
        <w:rPr>
          <w:rFonts w:ascii="Times New Roman" w:hAnsi="Times New Roman" w:cs="Times New Roman"/>
          <w:i/>
          <w:iCs/>
          <w:sz w:val="24"/>
          <w:szCs w:val="24"/>
        </w:rPr>
        <w:t>media</w:t>
      </w:r>
      <w:r w:rsidRPr="00EF60B7">
        <w:rPr>
          <w:rFonts w:ascii="Times New Roman" w:hAnsi="Times New Roman" w:cs="Times New Roman"/>
          <w:sz w:val="24"/>
          <w:szCs w:val="24"/>
        </w:rPr>
        <w:t xml:space="preserve"> e dall’organizzazione di eventi e quelli </w:t>
      </w:r>
      <w:r w:rsidRPr="00EF60B7">
        <w:rPr>
          <w:rFonts w:ascii="Times New Roman" w:hAnsi="Times New Roman" w:cs="Times New Roman"/>
          <w:i/>
          <w:sz w:val="24"/>
          <w:szCs w:val="24"/>
        </w:rPr>
        <w:t xml:space="preserve">specialistici </w:t>
      </w:r>
      <w:r w:rsidRPr="00EF60B7">
        <w:rPr>
          <w:rFonts w:ascii="Times New Roman" w:hAnsi="Times New Roman" w:cs="Times New Roman"/>
          <w:sz w:val="24"/>
          <w:szCs w:val="24"/>
        </w:rPr>
        <w:t xml:space="preserve">ossia le sponsorizzazioni, i </w:t>
      </w:r>
      <w:r w:rsidRPr="00EF60B7">
        <w:rPr>
          <w:rFonts w:ascii="Times New Roman" w:hAnsi="Times New Roman" w:cs="Times New Roman"/>
          <w:i/>
          <w:sz w:val="24"/>
          <w:szCs w:val="24"/>
        </w:rPr>
        <w:t>public affairs</w:t>
      </w:r>
      <w:r w:rsidRPr="00EF60B7">
        <w:rPr>
          <w:rFonts w:ascii="Times New Roman" w:hAnsi="Times New Roman" w:cs="Times New Roman"/>
          <w:sz w:val="24"/>
          <w:szCs w:val="24"/>
        </w:rPr>
        <w:t>, la comunicazione in situazioni di crisi, la comunicazione finanziaria, la comunicazione ambientale, la comunicazione per le piccole e medie imprese e infine la comunicazione pubblica.</w:t>
      </w:r>
    </w:p>
    <w:p w:rsidR="00381ABF" w:rsidRPr="00EF60B7" w:rsidRDefault="00381ABF" w:rsidP="008D2DF6">
      <w:pPr>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 xml:space="preserve">Nell’ambito delle relazioni pubbliche va assumendo sempre maggiore importanza la comunicazione tra medico e paziente. Recentemente l’immagine del sistema sanitario nazionale presso il pubblico ha assunto una connotazione piuttosto negativa, come testimonia la frequenza di casi di “malasanità” riportati dai media e dei conseguenti contenziosi medico-legali. Basti pensare che solo nel 2004 le cause pendenti in Italia per </w:t>
      </w:r>
      <w:r w:rsidRPr="00EF60B7">
        <w:rPr>
          <w:rFonts w:ascii="Times New Roman" w:hAnsi="Times New Roman" w:cs="Times New Roman"/>
          <w:i/>
          <w:sz w:val="24"/>
          <w:szCs w:val="24"/>
        </w:rPr>
        <w:t xml:space="preserve">malpractice </w:t>
      </w:r>
      <w:r w:rsidRPr="00EF60B7">
        <w:rPr>
          <w:rFonts w:ascii="Times New Roman" w:hAnsi="Times New Roman" w:cs="Times New Roman"/>
          <w:sz w:val="24"/>
          <w:szCs w:val="24"/>
        </w:rPr>
        <w:t xml:space="preserve">erano 46.000, con un aumento, secondo i dati </w:t>
      </w:r>
      <w:r w:rsidRPr="00EF60B7">
        <w:rPr>
          <w:rFonts w:ascii="Times New Roman" w:hAnsi="Times New Roman" w:cs="Times New Roman"/>
          <w:i/>
          <w:iCs/>
          <w:sz w:val="24"/>
          <w:szCs w:val="24"/>
        </w:rPr>
        <w:t xml:space="preserve">ANIA </w:t>
      </w:r>
      <w:r w:rsidRPr="00EF60B7">
        <w:rPr>
          <w:rFonts w:ascii="Times New Roman" w:hAnsi="Times New Roman" w:cs="Times New Roman"/>
          <w:sz w:val="24"/>
          <w:szCs w:val="24"/>
        </w:rPr>
        <w:t xml:space="preserve">(Assicurazione Nazionale Imprese Assicuratrici), del 148% del numero di sinistri denunciati in ambito professionale medico dal 1994 al 2002.  La distribuzione degli errori tra le diverse branche della medicina, presentata nella IX relazione del </w:t>
      </w:r>
      <w:r w:rsidRPr="00EF60B7">
        <w:rPr>
          <w:rFonts w:ascii="Times New Roman" w:hAnsi="Times New Roman" w:cs="Times New Roman"/>
          <w:i/>
          <w:iCs/>
          <w:sz w:val="24"/>
          <w:szCs w:val="24"/>
        </w:rPr>
        <w:t>PIT</w:t>
      </w:r>
      <w:r w:rsidRPr="00EF60B7">
        <w:rPr>
          <w:rFonts w:ascii="Times New Roman" w:hAnsi="Times New Roman" w:cs="Times New Roman"/>
          <w:sz w:val="24"/>
          <w:szCs w:val="24"/>
        </w:rPr>
        <w:t xml:space="preserve"> (Progetto Integrato di Tutela salute 2006 di Cittadinanzattiva -  Tribunale dei diritti del malato), metteva al primo posto delle segnalazioni l’ortopedia (88,1%) seguita dalla ginecologia (61,6%) e dalla chirurgia generale (51,5%). Una recente analisi dell’</w:t>
      </w:r>
      <w:r w:rsidRPr="00EF60B7">
        <w:rPr>
          <w:rFonts w:ascii="Times New Roman" w:hAnsi="Times New Roman" w:cs="Times New Roman"/>
          <w:i/>
          <w:sz w:val="24"/>
          <w:szCs w:val="24"/>
        </w:rPr>
        <w:t>American Academy of Orthopaedic Surgeon</w:t>
      </w:r>
      <w:r w:rsidRPr="00EF60B7">
        <w:rPr>
          <w:rFonts w:ascii="Times New Roman" w:hAnsi="Times New Roman" w:cs="Times New Roman"/>
          <w:sz w:val="24"/>
          <w:szCs w:val="24"/>
        </w:rPr>
        <w:t xml:space="preserve"> (2005)</w:t>
      </w:r>
      <w:r w:rsidRPr="00EF60B7">
        <w:rPr>
          <w:rFonts w:ascii="Times New Roman" w:hAnsi="Times New Roman" w:cs="Times New Roman"/>
          <w:color w:val="FF0000"/>
          <w:sz w:val="24"/>
          <w:szCs w:val="24"/>
        </w:rPr>
        <w:t xml:space="preserve"> </w:t>
      </w:r>
      <w:r w:rsidRPr="00EF60B7">
        <w:rPr>
          <w:rFonts w:ascii="Times New Roman" w:hAnsi="Times New Roman" w:cs="Times New Roman"/>
          <w:sz w:val="24"/>
          <w:szCs w:val="24"/>
        </w:rPr>
        <w:t>su medici e pazienti ha concluso che il chirurgo ortopedico può essere classificato come un medico “</w:t>
      </w:r>
      <w:r w:rsidRPr="00EF60B7">
        <w:rPr>
          <w:rFonts w:ascii="Times New Roman" w:hAnsi="Times New Roman" w:cs="Times New Roman"/>
          <w:i/>
          <w:sz w:val="24"/>
          <w:szCs w:val="24"/>
        </w:rPr>
        <w:t>high tech, low touch”</w:t>
      </w:r>
      <w:r w:rsidRPr="00EF60B7">
        <w:rPr>
          <w:rFonts w:ascii="Times New Roman" w:hAnsi="Times New Roman" w:cs="Times New Roman"/>
          <w:sz w:val="24"/>
          <w:szCs w:val="24"/>
        </w:rPr>
        <w:t xml:space="preserve"> per l’alta capacità di comunicazione con colleghi e pazienti in sala operatoria cui non corrisponde un'adeguata abilità comunicativa e di ascolto al di fuori di tale contesto. Sarebbe questa, secondo l’autorevole fonte, la causa principale che esporrebbe tale professionista al maggior numero di cause medico-legali.</w:t>
      </w:r>
    </w:p>
    <w:p w:rsidR="00381ABF" w:rsidRPr="00EF60B7" w:rsidRDefault="00381ABF" w:rsidP="008D2DF6">
      <w:pPr>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 xml:space="preserve">Purtroppo, infatti, la capacità di comunicazione, di ascolto e l’empatia verso l’assistito sono ancora spesso considerate solo delle qualità personali e non anche </w:t>
      </w:r>
      <w:r w:rsidRPr="00EF60B7">
        <w:rPr>
          <w:rFonts w:ascii="Times New Roman" w:hAnsi="Times New Roman" w:cs="Times New Roman"/>
          <w:sz w:val="24"/>
          <w:szCs w:val="24"/>
        </w:rPr>
        <w:lastRenderedPageBreak/>
        <w:t xml:space="preserve">delle abilità necessarie da poter apprendere nel corso della formazione professionale, come evidenziato in un recente lavoro della </w:t>
      </w:r>
      <w:r w:rsidRPr="00EF60B7">
        <w:rPr>
          <w:rFonts w:ascii="Times New Roman" w:hAnsi="Times New Roman" w:cs="Times New Roman"/>
          <w:i/>
          <w:iCs/>
          <w:sz w:val="24"/>
          <w:szCs w:val="24"/>
        </w:rPr>
        <w:t>Columbia University</w:t>
      </w:r>
      <w:r w:rsidRPr="00EF60B7">
        <w:rPr>
          <w:rFonts w:ascii="Times New Roman" w:hAnsi="Times New Roman" w:cs="Times New Roman"/>
          <w:i/>
          <w:iCs/>
          <w:color w:val="FF0000"/>
          <w:sz w:val="24"/>
          <w:szCs w:val="24"/>
        </w:rPr>
        <w:t xml:space="preserve"> </w:t>
      </w:r>
      <w:r w:rsidRPr="00EF60B7">
        <w:rPr>
          <w:rFonts w:ascii="Times New Roman" w:hAnsi="Times New Roman" w:cs="Times New Roman"/>
          <w:sz w:val="24"/>
          <w:szCs w:val="24"/>
        </w:rPr>
        <w:t>( Klitzman, 2006 )</w:t>
      </w:r>
      <w:r w:rsidRPr="00EF60B7">
        <w:rPr>
          <w:rFonts w:ascii="Times New Roman" w:hAnsi="Times New Roman" w:cs="Times New Roman"/>
          <w:color w:val="FF0000"/>
          <w:sz w:val="24"/>
          <w:szCs w:val="24"/>
        </w:rPr>
        <w:t xml:space="preserve"> </w:t>
      </w:r>
      <w:r w:rsidRPr="00EF60B7">
        <w:rPr>
          <w:rFonts w:ascii="Times New Roman" w:hAnsi="Times New Roman" w:cs="Times New Roman"/>
          <w:sz w:val="24"/>
          <w:szCs w:val="24"/>
        </w:rPr>
        <w:t xml:space="preserve"> sull’aumentata sensibilità e qualità dei processi di relazione con i pazienti sviluppata da medici che hanno avuto un vissuto personale nel ruolo di pazienti e su come la separazione tra apprendimento intellettuale ed esperienziale rappresenti un aspetto critico per la preparazione del medico.</w:t>
      </w:r>
    </w:p>
    <w:p w:rsidR="00381ABF" w:rsidRPr="00EF60B7" w:rsidRDefault="00381ABF" w:rsidP="008D2DF6">
      <w:pPr>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 xml:space="preserve">E’ sempre più evidente, quindi, che proprio all’interazione medico-paziente occorra dedicare una particolare attenzione, in quanto elemento-chiave non solo per la salute del paziente, ma al contempo anche per la riduzione del rischio di </w:t>
      </w:r>
      <w:r w:rsidRPr="00EF60B7">
        <w:rPr>
          <w:rFonts w:ascii="Times New Roman" w:hAnsi="Times New Roman" w:cs="Times New Roman"/>
          <w:i/>
          <w:sz w:val="24"/>
          <w:szCs w:val="24"/>
        </w:rPr>
        <w:t xml:space="preserve">malpractice </w:t>
      </w:r>
      <w:r w:rsidRPr="00EF60B7">
        <w:rPr>
          <w:rFonts w:ascii="Times New Roman" w:hAnsi="Times New Roman" w:cs="Times New Roman"/>
          <w:sz w:val="24"/>
          <w:szCs w:val="24"/>
        </w:rPr>
        <w:t>del sistema sanitario stesso</w:t>
      </w:r>
      <w:r w:rsidRPr="00EF60B7">
        <w:rPr>
          <w:rFonts w:ascii="Times New Roman" w:hAnsi="Times New Roman" w:cs="Times New Roman"/>
          <w:i/>
          <w:sz w:val="24"/>
          <w:szCs w:val="24"/>
        </w:rPr>
        <w:t>.</w:t>
      </w:r>
      <w:r w:rsidRPr="00EF60B7">
        <w:rPr>
          <w:rFonts w:ascii="Times New Roman" w:hAnsi="Times New Roman" w:cs="Times New Roman"/>
          <w:sz w:val="24"/>
          <w:szCs w:val="24"/>
        </w:rPr>
        <w:t xml:space="preserve"> Tutti i tentativi orientati a migliorare l’aspetto comunicazionale e di ascolto nei medici potrebbero quindi agire migliorando sia la qualità del lavoro dei singoli professionisti, che quella del servizio reso dal sistema sanitario pubblico generale, in termini reali e percepiti dall’utenza. </w:t>
      </w:r>
    </w:p>
    <w:p w:rsidR="00381ABF" w:rsidRPr="00EF60B7" w:rsidRDefault="00381ABF" w:rsidP="008D2DF6">
      <w:pPr>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 xml:space="preserve">É proprio in base a tali considerazioni che nel primo capitolo del nostro lavoro rivolgiamo l’attenzione agli aspetti più importanti della comunicazione medico-paziente: gli scambi verbali e non verbali, l’importanza dell’empatia del medico, le caratteristiche personali e i comportamenti delle due parti, le circostanze specifiche in cui si svolge l’interazione, il grado di soddisfazione dei pazienti della visita medica  da cui dipende l’aderenza o meno di quest’ultimo alle prescrizioni e alle raccomandazioni del medico. La letteratura ha evidenziato infatti (Hinckley, Craig, Anderson, 1990), come le variazioni nei processi di comunicazione influenzino in modo rilevante alcuni esiti nei comportamenti e negli atteggiamenti del paziente, quali la sua soddisfazione circa la visita medica, l’attenersi alle prescrizioni terapeutiche e la riduzione delle sue preoccupazioni, la facilitazione dei processi di memorizzazione dell’informazione medica ricevuta. </w:t>
      </w:r>
    </w:p>
    <w:p w:rsidR="00381ABF" w:rsidRPr="00EF60B7" w:rsidRDefault="00381ABF" w:rsidP="008D2DF6">
      <w:pPr>
        <w:pStyle w:val="Rientrocorpodeltesto"/>
        <w:spacing w:line="360" w:lineRule="auto"/>
        <w:ind w:left="0"/>
      </w:pPr>
      <w:r w:rsidRPr="00EF60B7">
        <w:t xml:space="preserve">Gli scambi comunicativi sono influenzati da una serie di variabili legate alle caratteristiche personali del medico e del paziente e alle circostanze specifiche in cui si svolge l’interazione: modi di informare il paziente, tempo dedicato dal medico alle spiegazioni e alle informazioni nel corso della visita medica, tipo di linguaggio utilizzato (più o meno chiaro, più o meno semplice). Vengono successivamente presentati i diversi modelli di relazione medico-paziente: </w:t>
      </w:r>
      <w:r w:rsidRPr="00EF60B7">
        <w:lastRenderedPageBreak/>
        <w:t xml:space="preserve">classificazione di Emanuel &amp; Emanuel (modello paternalistico, autonomistico, interpretativo, deliberativo); differenza tra il modello biomedico (medicina centrata sulla malattia) e il modello bio-psico-sociale (medicina centrata sul paziente). Il tipo di comunicazione tra medico e paziente influisce sul </w:t>
      </w:r>
      <w:r w:rsidRPr="00EF60B7">
        <w:rPr>
          <w:i/>
        </w:rPr>
        <w:t>decision making</w:t>
      </w:r>
      <w:r w:rsidRPr="00EF60B7">
        <w:t xml:space="preserve"> che culmina nell’atto del decidere ma presuppone tutto un processo relazionale cognitivo tra medico e paziente nel quale agiscono anche le emozioni. Pertanto, nel secondo capitolo, dopo avere svolto considerazioni generali sul </w:t>
      </w:r>
      <w:r w:rsidRPr="00EF60B7">
        <w:rPr>
          <w:i/>
        </w:rPr>
        <w:t>decision making</w:t>
      </w:r>
      <w:r w:rsidRPr="00EF60B7">
        <w:t xml:space="preserve"> e sull’influenza esercitata dalle emozioni su di esso, focalizziamo l’attenzione sul </w:t>
      </w:r>
      <w:r w:rsidRPr="00EF60B7">
        <w:rPr>
          <w:i/>
        </w:rPr>
        <w:t>decision making</w:t>
      </w:r>
      <w:r w:rsidRPr="00EF60B7">
        <w:t xml:space="preserve"> in ambito medico studiando gli elementi che lo influenzano: valutazione delle informazioni, abilità comunicazionali, conoscenza riguardo alla specifica malattia, partecipazione più o meno attiva del paziente, livello di </w:t>
      </w:r>
      <w:r w:rsidRPr="00EF60B7">
        <w:rPr>
          <w:i/>
        </w:rPr>
        <w:t>distress</w:t>
      </w:r>
      <w:r w:rsidRPr="00EF60B7">
        <w:t xml:space="preserve"> psicologico, tipo e livello di gravità della malattia, valutazione delle possibili opzioni riguardanti il trattamento terapeutico, reversibilità o meno della decisione. A conclusione del capitolo svolgiamo alcune considerazioni sul rapporto tra consenso informato e </w:t>
      </w:r>
      <w:r w:rsidRPr="00EF60B7">
        <w:rPr>
          <w:i/>
        </w:rPr>
        <w:t>decision making</w:t>
      </w:r>
      <w:r w:rsidRPr="00EF60B7">
        <w:t xml:space="preserve">. Recentemente l’attenzione rivolta alle decisioni in ambito medico si é focalizzata su quelle situazioni cliniche che pongono di fronte a decisioni che, oltre ad esigere  valutazioni di ordine strettamente medico, possono implicare anche gravi dilemmi di natura morale. Si tratta dei casi di pazienti mantenuti in vita artificialmente o di situazioni in cui la decisione sul trattamento terapeutico deve tenere particolarmente conto dei valori del paziente e della sua percezione di qualità della vita. In questo specifico ambito sono state svolte alcune ricerche (Orfali, 2004; Orfali &amp; Gordon, 2004; Giannini et al., 2008; Botti et al., 2009) sulle scelte riguardanti casi di neonati prematuri per i quali si pone il problema se interrompere il trattamento di supporto vitale o continuarlo. La nostra ricerca, che tiene conto dei risultati delle ricerche condotte precedentemente in questo specifico ambito ma adotta una diversa focalizzazione dell’indagine, viene presentata nel terzo capitolo dove vengono messi a confronto gli effetti emotivi di tali drammatiche decisioni in relazione a due diversi modelli di comunicazione (paternalistico </w:t>
      </w:r>
      <w:r w:rsidRPr="00EF60B7">
        <w:rPr>
          <w:i/>
        </w:rPr>
        <w:t>versus</w:t>
      </w:r>
      <w:r w:rsidRPr="00EF60B7">
        <w:t xml:space="preserve"> deliberativo) tra medico e genitori del paziente.</w:t>
      </w:r>
    </w:p>
    <w:p w:rsidR="00381ABF" w:rsidRPr="00EF60B7" w:rsidRDefault="00381ABF" w:rsidP="008D2DF6">
      <w:pPr>
        <w:pStyle w:val="Rientrocorpodeltesto"/>
        <w:spacing w:line="360" w:lineRule="auto"/>
        <w:ind w:left="0"/>
      </w:pPr>
    </w:p>
    <w:p w:rsidR="00381ABF" w:rsidRPr="00EF60B7" w:rsidRDefault="00381ABF" w:rsidP="008D2DF6">
      <w:pPr>
        <w:pStyle w:val="Rientrocorpodeltesto"/>
        <w:spacing w:line="360" w:lineRule="auto"/>
        <w:ind w:left="0"/>
      </w:pPr>
    </w:p>
    <w:p w:rsidR="00381ABF" w:rsidRPr="00EF60B7" w:rsidRDefault="00381ABF" w:rsidP="008D2DF6">
      <w:pPr>
        <w:pStyle w:val="Rientrocorpodeltesto"/>
        <w:spacing w:line="360" w:lineRule="auto"/>
        <w:ind w:left="0"/>
      </w:pPr>
    </w:p>
    <w:p w:rsidR="00381ABF" w:rsidRPr="00EF60B7" w:rsidRDefault="00381ABF" w:rsidP="008D2DF6">
      <w:pPr>
        <w:pStyle w:val="Rientrocorpodeltesto"/>
        <w:spacing w:line="360" w:lineRule="auto"/>
        <w:ind w:left="0"/>
      </w:pPr>
    </w:p>
    <w:p w:rsidR="00381ABF" w:rsidRPr="00EF60B7" w:rsidRDefault="00381ABF" w:rsidP="00940B98">
      <w:pPr>
        <w:tabs>
          <w:tab w:val="left" w:pos="4565"/>
          <w:tab w:val="center" w:pos="6704"/>
        </w:tabs>
        <w:spacing w:line="360" w:lineRule="auto"/>
        <w:jc w:val="center"/>
        <w:rPr>
          <w:rFonts w:ascii="Times New Roman" w:hAnsi="Times New Roman" w:cs="Times New Roman"/>
          <w:sz w:val="24"/>
          <w:szCs w:val="24"/>
        </w:rPr>
      </w:pPr>
      <w:r w:rsidRPr="00EF60B7">
        <w:rPr>
          <w:rFonts w:ascii="Times New Roman" w:hAnsi="Times New Roman" w:cs="Times New Roman"/>
          <w:sz w:val="24"/>
          <w:szCs w:val="24"/>
        </w:rPr>
        <w:lastRenderedPageBreak/>
        <w:t>CAPITOLO PRIMO</w:t>
      </w:r>
    </w:p>
    <w:p w:rsidR="00381ABF" w:rsidRPr="00EF60B7" w:rsidRDefault="00381ABF" w:rsidP="00940B98">
      <w:pPr>
        <w:spacing w:line="360" w:lineRule="auto"/>
        <w:jc w:val="center"/>
        <w:rPr>
          <w:rFonts w:ascii="Times New Roman" w:hAnsi="Times New Roman" w:cs="Times New Roman"/>
          <w:sz w:val="24"/>
          <w:szCs w:val="24"/>
        </w:rPr>
      </w:pPr>
      <w:r w:rsidRPr="00EF60B7">
        <w:rPr>
          <w:rFonts w:ascii="Times New Roman" w:hAnsi="Times New Roman" w:cs="Times New Roman"/>
          <w:sz w:val="24"/>
          <w:szCs w:val="24"/>
        </w:rPr>
        <w:t>LA COMUNICAZIONE MEDICO-PAZIENTE</w:t>
      </w:r>
    </w:p>
    <w:p w:rsidR="00381ABF" w:rsidRPr="00EF60B7" w:rsidRDefault="00381ABF" w:rsidP="008D2DF6">
      <w:pPr>
        <w:spacing w:line="360" w:lineRule="auto"/>
        <w:jc w:val="both"/>
        <w:rPr>
          <w:rFonts w:ascii="Times New Roman" w:hAnsi="Times New Roman" w:cs="Times New Roman"/>
          <w:i/>
          <w:sz w:val="24"/>
          <w:szCs w:val="24"/>
        </w:rPr>
      </w:pPr>
      <w:r w:rsidRPr="00EF60B7">
        <w:rPr>
          <w:rFonts w:ascii="Times New Roman" w:hAnsi="Times New Roman" w:cs="Times New Roman"/>
          <w:i/>
          <w:sz w:val="24"/>
          <w:szCs w:val="24"/>
        </w:rPr>
        <w:t>1.1 Importanza della comunicazione nel trattamento terapeutico</w:t>
      </w:r>
    </w:p>
    <w:p w:rsidR="00381ABF" w:rsidRPr="00EF60B7" w:rsidRDefault="00381ABF" w:rsidP="00F51D3B">
      <w:pPr>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Nel trattamento terapeutico la comunicazione medico-paziente svolge un ruolo di fondamentale importanza in quanto il modo in cui essa avviene influenza significativamente alcuni esiti riguardanti i comportamenti e gli atteggiamenti del paziente, come il suo grado di soddisfazione/insoddisfazione circa la visita medica, il livello della sua aderenza alle prescrizioni mediche e la riduzione delle sue ansie e preoccupazioni (Hinckley, Craig, Anderson, 1990; Zani et al., 2000). A sua volta, la comunicazione é influenzata da variabili riguardanti le caratteristiche del medico e del paziente e dai contesti specifici in cui gli scambi avvengono. Il modo di trasmettere informazioni al paziente, il tempo che il medico dedica per spiegare ed informare, il grado di chiarezza e semplicità con cui il medico si esprime incidono sul grado di consapevolezza che il paziente ha riguardo alle sue condizioni di salute, sulla sua capacità di memorizzare le informazioni ricevute, e sulla misura in cui egli é soddisfatto della visita medica (Zani, 2000).</w:t>
      </w:r>
    </w:p>
    <w:p w:rsidR="00381ABF" w:rsidRPr="00EF60B7" w:rsidRDefault="00381ABF" w:rsidP="008D2DF6">
      <w:pPr>
        <w:tabs>
          <w:tab w:val="left" w:pos="8056"/>
        </w:tabs>
        <w:spacing w:line="360" w:lineRule="auto"/>
        <w:jc w:val="both"/>
        <w:rPr>
          <w:rFonts w:ascii="Times New Roman" w:hAnsi="Times New Roman" w:cs="Times New Roman"/>
          <w:i/>
          <w:sz w:val="24"/>
          <w:szCs w:val="24"/>
        </w:rPr>
      </w:pPr>
      <w:r w:rsidRPr="00EF60B7">
        <w:rPr>
          <w:rFonts w:ascii="Times New Roman" w:hAnsi="Times New Roman" w:cs="Times New Roman"/>
          <w:i/>
          <w:sz w:val="24"/>
          <w:szCs w:val="24"/>
        </w:rPr>
        <w:t>1.2.1 Il canale verbale della comunicazione nell’interazione medico-paziente</w:t>
      </w:r>
    </w:p>
    <w:p w:rsidR="00381ABF" w:rsidRPr="00EF60B7" w:rsidRDefault="00381ABF" w:rsidP="008D2DF6">
      <w:pPr>
        <w:tabs>
          <w:tab w:val="left" w:pos="8056"/>
        </w:tabs>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 xml:space="preserve">Nella comunicazione medico-paziente la parola svolge un ruolo insostituibile per quanto riguarda il modo in cui il medico informa il paziente sulle sue condizioni di salute e quello in cui il paziente racconta la propria storia, pone domande ed esprime esigenze. A proposito del linguaggio verbale usato dal medico, recenti ricerche hanno consentito di apprezzarne tutta l’importanza per l’influenza che esso ha sugli stati d’animo dei pazienti (Tailor &amp; Ogden, 2009; Tailor &amp; Ogden, 2005; Blixen et al.,2006). Tali ricerche hanno accertato che le scelte lessicali dei medici nel comunicare una diagnosi possono avere un forte impatto sul modo in cui i pazienti percepiscono la loro condizione. Così, ad esempio, da uno studio condotto da Tailor &amp; Ogden (2005) é risultato che l’uso di eufemismi al posto dei termini tecnici per indicare la malattia (“disturbi di stomaco” anziché “gastroenterite”; “fluido nei polmoni perché il cuore non pompa bene” anziché “insufficienza cardiaca”) portava i pazienti a percepire la loro condizione più </w:t>
      </w:r>
      <w:r w:rsidRPr="00EF60B7">
        <w:rPr>
          <w:rFonts w:ascii="Times New Roman" w:hAnsi="Times New Roman" w:cs="Times New Roman"/>
          <w:sz w:val="24"/>
          <w:szCs w:val="24"/>
        </w:rPr>
        <w:lastRenderedPageBreak/>
        <w:t>grave di quanto in realtà fosse ed ad esperire uno stato d’ansia maggiore; e che, al contrario, l’uso dei termini tecnici li disponeva alla fiducia nei confronti del medico in quanto essi sentivano che il loro problema era stato preso in seria considerazione. Tuttavia, l’utilizzo di un linguaggio eccessivamente specialistico da parte del medico può avere un impatto negativo sul paziente non solo perché quest’ultimo rischia di non capire con sufficiente chiarezza l’entità della sua patologia ma anche perché può interpretarlo come il segno di un’affermazione autoritaristica che lo fa sentire in una condizione di inferiorità. Nell’ambito della comunicazione verbale è molto importante anche tener conto delle differenze nel rapporto medico-paziente conseguenti al tipo di domande che, nel corso delle visite mediche, il medico pone al paziente. Le domande a risposta chiusa solitamente vengono utilizzate in sede di anamnesi; si tratta di vedere se nel prosieguo del colloquio il medico insiste su questo tipo di domande oppure dà spazio a domande a risposta aperta. Infatti, nel primo caso (uso di domande chiuse), si toglie al paziente l’opportunità di dare liberamente informazioni su se stesso; nel secondo caso (uso di domande a risposta aperta) si dà al paziente la possibilità dell’avvio di un soddisfacente processo relazionale con il medico. In particolare, da una ricerca condotta da Zani e coll. (2000) emerge che i pazienti, quando sono incoraggiati a fare domande, tendono ad essere più soddisfatti del loro trattamento. Tuttavia, da un’indagine fatta da Langewitz et al. (2002) risulta che il medico interrompe il paziente, mentre questi espone i sintomi del suo disturbo, mediamente circa 22 secondi dopo che questi ha cominciato a parlare, che il 90% dei pazienti conclude il proprio resoconto dei sintomi entro 92 secondi e tutti entro due minuti e che, in questo lasso di tempo, il paziente riferisce soltanto il 70% dei sintomi. Alla luce di quanto rilevato, bisognerebbe, affinché il colloquio con il paziente fosse gestito con maggiore accuratezza, che il medico dedicasse più tempo all’ascolto del paziente e meno tempo ad interromperlo durante il colloquio (Roberti et al., 2006).</w:t>
      </w:r>
    </w:p>
    <w:p w:rsidR="00F51D3B" w:rsidRDefault="00381ABF" w:rsidP="008D2DF6">
      <w:pPr>
        <w:tabs>
          <w:tab w:val="left" w:pos="8056"/>
        </w:tabs>
        <w:spacing w:line="360" w:lineRule="auto"/>
        <w:jc w:val="both"/>
        <w:rPr>
          <w:rFonts w:ascii="Times New Roman" w:hAnsi="Times New Roman" w:cs="Times New Roman"/>
          <w:i/>
          <w:sz w:val="24"/>
          <w:szCs w:val="24"/>
        </w:rPr>
      </w:pPr>
      <w:r w:rsidRPr="00EF60B7">
        <w:rPr>
          <w:rFonts w:ascii="Times New Roman" w:hAnsi="Times New Roman" w:cs="Times New Roman"/>
          <w:i/>
          <w:sz w:val="24"/>
          <w:szCs w:val="24"/>
        </w:rPr>
        <w:t>1.2.2 Il canale non verbale della comunicazione nell’interazione medico-paziente come strumento privilegiato degli scambi emozionali</w:t>
      </w:r>
    </w:p>
    <w:p w:rsidR="00381ABF" w:rsidRPr="00F51D3B" w:rsidRDefault="00381ABF" w:rsidP="008D2DF6">
      <w:pPr>
        <w:tabs>
          <w:tab w:val="left" w:pos="8056"/>
        </w:tabs>
        <w:spacing w:line="360" w:lineRule="auto"/>
        <w:jc w:val="both"/>
        <w:rPr>
          <w:rFonts w:ascii="Times New Roman" w:hAnsi="Times New Roman" w:cs="Times New Roman"/>
          <w:i/>
          <w:sz w:val="24"/>
          <w:szCs w:val="24"/>
        </w:rPr>
      </w:pPr>
      <w:r w:rsidRPr="00EF60B7">
        <w:rPr>
          <w:rFonts w:ascii="Times New Roman" w:hAnsi="Times New Roman" w:cs="Times New Roman"/>
          <w:sz w:val="24"/>
          <w:szCs w:val="24"/>
        </w:rPr>
        <w:t xml:space="preserve">Nella comunicazione medico-paziente anche il canale non verbale (comportamento spaziale; comportamento motorio-gestuale; comportamento mimico del volto; comportamento visivo; aspetti non verbali del parlato; aspetto </w:t>
      </w:r>
      <w:r w:rsidRPr="00EF60B7">
        <w:rPr>
          <w:rFonts w:ascii="Times New Roman" w:hAnsi="Times New Roman" w:cs="Times New Roman"/>
          <w:sz w:val="24"/>
          <w:szCs w:val="24"/>
        </w:rPr>
        <w:lastRenderedPageBreak/>
        <w:t xml:space="preserve">esteriore) merita di essere preso in seria considerazione in quanto anch’esso influenza in modo assai significativo la relazione. Infatti, attraverso questo canale si manifestano gli aspetti emotivi che caratterizzano e influenzano la  relazione medico-paziente. A tal proposito, Roter e Hall (2006) osservano che anche un medico che concepisce la professionalità come condotta neutrale implicante il distacco emotivo potrebbe reagire in modo spontaneo, a dispetto delle sue intenzioni, manifestando irritazione nei confronti di un paziente particolarmente fastidioso o turbamento nel dover comunicare brutte notizie. Poiché le emozioni per lo più vengono rivelate attraverso segni non verbali, i comportamenti non verbali sono molto importanti nella visita medica. Solo recentemente é stata rivolta la giusta attenzione verso l’incidenza delle reazioni emotive dei medici sul modo in cui si sviluppa la relazione: un paziente antagonistico, frustrante o pretenzioso può irritare o esasperare il medico (Levinson, 1993) mentre un paziente compiacente e cooperante può piacergli più di altri (Hall et al., 2002); un medico può essere inconsapevole delle proprie risposte emozionali o può tentare di reprimerle o ancora può gestirle in modo da non farsi coinvolgere da esse. I segnali emotivi comunicati dai pazienti riflettono il loro stato di infermità e certi disturbi si associano a distinte espressioni non solo verbali ma anche facciali (Friedman et., 1985); fra i pazienti con disturbi coronarici ad episodi di ischemia corrispondono movimenti facciali che segnalano rabbia e quest’ultima, a volte, può scatenare eventi coronarici (Rosenberger et al., 2001). In tali situazioni é importante che il medico sappia distinguere tra i sintomi di una patologia e i segni non verbali dello stato emotivo del paziente. Alcuni segnali espressi dai pazienti sono comunicati inavvertitamente, mentre altri rientrano in deliberati sforzi di comunicare ai medici i sintomi e i disturbi difficili da esprimere verbalmente. Come osservano Roter e Hall (2006), tanto i medici quanto i pazienti giudicano gli uni le emozioni degli altri, nel senso che i pazienti cercano di capire cosa provano i medici nei loro confronti e viceversa. Il giudizio sulle emozioni degli uni nei confronti degli altri può essere considerato come segno di una aggiuntiva informazione non verbale in cui si riflette uno stato soggettivo. I medici utilizzano i segni affettivi dei pazienti nel processo diagnostico così come nella valutazione degli sviluppi clinici (prognosi); così pure, i medici possono provocare reazioni emotive per confermare l’ipotesi di una afasia espressiva, possono fare riferimento a certi segni non verbali per diagnosticare un’eventuale depressione del paziente. </w:t>
      </w:r>
      <w:r w:rsidRPr="00EF60B7">
        <w:rPr>
          <w:rFonts w:ascii="Times New Roman" w:hAnsi="Times New Roman" w:cs="Times New Roman"/>
          <w:sz w:val="24"/>
          <w:szCs w:val="24"/>
        </w:rPr>
        <w:lastRenderedPageBreak/>
        <w:t>A loro volta, i pazienti, anche sulla base dei segni affettivi dei medici, possono fare la loro “diagnosi” sul medico facendosi un’idea sia sulla sua persona che sulla veridicità e serietà dell’informazione che ha comunicato.</w:t>
      </w:r>
    </w:p>
    <w:p w:rsidR="00381ABF" w:rsidRPr="00EF60B7" w:rsidRDefault="00381ABF" w:rsidP="008D2DF6">
      <w:pPr>
        <w:tabs>
          <w:tab w:val="left" w:pos="8056"/>
        </w:tabs>
        <w:spacing w:line="360" w:lineRule="auto"/>
        <w:jc w:val="both"/>
        <w:rPr>
          <w:rFonts w:ascii="Times New Roman" w:hAnsi="Times New Roman" w:cs="Times New Roman"/>
          <w:i/>
          <w:sz w:val="24"/>
          <w:szCs w:val="24"/>
        </w:rPr>
      </w:pPr>
      <w:r w:rsidRPr="00EF60B7">
        <w:rPr>
          <w:rFonts w:ascii="Times New Roman" w:hAnsi="Times New Roman" w:cs="Times New Roman"/>
          <w:i/>
          <w:sz w:val="24"/>
          <w:szCs w:val="24"/>
        </w:rPr>
        <w:t>1.3 I modelli di relazione medico-paziente</w:t>
      </w:r>
    </w:p>
    <w:p w:rsidR="00381ABF" w:rsidRPr="00EF60B7" w:rsidRDefault="00381ABF" w:rsidP="008D2DF6">
      <w:pPr>
        <w:tabs>
          <w:tab w:val="left" w:pos="8056"/>
        </w:tabs>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Nel tempo sono stati elaborati vari modelli di relazione medico-paziente a cui corrispondono specifiche modalità di comunicazione. La classificazione proposta da Emanuel &amp; Emanuel nel 1992 é basata sul criterio delle relazioni di potere espresse da alcuni elementi-chiave: 1) il soggetto che si assume il compito di fissare l’agenda e gli scopi della visita (il medico da solo, il medico e il paziente insieme, il paziente da solo); 2) il ruolo dei valori dei pazienti (esaminati dal medico che li assume come coerenti con i propri, o esaminati congiuntamente dal medico e dal paziente, o non esaminati); 3) il ruolo funzionale assunto dal medico (</w:t>
      </w:r>
      <w:r w:rsidRPr="00EF60B7">
        <w:rPr>
          <w:rFonts w:ascii="Times New Roman" w:hAnsi="Times New Roman" w:cs="Times New Roman"/>
          <w:i/>
          <w:sz w:val="24"/>
          <w:szCs w:val="24"/>
        </w:rPr>
        <w:t>guardian</w:t>
      </w:r>
      <w:r w:rsidRPr="00EF60B7">
        <w:rPr>
          <w:rFonts w:ascii="Times New Roman" w:hAnsi="Times New Roman" w:cs="Times New Roman"/>
          <w:sz w:val="24"/>
          <w:szCs w:val="24"/>
        </w:rPr>
        <w:t xml:space="preserve">, </w:t>
      </w:r>
      <w:r w:rsidRPr="00EF60B7">
        <w:rPr>
          <w:rFonts w:ascii="Times New Roman" w:hAnsi="Times New Roman" w:cs="Times New Roman"/>
          <w:i/>
          <w:sz w:val="24"/>
          <w:szCs w:val="24"/>
        </w:rPr>
        <w:t>advisor</w:t>
      </w:r>
      <w:r w:rsidRPr="00EF60B7">
        <w:rPr>
          <w:rFonts w:ascii="Times New Roman" w:hAnsi="Times New Roman" w:cs="Times New Roman"/>
          <w:sz w:val="24"/>
          <w:szCs w:val="24"/>
        </w:rPr>
        <w:t xml:space="preserve">, </w:t>
      </w:r>
      <w:r w:rsidRPr="00EF60B7">
        <w:rPr>
          <w:rFonts w:ascii="Times New Roman" w:hAnsi="Times New Roman" w:cs="Times New Roman"/>
          <w:i/>
          <w:sz w:val="24"/>
          <w:szCs w:val="24"/>
        </w:rPr>
        <w:t>consultant</w:t>
      </w:r>
      <w:r w:rsidRPr="00EF60B7">
        <w:rPr>
          <w:rFonts w:ascii="Times New Roman" w:hAnsi="Times New Roman" w:cs="Times New Roman"/>
          <w:sz w:val="24"/>
          <w:szCs w:val="24"/>
        </w:rPr>
        <w:t xml:space="preserve">). L’espressione di potere e le dinamiche di negoziazione possono assumere varie forme ciascuna delle quali conferisce alla relazione una ben distinta caratterizzazione che porta all’individuazione di quattro modelli: paternalistico, autonomistico, interpretativo e deliberativo. </w:t>
      </w:r>
    </w:p>
    <w:p w:rsidR="00381ABF" w:rsidRPr="00EF60B7" w:rsidRDefault="00381ABF" w:rsidP="008D2DF6">
      <w:pPr>
        <w:tabs>
          <w:tab w:val="left" w:pos="8056"/>
        </w:tabs>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 xml:space="preserve">Il </w:t>
      </w:r>
      <w:r w:rsidRPr="00EF60B7">
        <w:rPr>
          <w:rFonts w:ascii="Times New Roman" w:hAnsi="Times New Roman" w:cs="Times New Roman"/>
          <w:i/>
          <w:sz w:val="24"/>
          <w:szCs w:val="24"/>
        </w:rPr>
        <w:t>modello paternalistico</w:t>
      </w:r>
      <w:r w:rsidRPr="00EF60B7">
        <w:rPr>
          <w:rFonts w:ascii="Times New Roman" w:hAnsi="Times New Roman" w:cs="Times New Roman"/>
          <w:sz w:val="24"/>
          <w:szCs w:val="24"/>
        </w:rPr>
        <w:t xml:space="preserve"> é caratterizzato da un insieme di criteri obiettivi per la determinazione di ciò che é meglio per il paziente; conseguentemente il medico si sente legittimato a decidere nell’interesse del paziente senza che quest’ultimo partecipi (Falkum et Forde, 2001). Dunque tale modello mette il medico in posizione di superiorità e centralità considerandolo unico detentore della conoscenza e del potere decisionale, mentre pone il paziente in posizione di inferiorità in quanto quest’ultimo deve limitarsi ad eseguire accuratamente le prescrizioni del medico. Se c’é un conflitto tra l’autonomia del paziente e la sua salute, il medico paternalista enfatizza la salute senza esitazione. Anche se il modello paternalistico presta facilmente il fianco a critiche in quanto appare come la negazione dell’autonomia del paziente, alcuni ricercatori hanno presentato in termini positivi la sua natura supportiva, ossia la sua capacità di confortare i pazienti specie quando essi sono gravemente malati e particolarmente vulnerabili (Ende et al., 1990). L’idealizzazione del medico, percepito come figura paterna, può sortire un’importante effetto terapeutico, come studi sull’effetto placebo hanno dimostrato (Lasagna et al., 1954). Chi assume una posizione critica nei </w:t>
      </w:r>
      <w:r w:rsidRPr="00EF60B7">
        <w:rPr>
          <w:rFonts w:ascii="Times New Roman" w:hAnsi="Times New Roman" w:cs="Times New Roman"/>
          <w:sz w:val="24"/>
          <w:szCs w:val="24"/>
        </w:rPr>
        <w:lastRenderedPageBreak/>
        <w:t xml:space="preserve">confronti del paternalismo sottolinea come esso comporti un rischio dal quale i pazienti debbono essere protetti, e cioè che l’autorità venga usata dal medico per manipolare e strumentalizzare il malato che si trova in condizione di particolare vulnerabilità (Schneider, 1998). Questa protezione del paziente contro l’abuso di autorità dei medici é alla base della posizione bioeticistica. Oggi prevale l’opzione per un modello di relazione che garantisca concretamente l’autonomia del paziente. Ma Schneider (1998) avverte che la vittoria sul paternalismo medico é più illusoria che reale; infatti, più spesso di quanto sia esplicitamente riconosciuto dalla legge e dai bioeticisti, le procedure stabilite per assicurare l’autonomia del paziente nel consenso informato  e nel processo di </w:t>
      </w:r>
      <w:r w:rsidRPr="00EF60B7">
        <w:rPr>
          <w:rFonts w:ascii="Times New Roman" w:hAnsi="Times New Roman" w:cs="Times New Roman"/>
          <w:i/>
          <w:sz w:val="24"/>
          <w:szCs w:val="24"/>
        </w:rPr>
        <w:t>decision</w:t>
      </w:r>
      <w:r w:rsidRPr="00EF60B7">
        <w:rPr>
          <w:rFonts w:ascii="Times New Roman" w:hAnsi="Times New Roman" w:cs="Times New Roman"/>
          <w:sz w:val="24"/>
          <w:szCs w:val="24"/>
        </w:rPr>
        <w:t xml:space="preserve"> </w:t>
      </w:r>
      <w:r w:rsidRPr="00EF60B7">
        <w:rPr>
          <w:rFonts w:ascii="Times New Roman" w:hAnsi="Times New Roman" w:cs="Times New Roman"/>
          <w:i/>
          <w:sz w:val="24"/>
          <w:szCs w:val="24"/>
        </w:rPr>
        <w:t>making</w:t>
      </w:r>
      <w:r w:rsidRPr="00EF60B7">
        <w:rPr>
          <w:rFonts w:ascii="Times New Roman" w:hAnsi="Times New Roman" w:cs="Times New Roman"/>
          <w:sz w:val="24"/>
          <w:szCs w:val="24"/>
        </w:rPr>
        <w:t xml:space="preserve"> sul trattamento sono diventate rituali di autonomia puramente formale.</w:t>
      </w:r>
    </w:p>
    <w:p w:rsidR="00381ABF" w:rsidRPr="00EF60B7" w:rsidRDefault="00381ABF" w:rsidP="008D2DF6">
      <w:pPr>
        <w:tabs>
          <w:tab w:val="left" w:pos="8056"/>
        </w:tabs>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 xml:space="preserve">All’estremo opposto di quello paternalistico si colloca il </w:t>
      </w:r>
      <w:r w:rsidRPr="00EF60B7">
        <w:rPr>
          <w:rFonts w:ascii="Times New Roman" w:hAnsi="Times New Roman" w:cs="Times New Roman"/>
          <w:i/>
          <w:sz w:val="24"/>
          <w:szCs w:val="24"/>
        </w:rPr>
        <w:t>modello</w:t>
      </w:r>
      <w:r w:rsidRPr="00EF60B7">
        <w:rPr>
          <w:rFonts w:ascii="Times New Roman" w:hAnsi="Times New Roman" w:cs="Times New Roman"/>
          <w:sz w:val="24"/>
          <w:szCs w:val="24"/>
        </w:rPr>
        <w:t xml:space="preserve"> </w:t>
      </w:r>
      <w:r w:rsidRPr="00EF60B7">
        <w:rPr>
          <w:rFonts w:ascii="Times New Roman" w:hAnsi="Times New Roman" w:cs="Times New Roman"/>
          <w:i/>
          <w:sz w:val="24"/>
          <w:szCs w:val="24"/>
        </w:rPr>
        <w:t>informativo</w:t>
      </w:r>
      <w:r w:rsidRPr="00EF60B7">
        <w:rPr>
          <w:rFonts w:ascii="Times New Roman" w:hAnsi="Times New Roman" w:cs="Times New Roman"/>
          <w:sz w:val="24"/>
          <w:szCs w:val="24"/>
        </w:rPr>
        <w:t xml:space="preserve"> (</w:t>
      </w:r>
      <w:r w:rsidRPr="00EF60B7">
        <w:rPr>
          <w:rFonts w:ascii="Times New Roman" w:hAnsi="Times New Roman" w:cs="Times New Roman"/>
          <w:i/>
          <w:sz w:val="24"/>
          <w:szCs w:val="24"/>
        </w:rPr>
        <w:t>autonomistico</w:t>
      </w:r>
      <w:r w:rsidRPr="00EF60B7">
        <w:rPr>
          <w:rFonts w:ascii="Times New Roman" w:hAnsi="Times New Roman" w:cs="Times New Roman"/>
          <w:sz w:val="24"/>
          <w:szCs w:val="24"/>
        </w:rPr>
        <w:t xml:space="preserve"> o </w:t>
      </w:r>
      <w:r w:rsidRPr="00EF60B7">
        <w:rPr>
          <w:rFonts w:ascii="Times New Roman" w:hAnsi="Times New Roman" w:cs="Times New Roman"/>
          <w:i/>
          <w:sz w:val="24"/>
          <w:szCs w:val="24"/>
        </w:rPr>
        <w:t>consumerism</w:t>
      </w:r>
      <w:r w:rsidRPr="00EF60B7">
        <w:rPr>
          <w:rFonts w:ascii="Times New Roman" w:hAnsi="Times New Roman" w:cs="Times New Roman"/>
          <w:sz w:val="24"/>
          <w:szCs w:val="24"/>
        </w:rPr>
        <w:t>) in cui il paziente autonomamente decide quale intervento medico deve essere fatto, senza riguardo per le opinioni e i valori dei medici. Il compito del medico é semplicemente quello di fornire al paziente tutte le informazioni più importanti offrendogli così i mezzi per esercitare un controllo. Il rapporto tra medico e paziente viene così ridotto ad uno scambio di informazione e viene esclusa dal processo interattivo l’esplorazione dei valori, delle esigenze e degli stati d’animo dei pazienti da parte dei medici. Questo modello teorico rischia di perdere di vista la reale complessità del rapporto medico-paziente. In particolare Katz (1984) ha osservato come si possa facilmente obiettare a questo modello il suo non tenere conto del fatto che spesso il paziente non é sicuro di ciò che vuole.</w:t>
      </w:r>
    </w:p>
    <w:p w:rsidR="00381ABF" w:rsidRPr="00EF60B7" w:rsidRDefault="00381ABF" w:rsidP="008D2DF6">
      <w:pPr>
        <w:tabs>
          <w:tab w:val="left" w:pos="8056"/>
        </w:tabs>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 xml:space="preserve">Nel </w:t>
      </w:r>
      <w:r w:rsidRPr="00EF60B7">
        <w:rPr>
          <w:rFonts w:ascii="Times New Roman" w:hAnsi="Times New Roman" w:cs="Times New Roman"/>
          <w:i/>
          <w:sz w:val="24"/>
          <w:szCs w:val="24"/>
        </w:rPr>
        <w:t>modello interpretativo</w:t>
      </w:r>
      <w:r w:rsidRPr="00EF60B7">
        <w:rPr>
          <w:rFonts w:ascii="Times New Roman" w:hAnsi="Times New Roman" w:cs="Times New Roman"/>
          <w:sz w:val="24"/>
          <w:szCs w:val="24"/>
        </w:rPr>
        <w:t xml:space="preserve"> lo scopo principale dell’interazione é di portare alla luce le esigenze inespresse del paziente e di aiutarlo a determinare quali interventi medici hanno maggiori probabilità di realizzare i suoi bisogni. Il medico svolge il ruolo di consulente (</w:t>
      </w:r>
      <w:r w:rsidRPr="00EF60B7">
        <w:rPr>
          <w:rFonts w:ascii="Times New Roman" w:hAnsi="Times New Roman" w:cs="Times New Roman"/>
          <w:i/>
          <w:sz w:val="24"/>
          <w:szCs w:val="24"/>
        </w:rPr>
        <w:t>counsellor</w:t>
      </w:r>
      <w:r w:rsidRPr="00EF60B7">
        <w:rPr>
          <w:rFonts w:ascii="Times New Roman" w:hAnsi="Times New Roman" w:cs="Times New Roman"/>
          <w:sz w:val="24"/>
          <w:szCs w:val="24"/>
        </w:rPr>
        <w:t>) nel senso che aiuta il paziente a prendere coscienza di ciò di cui veramente necessita. Secondo Emanuel &amp; Emanuel (1992), la realizzazione di tale modello é estremamente difficile in quanto la specializzazione tecnica e la limitata disponibilità di tempo impediscono al medico un’efficace pratica interpretativa; con il rischio che, senza volerlo, il medico finisca con l’imporre i propri valori, anche se, apparentemente ad esprimersi é il paziente (paternalismo mascherato).</w:t>
      </w:r>
    </w:p>
    <w:p w:rsidR="00381ABF" w:rsidRPr="00EF60B7" w:rsidRDefault="00381ABF" w:rsidP="008D2DF6">
      <w:pPr>
        <w:tabs>
          <w:tab w:val="left" w:pos="8056"/>
        </w:tabs>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lastRenderedPageBreak/>
        <w:t xml:space="preserve">Nel </w:t>
      </w:r>
      <w:r w:rsidRPr="00EF60B7">
        <w:rPr>
          <w:rFonts w:ascii="Times New Roman" w:hAnsi="Times New Roman" w:cs="Times New Roman"/>
          <w:i/>
          <w:sz w:val="24"/>
          <w:szCs w:val="24"/>
        </w:rPr>
        <w:t>modello</w:t>
      </w:r>
      <w:r w:rsidRPr="00EF60B7">
        <w:rPr>
          <w:rFonts w:ascii="Times New Roman" w:hAnsi="Times New Roman" w:cs="Times New Roman"/>
          <w:sz w:val="24"/>
          <w:szCs w:val="24"/>
        </w:rPr>
        <w:t xml:space="preserve"> </w:t>
      </w:r>
      <w:r w:rsidRPr="00EF60B7">
        <w:rPr>
          <w:rFonts w:ascii="Times New Roman" w:hAnsi="Times New Roman" w:cs="Times New Roman"/>
          <w:i/>
          <w:sz w:val="24"/>
          <w:szCs w:val="24"/>
        </w:rPr>
        <w:t>deliberativo</w:t>
      </w:r>
      <w:r w:rsidRPr="00EF60B7">
        <w:rPr>
          <w:rFonts w:ascii="Times New Roman" w:hAnsi="Times New Roman" w:cs="Times New Roman"/>
          <w:sz w:val="24"/>
          <w:szCs w:val="24"/>
        </w:rPr>
        <w:t xml:space="preserve"> lo scopo del medico é quello di aiutare il paziente ad individuare le migliori soluzioni realizzabili nella situazione clinica. Emanuel &amp; Emanuel (1992) sottolineano come caratteristica del modello deliberativo la condivisione perché esso (1) implica un’idea di autonomia del paziente come autosviluppo morale, (2) il medico deliberativo integra conoscenza, intelligenza, insegnamento e azione, (3) gli sforzi di persuasione nei confronti del paziente sono cosa ben diversa dalle imposizioni paternalistiche, (4) i valori del medico sono in accordo con quelli del paziente, (5) i medici hanno il compito di promuovere i valori che riguardano la salute. Nel modello deliberativo (o della mutualità) Brody (1980) ha identificato quattro </w:t>
      </w:r>
      <w:r w:rsidRPr="00EF60B7">
        <w:rPr>
          <w:rFonts w:ascii="Times New Roman" w:hAnsi="Times New Roman" w:cs="Times New Roman"/>
          <w:i/>
          <w:sz w:val="24"/>
          <w:szCs w:val="24"/>
        </w:rPr>
        <w:t>steps</w:t>
      </w:r>
      <w:r w:rsidRPr="00EF60B7">
        <w:rPr>
          <w:rFonts w:ascii="Times New Roman" w:hAnsi="Times New Roman" w:cs="Times New Roman"/>
          <w:sz w:val="24"/>
          <w:szCs w:val="24"/>
        </w:rPr>
        <w:t xml:space="preserve"> attraverso i quali i medici possono incoraggiare lo scambio: 1) stabilire un’atmosfera propizia alla partecipazione che è possibile realizzare se il paziente ha la percezione che i suoi contributi sono appropriati ed apprezzati; 2) l’accertamento degli obiettivi e delle aspettative del paziente; 3) educare il paziente sulla natura del suo problema includendo una discussione sui pro ed i contro di una valutazione alternativa e sul trattamento e presentazione e spiegazione delle raccomandazioni mediche; 4) elicitazione dei suggerimenti e delle preferenze del paziente e negoziazione in caso di disaccordi fra medico e paziente. Nel processo di negoziazione, come ha osservato Quill (1983; Quill et al., 1996), alcune richieste possono essere accolte senza difficoltà; altre hanno bisogno solo di qualche modifica; altre ancora richiedono una sorta di compromesso; altre, infine, debbono essere necessariamente rifiutate in quanto sono chiaramente dannose o perchè violano il sentimento etico del medico e il suo corretto giudizio. Quill (1983; Quill et al., 1996) sostiene che il paziente ha tutto il diritto di cercare la cura altrove quando le sue richieste non sono trattate in modo soddisfacente e che, a sua volta, il medico ha il diritto di defilarsi formalmente dal paziente quando sente l’impossibilità di soddisfare le sue richieste o di realizzare gli obiettivi del trattamento. Altri autori (Speedling &amp; Rose, 1985) suggeriscono un procedimento in cui il medico si limita ad aiutare il paziente ad individuare ciò che maggiormente per lui conta quando si tratta di prendere particolari decisioni e ritengono che questo sia il metodo più desiderabile allo scopo di realizzare uno scambio collaborativo. Per esemplificare il loro punto di vista essi citano il caso in cui una paziente affetta da cancro alla mammella potrebbe accettare di sottoporsi ad una radicale mastectomia o, in alternativa, potrebbe decidere di sottoporsi ad un intervento chirurgico più </w:t>
      </w:r>
      <w:r w:rsidRPr="00EF60B7">
        <w:rPr>
          <w:rFonts w:ascii="Times New Roman" w:hAnsi="Times New Roman" w:cs="Times New Roman"/>
          <w:sz w:val="24"/>
          <w:szCs w:val="24"/>
        </w:rPr>
        <w:lastRenderedPageBreak/>
        <w:t xml:space="preserve">limitato seguito da terapia radiale o chemioterapia. Questa decisione può essere resa ottimale lavorando esplicitamente sulle sue implicazioni per l’immagine che la donna ha di se stessa, per la sua disponibilità o meno a tollerare certi effetti nel lungo tempo, per le sue conseguenze nella sfera sessuale. Non ci si può esimere dal chiedersi se il medico possa o voglia realmente dedicare tempo alla esplorazione dei valori del paziente. La questione é stata affrontata in uno studio condotto da Roter et al. (2000): dal confronto tra un certo numero di visite condotte da medici esperti nel campo bioetico e della comunicazione e di un certo numero di visite condotte da medici </w:t>
      </w:r>
      <w:r w:rsidRPr="00EF60B7">
        <w:rPr>
          <w:rFonts w:ascii="Times New Roman" w:hAnsi="Times New Roman" w:cs="Times New Roman"/>
          <w:i/>
          <w:sz w:val="24"/>
          <w:szCs w:val="24"/>
        </w:rPr>
        <w:t>primary care</w:t>
      </w:r>
      <w:r w:rsidRPr="00EF60B7">
        <w:rPr>
          <w:rFonts w:ascii="Times New Roman" w:hAnsi="Times New Roman" w:cs="Times New Roman"/>
          <w:sz w:val="24"/>
          <w:szCs w:val="24"/>
        </w:rPr>
        <w:t xml:space="preserve"> é emerso che i primi (i medici esperti) dedicavano più tempo a discussioni, erano più propensi ad apprezzare i valori dei pazienti e a spingere questi ultimi a comunicarli, e fornivano più risorse ed incoraggiamenti in vista della decisione. Ciò prova che l’esplorazione dei valori dei pazienti é possibile a patto che i medici abbiano avuto una formazione tale da renderli abili non solo sul piano squisitamente tecnico ma anche su quello della comunicazione e della contestualizzazione psico-sociale del malato. In vari paesi, compresa l’Italia, si sta ancora assistendo al passaggio dal modello paternalistico, ritenuto ormai obsoleto, a quello deliberativo. Tale passaggio, tuttavia, é ancora ostacolato non solo dalle resistenze di quei medici che sentono minacciata la loro posizione di potere e superiorità ma anche da certi pazienti che, soprattutto nella prima fase del rapporto terapeutico, si sentono rassicurati dall’affidarsi completamente ad un professionista (Leotta, 2005). </w:t>
      </w:r>
    </w:p>
    <w:p w:rsidR="00381ABF" w:rsidRDefault="00381ABF" w:rsidP="008D2DF6">
      <w:pPr>
        <w:tabs>
          <w:tab w:val="left" w:pos="8056"/>
        </w:tabs>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Oggi appare sempre più chiara la distinzione tra due modelli medici per la presa in carico del paziente: quello biomedico e quello biopsicosociale. Il primo é un approccio centrato sulla malattia, sui suoi sintomi, sull’organo malato anzichè sul paziente e sul significato che questi attribuisce alla propria esperienza (Moja &amp; Vegni, 2000); il secondo é un approccio centrato sul paziente e presuppone che la malattia non deve essere vista soltanto sotto il profilo puramente biologico bensì all’interno di un più complesso processo che include aspetti psicologici e sociali (Majani, 2001). Una nuova espressione é stata coniata agli inizi del 1990 dalla “</w:t>
      </w:r>
      <w:r w:rsidRPr="00EF60B7">
        <w:rPr>
          <w:rFonts w:ascii="Times New Roman" w:hAnsi="Times New Roman" w:cs="Times New Roman"/>
          <w:i/>
          <w:sz w:val="24"/>
          <w:szCs w:val="24"/>
        </w:rPr>
        <w:t>Pew- Fetzer Task Force on Advancing Psychosocial Health Education</w:t>
      </w:r>
      <w:r w:rsidRPr="00EF60B7">
        <w:rPr>
          <w:rFonts w:ascii="Times New Roman" w:hAnsi="Times New Roman" w:cs="Times New Roman"/>
          <w:sz w:val="24"/>
          <w:szCs w:val="24"/>
        </w:rPr>
        <w:t xml:space="preserve">” allo scopo di enfatizzare il potere terapeutico della relazione medico-paziente: </w:t>
      </w:r>
      <w:r w:rsidRPr="00EF60B7">
        <w:rPr>
          <w:rFonts w:ascii="Times New Roman" w:hAnsi="Times New Roman" w:cs="Times New Roman"/>
          <w:i/>
          <w:sz w:val="24"/>
          <w:szCs w:val="24"/>
        </w:rPr>
        <w:t>relationship</w:t>
      </w:r>
      <w:r w:rsidRPr="00EF60B7">
        <w:rPr>
          <w:rFonts w:ascii="Times New Roman" w:hAnsi="Times New Roman" w:cs="Times New Roman"/>
          <w:sz w:val="24"/>
          <w:szCs w:val="24"/>
        </w:rPr>
        <w:t>-</w:t>
      </w:r>
      <w:r w:rsidRPr="00EF60B7">
        <w:rPr>
          <w:rFonts w:ascii="Times New Roman" w:hAnsi="Times New Roman" w:cs="Times New Roman"/>
          <w:i/>
          <w:sz w:val="24"/>
          <w:szCs w:val="24"/>
        </w:rPr>
        <w:t>centered</w:t>
      </w:r>
      <w:r w:rsidRPr="00EF60B7">
        <w:rPr>
          <w:rFonts w:ascii="Times New Roman" w:hAnsi="Times New Roman" w:cs="Times New Roman"/>
          <w:sz w:val="24"/>
          <w:szCs w:val="24"/>
        </w:rPr>
        <w:t xml:space="preserve"> </w:t>
      </w:r>
      <w:r w:rsidRPr="00EF60B7">
        <w:rPr>
          <w:rFonts w:ascii="Times New Roman" w:hAnsi="Times New Roman" w:cs="Times New Roman"/>
          <w:i/>
          <w:sz w:val="24"/>
          <w:szCs w:val="24"/>
        </w:rPr>
        <w:t>care</w:t>
      </w:r>
      <w:r w:rsidRPr="00EF60B7">
        <w:rPr>
          <w:rFonts w:ascii="Times New Roman" w:hAnsi="Times New Roman" w:cs="Times New Roman"/>
          <w:sz w:val="24"/>
          <w:szCs w:val="24"/>
        </w:rPr>
        <w:t xml:space="preserve"> (Tresolini, 1994). Come é stato in seguito studiato dalla “</w:t>
      </w:r>
      <w:r w:rsidRPr="00EF60B7">
        <w:rPr>
          <w:rFonts w:ascii="Times New Roman" w:hAnsi="Times New Roman" w:cs="Times New Roman"/>
          <w:i/>
          <w:sz w:val="24"/>
          <w:szCs w:val="24"/>
        </w:rPr>
        <w:t>Relationship-Centered Care Research Network</w:t>
      </w:r>
      <w:r w:rsidRPr="00EF60B7">
        <w:rPr>
          <w:rFonts w:ascii="Times New Roman" w:hAnsi="Times New Roman" w:cs="Times New Roman"/>
          <w:sz w:val="24"/>
          <w:szCs w:val="24"/>
        </w:rPr>
        <w:t xml:space="preserve">” (Beach &amp; Inui, 2006) la </w:t>
      </w:r>
      <w:r w:rsidRPr="00EF60B7">
        <w:rPr>
          <w:rFonts w:ascii="Times New Roman" w:hAnsi="Times New Roman" w:cs="Times New Roman"/>
          <w:sz w:val="24"/>
          <w:szCs w:val="24"/>
        </w:rPr>
        <w:lastRenderedPageBreak/>
        <w:t>cura centrata sulla relazione valorizza il concetto di dialogo e di interazione tra medico e paziente al di là del loro ruolo in quanto relazione interpersonale nel processo di cura. In tale modello il dialogo viene visto come lo strumento per lo sviluppo di una relazione che ha in sé un potenziale terapeutico. Secondo Borella (1999) il rapporto umano é l’ingrediente più importante nella relazione medico-paziente e rappresenta l’elemento cruciale per la realizzazione degli obiettivi. Secondo lo studioso é necessario che il medico moderno si avvalga non solo delle conoscenze specialistiche ma anche di tecniche e capacità con cui gestire il rapporto con il paziente. Secondo Mauri et al. (2002) l’interazione medico-paziente, per essere funzionale, deve essere flessibile e caratterizzata da un’alternanza di ruoli. Roberti et al. (2006) affermano che il medico deve sempre tenere conto della condizione di fragilità fisica e psichica in cui versa il paziente e deve sempre farlo sentire una persona “speciale” e non un caso clinico. L’esigenza che si crei un’autentica relazione tra medico e paziente é stata evidenziata nella Carta di Firenze (vedi appendice), documento redatto nel 2005 da un gruppo di esperti del settore medico-sanitario. Esso elenca un insieme di regole che il medico dovrebbe seguire nella gestione del rapporto con il paziente; in particolare, sottolinea non solo il diritto del paziente alla piena e corretta informazione sulla diagnosi e sulle possibili terapie, ma anche il diritto di libertà di scelta del malato rispetto alle terapie da seguire, decisione a cui, peraltro, il medico ha l’obbligo di attenersi. Infine, il documento propone al medico di rapportarsi al paziente con un linguaggio chiaro e comprensibile e con un atteggiamento empatico e di attenta partecipazione. Sarebbe un errore ritenere che la realizzazione di una relazione ottimale dipenda dai medici piuttosto che dai pazienti; infatti, come in ogni altro tipo di comunicazione interpersonale, c’é un’influenza reciproca tra i comportamenti dell’una e dell’altra parte. Alcuni ricercatori, fra i quali Cegala e Post (2009), hanno rilevato che lo stile di comunicazione dei pazienti influenza significativamente quello dei medici. In particolare, risulta che la partecipazione attiva del paziente (come porre domande, fornire informazioni, etc.) dispone il medico a rapportarsi al paziente con maggiore attenzione sulle sue esigenze e sui suoi valori.</w:t>
      </w:r>
    </w:p>
    <w:p w:rsidR="00F51D3B" w:rsidRDefault="00F51D3B" w:rsidP="008D2DF6">
      <w:pPr>
        <w:tabs>
          <w:tab w:val="left" w:pos="8056"/>
        </w:tabs>
        <w:spacing w:line="360" w:lineRule="auto"/>
        <w:jc w:val="both"/>
        <w:rPr>
          <w:rFonts w:ascii="Times New Roman" w:hAnsi="Times New Roman" w:cs="Times New Roman"/>
          <w:sz w:val="24"/>
          <w:szCs w:val="24"/>
        </w:rPr>
      </w:pPr>
    </w:p>
    <w:p w:rsidR="00F51D3B" w:rsidRPr="00EF60B7" w:rsidRDefault="00F51D3B" w:rsidP="008D2DF6">
      <w:pPr>
        <w:tabs>
          <w:tab w:val="left" w:pos="8056"/>
        </w:tabs>
        <w:spacing w:line="360" w:lineRule="auto"/>
        <w:jc w:val="both"/>
        <w:rPr>
          <w:rFonts w:ascii="Times New Roman" w:hAnsi="Times New Roman" w:cs="Times New Roman"/>
          <w:sz w:val="24"/>
          <w:szCs w:val="24"/>
        </w:rPr>
      </w:pPr>
    </w:p>
    <w:p w:rsidR="00381ABF" w:rsidRPr="00EF60B7" w:rsidRDefault="00381ABF" w:rsidP="008D2DF6">
      <w:pPr>
        <w:tabs>
          <w:tab w:val="left" w:pos="8056"/>
        </w:tabs>
        <w:spacing w:line="360" w:lineRule="auto"/>
        <w:jc w:val="both"/>
        <w:rPr>
          <w:rFonts w:ascii="Times New Roman" w:hAnsi="Times New Roman" w:cs="Times New Roman"/>
          <w:i/>
          <w:sz w:val="24"/>
          <w:szCs w:val="24"/>
        </w:rPr>
      </w:pPr>
      <w:r w:rsidRPr="00EF60B7">
        <w:rPr>
          <w:rFonts w:ascii="Times New Roman" w:hAnsi="Times New Roman" w:cs="Times New Roman"/>
          <w:i/>
          <w:sz w:val="24"/>
          <w:szCs w:val="24"/>
        </w:rPr>
        <w:lastRenderedPageBreak/>
        <w:t>1.4.1 La relazione medico-paziente</w:t>
      </w:r>
    </w:p>
    <w:p w:rsidR="00381ABF" w:rsidRPr="00EF60B7" w:rsidRDefault="00381ABF" w:rsidP="008D2DF6">
      <w:pPr>
        <w:tabs>
          <w:tab w:val="left" w:pos="8056"/>
        </w:tabs>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 xml:space="preserve">I modelli teorici riguardanti la comunicazione medico-paziente hanno il loro limite nella loro stessa natura che é quella di generalizzare e classificare ciò che nella realtà e nella pratica si presenta come qualcosa di molto complesso. Lo stesso modello deliberativo, che oggi viene dai più considerato come quello che garantisce una comunicazione efficace, va continuamente confrontato con la realtà delle situazioni che di volta in volta si presentano nella relazione medico-paziente. É difficile descrivere cosa sia l’eccellenza nella comunicazione clinica; infatti, molto dipende dalla capacità del medico di cogliere lo stile comunicativo del paziente e di regolare il proprio stile personale tenendo conto di quello dell’altra parte. Questo significa che i medici dovrebbero impegnarsi a mostrare rispetto, empatia ed interesse per le idee,  le paure,  le aspettative e  le opinioni dei loro pazienti; inoltre, dovrebbero accettare il loro desiderio di condividere decisioni e di fornire informazioni chiare ed adeguate alle loro esigenze e al loro livello di istruzione (Stewart et al., 1995; Silverman et al., 1998; Ruiz Moral, 2004). Essere in grado di comunicare bene é da ritenere una competenza fondamentale che aiuta a sviluppare anche altre capacità cliniche del medico (Kurtz et al., 1998). Una comunicazione adeguata é stata correlata in modo indipendente (Blasi et., 2001) ad una vasta gamma di risultati clinici, come ad esempio una maggiore precisione diagnostica (Marvel et al., 1999), ad un minor numero di cause per malasanità (Lester et al., 1993; Levinson et al., 1997), ad una maggiore aderenza terapeutica (Cegala et al., 2000), ad una maggiore soddisfazione per il medico e per il paziente (Lewin et al., 2003), ad un uso migliore delle risorse sanitarie (Stewart et al., 2000), a risultati sanitari migliori in un’ampia gamma di problemi clinici (Stewart et al., 1999; Muñoz Alamo et al., 2002). É importante notare come la comunicazione medico-paziente si presti ad essere studiata da due diverse prospettive: da un lato appare come un’abilità che possiamo rilevare osservando i comportamenti degli attori (attraverso codici qualitativi e quantitativi); dall’altro é percepita come un modo di essere in relazione agli altri. Questo mette in evidenza le esperienze “intangibili” dei suoi attori e richiede una valutazione qualitativa e quantitativa degli effetti che il paziente percepisce riguardo al comportamento del medico (Zoppi et al., 2002). Entrambi i punti di vista richiedono analisi teoriche e di ricerca, ma oggi pochi studi sono disponibili ad esaminare queste diverse </w:t>
      </w:r>
      <w:r w:rsidRPr="00EF60B7">
        <w:rPr>
          <w:rFonts w:ascii="Times New Roman" w:hAnsi="Times New Roman" w:cs="Times New Roman"/>
          <w:sz w:val="24"/>
          <w:szCs w:val="24"/>
        </w:rPr>
        <w:lastRenderedPageBreak/>
        <w:t>prospettive insieme (Stewart et al., 2000). Ciò é particolarmente vero per alcuni tipi di pratica. Alcune abilità comunicative, come quelle relative al produrre e dare informazioni, al comprendere il punto di vista del paziente, sembrano essere competenze generali utili per ogni medico (</w:t>
      </w:r>
      <w:r w:rsidRPr="00EF60B7">
        <w:rPr>
          <w:rFonts w:ascii="Times New Roman" w:hAnsi="Times New Roman" w:cs="Times New Roman"/>
          <w:i/>
          <w:sz w:val="24"/>
          <w:szCs w:val="24"/>
        </w:rPr>
        <w:t>Association af Medical Colleges, October</w:t>
      </w:r>
      <w:r w:rsidRPr="00EF60B7">
        <w:rPr>
          <w:rFonts w:ascii="Times New Roman" w:hAnsi="Times New Roman" w:cs="Times New Roman"/>
          <w:sz w:val="24"/>
          <w:szCs w:val="24"/>
        </w:rPr>
        <w:t xml:space="preserve"> 1999). Tuttavia, sono stati considerati particolarmente importanti i medici di famiglia a causa delle particolarità del loro lavoro che porta ad attribuire maggiore importanza agli aspetti soggettivi della malattia, ai problemi cronici, alle misure preventive, agli interventi motivazionali, alla continuità dell’assistenza e alla responsabilità di prestare cure mediche ad intere famiglie (Mc Whinney,  1996; Ruiz Moral et al., 2003). In effetti, la maggior parte dei pazienti nella cure primarie si aspetta di vedere un medico che riesca a comunicare bene e che si approcci alla loro malattia e al trattamento come farebbe un partner (Little et al., 2001). Poiché la maggior parte degli studi sono stati effettuati nell’ambito della cura primaria mentre poche ricerche sono state condotte nell’ambito delle cure specialistiche, poche sono le informazioni disponibili sullo stile comunicativo adottato in tale area. Un contributo in grado di fornirci delle precise osservazioni a tal riguardo é quello condotto da Ruiz-Moral et al. (2006) da cui risulta che i medici specializzati mostrano una limitata gamma di competenze comunicative in quanto utilizzano uno stile manageriale che permette una partecipazione minima al paziente e non prevede l’esplorazione delle emozioni, delle aspettative del paziente e degli aspetti psicosociali. Dal medesimo studio (Ruiz-Moral et al., 2006) é risultato che meno di un medico su quattro dava al paziente la possibilità di partecipare a qualsiasi tipo di processo decisionale riguardante un intervento chirurgico. In vista di una migliore relazione medico-paziente appare importante incentivare il </w:t>
      </w:r>
      <w:r w:rsidRPr="00EF60B7">
        <w:rPr>
          <w:rFonts w:ascii="Times New Roman" w:hAnsi="Times New Roman" w:cs="Times New Roman"/>
          <w:i/>
          <w:sz w:val="24"/>
          <w:szCs w:val="24"/>
        </w:rPr>
        <w:t>training</w:t>
      </w:r>
      <w:r w:rsidRPr="00EF60B7">
        <w:rPr>
          <w:rFonts w:ascii="Times New Roman" w:hAnsi="Times New Roman" w:cs="Times New Roman"/>
          <w:sz w:val="24"/>
          <w:szCs w:val="24"/>
        </w:rPr>
        <w:t xml:space="preserve"> sulle tecniche di comunicazione tra gli specialisti nei vari programmi di formazione professionale. </w:t>
      </w:r>
    </w:p>
    <w:p w:rsidR="00F51D3B" w:rsidRDefault="00F51D3B" w:rsidP="008D2DF6">
      <w:pPr>
        <w:tabs>
          <w:tab w:val="left" w:pos="8056"/>
        </w:tabs>
        <w:spacing w:line="360" w:lineRule="auto"/>
        <w:jc w:val="both"/>
        <w:rPr>
          <w:rFonts w:ascii="Times New Roman" w:hAnsi="Times New Roman" w:cs="Times New Roman"/>
          <w:sz w:val="24"/>
          <w:szCs w:val="24"/>
        </w:rPr>
      </w:pPr>
    </w:p>
    <w:p w:rsidR="00381ABF" w:rsidRPr="00EF60B7" w:rsidRDefault="00381ABF" w:rsidP="008D2DF6">
      <w:pPr>
        <w:tabs>
          <w:tab w:val="left" w:pos="8056"/>
        </w:tabs>
        <w:spacing w:line="360" w:lineRule="auto"/>
        <w:jc w:val="both"/>
        <w:rPr>
          <w:rFonts w:ascii="Times New Roman" w:hAnsi="Times New Roman" w:cs="Times New Roman"/>
          <w:i/>
          <w:sz w:val="24"/>
          <w:szCs w:val="24"/>
        </w:rPr>
      </w:pPr>
      <w:r w:rsidRPr="00EF60B7">
        <w:rPr>
          <w:rFonts w:ascii="Times New Roman" w:hAnsi="Times New Roman" w:cs="Times New Roman"/>
          <w:i/>
          <w:sz w:val="24"/>
          <w:szCs w:val="24"/>
        </w:rPr>
        <w:t>1.4.2 La relazione medico-paziente-familiari del paziente</w:t>
      </w:r>
    </w:p>
    <w:p w:rsidR="00381ABF" w:rsidRPr="00EF60B7" w:rsidRDefault="00381ABF" w:rsidP="008D2DF6">
      <w:pPr>
        <w:tabs>
          <w:tab w:val="left" w:pos="8056"/>
        </w:tabs>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 xml:space="preserve">In ambito medico accade frequentemente che la relazione interpersonale assuma una struttura triadica. Parecchi sono i casi in cui tra il medico e il paziente si inserisce una terza persona, ossia un membro (o più di uno) della famiglia del paziente. Ciò avviene soprattutto quando i pazienti sono molto anziani e/o affetti </w:t>
      </w:r>
      <w:r w:rsidRPr="00EF60B7">
        <w:rPr>
          <w:rFonts w:ascii="Times New Roman" w:hAnsi="Times New Roman" w:cs="Times New Roman"/>
          <w:sz w:val="24"/>
          <w:szCs w:val="24"/>
        </w:rPr>
        <w:lastRenderedPageBreak/>
        <w:t>da patologie che richiedono cure molto complesse, e in tutti i casi di pazienti che, per una ragione o per un’altra, hanno bisogno di essere accompagnati. La relazione é necessariamente triadica quando il paziente é un bambino. Muovendo dal presupposto che le dinamiche di interazione triadiche sono differenti da quelle di interazione diadica, vari ricercatori hanno avvertito l’esigenza di studiare questo specifico tipo di relazione puntando la loro attenzione sul ruolo del bambino all’interno di essa (Lewis et al., 1984; Colland, 1990; Holtzheimer et al., 1998; Alderson &amp; Montgomery 1996; Tates et al., 2002; Tates &amp; Meeuwesen, 2001). Vi sono indicazioni non solo teoriche , ma anche cliniche, che inducono ad affermare che il ruolo del bambino merita una speciale attenzione. Infatti, i bambini appaiono in grado  di capire di salute e di malattia più di quanto si possa credere  (Lewis et al., 1984; Colland, 1990; Holtzheimer et al., 1998; Hosli, 1998). Risulta, poi, che una più diretta comunicazione tra medico e bambino contribuisce al miglioramento della relazione in termini di soddisfazione e di “</w:t>
      </w:r>
      <w:r w:rsidRPr="00EF60B7">
        <w:rPr>
          <w:rFonts w:ascii="Times New Roman" w:hAnsi="Times New Roman" w:cs="Times New Roman"/>
          <w:i/>
          <w:sz w:val="24"/>
          <w:szCs w:val="24"/>
        </w:rPr>
        <w:t>adherence</w:t>
      </w:r>
      <w:r w:rsidRPr="00EF60B7">
        <w:rPr>
          <w:rFonts w:ascii="Times New Roman" w:hAnsi="Times New Roman" w:cs="Times New Roman"/>
          <w:sz w:val="24"/>
          <w:szCs w:val="24"/>
        </w:rPr>
        <w:t>” al trattamento, ed anche a migliori risultati sul piano terapeutico (Colland, 1990; Holtzheimer et al., 1998). Per di più, la crescente esigenza di un modello di approccio centrato sul paziente e di un  “</w:t>
      </w:r>
      <w:r w:rsidRPr="00EF60B7">
        <w:rPr>
          <w:rFonts w:ascii="Times New Roman" w:hAnsi="Times New Roman" w:cs="Times New Roman"/>
          <w:i/>
          <w:sz w:val="24"/>
          <w:szCs w:val="24"/>
        </w:rPr>
        <w:t>decision making</w:t>
      </w:r>
      <w:r w:rsidRPr="00EF60B7">
        <w:rPr>
          <w:rFonts w:ascii="Times New Roman" w:hAnsi="Times New Roman" w:cs="Times New Roman"/>
          <w:sz w:val="24"/>
          <w:szCs w:val="24"/>
        </w:rPr>
        <w:t xml:space="preserve">” condiviso ha portato al passaggio, nella pratica medica, da una relazione medico-paziente estremamente asimmetrica ad un’altra più paritaria (Stewart et al., 1995; Borne, 1998). Conseguentemente, il ruolo del bambino nelle consultazioni mediche deve essere considerato altrettanto importante quanto quello dei genitori, e va diffondendosi l’opinione secondo la quale gli stessi bambini dovrebbero in qualche misura essere coinvolti (ovviamente qualora l’età lo consenta) nelle decisioni riguardanti il loro stato di salute ( Alderson &amp; Montgomery, 1996; Rylance, 1996; Hart &amp; Chessor, 1998). In uno studio sulla comunicazione “medico-genitore-bambino” Tates  e Meeuwesen (2001) definiscono gli aspetti che in essa possono giocare un ruolo-chiave. Per quanto concerne gli aspetti relazionali, essi osservano che, essendo le esigenze del bambino tanto cognitive (essere informati per capire) quanto di natura emotiva (percepire di essere presi sul serio), in risposta ad esse i medici, oltre alle abilità connesse al loro compito tecnico (fare domande, dare informazioni tenendo conto del fatto che si trovano davanti ad un bambino e, dunque, impegnandosi ad usare i modi più adeguati alla situazione) devono manifestare abilità di comunicazione a livello emotivo-affettivo (empatia). Per quanto riguarda gli aspetti strutturali, si tratta di eliminare </w:t>
      </w:r>
      <w:r w:rsidRPr="00EF60B7">
        <w:rPr>
          <w:rFonts w:ascii="Times New Roman" w:hAnsi="Times New Roman" w:cs="Times New Roman"/>
          <w:sz w:val="24"/>
          <w:szCs w:val="24"/>
        </w:rPr>
        <w:lastRenderedPageBreak/>
        <w:t>o, quanto meno, di ridurre nei limiti del possibile la duplice asimmetria del rapporto “medico-paziente” – “adulto-bambino” facendo in modo che nel corso della comunicazione ci sia un “</w:t>
      </w:r>
      <w:r w:rsidRPr="00EF60B7">
        <w:rPr>
          <w:rFonts w:ascii="Times New Roman" w:hAnsi="Times New Roman" w:cs="Times New Roman"/>
          <w:i/>
          <w:sz w:val="24"/>
          <w:szCs w:val="24"/>
        </w:rPr>
        <w:t>turn</w:t>
      </w:r>
      <w:r w:rsidRPr="00EF60B7">
        <w:rPr>
          <w:rFonts w:ascii="Times New Roman" w:hAnsi="Times New Roman" w:cs="Times New Roman"/>
          <w:sz w:val="24"/>
          <w:szCs w:val="24"/>
        </w:rPr>
        <w:t>-</w:t>
      </w:r>
      <w:r w:rsidRPr="00EF60B7">
        <w:rPr>
          <w:rFonts w:ascii="Times New Roman" w:hAnsi="Times New Roman" w:cs="Times New Roman"/>
          <w:i/>
          <w:sz w:val="24"/>
          <w:szCs w:val="24"/>
        </w:rPr>
        <w:t>taking</w:t>
      </w:r>
      <w:r w:rsidRPr="00EF60B7">
        <w:rPr>
          <w:rFonts w:ascii="Times New Roman" w:hAnsi="Times New Roman" w:cs="Times New Roman"/>
          <w:sz w:val="24"/>
          <w:szCs w:val="24"/>
        </w:rPr>
        <w:t>” nella sequenza delle domande e delle risposte. Nella relazione triadica “medico-genitore-bambino” l’onere per il medico é particolarmente pesante nei casi in cui le esigenze comunicative del genitore non corrispondono a quelle del bambino (Wissow et al., 1998). Peraltro, nei casi in cui tende a facilitare la partecipazione del bambino, mentre i genitori sono orientati ad assegnargli un ruolo passivo, il medico può trovarsi a dovere affrontare un vero e proprio dilemma: far valere la propria opinione professionale sulla partecipazione del bambino o assecondare la volontà  dei genitori che si rifiutano di riconoscere a quest’ultimo un ruolo attivo (Tates, Elbers, Meeuwesen, Bensing, 2002).</w:t>
      </w:r>
    </w:p>
    <w:p w:rsidR="00381ABF" w:rsidRPr="00EF60B7" w:rsidRDefault="00381ABF" w:rsidP="008D2DF6">
      <w:pPr>
        <w:tabs>
          <w:tab w:val="left" w:pos="8056"/>
        </w:tabs>
        <w:spacing w:line="360" w:lineRule="auto"/>
        <w:jc w:val="both"/>
        <w:rPr>
          <w:rFonts w:ascii="Times New Roman" w:hAnsi="Times New Roman" w:cs="Times New Roman"/>
          <w:sz w:val="24"/>
          <w:szCs w:val="24"/>
        </w:rPr>
      </w:pPr>
    </w:p>
    <w:p w:rsidR="00381ABF" w:rsidRPr="00EF60B7" w:rsidRDefault="00381ABF" w:rsidP="008D2DF6">
      <w:pPr>
        <w:tabs>
          <w:tab w:val="left" w:pos="8056"/>
        </w:tabs>
        <w:spacing w:line="360" w:lineRule="auto"/>
        <w:jc w:val="both"/>
        <w:rPr>
          <w:rFonts w:ascii="Times New Roman" w:hAnsi="Times New Roman" w:cs="Times New Roman"/>
          <w:sz w:val="24"/>
          <w:szCs w:val="24"/>
        </w:rPr>
      </w:pPr>
      <w:r w:rsidRPr="00EF60B7">
        <w:rPr>
          <w:rFonts w:ascii="Times New Roman" w:hAnsi="Times New Roman" w:cs="Times New Roman"/>
          <w:i/>
          <w:sz w:val="24"/>
          <w:szCs w:val="24"/>
        </w:rPr>
        <w:t>1.5  Compliance, Aderenza (adherence) e non Aderenza</w:t>
      </w:r>
    </w:p>
    <w:p w:rsidR="00381ABF" w:rsidRPr="00EF60B7" w:rsidRDefault="00381ABF" w:rsidP="008D2DF6">
      <w:pPr>
        <w:tabs>
          <w:tab w:val="left" w:pos="8056"/>
        </w:tabs>
        <w:spacing w:before="240" w:line="360" w:lineRule="auto"/>
        <w:jc w:val="both"/>
        <w:rPr>
          <w:rFonts w:ascii="Times New Roman" w:hAnsi="Times New Roman" w:cs="Times New Roman"/>
          <w:sz w:val="24"/>
          <w:szCs w:val="24"/>
        </w:rPr>
      </w:pPr>
      <w:r w:rsidRPr="00EF60B7">
        <w:rPr>
          <w:rFonts w:ascii="Times New Roman" w:hAnsi="Times New Roman" w:cs="Times New Roman"/>
          <w:sz w:val="24"/>
          <w:szCs w:val="24"/>
        </w:rPr>
        <w:t xml:space="preserve">Con il termine </w:t>
      </w:r>
      <w:r w:rsidRPr="00EF60B7">
        <w:rPr>
          <w:rFonts w:ascii="Times New Roman" w:hAnsi="Times New Roman" w:cs="Times New Roman"/>
          <w:i/>
          <w:sz w:val="24"/>
          <w:szCs w:val="24"/>
        </w:rPr>
        <w:t>compliance</w:t>
      </w:r>
      <w:r w:rsidRPr="00EF60B7">
        <w:rPr>
          <w:rFonts w:ascii="Times New Roman" w:hAnsi="Times New Roman" w:cs="Times New Roman"/>
          <w:sz w:val="24"/>
          <w:szCs w:val="24"/>
        </w:rPr>
        <w:t xml:space="preserve"> si intende, secondo la definizione data da Haynes (1979), il grado in cui il comportamento di una persona con riguardo all’assunzione di farmaci, all’osservanza di diete, all’attuazione di cambiamenti nello stile di vita, coincide con le raccomandazioni del medico. Secondo Majani (2001) tale definizione presuppone l’idea del paziente come persona da cui ci si aspetta un’incondizionata obbedienza alle prescrizioni del medico; e dunque la non </w:t>
      </w:r>
      <w:r w:rsidRPr="00EF60B7">
        <w:rPr>
          <w:rFonts w:ascii="Times New Roman" w:hAnsi="Times New Roman" w:cs="Times New Roman"/>
          <w:i/>
          <w:sz w:val="24"/>
          <w:szCs w:val="24"/>
        </w:rPr>
        <w:t>compliance</w:t>
      </w:r>
      <w:r w:rsidRPr="00EF60B7">
        <w:rPr>
          <w:rFonts w:ascii="Times New Roman" w:hAnsi="Times New Roman" w:cs="Times New Roman"/>
          <w:sz w:val="24"/>
          <w:szCs w:val="24"/>
        </w:rPr>
        <w:t xml:space="preserve"> implicherebbe un giudizio negativo sul paziente quasi colpevolizzato per inadempienza. Questo é il motivo per cui oggi si preferisce il termine “aderenza” in quanto allude ad un coinvolgimento attivo e collaborativo del paziente a cui si chiede di partecipare alla pianificazione e all’attuazione del trattamento elaborando un consenso basato sull’accordo (Myers &amp; Midence, 1998). L’aderenza del paziente si riferisce ad una condizione che può presentarsi con molti livelli di intensità e con estrema variabilità osservabile nel comportamento dei pazienti nei confronti delle prescrizioni. Infatti, lo stesso paziente può aderire ad alcune prescrizioni e non ad altre, come può alternare periodi di aderenza e di non aderenza alle stesse. Oggi si assiste ad un preoccupante fenomeno di debole aderenza che può essere spiegato in relazione a tutta una serie di fattori che hanno prodotto cambiamenti nel comportamento del paziente: l’invecchiamento della popolazione, la crescita della prevalenza delle </w:t>
      </w:r>
      <w:r w:rsidRPr="00EF60B7">
        <w:rPr>
          <w:rFonts w:ascii="Times New Roman" w:hAnsi="Times New Roman" w:cs="Times New Roman"/>
          <w:sz w:val="24"/>
          <w:szCs w:val="24"/>
        </w:rPr>
        <w:lastRenderedPageBreak/>
        <w:t xml:space="preserve">malattie croniche che implicano terapie complesse e di lunga durata, l’incremento esponenziale della produzione farmaceutica e, in generale, delle prescrizioni riguardanti lo stile di vita e le abitudini. Oggi il paziente é più critico nei confronti dei trattamenti perché egli é cambiato per effetto delle campagne di prevenzione e della diffusione di nozioni mediche attraverso i </w:t>
      </w:r>
      <w:r w:rsidRPr="00EF60B7">
        <w:rPr>
          <w:rFonts w:ascii="Times New Roman" w:hAnsi="Times New Roman" w:cs="Times New Roman"/>
          <w:i/>
          <w:sz w:val="24"/>
          <w:szCs w:val="24"/>
        </w:rPr>
        <w:t>mass</w:t>
      </w:r>
      <w:r w:rsidRPr="00EF60B7">
        <w:rPr>
          <w:rFonts w:ascii="Times New Roman" w:hAnsi="Times New Roman" w:cs="Times New Roman"/>
          <w:sz w:val="24"/>
          <w:szCs w:val="24"/>
        </w:rPr>
        <w:t xml:space="preserve"> </w:t>
      </w:r>
      <w:r w:rsidRPr="00EF60B7">
        <w:rPr>
          <w:rFonts w:ascii="Times New Roman" w:hAnsi="Times New Roman" w:cs="Times New Roman"/>
          <w:i/>
          <w:sz w:val="24"/>
          <w:szCs w:val="24"/>
        </w:rPr>
        <w:t>media</w:t>
      </w:r>
      <w:r w:rsidRPr="00EF60B7">
        <w:rPr>
          <w:rFonts w:ascii="Times New Roman" w:hAnsi="Times New Roman" w:cs="Times New Roman"/>
          <w:sz w:val="24"/>
          <w:szCs w:val="24"/>
        </w:rPr>
        <w:t xml:space="preserve">. Come osservano Arbuthnott e Sharpe (2009) i fattori che contribuiscono all’aderenza al trattamento sono poco noti, ma l’interazione medico-paziente, é un fattore che ha effetti noti sulla stessa. Infatti, da una ricerca condotta dai sopracitati autori  (Arbuthnott &amp; Sharpe, 2009), risulta che c’é una relazione tra il grado di collaborazione tra medico e paziente e il grado di aderenza di quest’ultimo. Tale correlazione si manifesta indipendentemente dall’età dei pazienti (popolazione pediatrica o adulta), dal tipo di patologia (cronica o acuta), dallo specifico ruolo professionale del medico (generico o specialista). Secondo i medesimi autori non hanno portato a risultati sicuri precedenti ricerche (Becker et al., 1975) che hanno tentato di individuare come altri predittori dell’aderenza fattori quali lo stato psicologico del paziente, il livello socio-economico di quest’ultimo, la complessità del regime di trattamento. Secondo Roberti et al. (2006) “ il primo passo in direzione di una buona </w:t>
      </w:r>
      <w:r w:rsidRPr="00EF60B7">
        <w:rPr>
          <w:rFonts w:ascii="Times New Roman" w:hAnsi="Times New Roman" w:cs="Times New Roman"/>
          <w:i/>
          <w:sz w:val="24"/>
          <w:szCs w:val="24"/>
        </w:rPr>
        <w:t>compliance</w:t>
      </w:r>
      <w:r w:rsidRPr="00EF60B7">
        <w:rPr>
          <w:rFonts w:ascii="Times New Roman" w:hAnsi="Times New Roman" w:cs="Times New Roman"/>
          <w:sz w:val="24"/>
          <w:szCs w:val="24"/>
        </w:rPr>
        <w:t xml:space="preserve"> é che medico e paziente lavorino insieme sin dall’inizio impostando una comunicazione chiara e diretta, in cui venga ridotta al minimo – o anche annullata - ogni possibilità di fraintendimenti e titubanze”. Inoltre bisogna che il medico controlli periodicamente che il paziente non stia commettendo errori e che non si limiti alla pura e semplice prescrizione.  Secondo Roberti et al. (2006), quando un paziente non é aderente alle prescrizioni mediche, ciò comporta uno svantaggio tanto per lui quanto per il medico. Infatti, nel caso del paziente, le sue aspettative di miglioramento non vengono soddisfatte e ne consegue una sensazione di abbandono, di sfiducia e di disperazione; nel caso del medico, questi assiste ad un insuccesso terapeutico e ciò potrebbe avere effetti negativi sulla sua autostima. Alcuni ricercatori (Steiner &amp; Earnest, 2000) concepiscono l’aderenza in termini dicotomici nel senso che considerano aderenti quei pazienti che assumono tutti i farmaci prescritti e non aderenti quelli che si astengono dall’assumere anche una singola dose. Altri ricercatori (Berman et al., 1997) ritengono che si possa considerare aderente il paziente quando assume una buona percentuale (ad es., 80%) del farmaco prescritto. Si può quindi parlare di differenti livelli di aderenza richiesti che variano anche a seconda dei regimi di malattia. Per </w:t>
      </w:r>
      <w:r w:rsidRPr="00EF60B7">
        <w:rPr>
          <w:rFonts w:ascii="Times New Roman" w:hAnsi="Times New Roman" w:cs="Times New Roman"/>
          <w:sz w:val="24"/>
          <w:szCs w:val="24"/>
        </w:rPr>
        <w:lastRenderedPageBreak/>
        <w:t>esempio, per i bambini a cui viene prescritta la penicillina a scopo profilattico si può parlare di aderenza se viene assunto almeno il 30% della dose richiesta; mentre per i pazienti ipertesi si può dire che c’é aderenza quando essi assumono almeno l’80% dei farmaci prescritti (Sackett &amp; Snow, 1979). Alcune ricerche (Di Matteo &amp; Di Nicola, 1982; Kaplan et al., 1990; Stewart, 1995) sulle conseguenze della comunicazione medico-paziente si sono focalizzate sulla relazione tra soddisfazione del paziente nei confronti della cura e aderenza alle raccomandazioni dei medici. I pazienti insoddisfatti sono poco propensi a ritornare dal medico a cui si sono rivolti, tendono a cambiare medico e piani di salute, e  a volte l’insoddisfazione li porta ad intentare una causa di “</w:t>
      </w:r>
      <w:r w:rsidRPr="00EF60B7">
        <w:rPr>
          <w:rFonts w:ascii="Times New Roman" w:hAnsi="Times New Roman" w:cs="Times New Roman"/>
          <w:i/>
          <w:sz w:val="24"/>
          <w:szCs w:val="24"/>
        </w:rPr>
        <w:t>malpractice</w:t>
      </w:r>
      <w:r w:rsidRPr="00EF60B7">
        <w:rPr>
          <w:rFonts w:ascii="Times New Roman" w:hAnsi="Times New Roman" w:cs="Times New Roman"/>
          <w:sz w:val="24"/>
          <w:szCs w:val="24"/>
        </w:rPr>
        <w:t>”. Il motivo principale dell’insoddisfazione del paziente e la possibile conseguenza di un’azione legale mossa nei confronti del medico sono da imputarsi, secondo quanto dicono Roberti et al. (2006),  non tanto ad un errore nella diagnosi, o alla prescrizione inadeguata di una terapia, ma piuttosto al modo in cui i pazienti si sono sentiti trattati a livello interpersonale. In particolare,  Roberti et al. (2006) indicano i possibili motivi della insoddisfazione del paziente: 1) scarsa attenzione e tempo insufficiente dedicato al problema di salute del paziente;  2) percezione di distanza e freddezza del medico nei confronti del paziente; 3) il paziente non ha capito bene le prescrizioni terapeutiche e il medico non si é preoccupato di accertare se esse sono state effettivamente capite. Una recente analisi svolta dall’</w:t>
      </w:r>
      <w:r w:rsidRPr="00EF60B7">
        <w:rPr>
          <w:rFonts w:ascii="Times New Roman" w:hAnsi="Times New Roman" w:cs="Times New Roman"/>
          <w:i/>
          <w:sz w:val="24"/>
          <w:szCs w:val="24"/>
        </w:rPr>
        <w:t>American Academy of Orthopaedic</w:t>
      </w:r>
      <w:r w:rsidRPr="00EF60B7">
        <w:rPr>
          <w:rFonts w:ascii="Times New Roman" w:hAnsi="Times New Roman" w:cs="Times New Roman"/>
          <w:sz w:val="24"/>
          <w:szCs w:val="24"/>
        </w:rPr>
        <w:t xml:space="preserve"> </w:t>
      </w:r>
      <w:r w:rsidRPr="00EF60B7">
        <w:rPr>
          <w:rFonts w:ascii="Times New Roman" w:hAnsi="Times New Roman" w:cs="Times New Roman"/>
          <w:i/>
          <w:sz w:val="24"/>
          <w:szCs w:val="24"/>
        </w:rPr>
        <w:t xml:space="preserve">Surgeon </w:t>
      </w:r>
      <w:r w:rsidRPr="00EF60B7">
        <w:rPr>
          <w:rFonts w:ascii="Times New Roman" w:hAnsi="Times New Roman" w:cs="Times New Roman"/>
          <w:sz w:val="24"/>
          <w:szCs w:val="24"/>
        </w:rPr>
        <w:t>(Bhattacharyya, 2005) su medici e pazienti in ambito ortopedico ha concluso che il chirurgo ortopedico può essere classificato come un medico “</w:t>
      </w:r>
      <w:r w:rsidRPr="00EF60B7">
        <w:rPr>
          <w:rFonts w:ascii="Times New Roman" w:hAnsi="Times New Roman" w:cs="Times New Roman"/>
          <w:i/>
          <w:sz w:val="24"/>
          <w:szCs w:val="24"/>
        </w:rPr>
        <w:t>high tech, low touch</w:t>
      </w:r>
      <w:r w:rsidRPr="00EF60B7">
        <w:rPr>
          <w:rFonts w:ascii="Times New Roman" w:hAnsi="Times New Roman" w:cs="Times New Roman"/>
          <w:sz w:val="24"/>
          <w:szCs w:val="24"/>
        </w:rPr>
        <w:t xml:space="preserve">” per l’elevata capacità di comunicazione con colleghi e pazienti in sala operatoria, ma con ridottissima abilità comunicativa e di ascolto al di fuori di tale contesto: sarebbe questa la causa principale che espone il chirurgo ortopedico ad un numero particolarmente elevato di cause medico-legali.  La non aderenza verso le raccomandazioni mediche mette a rischio la salute del paziente e il suo benessere, e interferisce con gli sforzi terapeutici del medico (Di Matteo &amp; Di Nicola, 1982). In un recente lavoro Christensen (2000) ha tentato una sistematizzazione delle variabili coinvolte nella aderenza. Nel </w:t>
      </w:r>
      <w:r w:rsidRPr="00EF60B7">
        <w:rPr>
          <w:rFonts w:ascii="Times New Roman" w:hAnsi="Times New Roman" w:cs="Times New Roman"/>
          <w:i/>
          <w:sz w:val="24"/>
          <w:szCs w:val="24"/>
        </w:rPr>
        <w:t>framework</w:t>
      </w:r>
      <w:r w:rsidRPr="00EF60B7">
        <w:rPr>
          <w:rFonts w:ascii="Times New Roman" w:hAnsi="Times New Roman" w:cs="Times New Roman"/>
          <w:sz w:val="24"/>
          <w:szCs w:val="24"/>
        </w:rPr>
        <w:t xml:space="preserve"> proposto l’aderenza é concettualizzata come il prodotto dell’interazione tra variabili relative: al paziente (aspettative, </w:t>
      </w:r>
      <w:r w:rsidRPr="00EF60B7">
        <w:rPr>
          <w:rFonts w:ascii="Times New Roman" w:hAnsi="Times New Roman" w:cs="Times New Roman"/>
          <w:i/>
          <w:sz w:val="24"/>
          <w:szCs w:val="24"/>
        </w:rPr>
        <w:t>coping</w:t>
      </w:r>
      <w:r w:rsidRPr="00EF60B7">
        <w:rPr>
          <w:rFonts w:ascii="Times New Roman" w:hAnsi="Times New Roman" w:cs="Times New Roman"/>
          <w:sz w:val="24"/>
          <w:szCs w:val="24"/>
        </w:rPr>
        <w:t xml:space="preserve">, etc.), alla malattia, al trattamento (controllabilità della terapia, severità della malattia, etc.) e anche al contesto specifico. Se si considera l’aderenza come </w:t>
      </w:r>
      <w:r w:rsidRPr="00EF60B7">
        <w:rPr>
          <w:rFonts w:ascii="Times New Roman" w:hAnsi="Times New Roman" w:cs="Times New Roman"/>
          <w:sz w:val="24"/>
          <w:szCs w:val="24"/>
        </w:rPr>
        <w:lastRenderedPageBreak/>
        <w:t>un processo che fa parte dell’interazione paziente-malattia si può riconoscere la sostanziale importanza delle abitudini del paziente, delle sue cognizioni, del contesto sociale in cui l’interazione con la malattia ha luogo e del rapporto medico-paziente in cui quest’ultima si esprime. Sicuramente l’aderenza trova un terreno fertile dove c’é uno scambio di informazioni e di valori e quando il medico sa guidare il paziente verso il suo benessere dopo avere concordato con lui da che cosa esso é dato e quali sono le strategie per controllarlo. Dunque il dialogo, la condivisione, il coinvolgimento responsabile e il mantenimento dei ruoli sono presupposti indispensabili dell’aderenza e il modello deliberativo si configura come quello che favorisce il suo più alto livello.</w:t>
      </w:r>
    </w:p>
    <w:p w:rsidR="00381ABF" w:rsidRPr="00EF60B7" w:rsidRDefault="00381ABF" w:rsidP="008D2DF6">
      <w:pPr>
        <w:tabs>
          <w:tab w:val="left" w:pos="8056"/>
        </w:tabs>
        <w:spacing w:before="240" w:line="360" w:lineRule="auto"/>
        <w:jc w:val="both"/>
        <w:rPr>
          <w:rFonts w:ascii="Times New Roman" w:hAnsi="Times New Roman" w:cs="Times New Roman"/>
          <w:i/>
          <w:sz w:val="24"/>
          <w:szCs w:val="24"/>
        </w:rPr>
      </w:pPr>
      <w:r w:rsidRPr="00EF60B7">
        <w:rPr>
          <w:rFonts w:ascii="Times New Roman" w:hAnsi="Times New Roman" w:cs="Times New Roman"/>
          <w:i/>
          <w:sz w:val="24"/>
          <w:szCs w:val="24"/>
        </w:rPr>
        <w:t>1.6 L’importanza dell’empatia nella comunicazione medico-paziente</w:t>
      </w:r>
    </w:p>
    <w:p w:rsidR="00381ABF" w:rsidRDefault="00381ABF" w:rsidP="008D2DF6">
      <w:pPr>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 xml:space="preserve">L’empatia, cioè il riscontro esplicito, verbalizzato o non, da parte del medico all’espressione di un’emozione da parte del paziente, viene considerata come qualcosa di essenziale per la qualità della cura medica (Evans, Tulsky, Back &amp; Arnold, 2006). Negli ultimi anni varie ricerche  sono state condotte sull’influenza che  l’empatia ha sulla comunicazione medico-paziente Beck et al. (2002) e Bendapudi (2006) hanno trovato una significativa relazione tra il grado di empatia dei medici e il grado di soddisfazione dei pazienti. Altre ricerche hanno dimostrato che l’empatia migliora la qualità e la quantità dei dati clinici (Beckman &amp; Frankel, 1984), riduce il rischio di </w:t>
      </w:r>
      <w:r w:rsidRPr="00EF60B7">
        <w:rPr>
          <w:rFonts w:ascii="Times New Roman" w:hAnsi="Times New Roman" w:cs="Times New Roman"/>
          <w:i/>
          <w:sz w:val="24"/>
          <w:szCs w:val="24"/>
        </w:rPr>
        <w:t>malpractice</w:t>
      </w:r>
      <w:r w:rsidRPr="00EF60B7">
        <w:rPr>
          <w:rFonts w:ascii="Times New Roman" w:hAnsi="Times New Roman" w:cs="Times New Roman"/>
          <w:sz w:val="24"/>
          <w:szCs w:val="24"/>
        </w:rPr>
        <w:t xml:space="preserve"> (Levinson et al., 1997), e porta ad un miglioramento dello stato di salute del paziente (Christenfeld &amp; Gerin, 2000; Cape, 2000; Di Blasi et al., 2001). Sebbene ci siano prove significative del fatto che l’empatia é un’abilità fondamentale per i medici e che la sua espressione é molto apprezzata dai pazienti (Colliver et al., 1998; Makoul, 2001; Mercer &amp; Reynolds, 2002; Kim et al., 2004; Street et al., 2005), la maggior parte dei medici non riesce a manifestare efficacemente empatia nei confronti dei pazienti. Levinson et al. (2000) hanno trovato che i medici hanno risposto a segnali emotivi dei pazienti solo nel 21% dei casi di cura primaria e nel 38% dei casi chirurgici.; e che essi frequentemente non hanno sfruttato le opportunità di riconoscere i sentimenti dei pazienti. Sono state condotte ricerche allo scopo di esaminare la misura in cui i pazienti offrono ai medici opportunità di comunicare empaticamente  (Levinson et al., 2000; Branch et al.,1993; Suchman et al., 1997) </w:t>
      </w:r>
      <w:r w:rsidRPr="00EF60B7">
        <w:rPr>
          <w:rFonts w:ascii="Times New Roman" w:hAnsi="Times New Roman" w:cs="Times New Roman"/>
          <w:sz w:val="24"/>
          <w:szCs w:val="24"/>
        </w:rPr>
        <w:lastRenderedPageBreak/>
        <w:t xml:space="preserve">e come i medici rispondono a queste. Alcuni studi hanno indagato sulle conseguenze del mancato riconoscimento delle emozioni dei pazienti nel corso della visita medica (Tulsky, 2005; Butow, 2002). Ad esempio, Easter e Beach (2004) hanno trovato che il 70% delle opportunità del medico di cogliere gli indizi emozionali dei pazienti non venivano colte dagli specializzandi nelle interviste di prima visita oncologica. Bylund e Makoul (2005) riferiscono che nella maggior parte delle consultazioni ambulatoriali si presentano una o più opportunità di empatia. Un’altra ricerca (Levinson et al., 2000) ha identificato come indizi i commenti sia diretti che indiretti dove  i pazienti comunicavano aspetti personali delle loro vite e le emozioni e  riferisce che spesso i medici non coglievano le opportunità  di riconoscere adeguatamente tali segnali. Secondo quanto affermano Evans et al. (2006) una comunicazione empatica riduce l’ansia del paziente, lo rende sicuro di essere compreso e gli fa percepire che il medico si prende cura di lui. Il primo passo per esprimere empatia é riconoscere quando il paziente sta esprimendo un’emozione; questi può esprimere un’emozione con parole che descrivono direttamente il suo stato emotivo o con parole che alludono soltanto a quest’ultimo, o infine attraverso segni non verbali. La risposta empatica può essere particolarmente utile quando il paziente rigetta le informazioni cognitive sulla sua malattia: passare da una comunicazione di contenuto ad una emotiva può ristabilire la sintonia tra il medico e il paziente e far venire alla luce i timori di quest’ultimo. Nel medesimo studio (Evans et al., 2006) vengono indicati gli aspetti più evidenti dell’espressione di empatia; tra questi aspetti vengono distinti quelli non verbali da quelli verbali. Manifestazioni non verbali sono: porsi direttamente di fronte al paziente per segnalare che si é interessati alla sua storia; assumere una postura aperta come segno di apertura verso il paziente; postura lievemente inclinata verso il paziente come segno di vicinanza, flessibilità e disponibilità; usare il contatto oculare per dimostrare attenzione; mantenere una postura rilassata per ridurre l’ansia del paziente. Le manifestazioni verbali sono indicate attraverso esempi di frasi tali da denominare l’emozione (“lei sembra essere frustrato”), da far capire di avere compreso  l’emozione (“deve essere davvero dura avere un dolore del genere”), da esprimere stima verso il paziente  (“l’ammiro per la sua pazienza e per la sua capacità di perseverare nella cura”), da incoraggiare il paziente (“io e la mia squadra saremo qui ad aiutarla contro il suo mal di testa”), da esplorare l’emozione (“mi dica qualcosa di più sull’effetto che </w:t>
      </w:r>
      <w:r w:rsidRPr="00EF60B7">
        <w:rPr>
          <w:rFonts w:ascii="Times New Roman" w:hAnsi="Times New Roman" w:cs="Times New Roman"/>
          <w:sz w:val="24"/>
          <w:szCs w:val="24"/>
        </w:rPr>
        <w:lastRenderedPageBreak/>
        <w:t>hanno questi mal di testa”). La risposta verbale all’emozione é  importante non tanto in quanto determina correttamente il tipo di emozione, quanto piuttosto perché riconosce che un’emozione é presente e offre al paziente la possibilità di esprimerla facendogli percepire attenzione, comprensione e sostegno da parte del medico.</w:t>
      </w:r>
    </w:p>
    <w:p w:rsidR="00F51D3B" w:rsidRPr="00EF60B7" w:rsidRDefault="00F51D3B" w:rsidP="008D2DF6">
      <w:pPr>
        <w:spacing w:line="360" w:lineRule="auto"/>
        <w:jc w:val="both"/>
        <w:rPr>
          <w:rFonts w:ascii="Times New Roman" w:hAnsi="Times New Roman" w:cs="Times New Roman"/>
          <w:sz w:val="24"/>
          <w:szCs w:val="24"/>
        </w:rPr>
      </w:pPr>
    </w:p>
    <w:p w:rsidR="00381ABF" w:rsidRPr="00EF60B7" w:rsidRDefault="00381ABF" w:rsidP="008D2DF6">
      <w:pPr>
        <w:spacing w:line="360" w:lineRule="auto"/>
        <w:jc w:val="both"/>
        <w:rPr>
          <w:rFonts w:ascii="Times New Roman" w:hAnsi="Times New Roman" w:cs="Times New Roman"/>
          <w:i/>
          <w:sz w:val="24"/>
          <w:szCs w:val="24"/>
        </w:rPr>
      </w:pPr>
      <w:r w:rsidRPr="00EF60B7">
        <w:rPr>
          <w:rFonts w:ascii="Times New Roman" w:hAnsi="Times New Roman" w:cs="Times New Roman"/>
          <w:i/>
          <w:sz w:val="24"/>
          <w:szCs w:val="24"/>
        </w:rPr>
        <w:t>1.7 Incidenza delle caratteristiche personali dei pazienti e dei medici sulla comunicazione medico-paziente.</w:t>
      </w:r>
    </w:p>
    <w:p w:rsidR="00381ABF" w:rsidRPr="00EF60B7" w:rsidRDefault="00381ABF" w:rsidP="008D2DF6">
      <w:pPr>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Numerose ricerche sulla comunicazione medico-paziente hanno accertato che le caratteristiche personali (età, genere, ceto sociale, livello d’istruzione etc.) influenzano la relazione tra le due parti con effetti di varia natura sul processo terapeutico. Waitzkin (1985) ha osservato che le differenze tra i medici, generalmente appartenenti alla classe media e dotati di un buon livello d’istruzione, e pazienti di bassa estrazione sociale e/o poco istruiti può portare a serie difficoltà di comunicazione : e ciò principalmente perché i soggetti della “</w:t>
      </w:r>
      <w:r w:rsidRPr="00EF60B7">
        <w:rPr>
          <w:rFonts w:ascii="Times New Roman" w:hAnsi="Times New Roman" w:cs="Times New Roman"/>
          <w:i/>
          <w:sz w:val="24"/>
          <w:szCs w:val="24"/>
        </w:rPr>
        <w:t>middle</w:t>
      </w:r>
      <w:r w:rsidRPr="00EF60B7">
        <w:rPr>
          <w:rFonts w:ascii="Times New Roman" w:hAnsi="Times New Roman" w:cs="Times New Roman"/>
          <w:sz w:val="24"/>
          <w:szCs w:val="24"/>
        </w:rPr>
        <w:t xml:space="preserve"> </w:t>
      </w:r>
      <w:r w:rsidRPr="00EF60B7">
        <w:rPr>
          <w:rFonts w:ascii="Times New Roman" w:hAnsi="Times New Roman" w:cs="Times New Roman"/>
          <w:i/>
          <w:sz w:val="24"/>
          <w:szCs w:val="24"/>
        </w:rPr>
        <w:t>class</w:t>
      </w:r>
      <w:r w:rsidRPr="00EF60B7">
        <w:rPr>
          <w:rFonts w:ascii="Times New Roman" w:hAnsi="Times New Roman" w:cs="Times New Roman"/>
          <w:sz w:val="24"/>
          <w:szCs w:val="24"/>
        </w:rPr>
        <w:t>” tendono a comunicare in modo verbalmente esplicito, mentre i soggetti della “</w:t>
      </w:r>
      <w:r w:rsidRPr="00EF60B7">
        <w:rPr>
          <w:rFonts w:ascii="Times New Roman" w:hAnsi="Times New Roman" w:cs="Times New Roman"/>
          <w:i/>
          <w:sz w:val="24"/>
          <w:szCs w:val="24"/>
        </w:rPr>
        <w:t>working</w:t>
      </w:r>
      <w:r w:rsidRPr="00EF60B7">
        <w:rPr>
          <w:rFonts w:ascii="Times New Roman" w:hAnsi="Times New Roman" w:cs="Times New Roman"/>
          <w:sz w:val="24"/>
          <w:szCs w:val="24"/>
        </w:rPr>
        <w:t xml:space="preserve"> </w:t>
      </w:r>
      <w:r w:rsidRPr="00EF60B7">
        <w:rPr>
          <w:rFonts w:ascii="Times New Roman" w:hAnsi="Times New Roman" w:cs="Times New Roman"/>
          <w:i/>
          <w:sz w:val="24"/>
          <w:szCs w:val="24"/>
        </w:rPr>
        <w:t>class</w:t>
      </w:r>
      <w:r w:rsidRPr="00EF60B7">
        <w:rPr>
          <w:rFonts w:ascii="Times New Roman" w:hAnsi="Times New Roman" w:cs="Times New Roman"/>
          <w:sz w:val="24"/>
          <w:szCs w:val="24"/>
        </w:rPr>
        <w:t>” comunicano in modo più implicito attraverso segni non verbali che i medici possono fraintendere. La comunicazione può essere negativamente influenzata anche da stereotipi e pregiudizi di varia natura. I medici non di rado riflettono nei loro atteggiamenti verso i pazienti i pregiudizi diffusi nella società in cui vivono (Price, Desmond, Snyder, Kimmel, 1988; Nordholm, 1980). Una mancanza di rispetto per l’autonomia dei pazienti più anziani e una grande riluttanza dei medici a trattare con loro é stata rilevata da alcuni ricercatori (Greene, Adelman, Charon, Hoffman, 1986; Haug, 1981). Tuttavia, la prova di atteggiamenti negativi dei medici nei confronti dei pazienti molto anziani non é così univoca. É stato rilevato come i medici tendano ad essere verso i pazienti anziani , specie verso quelli che hanno superato i 74 anni, più cortesi di quanto non lo siano verso i pazienti giovani (Hooper, Comstock,  Goodwin, &amp; Goodwin, 1982); é stato rilevato altresì che i pazienti “</w:t>
      </w:r>
      <w:r w:rsidRPr="00EF60B7">
        <w:rPr>
          <w:rFonts w:ascii="Times New Roman" w:hAnsi="Times New Roman" w:cs="Times New Roman"/>
          <w:i/>
          <w:sz w:val="24"/>
          <w:szCs w:val="24"/>
        </w:rPr>
        <w:t>old</w:t>
      </w:r>
      <w:r w:rsidRPr="00EF60B7">
        <w:rPr>
          <w:rFonts w:ascii="Times New Roman" w:hAnsi="Times New Roman" w:cs="Times New Roman"/>
          <w:sz w:val="24"/>
          <w:szCs w:val="24"/>
        </w:rPr>
        <w:t>-</w:t>
      </w:r>
      <w:r w:rsidRPr="00EF60B7">
        <w:rPr>
          <w:rFonts w:ascii="Times New Roman" w:hAnsi="Times New Roman" w:cs="Times New Roman"/>
          <w:i/>
          <w:sz w:val="24"/>
          <w:szCs w:val="24"/>
        </w:rPr>
        <w:t>old</w:t>
      </w:r>
      <w:r w:rsidRPr="00EF60B7">
        <w:rPr>
          <w:rFonts w:ascii="Times New Roman" w:hAnsi="Times New Roman" w:cs="Times New Roman"/>
          <w:sz w:val="24"/>
          <w:szCs w:val="24"/>
        </w:rPr>
        <w:t xml:space="preserve">” (cioé, dopo i 74 anni) ricevono dai medici più spiegazioni in un linguaggio poco tecnico e particolarmente comprensibile rispetto ai pazienti non anziani (Waitzkin, 1985). Anche il genere dei pazienti appare correlato a differenze di stile comunicativo e </w:t>
      </w:r>
      <w:r w:rsidRPr="00EF60B7">
        <w:rPr>
          <w:rFonts w:ascii="Times New Roman" w:hAnsi="Times New Roman" w:cs="Times New Roman"/>
          <w:sz w:val="24"/>
          <w:szCs w:val="24"/>
        </w:rPr>
        <w:lastRenderedPageBreak/>
        <w:t>di atteggiamento da parte dei medici. In contrasto con l’opinione largamente diffusa secondo la quale anche nella cura medica si rifletterebbero atteggiamenti discriminatori nei confronti delle donne, dalle ricerche focalizzate su questo aspetto risulta che le pazienti godono di un trattamento particolarmente favorevole (Wallen et al, 1979; Hall et al., 1994). Esse ricevono una quantità di informazione maggiore e ciò, probabilmente, in risposta alla tendenza delle pazienti a fare più domande rispetto ai pazienti (Wallen, Waitzkin, Stoeckle, 1979) e, più in generale, alla loro maggiore disinvoltura nella comunicazione che le porta ad essere esplicite nell’assicurare al medico di avere capito le sue dichiarazioni (Hall, Irish, Roter, Ehrlich, Miller, 1994). Poiché le pazienti usano uno stile emotivamente più espressivo, anche  i medici, a loro volta, tendono a rivolgersi ad esse con un linguaggio che esprime partecipazione emotiva. Peraltro, le pazienti alle quali, dopo la visita medica, veniva chiesto quale tipo di medico preferissero, rispondevano di preferire un medico “</w:t>
      </w:r>
      <w:r w:rsidRPr="00EF60B7">
        <w:rPr>
          <w:rFonts w:ascii="Times New Roman" w:hAnsi="Times New Roman" w:cs="Times New Roman"/>
          <w:i/>
          <w:sz w:val="24"/>
          <w:szCs w:val="24"/>
        </w:rPr>
        <w:t>feeling</w:t>
      </w:r>
      <w:r w:rsidRPr="00EF60B7">
        <w:rPr>
          <w:rFonts w:ascii="Times New Roman" w:hAnsi="Times New Roman" w:cs="Times New Roman"/>
          <w:sz w:val="24"/>
          <w:szCs w:val="24"/>
        </w:rPr>
        <w:t>-</w:t>
      </w:r>
      <w:r w:rsidRPr="00EF60B7">
        <w:rPr>
          <w:rFonts w:ascii="Times New Roman" w:hAnsi="Times New Roman" w:cs="Times New Roman"/>
          <w:i/>
          <w:sz w:val="24"/>
          <w:szCs w:val="24"/>
        </w:rPr>
        <w:t>oriented</w:t>
      </w:r>
      <w:r w:rsidRPr="00EF60B7">
        <w:rPr>
          <w:rFonts w:ascii="Times New Roman" w:hAnsi="Times New Roman" w:cs="Times New Roman"/>
          <w:sz w:val="24"/>
          <w:szCs w:val="24"/>
        </w:rPr>
        <w:t>” piuttosto che uno “</w:t>
      </w:r>
      <w:r w:rsidRPr="00EF60B7">
        <w:rPr>
          <w:rFonts w:ascii="Times New Roman" w:hAnsi="Times New Roman" w:cs="Times New Roman"/>
          <w:i/>
          <w:sz w:val="24"/>
          <w:szCs w:val="24"/>
        </w:rPr>
        <w:t>thoughts-oriented</w:t>
      </w:r>
      <w:r w:rsidRPr="00EF60B7">
        <w:rPr>
          <w:rFonts w:ascii="Times New Roman" w:hAnsi="Times New Roman" w:cs="Times New Roman"/>
          <w:sz w:val="24"/>
          <w:szCs w:val="24"/>
        </w:rPr>
        <w:t xml:space="preserve">” (Hall &amp; Roter, 1995). Tra i pazienti, le donne differiscono dagli uomini non solo per una maggiore abilità di comunicazione in generale, ma anche per la particolare sensibilità che manifestano sul piano della comunicazione non verbale (Hall, 1985). Esse decodificano i segnali non verbali meglio di quanto non sappiano fare gli uomini (Arora, Mchorney, 2000). Inoltre, é stato trovato che fra i pazienti con patologia cronica le donne erano più propense a svolgere un ruolo attivo nel </w:t>
      </w:r>
      <w:r w:rsidRPr="00EF60B7">
        <w:rPr>
          <w:rFonts w:ascii="Times New Roman" w:hAnsi="Times New Roman" w:cs="Times New Roman"/>
          <w:i/>
          <w:sz w:val="24"/>
          <w:szCs w:val="24"/>
        </w:rPr>
        <w:t>decision</w:t>
      </w:r>
      <w:r w:rsidRPr="00EF60B7">
        <w:rPr>
          <w:rFonts w:ascii="Times New Roman" w:hAnsi="Times New Roman" w:cs="Times New Roman"/>
          <w:sz w:val="24"/>
          <w:szCs w:val="24"/>
        </w:rPr>
        <w:t>-</w:t>
      </w:r>
      <w:r w:rsidRPr="00EF60B7">
        <w:rPr>
          <w:rFonts w:ascii="Times New Roman" w:hAnsi="Times New Roman" w:cs="Times New Roman"/>
          <w:i/>
          <w:sz w:val="24"/>
          <w:szCs w:val="24"/>
        </w:rPr>
        <w:t>making</w:t>
      </w:r>
      <w:r w:rsidRPr="00EF60B7">
        <w:rPr>
          <w:rFonts w:ascii="Times New Roman" w:hAnsi="Times New Roman" w:cs="Times New Roman"/>
          <w:sz w:val="24"/>
          <w:szCs w:val="24"/>
        </w:rPr>
        <w:t xml:space="preserve"> rispetto agli uomini (Kaplan et al., 1995). Anche il tipo e il grado della malattia del paziente possono influenzare l’atteggiamento dei medici. Da alcune ricerche risulta che i medici preferiscono pazienti meno malati a pazienti più malati (Hall, Horgan, Stein, Roter, 2002). Osservano gli autori di queste ricerche che tale risultato può essere sorprendente per i medici, i quali probabilmente trovano più stimolanti i casi più difficili e rischiosi. In realtà,  nella pratica medica quotidiana molte patologie sono croniche e , in quanto tali, non offrono ai medici quegli stimoli che possono dare i casi di patologie in quanto tali, non offrono ai medici quegli stimoli che possono dare i casi di patologie acute. In altri termini, la frustrazione originata dalla difficoltà o dall’impossibilità di terapie risolutive e la ripetitività delle terapie di trattamento delle patologie croniche può portare il medico a sentirsi meno coinvolto nei confronti dei malati cronici. D’altra parte, l’atteggiamento dei medici varia in risposta a quello dei pazienti (e viceversa). Se i pazienti con patologia cronica non si attivano </w:t>
      </w:r>
      <w:r w:rsidRPr="00EF60B7">
        <w:rPr>
          <w:rFonts w:ascii="Times New Roman" w:hAnsi="Times New Roman" w:cs="Times New Roman"/>
          <w:sz w:val="24"/>
          <w:szCs w:val="24"/>
        </w:rPr>
        <w:lastRenderedPageBreak/>
        <w:t>apprezzabilmente, anche i medici sono portati ad assumere atteggiamenti in cui si manifesta un debole coinvolgimento nella relazione col malato. Così pure, se, come risulta da una ricerca (Hall, Roter, Milburn, Deltroy, 1996), i paziente più gravemente malati tendono ad assumere comportamenti negativi nei confronti dei medici, non sorprende che i medici abbiano più “</w:t>
      </w:r>
      <w:r w:rsidRPr="00EF60B7">
        <w:rPr>
          <w:rFonts w:ascii="Times New Roman" w:hAnsi="Times New Roman" w:cs="Times New Roman"/>
          <w:i/>
          <w:sz w:val="24"/>
          <w:szCs w:val="24"/>
        </w:rPr>
        <w:t>feeling</w:t>
      </w:r>
      <w:r w:rsidRPr="00EF60B7">
        <w:rPr>
          <w:rFonts w:ascii="Times New Roman" w:hAnsi="Times New Roman" w:cs="Times New Roman"/>
          <w:sz w:val="24"/>
          <w:szCs w:val="24"/>
        </w:rPr>
        <w:t>” con i pazienti in condizioni meno gravi. Anche se é comprensibile la reazione dei medici, le implicazioni negative sulla loro relazione con i pazienti sono considerevoli. Una ricerca focalizzata sul grado di soddisfazione del paziente (Hall, Feldestein, Fretwell, Rowe, Epstein, 1990) é pervenuta alla conclusione che i pazienti più malati e sofferenti sono, rispetto ad altri, meno soddisfatti della cura che ricevono. Anche l’aspetto fisico dei pazienti può avere influenza sulla comunicazione; da una ricerca condotta da Hooper e collaboratori (1982) é risultato che ai pazienti che apparivano sporchi e trascurati nel vestire i medici erano meno propensi a fare domande e ad offrire l’opportunità di fare domande. Si notavano effetti negativi anche sulla qualità della comunicazione non verbale. Al contrario, i pazienti dall’aspetto gradevole, puliti e ben vestiti, durante le visite venivano sollecitati a comunicare attivamente. Che i medici gradiscano certi pazienti piuttosto che altri emerge anche da uno studio di Groves (1978) sui pazienti “</w:t>
      </w:r>
      <w:r w:rsidRPr="00EF60B7">
        <w:rPr>
          <w:rFonts w:ascii="Times New Roman" w:hAnsi="Times New Roman" w:cs="Times New Roman"/>
          <w:i/>
          <w:sz w:val="24"/>
          <w:szCs w:val="24"/>
        </w:rPr>
        <w:t>hateful</w:t>
      </w:r>
      <w:r w:rsidRPr="00EF60B7">
        <w:rPr>
          <w:rFonts w:ascii="Times New Roman" w:hAnsi="Times New Roman" w:cs="Times New Roman"/>
          <w:sz w:val="24"/>
          <w:szCs w:val="24"/>
        </w:rPr>
        <w:t>”, cioé su quei pazienti che ai medici appaiono eccessivamente dipendenti, troppo esigenti, manipolativi, o autodistruttivi. Groves osserva a tal proposito che le reazioni negative che questi pazienti suscitano nei loro medici dovrebbero essere utilizzate come informazioni cliniche atte a propiziare un più appropriato “</w:t>
      </w:r>
      <w:r w:rsidRPr="00EF60B7">
        <w:rPr>
          <w:rFonts w:ascii="Times New Roman" w:hAnsi="Times New Roman" w:cs="Times New Roman"/>
          <w:i/>
          <w:sz w:val="24"/>
          <w:szCs w:val="24"/>
        </w:rPr>
        <w:t>management</w:t>
      </w:r>
      <w:r w:rsidRPr="00EF60B7">
        <w:rPr>
          <w:rFonts w:ascii="Times New Roman" w:hAnsi="Times New Roman" w:cs="Times New Roman"/>
          <w:sz w:val="24"/>
          <w:szCs w:val="24"/>
        </w:rPr>
        <w:t xml:space="preserve">” psico-sociale. Ma, per quanto i medici possano sforzarsi di fare buon uso dei loro sentimenti negativi, é quasi inevitabile che questi trapelino o vengano scoperti dal paziente. Infatti, tanto i medici quanto i pazienti sono piuttosto precisi nel giudicare quanto gli uni piacciano agli altri (Hall et al., 2002). La crescente presenza femminile nel settore medico ha indotto vari ricercatori (Hall, 1984; Eagly &amp; Johnson, 1990; Dindia &amp; Allen, 1992; Mechanic et al., 2001) a focalizzare la loro attenzione sull’influenza del genere del medico nella comunicazione medico-paziente. Sono state documentate significative differenze tra lo stile comunicativo degli uomini e quello delle donne. Nelle visite mediche, queste ultime dedicano ai pazienti più tempo e ne facilitano la partecipazione ponendo loro più domande, soprattutto di tipo psico-sociale (Mechanic et al., 2001). Inoltre, esse manifestano una maggiore capacità, rispetto agli uomini, nel </w:t>
      </w:r>
      <w:r w:rsidRPr="00EF60B7">
        <w:rPr>
          <w:rFonts w:ascii="Times New Roman" w:hAnsi="Times New Roman" w:cs="Times New Roman"/>
          <w:sz w:val="24"/>
          <w:szCs w:val="24"/>
        </w:rPr>
        <w:lastRenderedPageBreak/>
        <w:t>cogliere gli stati d’animo espressi dai pazienti mediante segni non verbali, nel giudicare i tratti della personalità del paziente, nell’incoraggiare quest’ultimo ad esprimersi con confidenza (Hall, 1984). In contrasto con la diffusa tendenza degli uomini a far valere l’asimmetria del rapporto tra lo stato del medico e quello del paziente, le donne tendono e si impegnano a stabilire con i pazienti un rapporto meno asimmetrico  (Eagly &amp; Johnson, 1990). In conclusione, i risultati di queste ricerche concordano nel rilevare che nella comunicazione medico-paziente si manifesta un maggiore grado di empatia da parte del medico quando a curare il paziente é una donna.</w:t>
      </w:r>
    </w:p>
    <w:p w:rsidR="00381ABF" w:rsidRPr="00EF60B7" w:rsidRDefault="00381ABF" w:rsidP="008D2DF6">
      <w:pPr>
        <w:tabs>
          <w:tab w:val="left" w:pos="8056"/>
        </w:tabs>
        <w:spacing w:before="240" w:line="360" w:lineRule="auto"/>
        <w:jc w:val="both"/>
        <w:rPr>
          <w:rFonts w:ascii="Times New Roman" w:hAnsi="Times New Roman" w:cs="Times New Roman"/>
          <w:sz w:val="24"/>
          <w:szCs w:val="24"/>
        </w:rPr>
      </w:pPr>
    </w:p>
    <w:p w:rsidR="00381ABF" w:rsidRPr="00EF60B7" w:rsidRDefault="00381ABF" w:rsidP="008D2DF6">
      <w:pPr>
        <w:tabs>
          <w:tab w:val="left" w:pos="8056"/>
        </w:tabs>
        <w:spacing w:line="360" w:lineRule="auto"/>
        <w:jc w:val="both"/>
        <w:rPr>
          <w:rFonts w:ascii="Times New Roman" w:hAnsi="Times New Roman" w:cs="Times New Roman"/>
          <w:sz w:val="24"/>
          <w:szCs w:val="24"/>
        </w:rPr>
      </w:pPr>
    </w:p>
    <w:p w:rsidR="00381ABF" w:rsidRPr="00EF60B7" w:rsidRDefault="00381ABF" w:rsidP="008D2DF6">
      <w:pPr>
        <w:tabs>
          <w:tab w:val="left" w:pos="8056"/>
        </w:tabs>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ab/>
      </w:r>
    </w:p>
    <w:p w:rsidR="00381ABF" w:rsidRPr="00EF60B7" w:rsidRDefault="00381ABF" w:rsidP="008D2DF6">
      <w:pPr>
        <w:spacing w:line="360" w:lineRule="auto"/>
        <w:jc w:val="both"/>
        <w:rPr>
          <w:rFonts w:ascii="Times New Roman" w:hAnsi="Times New Roman" w:cs="Times New Roman"/>
          <w:sz w:val="24"/>
          <w:szCs w:val="24"/>
        </w:rPr>
      </w:pPr>
    </w:p>
    <w:p w:rsidR="00381ABF" w:rsidRPr="00EF60B7" w:rsidRDefault="00381ABF" w:rsidP="008D2DF6">
      <w:pPr>
        <w:spacing w:line="360" w:lineRule="auto"/>
        <w:jc w:val="both"/>
        <w:rPr>
          <w:rFonts w:ascii="Times New Roman" w:hAnsi="Times New Roman" w:cs="Times New Roman"/>
          <w:sz w:val="24"/>
          <w:szCs w:val="24"/>
        </w:rPr>
      </w:pPr>
    </w:p>
    <w:p w:rsidR="00381ABF" w:rsidRPr="00EF60B7" w:rsidRDefault="00381ABF" w:rsidP="008D2DF6">
      <w:pPr>
        <w:spacing w:line="360" w:lineRule="auto"/>
        <w:jc w:val="both"/>
        <w:rPr>
          <w:rFonts w:ascii="Times New Roman" w:hAnsi="Times New Roman" w:cs="Times New Roman"/>
          <w:sz w:val="24"/>
          <w:szCs w:val="24"/>
        </w:rPr>
      </w:pPr>
    </w:p>
    <w:p w:rsidR="00381ABF" w:rsidRPr="00EF60B7" w:rsidRDefault="00381ABF" w:rsidP="008D2DF6">
      <w:pPr>
        <w:spacing w:line="360" w:lineRule="auto"/>
        <w:jc w:val="both"/>
        <w:rPr>
          <w:rFonts w:ascii="Times New Roman" w:hAnsi="Times New Roman" w:cs="Times New Roman"/>
          <w:sz w:val="24"/>
          <w:szCs w:val="24"/>
        </w:rPr>
      </w:pPr>
    </w:p>
    <w:p w:rsidR="00381ABF" w:rsidRPr="00EF60B7" w:rsidRDefault="00381ABF" w:rsidP="008D2DF6">
      <w:pPr>
        <w:spacing w:line="360" w:lineRule="auto"/>
        <w:jc w:val="both"/>
        <w:rPr>
          <w:rFonts w:ascii="Times New Roman" w:hAnsi="Times New Roman" w:cs="Times New Roman"/>
          <w:sz w:val="24"/>
          <w:szCs w:val="24"/>
        </w:rPr>
      </w:pPr>
    </w:p>
    <w:p w:rsidR="00381ABF" w:rsidRPr="00EF60B7" w:rsidRDefault="00381ABF" w:rsidP="008D2DF6">
      <w:pPr>
        <w:spacing w:line="360" w:lineRule="auto"/>
        <w:jc w:val="both"/>
        <w:rPr>
          <w:rFonts w:ascii="Times New Roman" w:hAnsi="Times New Roman" w:cs="Times New Roman"/>
          <w:sz w:val="24"/>
          <w:szCs w:val="24"/>
        </w:rPr>
      </w:pPr>
    </w:p>
    <w:p w:rsidR="00381ABF" w:rsidRPr="00EF60B7" w:rsidRDefault="00381ABF" w:rsidP="008D2DF6">
      <w:pPr>
        <w:spacing w:line="360" w:lineRule="auto"/>
        <w:jc w:val="both"/>
        <w:rPr>
          <w:rFonts w:ascii="Times New Roman" w:hAnsi="Times New Roman" w:cs="Times New Roman"/>
          <w:sz w:val="24"/>
          <w:szCs w:val="24"/>
        </w:rPr>
      </w:pPr>
    </w:p>
    <w:p w:rsidR="00381ABF" w:rsidRPr="00EF60B7" w:rsidRDefault="00381ABF" w:rsidP="008D2DF6">
      <w:pPr>
        <w:spacing w:line="360" w:lineRule="auto"/>
        <w:jc w:val="both"/>
        <w:rPr>
          <w:rFonts w:ascii="Times New Roman" w:hAnsi="Times New Roman" w:cs="Times New Roman"/>
          <w:sz w:val="24"/>
          <w:szCs w:val="24"/>
        </w:rPr>
      </w:pPr>
    </w:p>
    <w:p w:rsidR="00381ABF" w:rsidRPr="00EF60B7" w:rsidRDefault="00381ABF" w:rsidP="008D2DF6">
      <w:pPr>
        <w:spacing w:line="360" w:lineRule="auto"/>
        <w:jc w:val="both"/>
        <w:rPr>
          <w:rFonts w:ascii="Times New Roman" w:hAnsi="Times New Roman" w:cs="Times New Roman"/>
          <w:sz w:val="24"/>
          <w:szCs w:val="24"/>
        </w:rPr>
      </w:pPr>
    </w:p>
    <w:p w:rsidR="00381ABF" w:rsidRPr="00EF60B7" w:rsidRDefault="00381ABF" w:rsidP="008D2DF6">
      <w:pPr>
        <w:spacing w:line="360" w:lineRule="auto"/>
        <w:jc w:val="both"/>
        <w:rPr>
          <w:rFonts w:ascii="Times New Roman" w:hAnsi="Times New Roman" w:cs="Times New Roman"/>
          <w:sz w:val="24"/>
          <w:szCs w:val="24"/>
        </w:rPr>
      </w:pPr>
    </w:p>
    <w:p w:rsidR="00381ABF" w:rsidRDefault="00381ABF" w:rsidP="008D2DF6">
      <w:pPr>
        <w:spacing w:line="360" w:lineRule="auto"/>
        <w:jc w:val="both"/>
        <w:rPr>
          <w:rFonts w:ascii="Times New Roman" w:hAnsi="Times New Roman" w:cs="Times New Roman"/>
          <w:sz w:val="24"/>
          <w:szCs w:val="24"/>
        </w:rPr>
      </w:pPr>
    </w:p>
    <w:p w:rsidR="00F51D3B" w:rsidRDefault="00F51D3B" w:rsidP="008D2DF6">
      <w:pPr>
        <w:spacing w:line="360" w:lineRule="auto"/>
        <w:jc w:val="both"/>
        <w:rPr>
          <w:rFonts w:ascii="Times New Roman" w:hAnsi="Times New Roman" w:cs="Times New Roman"/>
          <w:sz w:val="24"/>
          <w:szCs w:val="24"/>
        </w:rPr>
      </w:pPr>
    </w:p>
    <w:p w:rsidR="00F51D3B" w:rsidRDefault="00F51D3B" w:rsidP="008D2DF6">
      <w:pPr>
        <w:spacing w:line="360" w:lineRule="auto"/>
        <w:jc w:val="both"/>
        <w:rPr>
          <w:rFonts w:ascii="Times New Roman" w:hAnsi="Times New Roman" w:cs="Times New Roman"/>
          <w:sz w:val="24"/>
          <w:szCs w:val="24"/>
        </w:rPr>
      </w:pPr>
    </w:p>
    <w:p w:rsidR="00F51D3B" w:rsidRPr="00EF60B7" w:rsidRDefault="00F51D3B" w:rsidP="008D2DF6">
      <w:pPr>
        <w:spacing w:line="360" w:lineRule="auto"/>
        <w:jc w:val="both"/>
        <w:rPr>
          <w:rFonts w:ascii="Times New Roman" w:hAnsi="Times New Roman" w:cs="Times New Roman"/>
          <w:sz w:val="24"/>
          <w:szCs w:val="24"/>
        </w:rPr>
      </w:pPr>
    </w:p>
    <w:p w:rsidR="00381ABF" w:rsidRPr="00EF60B7" w:rsidRDefault="00381ABF" w:rsidP="00F51D3B">
      <w:pPr>
        <w:spacing w:line="360" w:lineRule="auto"/>
        <w:jc w:val="center"/>
        <w:rPr>
          <w:rFonts w:ascii="Times New Roman" w:hAnsi="Times New Roman" w:cs="Times New Roman"/>
          <w:sz w:val="24"/>
          <w:szCs w:val="24"/>
        </w:rPr>
      </w:pPr>
      <w:r w:rsidRPr="00EF60B7">
        <w:rPr>
          <w:rFonts w:ascii="Times New Roman" w:hAnsi="Times New Roman" w:cs="Times New Roman"/>
          <w:sz w:val="24"/>
          <w:szCs w:val="24"/>
        </w:rPr>
        <w:t>CAPITOLO SECONDO</w:t>
      </w:r>
    </w:p>
    <w:p w:rsidR="00381ABF" w:rsidRPr="00EF60B7" w:rsidRDefault="00381ABF" w:rsidP="00F51D3B">
      <w:pPr>
        <w:spacing w:line="360" w:lineRule="auto"/>
        <w:jc w:val="center"/>
        <w:rPr>
          <w:rFonts w:ascii="Times New Roman" w:hAnsi="Times New Roman" w:cs="Times New Roman"/>
          <w:sz w:val="24"/>
          <w:szCs w:val="24"/>
        </w:rPr>
      </w:pPr>
      <w:r w:rsidRPr="00EF60B7">
        <w:rPr>
          <w:rFonts w:ascii="Times New Roman" w:hAnsi="Times New Roman" w:cs="Times New Roman"/>
          <w:sz w:val="24"/>
          <w:szCs w:val="24"/>
        </w:rPr>
        <w:t>IL DECISION MAKING IN AMBITO MEDICO</w:t>
      </w:r>
    </w:p>
    <w:p w:rsidR="00381ABF" w:rsidRPr="00EF60B7" w:rsidRDefault="00381ABF" w:rsidP="008D2DF6">
      <w:pPr>
        <w:spacing w:line="360" w:lineRule="auto"/>
        <w:jc w:val="both"/>
        <w:rPr>
          <w:rFonts w:ascii="Times New Roman" w:hAnsi="Times New Roman" w:cs="Times New Roman"/>
          <w:sz w:val="24"/>
          <w:szCs w:val="24"/>
        </w:rPr>
      </w:pPr>
    </w:p>
    <w:p w:rsidR="00381ABF" w:rsidRPr="00EF60B7" w:rsidRDefault="00381ABF" w:rsidP="008D2DF6">
      <w:pPr>
        <w:spacing w:line="360" w:lineRule="auto"/>
        <w:jc w:val="both"/>
        <w:rPr>
          <w:rFonts w:ascii="Times New Roman" w:hAnsi="Times New Roman" w:cs="Times New Roman"/>
          <w:i/>
          <w:sz w:val="24"/>
          <w:szCs w:val="24"/>
        </w:rPr>
      </w:pPr>
      <w:r w:rsidRPr="00EF60B7">
        <w:rPr>
          <w:rFonts w:ascii="Times New Roman" w:hAnsi="Times New Roman" w:cs="Times New Roman"/>
          <w:i/>
          <w:sz w:val="24"/>
          <w:szCs w:val="24"/>
        </w:rPr>
        <w:t>2.1 Considerazioni generali sul Decision Making</w:t>
      </w:r>
    </w:p>
    <w:p w:rsidR="00381ABF" w:rsidRPr="00EF60B7" w:rsidRDefault="00381ABF" w:rsidP="008D2DF6">
      <w:pPr>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 xml:space="preserve">Nello studio dei processi decisionali occupa un posto centrale il problema dell’incertezza che riguarda non solo gli esiti della decisione, ma anche la gestione delle informazioni, la strategia da seguire dopo che si sono verificati fatti nuovi prima della scelta (Berkeley &amp; Humphreys, 1982). Rumiati e Bonini (2001) sottolineano la differenza tra incertezza e rischio nel senso che il primo termine si riferisce a situazioni in cui si conoscono gli esiti della scelta ma si é allo scuro delle probabilità legate ai diversi esiti, mentre il secondo si riferisce a situazioni in cui si conoscono non solo gli esiti della decisione da prendere ma anche le probabilità ad essi associate. Viene precisato anche che dire “buona” decisione non ha lo stesso significato di dire “corretta” decisione; infatti, il primo termine é adeguato quando la decisione viene valutata con riferimento all’esito mentre il secondo é più adatto in riferimento ad una valutazione riguardante il processo attraverso cui si arriva alla decisione. D’altronde, come osserva Holtzman (1989), non sempre una buona decisione porta ad un buon esito, e una cattiva decisione può sortire un buon risultato. Di solito, quando diciamo che una decisione é “giusta” usiamo un parametro normativo, cioè la definiamo “giusta” perché essa rispetta un modello; in tal caso giudichiamo la “qualità” della decisione. La qualità dell’esito dipende invece dalle preferenze di chi decide e la sua relazione con un dato processo decisionale é solo probabile. Secondo Majone (1984) nelle decisioni che si prendono nella vita quotidiana la valutazione di correttezza e bontà in base a criteri formali é difficilmente applicabile, in quanto dipende dalle priorità di valori o di utilità che ogni individuo manifesta quando fa una scelta; mentre invece in particolari settori, come la medicina, essendo molto incerti gli esiti e non essendo disponibile alcun criterio di correttezza, la procedura del modello formale costituisce un sistema di riferimento per valutare la correttezza del procedimento decisionale adottato. Hogarth &amp; Makridakis (1981) hanno </w:t>
      </w:r>
      <w:r w:rsidRPr="00EF60B7">
        <w:rPr>
          <w:rFonts w:ascii="Times New Roman" w:hAnsi="Times New Roman" w:cs="Times New Roman"/>
          <w:sz w:val="24"/>
          <w:szCs w:val="24"/>
        </w:rPr>
        <w:lastRenderedPageBreak/>
        <w:t xml:space="preserve">presentato il processo decisionale come una sequenza di fasi di elaborazione delle informazioni dentro un sistema in cui interagiscono tre elementi: l’individuo, l’ambiente, le azioni che derivano dal giudizio e che possono avere un </w:t>
      </w:r>
      <w:r w:rsidRPr="00EF60B7">
        <w:rPr>
          <w:rFonts w:ascii="Times New Roman" w:hAnsi="Times New Roman" w:cs="Times New Roman"/>
          <w:i/>
          <w:sz w:val="24"/>
          <w:szCs w:val="24"/>
        </w:rPr>
        <w:t>feedback</w:t>
      </w:r>
      <w:r w:rsidRPr="00EF60B7">
        <w:rPr>
          <w:rFonts w:ascii="Times New Roman" w:hAnsi="Times New Roman" w:cs="Times New Roman"/>
          <w:sz w:val="24"/>
          <w:szCs w:val="24"/>
        </w:rPr>
        <w:t xml:space="preserve"> sia sull’individuo che sull’ambiente; le fasi sono: a) acquisizione dell’informazione, b) elaborazione dell’informazione acquisita dal sistema e c) l’espressione del giudizio (</w:t>
      </w:r>
      <w:r w:rsidRPr="00EF60B7">
        <w:rPr>
          <w:rFonts w:ascii="Times New Roman" w:hAnsi="Times New Roman" w:cs="Times New Roman"/>
          <w:i/>
          <w:sz w:val="24"/>
          <w:szCs w:val="24"/>
        </w:rPr>
        <w:t>output</w:t>
      </w:r>
      <w:r w:rsidRPr="00EF60B7">
        <w:rPr>
          <w:rFonts w:ascii="Times New Roman" w:hAnsi="Times New Roman" w:cs="Times New Roman"/>
          <w:sz w:val="24"/>
          <w:szCs w:val="24"/>
        </w:rPr>
        <w:t xml:space="preserve">). Quest’ultima determina un esito che in seguito produce effetti retroattivi sullo schema dell’individuo ma può anche influire sul modo di percepire l’ambiente, sulla complessità del compito e sul tipo di azione da eseguire (Rumiati &amp; Bonini, 2001). Gli errori di giudizio risultano non tanto da errate applicazioni della teoria della probabilità quanto piuttosto da </w:t>
      </w:r>
      <w:r w:rsidRPr="00EF60B7">
        <w:rPr>
          <w:rFonts w:ascii="Times New Roman" w:hAnsi="Times New Roman" w:cs="Times New Roman"/>
          <w:i/>
          <w:sz w:val="24"/>
          <w:szCs w:val="24"/>
        </w:rPr>
        <w:t>bias</w:t>
      </w:r>
      <w:r w:rsidRPr="00EF60B7">
        <w:rPr>
          <w:rFonts w:ascii="Times New Roman" w:hAnsi="Times New Roman" w:cs="Times New Roman"/>
          <w:sz w:val="24"/>
          <w:szCs w:val="24"/>
        </w:rPr>
        <w:t xml:space="preserve"> cognitivi cioè da errori solitamente connessi all’uso di strategie euristiche che senza dubbio semplificano il processo cognitivo sottostante all’emissione del giudizio ma possono provocare anche forti distorsioni. Gli errori sistematici (</w:t>
      </w:r>
      <w:r w:rsidRPr="00EF60B7">
        <w:rPr>
          <w:rFonts w:ascii="Times New Roman" w:hAnsi="Times New Roman" w:cs="Times New Roman"/>
          <w:i/>
          <w:sz w:val="24"/>
          <w:szCs w:val="24"/>
        </w:rPr>
        <w:t>bias</w:t>
      </w:r>
      <w:r w:rsidRPr="00EF60B7">
        <w:rPr>
          <w:rFonts w:ascii="Times New Roman" w:hAnsi="Times New Roman" w:cs="Times New Roman"/>
          <w:sz w:val="24"/>
          <w:szCs w:val="24"/>
        </w:rPr>
        <w:t xml:space="preserve">) possono avvenire in ciascuna delle tre fasi del processo decisionale; nella fase dell’acquisizione dell’informazione tali errori sono imputabili a varie cause fra le quali l’euristica della disponibilità. Rumiati e Bonini (2001) definiscono l’euristica come “una strategia particolare che consente all’individuo di risolvere un problema compatibilmente con la complessità del compito e la limitatezza dei suoi sistemi di immagazzinamento e di elaborazione delle informazioni”. L’euristica della “disponibilità” consiste nella “disponibilità”, appunto, con cui certi eventi, associati a ciò che deve essere oggetto di valutazione, si presentano alla memoria. Nella fase dell’elaborazione delle informazioni gli errori sistematici spesso sono dovuti all’euristica della “rappresentatività” e a quella di “ancoraggio e aggiustamento”.  Utilizzare l’euristica della “rappresentatività” significa valutare la probabilità di un evento incerto oppure un campione in base al grado in cui quell’evento o quel campione “é simile nelle proprietà essenziali alla popolazione dalla quale é tratto; riflette le caratteristiche salienti del processo che l’ha generato” (Kahneman &amp; Tversky, 1972; 430). L’euristica di “ancoraggio e aggiustamento” consta di due fasi: la prima implica un giudizio preliminare o il recupero di un giudizio precedentemente dato a partire da un preciso valore di riferimento (áncora); la seconda consiste nell’aggiustare la stima fatta nella prima fase utilizzando informazioni aggiuntive. L’errore sistematico in cui si può incorrere é quello di sottostimare i valori a causa di un aggiustamento insufficiente. Prima che cominciassero ad occuparsene gli psicologi, la decisione é </w:t>
      </w:r>
      <w:r w:rsidRPr="00EF60B7">
        <w:rPr>
          <w:rFonts w:ascii="Times New Roman" w:hAnsi="Times New Roman" w:cs="Times New Roman"/>
          <w:sz w:val="24"/>
          <w:szCs w:val="24"/>
        </w:rPr>
        <w:lastRenderedPageBreak/>
        <w:t xml:space="preserve">stata per lungo tempo studiata da economisti e matematici che hanno elaborato su di essa teorie assiomatiche basate su un modello ideale di decisore che deve seguire delle ben precise norme per effettuare una scelta razionale. Le teorie normative della decisione si basano essenzialmente sulla nozione-chiave dell’utilità attesa e sul principio che una scelta é razionale nella misura in cui massimizza l’utilità che deriva dall’esito della stessa. Gli assiomi che sono alla base della teoria dell’utilità attesa (quello della transitività, quello della dominanza e quello della invarianza) sono stati discussi da molti studiosi allo scopo di esaminare quei modelli anche sotto il profilo della loro “realtà psicologica” (Machina, 1982; Fishburn, 1983; Luce &amp; Narens, 1985). Prove empiriche, ormai considerate classiche, evidenziano le ragioni per cui quegli assiomi non possono avere capacità descrittiva e/o predittiva del comportamento di scelta. La </w:t>
      </w:r>
      <w:r w:rsidRPr="00EF60B7">
        <w:rPr>
          <w:rFonts w:ascii="Times New Roman" w:hAnsi="Times New Roman" w:cs="Times New Roman"/>
          <w:i/>
          <w:sz w:val="24"/>
          <w:szCs w:val="24"/>
        </w:rPr>
        <w:t>teoria</w:t>
      </w:r>
      <w:r w:rsidRPr="00EF60B7">
        <w:rPr>
          <w:rFonts w:ascii="Times New Roman" w:hAnsi="Times New Roman" w:cs="Times New Roman"/>
          <w:sz w:val="24"/>
          <w:szCs w:val="24"/>
        </w:rPr>
        <w:t xml:space="preserve"> </w:t>
      </w:r>
      <w:r w:rsidRPr="00EF60B7">
        <w:rPr>
          <w:rFonts w:ascii="Times New Roman" w:hAnsi="Times New Roman" w:cs="Times New Roman"/>
          <w:i/>
          <w:sz w:val="24"/>
          <w:szCs w:val="24"/>
        </w:rPr>
        <w:t>dell’utilità</w:t>
      </w:r>
      <w:r w:rsidRPr="00EF60B7">
        <w:rPr>
          <w:rFonts w:ascii="Times New Roman" w:hAnsi="Times New Roman" w:cs="Times New Roman"/>
          <w:sz w:val="24"/>
          <w:szCs w:val="24"/>
        </w:rPr>
        <w:t xml:space="preserve"> ha mostrato non solo una debolezza predittiva ma anche una mancanza di aderenza alla realtà psicologica. Infatti ci si é resi conto che le deviazioni dai principi normativi osservate sperimentalmente erano talmente significative da non potere essere considerate come errori casuali del singolo soggetto (Tversky &amp; Kahneman, 1986). A partire dagli inizi degli anni ’70 la psicologia della decisione si é rivolta con sempre maggiore interesse verso lo studio del “come” effettivamente gli individui fanno le loro scelte impegnandosi a descrivere i meccanismi che sottostanno al processo di decisione. La </w:t>
      </w:r>
      <w:r w:rsidRPr="00EF60B7">
        <w:rPr>
          <w:rFonts w:ascii="Times New Roman" w:hAnsi="Times New Roman" w:cs="Times New Roman"/>
          <w:i/>
          <w:sz w:val="24"/>
          <w:szCs w:val="24"/>
        </w:rPr>
        <w:t>teoria</w:t>
      </w:r>
      <w:r w:rsidRPr="00EF60B7">
        <w:rPr>
          <w:rFonts w:ascii="Times New Roman" w:hAnsi="Times New Roman" w:cs="Times New Roman"/>
          <w:sz w:val="24"/>
          <w:szCs w:val="24"/>
        </w:rPr>
        <w:t xml:space="preserve"> </w:t>
      </w:r>
      <w:r w:rsidRPr="00EF60B7">
        <w:rPr>
          <w:rFonts w:ascii="Times New Roman" w:hAnsi="Times New Roman" w:cs="Times New Roman"/>
          <w:i/>
          <w:sz w:val="24"/>
          <w:szCs w:val="24"/>
        </w:rPr>
        <w:t>del</w:t>
      </w:r>
      <w:r w:rsidRPr="00EF60B7">
        <w:rPr>
          <w:rFonts w:ascii="Times New Roman" w:hAnsi="Times New Roman" w:cs="Times New Roman"/>
          <w:sz w:val="24"/>
          <w:szCs w:val="24"/>
        </w:rPr>
        <w:t xml:space="preserve"> “</w:t>
      </w:r>
      <w:r w:rsidRPr="00EF60B7">
        <w:rPr>
          <w:rFonts w:ascii="Times New Roman" w:hAnsi="Times New Roman" w:cs="Times New Roman"/>
          <w:i/>
          <w:sz w:val="24"/>
          <w:szCs w:val="24"/>
        </w:rPr>
        <w:t>prospetto</w:t>
      </w:r>
      <w:r w:rsidRPr="00EF60B7">
        <w:rPr>
          <w:rFonts w:ascii="Times New Roman" w:hAnsi="Times New Roman" w:cs="Times New Roman"/>
          <w:sz w:val="24"/>
          <w:szCs w:val="24"/>
        </w:rPr>
        <w:t>”, proposta da Kahneman &amp; Tversky (1979;1981) viene considerata come la prima teoria alternativa a quella dell’utilità. Essa é basata sull’idea che gli individui interpretano e valutano le prospettive o le opzioni proposte in termini di scarto da un dato punto di riferimento; le valutazioni saranno diverse a seconda che si riferiscano a guadagni o a perdite. In altri termini ci sarebbe una tendenza ad evitare il rischio quando si tratta di prospetti di guadagno, mentre ci sarebbe maggiore disponibilità ad accettarlo se i prospetti implicano una perdita. Carattere descrittivo ha anche la cosiddetta “</w:t>
      </w:r>
      <w:r w:rsidRPr="00EF60B7">
        <w:rPr>
          <w:rFonts w:ascii="Times New Roman" w:hAnsi="Times New Roman" w:cs="Times New Roman"/>
          <w:i/>
          <w:sz w:val="24"/>
          <w:szCs w:val="24"/>
        </w:rPr>
        <w:t>teoria</w:t>
      </w:r>
      <w:r w:rsidRPr="00EF60B7">
        <w:rPr>
          <w:rFonts w:ascii="Times New Roman" w:hAnsi="Times New Roman" w:cs="Times New Roman"/>
          <w:sz w:val="24"/>
          <w:szCs w:val="24"/>
        </w:rPr>
        <w:t xml:space="preserve"> </w:t>
      </w:r>
      <w:r w:rsidRPr="00EF60B7">
        <w:rPr>
          <w:rFonts w:ascii="Times New Roman" w:hAnsi="Times New Roman" w:cs="Times New Roman"/>
          <w:i/>
          <w:sz w:val="24"/>
          <w:szCs w:val="24"/>
        </w:rPr>
        <w:t>dell’immagine”</w:t>
      </w:r>
      <w:r w:rsidRPr="00EF60B7">
        <w:rPr>
          <w:rFonts w:ascii="Times New Roman" w:hAnsi="Times New Roman" w:cs="Times New Roman"/>
          <w:sz w:val="24"/>
          <w:szCs w:val="24"/>
        </w:rPr>
        <w:t xml:space="preserve"> proposta da Beach &amp; Mitchell (1987a; 1987b); questa teoria descrive il comportamento di decisione in termini di rappresentazione sotto forma di immagini delle informazioni necessarie per la decisione. La </w:t>
      </w:r>
      <w:r w:rsidRPr="00EF60B7">
        <w:rPr>
          <w:rFonts w:ascii="Times New Roman" w:hAnsi="Times New Roman" w:cs="Times New Roman"/>
          <w:i/>
          <w:sz w:val="24"/>
          <w:szCs w:val="24"/>
        </w:rPr>
        <w:t>teoria</w:t>
      </w:r>
      <w:r w:rsidRPr="00EF60B7">
        <w:rPr>
          <w:rFonts w:ascii="Times New Roman" w:hAnsi="Times New Roman" w:cs="Times New Roman"/>
          <w:sz w:val="24"/>
          <w:szCs w:val="24"/>
        </w:rPr>
        <w:t xml:space="preserve"> </w:t>
      </w:r>
      <w:r w:rsidRPr="00EF60B7">
        <w:rPr>
          <w:rFonts w:ascii="Times New Roman" w:hAnsi="Times New Roman" w:cs="Times New Roman"/>
          <w:i/>
          <w:sz w:val="24"/>
          <w:szCs w:val="24"/>
        </w:rPr>
        <w:t>dell’immagine</w:t>
      </w:r>
      <w:r w:rsidRPr="00EF60B7">
        <w:rPr>
          <w:rFonts w:ascii="Times New Roman" w:hAnsi="Times New Roman" w:cs="Times New Roman"/>
          <w:sz w:val="24"/>
          <w:szCs w:val="24"/>
        </w:rPr>
        <w:t xml:space="preserve"> ritiene che le credenze o le convinzioni personali, così come gli atteggiamenti e la gerarchia di valori, concorrano alla determinazione delle </w:t>
      </w:r>
      <w:r w:rsidRPr="00EF60B7">
        <w:rPr>
          <w:rFonts w:ascii="Times New Roman" w:hAnsi="Times New Roman" w:cs="Times New Roman"/>
          <w:i/>
          <w:sz w:val="24"/>
          <w:szCs w:val="24"/>
        </w:rPr>
        <w:t>immagini</w:t>
      </w:r>
      <w:r w:rsidRPr="00EF60B7">
        <w:rPr>
          <w:rFonts w:ascii="Times New Roman" w:hAnsi="Times New Roman" w:cs="Times New Roman"/>
          <w:sz w:val="24"/>
          <w:szCs w:val="24"/>
        </w:rPr>
        <w:t xml:space="preserve"> </w:t>
      </w:r>
      <w:r w:rsidRPr="00EF60B7">
        <w:rPr>
          <w:rFonts w:ascii="Times New Roman" w:hAnsi="Times New Roman" w:cs="Times New Roman"/>
          <w:i/>
          <w:sz w:val="24"/>
          <w:szCs w:val="24"/>
        </w:rPr>
        <w:t>del</w:t>
      </w:r>
      <w:r w:rsidRPr="00EF60B7">
        <w:rPr>
          <w:rFonts w:ascii="Times New Roman" w:hAnsi="Times New Roman" w:cs="Times New Roman"/>
          <w:sz w:val="24"/>
          <w:szCs w:val="24"/>
        </w:rPr>
        <w:t xml:space="preserve"> sé e che tali immagini non solo guidino l’assunzione o il rifiuto di obiettivi o di azioni prefissati ma possano anche </w:t>
      </w:r>
      <w:r w:rsidRPr="00EF60B7">
        <w:rPr>
          <w:rFonts w:ascii="Times New Roman" w:hAnsi="Times New Roman" w:cs="Times New Roman"/>
          <w:sz w:val="24"/>
          <w:szCs w:val="24"/>
        </w:rPr>
        <w:lastRenderedPageBreak/>
        <w:t xml:space="preserve">generare nuovi obiettivi o azioni prima di essere sottoposti al vaglio. Le </w:t>
      </w:r>
      <w:r w:rsidRPr="00EF60B7">
        <w:rPr>
          <w:rFonts w:ascii="Times New Roman" w:hAnsi="Times New Roman" w:cs="Times New Roman"/>
          <w:i/>
          <w:sz w:val="24"/>
          <w:szCs w:val="24"/>
        </w:rPr>
        <w:t>regole</w:t>
      </w:r>
      <w:r w:rsidRPr="00EF60B7">
        <w:rPr>
          <w:rFonts w:ascii="Times New Roman" w:hAnsi="Times New Roman" w:cs="Times New Roman"/>
          <w:sz w:val="24"/>
          <w:szCs w:val="24"/>
        </w:rPr>
        <w:t xml:space="preserve"> più comunemente adottate </w:t>
      </w:r>
      <w:r w:rsidRPr="00EF60B7">
        <w:rPr>
          <w:rFonts w:ascii="Times New Roman" w:hAnsi="Times New Roman" w:cs="Times New Roman"/>
          <w:i/>
          <w:sz w:val="24"/>
          <w:szCs w:val="24"/>
        </w:rPr>
        <w:t>per</w:t>
      </w:r>
      <w:r w:rsidRPr="00EF60B7">
        <w:rPr>
          <w:rFonts w:ascii="Times New Roman" w:hAnsi="Times New Roman" w:cs="Times New Roman"/>
          <w:sz w:val="24"/>
          <w:szCs w:val="24"/>
        </w:rPr>
        <w:t xml:space="preserve"> </w:t>
      </w:r>
      <w:r w:rsidRPr="00EF60B7">
        <w:rPr>
          <w:rFonts w:ascii="Times New Roman" w:hAnsi="Times New Roman" w:cs="Times New Roman"/>
          <w:i/>
          <w:sz w:val="24"/>
          <w:szCs w:val="24"/>
        </w:rPr>
        <w:t>decidere</w:t>
      </w:r>
      <w:r w:rsidRPr="00EF60B7">
        <w:rPr>
          <w:rFonts w:ascii="Times New Roman" w:hAnsi="Times New Roman" w:cs="Times New Roman"/>
          <w:sz w:val="24"/>
          <w:szCs w:val="24"/>
        </w:rPr>
        <w:t xml:space="preserve"> si distinguono principalmente in due grandi categorie: </w:t>
      </w:r>
      <w:r w:rsidRPr="00EF60B7">
        <w:rPr>
          <w:rFonts w:ascii="Times New Roman" w:hAnsi="Times New Roman" w:cs="Times New Roman"/>
          <w:i/>
          <w:sz w:val="24"/>
          <w:szCs w:val="24"/>
        </w:rPr>
        <w:t>regole</w:t>
      </w:r>
      <w:r w:rsidRPr="00EF60B7">
        <w:rPr>
          <w:rFonts w:ascii="Times New Roman" w:hAnsi="Times New Roman" w:cs="Times New Roman"/>
          <w:sz w:val="24"/>
          <w:szCs w:val="24"/>
        </w:rPr>
        <w:t xml:space="preserve"> </w:t>
      </w:r>
      <w:r w:rsidRPr="00EF60B7">
        <w:rPr>
          <w:rFonts w:ascii="Times New Roman" w:hAnsi="Times New Roman" w:cs="Times New Roman"/>
          <w:i/>
          <w:sz w:val="24"/>
          <w:szCs w:val="24"/>
        </w:rPr>
        <w:t>non</w:t>
      </w:r>
      <w:r w:rsidRPr="00EF60B7">
        <w:rPr>
          <w:rFonts w:ascii="Times New Roman" w:hAnsi="Times New Roman" w:cs="Times New Roman"/>
          <w:sz w:val="24"/>
          <w:szCs w:val="24"/>
        </w:rPr>
        <w:t xml:space="preserve"> </w:t>
      </w:r>
      <w:r w:rsidRPr="00EF60B7">
        <w:rPr>
          <w:rFonts w:ascii="Times New Roman" w:hAnsi="Times New Roman" w:cs="Times New Roman"/>
          <w:i/>
          <w:sz w:val="24"/>
          <w:szCs w:val="24"/>
        </w:rPr>
        <w:t>compensatorie</w:t>
      </w:r>
      <w:r w:rsidRPr="00EF60B7">
        <w:rPr>
          <w:rFonts w:ascii="Times New Roman" w:hAnsi="Times New Roman" w:cs="Times New Roman"/>
          <w:sz w:val="24"/>
          <w:szCs w:val="24"/>
        </w:rPr>
        <w:t xml:space="preserve"> e </w:t>
      </w:r>
      <w:r w:rsidRPr="00EF60B7">
        <w:rPr>
          <w:rFonts w:ascii="Times New Roman" w:hAnsi="Times New Roman" w:cs="Times New Roman"/>
          <w:i/>
          <w:sz w:val="24"/>
          <w:szCs w:val="24"/>
        </w:rPr>
        <w:t>regole</w:t>
      </w:r>
      <w:r w:rsidRPr="00EF60B7">
        <w:rPr>
          <w:rFonts w:ascii="Times New Roman" w:hAnsi="Times New Roman" w:cs="Times New Roman"/>
          <w:sz w:val="24"/>
          <w:szCs w:val="24"/>
        </w:rPr>
        <w:t xml:space="preserve"> </w:t>
      </w:r>
      <w:r w:rsidRPr="00EF60B7">
        <w:rPr>
          <w:rFonts w:ascii="Times New Roman" w:hAnsi="Times New Roman" w:cs="Times New Roman"/>
          <w:i/>
          <w:sz w:val="24"/>
          <w:szCs w:val="24"/>
        </w:rPr>
        <w:t xml:space="preserve">compensatorie </w:t>
      </w:r>
      <w:r w:rsidRPr="00EF60B7">
        <w:rPr>
          <w:rFonts w:ascii="Times New Roman" w:hAnsi="Times New Roman" w:cs="Times New Roman"/>
          <w:sz w:val="24"/>
          <w:szCs w:val="24"/>
        </w:rPr>
        <w:t xml:space="preserve">(Svenson, 1983). Come precisano Rumiati e Bonini (2001) “tutte le regole di scelta presuppongono situazioni in cui vengono prese in considerazione opzioni descrivibili o soggettivamente definibili in termini di </w:t>
      </w:r>
      <w:r w:rsidRPr="00EF60B7">
        <w:rPr>
          <w:rFonts w:ascii="Times New Roman" w:hAnsi="Times New Roman" w:cs="Times New Roman"/>
          <w:i/>
          <w:sz w:val="24"/>
          <w:szCs w:val="24"/>
        </w:rPr>
        <w:t>attributi</w:t>
      </w:r>
      <w:r w:rsidRPr="00EF60B7">
        <w:rPr>
          <w:rFonts w:ascii="Times New Roman" w:hAnsi="Times New Roman" w:cs="Times New Roman"/>
          <w:sz w:val="24"/>
          <w:szCs w:val="24"/>
        </w:rPr>
        <w:t xml:space="preserve">, i quali ultimi possono assumere diversi </w:t>
      </w:r>
      <w:r w:rsidRPr="00EF60B7">
        <w:rPr>
          <w:rFonts w:ascii="Times New Roman" w:hAnsi="Times New Roman" w:cs="Times New Roman"/>
          <w:i/>
          <w:sz w:val="24"/>
          <w:szCs w:val="24"/>
        </w:rPr>
        <w:t>aspetti</w:t>
      </w:r>
      <w:r w:rsidRPr="00EF60B7">
        <w:rPr>
          <w:rFonts w:ascii="Times New Roman" w:hAnsi="Times New Roman" w:cs="Times New Roman"/>
          <w:sz w:val="24"/>
          <w:szCs w:val="24"/>
        </w:rPr>
        <w:t xml:space="preserve">”. Le </w:t>
      </w:r>
      <w:r w:rsidRPr="00EF60B7">
        <w:rPr>
          <w:rFonts w:ascii="Times New Roman" w:hAnsi="Times New Roman" w:cs="Times New Roman"/>
          <w:i/>
          <w:sz w:val="24"/>
          <w:szCs w:val="24"/>
        </w:rPr>
        <w:t>regole</w:t>
      </w:r>
      <w:r w:rsidRPr="00EF60B7">
        <w:rPr>
          <w:rFonts w:ascii="Times New Roman" w:hAnsi="Times New Roman" w:cs="Times New Roman"/>
          <w:sz w:val="24"/>
          <w:szCs w:val="24"/>
        </w:rPr>
        <w:t xml:space="preserve"> </w:t>
      </w:r>
      <w:r w:rsidRPr="00EF60B7">
        <w:rPr>
          <w:rFonts w:ascii="Times New Roman" w:hAnsi="Times New Roman" w:cs="Times New Roman"/>
          <w:i/>
          <w:sz w:val="24"/>
          <w:szCs w:val="24"/>
        </w:rPr>
        <w:t>compensatorie</w:t>
      </w:r>
      <w:r w:rsidRPr="00EF60B7">
        <w:rPr>
          <w:rFonts w:ascii="Times New Roman" w:hAnsi="Times New Roman" w:cs="Times New Roman"/>
          <w:sz w:val="24"/>
          <w:szCs w:val="24"/>
        </w:rPr>
        <w:t xml:space="preserve"> si possono utilizzare quando c’é la possibilità di controbilanciare i valori di attrattività o utilità dei diversi attributi. Le </w:t>
      </w:r>
      <w:r w:rsidRPr="00EF60B7">
        <w:rPr>
          <w:rFonts w:ascii="Times New Roman" w:hAnsi="Times New Roman" w:cs="Times New Roman"/>
          <w:i/>
          <w:sz w:val="24"/>
          <w:szCs w:val="24"/>
        </w:rPr>
        <w:t>regole</w:t>
      </w:r>
      <w:r w:rsidRPr="00EF60B7">
        <w:rPr>
          <w:rFonts w:ascii="Times New Roman" w:hAnsi="Times New Roman" w:cs="Times New Roman"/>
          <w:sz w:val="24"/>
          <w:szCs w:val="24"/>
        </w:rPr>
        <w:t xml:space="preserve"> </w:t>
      </w:r>
      <w:r w:rsidRPr="00EF60B7">
        <w:rPr>
          <w:rFonts w:ascii="Times New Roman" w:hAnsi="Times New Roman" w:cs="Times New Roman"/>
          <w:i/>
          <w:sz w:val="24"/>
          <w:szCs w:val="24"/>
        </w:rPr>
        <w:t>non</w:t>
      </w:r>
      <w:r w:rsidRPr="00EF60B7">
        <w:rPr>
          <w:rFonts w:ascii="Times New Roman" w:hAnsi="Times New Roman" w:cs="Times New Roman"/>
          <w:sz w:val="24"/>
          <w:szCs w:val="24"/>
        </w:rPr>
        <w:t xml:space="preserve"> </w:t>
      </w:r>
      <w:r w:rsidRPr="00EF60B7">
        <w:rPr>
          <w:rFonts w:ascii="Times New Roman" w:hAnsi="Times New Roman" w:cs="Times New Roman"/>
          <w:i/>
          <w:sz w:val="24"/>
          <w:szCs w:val="24"/>
        </w:rPr>
        <w:t>compensatorie</w:t>
      </w:r>
      <w:r w:rsidRPr="00EF60B7">
        <w:rPr>
          <w:rFonts w:ascii="Times New Roman" w:hAnsi="Times New Roman" w:cs="Times New Roman"/>
          <w:sz w:val="24"/>
          <w:szCs w:val="24"/>
        </w:rPr>
        <w:t xml:space="preserve"> invece vengono utilizzate per quei problemi decisionali in cui non si possono commisurare le opzioni o gli attributi o anche quando non ci può essere compensazione tra le attrattività delle singole opzioni o degli attributi considerati. </w:t>
      </w:r>
    </w:p>
    <w:p w:rsidR="00381ABF" w:rsidRPr="00EF60B7" w:rsidRDefault="00381ABF" w:rsidP="008D2DF6">
      <w:pPr>
        <w:spacing w:line="360" w:lineRule="auto"/>
        <w:jc w:val="both"/>
        <w:rPr>
          <w:rFonts w:ascii="Times New Roman" w:hAnsi="Times New Roman" w:cs="Times New Roman"/>
          <w:sz w:val="24"/>
          <w:szCs w:val="24"/>
        </w:rPr>
      </w:pPr>
    </w:p>
    <w:p w:rsidR="00381ABF" w:rsidRPr="00EF60B7" w:rsidRDefault="00381ABF" w:rsidP="008D2DF6">
      <w:pPr>
        <w:spacing w:line="360" w:lineRule="auto"/>
        <w:jc w:val="both"/>
        <w:rPr>
          <w:rFonts w:ascii="Times New Roman" w:hAnsi="Times New Roman" w:cs="Times New Roman"/>
          <w:i/>
          <w:sz w:val="24"/>
          <w:szCs w:val="24"/>
        </w:rPr>
      </w:pPr>
      <w:r w:rsidRPr="00EF60B7">
        <w:rPr>
          <w:rFonts w:ascii="Times New Roman" w:hAnsi="Times New Roman" w:cs="Times New Roman"/>
          <w:i/>
          <w:sz w:val="24"/>
          <w:szCs w:val="24"/>
        </w:rPr>
        <w:t>2.2 Il ruolo delle emozioni nel Decision Making</w:t>
      </w:r>
    </w:p>
    <w:p w:rsidR="00381ABF" w:rsidRDefault="00381ABF" w:rsidP="008D2DF6">
      <w:pPr>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 xml:space="preserve">Lo studio relativo all’incidenza delle emozioni sul processo decisionale é iniziato solo recentemente nell’ambito di un approccio di tipo descrittivo. Secondo quanto precisano Rumiati e Bonini (2001) “ciò sottolinea, da una parte, il fatto che la componente emotiva, pur essendo una variabile che influisce sulle modalità e la qualità della scelta costituisce un elemento che può essere “isolato”, dall’altra la difficoltà di studiarne gli effetti sulla decisione” . L’interesse per l’influenza delle emozioni nel processo decisionale muove dal presupposto che sarebbe una riduzione ingiustificata ritenere che il decidere sia fondato su una base puramente razionale e che esso richieda l’annullamento degli stati emotivi; ugualmente ingiustificata appare l’idea che le emozioni abbiano comunque effetti negativi sul processo decisionale. Infatti, come sottolineano Cacioppo e Gardner (1999), le emozioni possono svolgere anche un ruolo costruttivo nelle forme più elevate dell’esperienza umana. Da diverse rilevazioni (Gasper &amp; Clore, 1998; Schwartz &amp; Clore, 1996; Scott &amp; Cervone, 2002) fatte sugli effetti delle emozioni sui processi cognitivi risulta che il più delle volte i decisori utilizzano gli stati affettivi come informazioni importanti ai fini delle valutazioni e dei giudizi. In particolare, da studi su individui affetti da ansia (Arntz, Rauner &amp; Van den Hoult, 1995; Engelhard, Van den Hout &amp; Arntz, 2001; Engelhard et al., 2002; Engelhard et al., </w:t>
      </w:r>
      <w:r w:rsidRPr="00EF60B7">
        <w:rPr>
          <w:rFonts w:ascii="Times New Roman" w:hAnsi="Times New Roman" w:cs="Times New Roman"/>
          <w:sz w:val="24"/>
          <w:szCs w:val="24"/>
        </w:rPr>
        <w:lastRenderedPageBreak/>
        <w:t>2003) é risultato che i soggetti molto ansiosi avvertono rischi e pericoli imminenti solo in base al loro stato emozionale negativo. I decisori disturbati da uno stato d’ansia solitamente tendono a rinviare la decisione o addirittura a delegarla ad altri; tuttavia in un studio recente (Bensi &amp; Giusberti, 2005) si é visto che lo stato ansioso può fare scattare un fenomeno opposto all’evitamento della decisione, cioè può portare a saltare rapidamente alle conclusioni (</w:t>
      </w:r>
      <w:r w:rsidRPr="00EF60B7">
        <w:rPr>
          <w:rFonts w:ascii="Times New Roman" w:hAnsi="Times New Roman" w:cs="Times New Roman"/>
          <w:i/>
          <w:sz w:val="24"/>
          <w:szCs w:val="24"/>
        </w:rPr>
        <w:t>jump</w:t>
      </w:r>
      <w:r w:rsidRPr="00EF60B7">
        <w:rPr>
          <w:rFonts w:ascii="Times New Roman" w:hAnsi="Times New Roman" w:cs="Times New Roman"/>
          <w:sz w:val="24"/>
          <w:szCs w:val="24"/>
        </w:rPr>
        <w:t xml:space="preserve"> </w:t>
      </w:r>
      <w:r w:rsidRPr="00EF60B7">
        <w:rPr>
          <w:rFonts w:ascii="Times New Roman" w:hAnsi="Times New Roman" w:cs="Times New Roman"/>
          <w:i/>
          <w:sz w:val="24"/>
          <w:szCs w:val="24"/>
        </w:rPr>
        <w:t>to</w:t>
      </w:r>
      <w:r w:rsidRPr="00EF60B7">
        <w:rPr>
          <w:rFonts w:ascii="Times New Roman" w:hAnsi="Times New Roman" w:cs="Times New Roman"/>
          <w:sz w:val="24"/>
          <w:szCs w:val="24"/>
        </w:rPr>
        <w:t xml:space="preserve"> </w:t>
      </w:r>
      <w:r w:rsidRPr="00EF60B7">
        <w:rPr>
          <w:rFonts w:ascii="Times New Roman" w:hAnsi="Times New Roman" w:cs="Times New Roman"/>
          <w:i/>
          <w:sz w:val="24"/>
          <w:szCs w:val="24"/>
        </w:rPr>
        <w:t>conclusions</w:t>
      </w:r>
      <w:r w:rsidRPr="00EF60B7">
        <w:rPr>
          <w:rFonts w:ascii="Times New Roman" w:hAnsi="Times New Roman" w:cs="Times New Roman"/>
          <w:sz w:val="24"/>
          <w:szCs w:val="24"/>
        </w:rPr>
        <w:t>). Bower e Cohen (1982) hanno studiato gli stati d’animo degli individui (</w:t>
      </w:r>
      <w:r w:rsidRPr="00EF60B7">
        <w:rPr>
          <w:rFonts w:ascii="Times New Roman" w:hAnsi="Times New Roman" w:cs="Times New Roman"/>
          <w:i/>
          <w:sz w:val="24"/>
          <w:szCs w:val="24"/>
        </w:rPr>
        <w:t>moods</w:t>
      </w:r>
      <w:r w:rsidRPr="00EF60B7">
        <w:rPr>
          <w:rFonts w:ascii="Times New Roman" w:hAnsi="Times New Roman" w:cs="Times New Roman"/>
          <w:sz w:val="24"/>
          <w:szCs w:val="24"/>
        </w:rPr>
        <w:t xml:space="preserve">) in relazione allo svolgimento dei compiti cognitivi pervenendo ai seguenti risultati: i soggetti che si trovano in particolari stati emotivi focalizzano l’attenzione su quegli aspetti della situazione coerenti con il loro stato d’animo; quest’ultimo influenza anche il recupero delle informazioni dalla memoria e tale recupero é più efficace per quegli eventi conservati in memoria riguardanti passate esperienze particolarmente coinvolgenti sul piano emotivo; il </w:t>
      </w:r>
      <w:r w:rsidRPr="00EF60B7">
        <w:rPr>
          <w:rFonts w:ascii="Times New Roman" w:hAnsi="Times New Roman" w:cs="Times New Roman"/>
          <w:i/>
          <w:sz w:val="24"/>
          <w:szCs w:val="24"/>
        </w:rPr>
        <w:t>mood</w:t>
      </w:r>
      <w:r w:rsidRPr="00EF60B7">
        <w:rPr>
          <w:rFonts w:ascii="Times New Roman" w:hAnsi="Times New Roman" w:cs="Times New Roman"/>
          <w:sz w:val="24"/>
          <w:szCs w:val="24"/>
        </w:rPr>
        <w:t xml:space="preserve"> influenza infine la disponibilità di differenti strategie utilizzate nel corso del processo decisionale. Kemdal e Montgomery (1997) sottolineano i vari modi in cui le emozioni possono aiutare chi deve prendere una decisione; infatti, quest’ultimo in relazione al suo stato emotivo discerne più facilmente tra  le alternative da scegliere e quelle da scartare; inoltre le emozioni segnalano al decisore se ciò che si accinge a scegliere o ha già scelto possa procurargli piacere o dispiacere. Quindi, le emozioni da una parte influenzano direttamente le scelte, dall’altra sono degli effetti determinati dalle scelte fatte. A proposito dell’incidenza dei processi affettivi nelle decisioni, le teorie “</w:t>
      </w:r>
      <w:r w:rsidRPr="00EF60B7">
        <w:rPr>
          <w:rFonts w:ascii="Times New Roman" w:hAnsi="Times New Roman" w:cs="Times New Roman"/>
          <w:i/>
          <w:sz w:val="24"/>
          <w:szCs w:val="24"/>
        </w:rPr>
        <w:t>dual</w:t>
      </w:r>
      <w:r w:rsidRPr="00EF60B7">
        <w:rPr>
          <w:rFonts w:ascii="Times New Roman" w:hAnsi="Times New Roman" w:cs="Times New Roman"/>
          <w:sz w:val="24"/>
          <w:szCs w:val="24"/>
        </w:rPr>
        <w:t xml:space="preserve"> </w:t>
      </w:r>
      <w:r w:rsidRPr="00EF60B7">
        <w:rPr>
          <w:rFonts w:ascii="Times New Roman" w:hAnsi="Times New Roman" w:cs="Times New Roman"/>
          <w:i/>
          <w:sz w:val="24"/>
          <w:szCs w:val="24"/>
        </w:rPr>
        <w:t>process</w:t>
      </w:r>
      <w:r w:rsidRPr="00EF60B7">
        <w:rPr>
          <w:rFonts w:ascii="Times New Roman" w:hAnsi="Times New Roman" w:cs="Times New Roman"/>
          <w:sz w:val="24"/>
          <w:szCs w:val="24"/>
        </w:rPr>
        <w:t xml:space="preserve">”, come quelle proposte da Chaiken e Trope (1999) e da Sloman (1996) sostengono che l’elaborazione dell’informazione può avvenire o in modo analitico, cosciente, razionale e relativamente lento oppure in modo esperienziale, cioè intuitivo, affettivo e rapido. Secondo gli studiosi sopra citati, di questi due modi quello esperienziale é probabilmente il più adatto a fronteggiare le scelte molto complesse. Parlando dell’influenza diretta delle emozioni sulle decisioni si deve fare una distinzione tra stati emotivi positivi e stati emotivi negativi. Lewinsohn e Mano (1993), studiando il modo in cui lo stato emotivo può condizionare l’adozione delle strategie decisionali hanno trovato che se l’individuo é in uno stato emotivo positivo  (dimensione della “gradevolezza”) affronta il compito di decidere in modo rilassato, spende più tempo per prendere la decisione, applica regole più complesse dal punto di vista cognitivo; al contrario, colui che si trova in uno stato di elevata eccitabilità o di attivazione </w:t>
      </w:r>
      <w:r w:rsidRPr="00EF60B7">
        <w:rPr>
          <w:rFonts w:ascii="Times New Roman" w:hAnsi="Times New Roman" w:cs="Times New Roman"/>
          <w:sz w:val="24"/>
          <w:szCs w:val="24"/>
        </w:rPr>
        <w:lastRenderedPageBreak/>
        <w:t xml:space="preserve">(dimensione del livello di </w:t>
      </w:r>
      <w:r w:rsidRPr="00EF60B7">
        <w:rPr>
          <w:rFonts w:ascii="Times New Roman" w:hAnsi="Times New Roman" w:cs="Times New Roman"/>
          <w:i/>
          <w:sz w:val="24"/>
          <w:szCs w:val="24"/>
        </w:rPr>
        <w:t>arousal</w:t>
      </w:r>
      <w:r w:rsidRPr="00EF60B7">
        <w:rPr>
          <w:rFonts w:ascii="Times New Roman" w:hAnsi="Times New Roman" w:cs="Times New Roman"/>
          <w:sz w:val="24"/>
          <w:szCs w:val="24"/>
        </w:rPr>
        <w:t xml:space="preserve">) utilizza regole decisionali più semplici, prende in considerazione un numero limitato di informazioni, si focalizza sugli aspetti che ritiene essenziali, impiega un tempo inferiore per deliberare. Tali risultati dimostrano come le questioni relative alla decisione vengano interpretate in maniera coerente con il </w:t>
      </w:r>
      <w:r w:rsidRPr="00EF60B7">
        <w:rPr>
          <w:rFonts w:ascii="Times New Roman" w:hAnsi="Times New Roman" w:cs="Times New Roman"/>
          <w:i/>
          <w:sz w:val="24"/>
          <w:szCs w:val="24"/>
        </w:rPr>
        <w:t>mood</w:t>
      </w:r>
      <w:r w:rsidRPr="00EF60B7">
        <w:rPr>
          <w:rFonts w:ascii="Times New Roman" w:hAnsi="Times New Roman" w:cs="Times New Roman"/>
          <w:sz w:val="24"/>
          <w:szCs w:val="24"/>
        </w:rPr>
        <w:t xml:space="preserve">. L’interesse dei ricercatori si é rivolto non solo all’influenza diretta delle emozioni sulle decisioni ma anche allo </w:t>
      </w:r>
      <w:r w:rsidRPr="00EF60B7">
        <w:rPr>
          <w:rFonts w:ascii="Times New Roman" w:hAnsi="Times New Roman" w:cs="Times New Roman"/>
          <w:i/>
          <w:sz w:val="24"/>
          <w:szCs w:val="24"/>
        </w:rPr>
        <w:t>stress</w:t>
      </w:r>
      <w:r w:rsidRPr="00EF60B7">
        <w:rPr>
          <w:rFonts w:ascii="Times New Roman" w:hAnsi="Times New Roman" w:cs="Times New Roman"/>
          <w:sz w:val="24"/>
          <w:szCs w:val="24"/>
        </w:rPr>
        <w:t xml:space="preserve"> emotivo legato ad un conflitto decisionale. Quest’ultimo, secondo la definizione di Rumiati e Bonini (2001) “ si genera quando l’individuo percepisce le alternative di scelta come simili tra loro” . La scelta non viene condizionata dal conflitto se un’opzione viene considerata migliore dell’alternativa in tutti gli aspetti rilevanti. Da uno studio condotto da Tversky e Shafir (1992) risulta che quanto più le alternative vengono considerate simili, dal punto di vista dell’attrattività, tanto più si tende a rinviare la scelta e a cercare un maggior numero di alternative più facilmente differenziabili tra loro. La tendenza a rinviare la decisione si manifesta anche quando non si riesce a raccogliere tutte le informazioni necessarie per valutare accuratamente le alternative. Anche la cosiddetta “pressione temporale” genera </w:t>
      </w:r>
      <w:r w:rsidRPr="00EF60B7">
        <w:rPr>
          <w:rFonts w:ascii="Times New Roman" w:hAnsi="Times New Roman" w:cs="Times New Roman"/>
          <w:i/>
          <w:sz w:val="24"/>
          <w:szCs w:val="24"/>
        </w:rPr>
        <w:t>stress</w:t>
      </w:r>
      <w:r w:rsidRPr="00EF60B7">
        <w:rPr>
          <w:rFonts w:ascii="Times New Roman" w:hAnsi="Times New Roman" w:cs="Times New Roman"/>
          <w:sz w:val="24"/>
          <w:szCs w:val="24"/>
        </w:rPr>
        <w:t xml:space="preserve"> emotivo durante il processo di presa di decisione; essa determina uno stato ansioso che non consente di esaminare accuratamente tutti gli aspetti da considerare per decidere. Janis e Mann (1977) hanno sottolineato il fatto che le </w:t>
      </w:r>
      <w:r w:rsidRPr="00EF60B7">
        <w:rPr>
          <w:rFonts w:ascii="Times New Roman" w:hAnsi="Times New Roman" w:cs="Times New Roman"/>
          <w:i/>
          <w:sz w:val="24"/>
          <w:szCs w:val="24"/>
        </w:rPr>
        <w:t>performances</w:t>
      </w:r>
      <w:r w:rsidRPr="00EF60B7">
        <w:rPr>
          <w:rFonts w:ascii="Times New Roman" w:hAnsi="Times New Roman" w:cs="Times New Roman"/>
          <w:sz w:val="24"/>
          <w:szCs w:val="24"/>
        </w:rPr>
        <w:t xml:space="preserve"> decisionali sono negativamente condizionate quando le decisioni vengono prese in uno stato di forte </w:t>
      </w:r>
      <w:r w:rsidRPr="00EF60B7">
        <w:rPr>
          <w:rFonts w:ascii="Times New Roman" w:hAnsi="Times New Roman" w:cs="Times New Roman"/>
          <w:i/>
          <w:sz w:val="24"/>
          <w:szCs w:val="24"/>
        </w:rPr>
        <w:t>stress</w:t>
      </w:r>
      <w:r w:rsidRPr="00EF60B7">
        <w:rPr>
          <w:rFonts w:ascii="Times New Roman" w:hAnsi="Times New Roman" w:cs="Times New Roman"/>
          <w:sz w:val="24"/>
          <w:szCs w:val="24"/>
        </w:rPr>
        <w:t xml:space="preserve"> emotivo a meno che non ci siano particolari condizioni restrittive. Se il soggetto ritiene ottimisticamente di potere individuare un’alternativa migliore tende ad assumere un procedimento decisionale accurato; in mancanza di tale atteggiamento ottimistico, egli tenderà a ritardare la decisione o a delegarla ad altri o ad attuare una differente condotta tentando di giustificarla. I due studiosi (Janis e Mann, 1977) hanno anche rilevato che c’é una differenza tra le procedure per fronteggiare lo stress emotivo e che tale differenza dipende dal grado del conflitto. In caso di conflitto debole il decisore può adottare due diverse strategie: quella della “inerzia senza conflitto” o quella “di mutamento senza conflitto”; la prima viene attivata quando la sfida posta dalla situazione non é molto forte, la seconda quando quest’ultima é forte. Nei casi in cui il conflitto é molto intenso, per fronteggiare lo stress emotivo, il decisore può adottare due diverse strategie: quella dell’ “evitamento difensivo” o quella dell’ “ipervigilanza”; la prima viene adottata in presenza di chiari segnali di </w:t>
      </w:r>
      <w:r w:rsidRPr="00EF60B7">
        <w:rPr>
          <w:rFonts w:ascii="Times New Roman" w:hAnsi="Times New Roman" w:cs="Times New Roman"/>
          <w:sz w:val="24"/>
          <w:szCs w:val="24"/>
        </w:rPr>
        <w:lastRenderedPageBreak/>
        <w:t xml:space="preserve">possibilità di gravi danni, la seconda quando vi sono chiari segnali che fanno prevedere gravi perdite. </w:t>
      </w:r>
    </w:p>
    <w:p w:rsidR="00627D4C" w:rsidRPr="00EF60B7" w:rsidRDefault="00627D4C" w:rsidP="008D2DF6">
      <w:pPr>
        <w:spacing w:line="360" w:lineRule="auto"/>
        <w:jc w:val="both"/>
        <w:rPr>
          <w:rFonts w:ascii="Times New Roman" w:hAnsi="Times New Roman" w:cs="Times New Roman"/>
          <w:sz w:val="24"/>
          <w:szCs w:val="24"/>
        </w:rPr>
      </w:pPr>
    </w:p>
    <w:p w:rsidR="00381ABF" w:rsidRPr="00EF60B7" w:rsidRDefault="00381ABF" w:rsidP="008D2DF6">
      <w:pPr>
        <w:spacing w:line="360" w:lineRule="auto"/>
        <w:jc w:val="both"/>
        <w:rPr>
          <w:rFonts w:ascii="Times New Roman" w:hAnsi="Times New Roman" w:cs="Times New Roman"/>
          <w:i/>
          <w:sz w:val="24"/>
          <w:szCs w:val="24"/>
        </w:rPr>
      </w:pPr>
      <w:r w:rsidRPr="00EF60B7">
        <w:rPr>
          <w:rFonts w:ascii="Times New Roman" w:hAnsi="Times New Roman" w:cs="Times New Roman"/>
          <w:i/>
          <w:sz w:val="24"/>
          <w:szCs w:val="24"/>
        </w:rPr>
        <w:t>2.3 Il Decision Making in ambito medico</w:t>
      </w:r>
    </w:p>
    <w:p w:rsidR="00381ABF" w:rsidRPr="00EF60B7" w:rsidRDefault="00381ABF" w:rsidP="008D2DF6">
      <w:pPr>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 xml:space="preserve">Il </w:t>
      </w:r>
      <w:r w:rsidRPr="00EF60B7">
        <w:rPr>
          <w:rFonts w:ascii="Times New Roman" w:hAnsi="Times New Roman" w:cs="Times New Roman"/>
          <w:i/>
          <w:sz w:val="24"/>
          <w:szCs w:val="24"/>
        </w:rPr>
        <w:t>decision</w:t>
      </w:r>
      <w:r w:rsidRPr="00EF60B7">
        <w:rPr>
          <w:rFonts w:ascii="Times New Roman" w:hAnsi="Times New Roman" w:cs="Times New Roman"/>
          <w:sz w:val="24"/>
          <w:szCs w:val="24"/>
        </w:rPr>
        <w:t xml:space="preserve"> </w:t>
      </w:r>
      <w:r w:rsidRPr="00EF60B7">
        <w:rPr>
          <w:rFonts w:ascii="Times New Roman" w:hAnsi="Times New Roman" w:cs="Times New Roman"/>
          <w:i/>
          <w:sz w:val="24"/>
          <w:szCs w:val="24"/>
        </w:rPr>
        <w:t>making</w:t>
      </w:r>
      <w:r w:rsidRPr="00EF60B7">
        <w:rPr>
          <w:rFonts w:ascii="Times New Roman" w:hAnsi="Times New Roman" w:cs="Times New Roman"/>
          <w:sz w:val="24"/>
          <w:szCs w:val="24"/>
        </w:rPr>
        <w:t xml:space="preserve"> in ambito medico implica una complessa rete di incertezze diagnostiche e terapeutiche, preferenze e valori del paziente, costi. Oggi prendere decisioni in campo medico appare particolarmente problematico, e non soltanto per effetto dei progressi scientifici e tecnologici (nuovi ingegnosi espedienti, nuove possibilità in campo farmaceutico e chirurgico) ma anche perché il contesto stesso del </w:t>
      </w:r>
      <w:r w:rsidRPr="00EF60B7">
        <w:rPr>
          <w:rFonts w:ascii="Times New Roman" w:hAnsi="Times New Roman" w:cs="Times New Roman"/>
          <w:i/>
          <w:sz w:val="24"/>
          <w:szCs w:val="24"/>
        </w:rPr>
        <w:t>decision</w:t>
      </w:r>
      <w:r w:rsidRPr="00EF60B7">
        <w:rPr>
          <w:rFonts w:ascii="Times New Roman" w:hAnsi="Times New Roman" w:cs="Times New Roman"/>
          <w:sz w:val="24"/>
          <w:szCs w:val="24"/>
        </w:rPr>
        <w:t xml:space="preserve"> </w:t>
      </w:r>
      <w:r w:rsidRPr="00EF60B7">
        <w:rPr>
          <w:rFonts w:ascii="Times New Roman" w:hAnsi="Times New Roman" w:cs="Times New Roman"/>
          <w:i/>
          <w:sz w:val="24"/>
          <w:szCs w:val="24"/>
        </w:rPr>
        <w:t>making</w:t>
      </w:r>
      <w:r w:rsidRPr="00EF60B7">
        <w:rPr>
          <w:rFonts w:ascii="Times New Roman" w:hAnsi="Times New Roman" w:cs="Times New Roman"/>
          <w:sz w:val="24"/>
          <w:szCs w:val="24"/>
        </w:rPr>
        <w:t xml:space="preserve"> é stato reso complesso da un sistema sanitario che ha un più diretto e direttivo ruolo. A rendere particolarmente difficile la scelta (</w:t>
      </w:r>
      <w:r w:rsidRPr="00EF60B7">
        <w:rPr>
          <w:rFonts w:ascii="Times New Roman" w:hAnsi="Times New Roman" w:cs="Times New Roman"/>
          <w:i/>
          <w:sz w:val="24"/>
          <w:szCs w:val="24"/>
        </w:rPr>
        <w:t>decision</w:t>
      </w:r>
      <w:r w:rsidRPr="00EF60B7">
        <w:rPr>
          <w:rFonts w:ascii="Times New Roman" w:hAnsi="Times New Roman" w:cs="Times New Roman"/>
          <w:sz w:val="24"/>
          <w:szCs w:val="24"/>
        </w:rPr>
        <w:t xml:space="preserve"> </w:t>
      </w:r>
      <w:r w:rsidRPr="00EF60B7">
        <w:rPr>
          <w:rFonts w:ascii="Times New Roman" w:hAnsi="Times New Roman" w:cs="Times New Roman"/>
          <w:i/>
          <w:sz w:val="24"/>
          <w:szCs w:val="24"/>
        </w:rPr>
        <w:t>making</w:t>
      </w:r>
      <w:r w:rsidRPr="00EF60B7">
        <w:rPr>
          <w:rFonts w:ascii="Times New Roman" w:hAnsi="Times New Roman" w:cs="Times New Roman"/>
          <w:sz w:val="24"/>
          <w:szCs w:val="24"/>
        </w:rPr>
        <w:t xml:space="preserve">) in campo medico contribuiscono anche quelle profonde questioni etiche connesse agli sviluppi della scienza medica (eutanasia, fecondazione artificiale, utilizzo della mappatura del genoma umano, etc.). Inoltre non é da sottovalutare il fatto che oggi i pazienti non hanno più bisogno di fare affidamento principalmente sul loro medico per avere accesso all’informazione, dato che </w:t>
      </w:r>
      <w:r w:rsidRPr="00EF60B7">
        <w:rPr>
          <w:rFonts w:ascii="Times New Roman" w:hAnsi="Times New Roman" w:cs="Times New Roman"/>
          <w:i/>
          <w:sz w:val="24"/>
          <w:szCs w:val="24"/>
        </w:rPr>
        <w:t>internet</w:t>
      </w:r>
      <w:r w:rsidRPr="00EF60B7">
        <w:rPr>
          <w:rFonts w:ascii="Times New Roman" w:hAnsi="Times New Roman" w:cs="Times New Roman"/>
          <w:sz w:val="24"/>
          <w:szCs w:val="24"/>
        </w:rPr>
        <w:t xml:space="preserve"> offre abbondanti informazioni, anche se non sempre accurate e  pertinenti. Il sovraccarico di informazioni che in teoria dovrebbe facilitare la scelta in quanto offre un maggior numero di opzioni, in realtà paradossalmente può avere come effetto una maggiore difficoltà di scelta o addirittura la rinuncia a scegliere (Misuraca et al., 2007). Spesso le decisioni mediche sono prese in condizioni di incertezza; le incertezze nel </w:t>
      </w:r>
      <w:r w:rsidRPr="00EF60B7">
        <w:rPr>
          <w:rFonts w:ascii="Times New Roman" w:hAnsi="Times New Roman" w:cs="Times New Roman"/>
          <w:i/>
          <w:sz w:val="24"/>
          <w:szCs w:val="24"/>
        </w:rPr>
        <w:t>decision</w:t>
      </w:r>
      <w:r w:rsidRPr="00EF60B7">
        <w:rPr>
          <w:rFonts w:ascii="Times New Roman" w:hAnsi="Times New Roman" w:cs="Times New Roman"/>
          <w:sz w:val="24"/>
          <w:szCs w:val="24"/>
        </w:rPr>
        <w:t xml:space="preserve"> </w:t>
      </w:r>
      <w:r w:rsidRPr="00EF60B7">
        <w:rPr>
          <w:rFonts w:ascii="Times New Roman" w:hAnsi="Times New Roman" w:cs="Times New Roman"/>
          <w:i/>
          <w:sz w:val="24"/>
          <w:szCs w:val="24"/>
        </w:rPr>
        <w:t>making</w:t>
      </w:r>
      <w:r w:rsidRPr="00EF60B7">
        <w:rPr>
          <w:rFonts w:ascii="Times New Roman" w:hAnsi="Times New Roman" w:cs="Times New Roman"/>
          <w:sz w:val="24"/>
          <w:szCs w:val="24"/>
        </w:rPr>
        <w:t xml:space="preserve"> possono riguardare la diagnosi, l’accuratezza di </w:t>
      </w:r>
      <w:r w:rsidRPr="00EF60B7">
        <w:rPr>
          <w:rFonts w:ascii="Times New Roman" w:hAnsi="Times New Roman" w:cs="Times New Roman"/>
          <w:i/>
          <w:sz w:val="24"/>
          <w:szCs w:val="24"/>
        </w:rPr>
        <w:t>tests</w:t>
      </w:r>
      <w:r w:rsidRPr="00EF60B7">
        <w:rPr>
          <w:rFonts w:ascii="Times New Roman" w:hAnsi="Times New Roman" w:cs="Times New Roman"/>
          <w:sz w:val="24"/>
          <w:szCs w:val="24"/>
        </w:rPr>
        <w:t xml:space="preserve"> diagnostici utilizzabili, la storia del disturbo, gli effetti di trattamento sul singolo paziente o gli effetti di un intervento di politica sanitaria su un intero gruppo o popolazione. Un’incertezza sull’attuale condizione del paziente può derivare da un’errata osservazione o da una poco accurata registrazione dei risultati clinici o da un’errata interpretazione dei dati da parte del medico. Per esempio, “la stenosi della carotide era realmente asintomatica?”, “Il paziente non ha mai avuto un attacco ischemico transitorio che é stato scambiato per qualcos’altro?”.  L’incertezza può essere generata anche dall’ambiguità dei dati o dalle variazioni nella interpretazione dell’informazione (incertezza nella diagnosi). Per esempio, “Una ripetizione dell’esame con gli ultrasuoni avrebbe </w:t>
      </w:r>
      <w:r w:rsidRPr="00EF60B7">
        <w:rPr>
          <w:rFonts w:ascii="Times New Roman" w:hAnsi="Times New Roman" w:cs="Times New Roman"/>
          <w:sz w:val="24"/>
          <w:szCs w:val="24"/>
        </w:rPr>
        <w:lastRenderedPageBreak/>
        <w:t xml:space="preserve">dato gli stessi risultati?”. Incerta é anche la corrispondenza tra l’informazione clinica e la presenza o assenza di un disturbo. Per esempio, alcuni pazienti con una stenosi della carotide possono essere erroneamente considerati privi del disturbo mentre ad alcuni pazienti che non hanno una stenosi può essere erroneamente diagnosticata la presenza del disturbo. Infine, c’é incertezza sugli effetti del trattamento, anche se la diagnosi é certa. Nel </w:t>
      </w:r>
      <w:r w:rsidRPr="00EF60B7">
        <w:rPr>
          <w:rFonts w:ascii="Times New Roman" w:hAnsi="Times New Roman" w:cs="Times New Roman"/>
          <w:i/>
          <w:sz w:val="24"/>
          <w:szCs w:val="24"/>
        </w:rPr>
        <w:t>decision</w:t>
      </w:r>
      <w:r w:rsidRPr="00EF60B7">
        <w:rPr>
          <w:rFonts w:ascii="Times New Roman" w:hAnsi="Times New Roman" w:cs="Times New Roman"/>
          <w:sz w:val="24"/>
          <w:szCs w:val="24"/>
        </w:rPr>
        <w:t xml:space="preserve"> </w:t>
      </w:r>
      <w:r w:rsidRPr="00EF60B7">
        <w:rPr>
          <w:rFonts w:ascii="Times New Roman" w:hAnsi="Times New Roman" w:cs="Times New Roman"/>
          <w:i/>
          <w:sz w:val="24"/>
          <w:szCs w:val="24"/>
        </w:rPr>
        <w:t>making</w:t>
      </w:r>
      <w:r w:rsidRPr="00EF60B7">
        <w:rPr>
          <w:rFonts w:ascii="Times New Roman" w:hAnsi="Times New Roman" w:cs="Times New Roman"/>
          <w:sz w:val="24"/>
          <w:szCs w:val="24"/>
        </w:rPr>
        <w:t xml:space="preserve"> le incertezze riguardanti cure mediche che si protraggono nel tempo sono più lievi rispetto a quelle che si presentano in  chirurgia, dove possono sorgere sgradevoli complicazioni e le tecnologie diagnostiche possono produrre risultati falsi o inconcludenti. Data la complessità delle decisioni, può essere difficile comprendere tutte le opzioni e valutare da soli la scelta migliore. In molte decisioni é necessario controbilanciare benefici e rischi, ottimizzare la qualità della vita riducendo al minimo i costi. Mentre le incertezze diagnostiche coinvolgono solo la responsabilità dei medici, quelle riguardanti il trattamento e ancor più quelle che attengono all’eventualità di intervenire chirurgicamente chiamano in causa i valori sia del medico che del paziente, entrambi sono corresponsabili della scelta. I giudizi di valore sono fondamentali in tutte le decisioni cliniche e non possono essere basate solo su un puro e semplice calcolo di probabilità; spesso dalle decisioni dipende non la maggiore o minore possibilità di sopravvivenza, bensì la qualità della vita del paziente. I giudizi di valore sulla qualità della vita sono particolarmente importanti quando una patologia non può essere curata in modo risolutivo e il paziente può vivere molti anni in uno stato di salute piuttosto precario, o quando un trattamento, anche se efficace, comporta qualche rischio di gravi effetti collaterali. In tali casi le decisioni poggiano sulla valutazione dei possibili benefici e danni (Tsevat et al., 1994). Quando medico e paziente si trovano di fronte a opzioni tra strategie di trattamento alternative, il loro scopo é quello di scegliere insieme il migliore trattamento possibile. Risulta ampiamente documentato che la maggior parte dei pazienti in tale situazione vogliono ricevere informazioni sulla loro condizione medica e sulle opzioni di trattamento per poterla gestire. Tuttavia, ci sono significative differenze sul grado di autonomia che essi vogliono esercitare (Degner &amp; Sloan, 1992). Alcuni pazienti, specialmente quelli giovani e che non soffrono di gravi patologie, preferiscono assumersi la responsabilità primaria della scelta sulla loro cura. Altri, specialmente quelli più anziani o più gravemente malati preferiscono delegare in </w:t>
      </w:r>
      <w:r w:rsidRPr="00EF60B7">
        <w:rPr>
          <w:rFonts w:ascii="Times New Roman" w:hAnsi="Times New Roman" w:cs="Times New Roman"/>
          <w:sz w:val="24"/>
          <w:szCs w:val="24"/>
        </w:rPr>
        <w:lastRenderedPageBreak/>
        <w:t>parte o totalmente la responsabilità della decisione. Essi si limitano a ricevere dal medico delle raccomandazioni che possono decidere di accettare o di rifiutare (Degner &amp; Sloan, 1992). Come tutti i decisori, i pazienti che vogliono scegliere autonomamente devono conoscere l’elenco dei possibili risultati di ogni strategia terapeutica, il grado di probabilità di questi ultimi e il loro presumibile impatto sulla qualità della loro vita. Può capitare che i pazienti prendono decisioni che appaiono non convenzionali o addirittura irragionevoli (Brock &amp; Wartman, 1990). Ciò può dipendere da credenze e convinzioni inusuali ma profonde, che debbono essere accettate e rispettate ma può dipendere anche da difficoltà di interpretare complesse informazioni mediche; in tal caso, é responsabilità del medico quella di tentare di aiutare i pazienti ad evitare di prendere decisioni che non sono coerenti con i loro fondamentali scopi e valori.  Le preferenze espresse dai pazienti, che rinunciano a svolgere un ruolo attivo nel prendere la decisione, debbono essere utilizzate per valutare i risultati legati alle strategie alternative. I medici sono qualificati ad integrare i complessi dati clinici rilevanti per prendere la decisione ma i loro valori possono non collimare con quelli dei pazienti. Una decisione presa su misura può essere realizzata solo se le preferenze del singolo paziente vengono prese in seria considerazione nella scelta tra le alternative. Alcuni pazienti, come quelli deficitari sul piano cognitivo o i bambini piccoli, possono non essere in grado di fornire informazioni sulle loro preferenze. In tale situazione le esperienze di altri pazienti che si sono trovati di fronte a simili scelte può fornire un qualche criterio di guida.</w:t>
      </w:r>
    </w:p>
    <w:p w:rsidR="00381ABF" w:rsidRPr="00EF60B7" w:rsidRDefault="00381ABF" w:rsidP="008D2DF6">
      <w:pPr>
        <w:spacing w:line="360" w:lineRule="auto"/>
        <w:jc w:val="both"/>
        <w:rPr>
          <w:rFonts w:ascii="Times New Roman" w:hAnsi="Times New Roman" w:cs="Times New Roman"/>
          <w:sz w:val="24"/>
          <w:szCs w:val="24"/>
        </w:rPr>
      </w:pPr>
    </w:p>
    <w:p w:rsidR="00381ABF" w:rsidRPr="00EF60B7" w:rsidRDefault="00381ABF" w:rsidP="008D2DF6">
      <w:pPr>
        <w:spacing w:line="360" w:lineRule="auto"/>
        <w:jc w:val="both"/>
        <w:rPr>
          <w:rFonts w:ascii="Times New Roman" w:hAnsi="Times New Roman" w:cs="Times New Roman"/>
          <w:i/>
          <w:sz w:val="24"/>
          <w:szCs w:val="24"/>
        </w:rPr>
      </w:pPr>
      <w:r w:rsidRPr="00EF60B7">
        <w:rPr>
          <w:rFonts w:ascii="Times New Roman" w:hAnsi="Times New Roman" w:cs="Times New Roman"/>
          <w:i/>
          <w:sz w:val="24"/>
          <w:szCs w:val="24"/>
        </w:rPr>
        <w:t xml:space="preserve">2.4 Decision Making e modelli di relazione medico-paziente </w:t>
      </w:r>
    </w:p>
    <w:p w:rsidR="00381ABF" w:rsidRPr="00EF60B7" w:rsidRDefault="00381ABF" w:rsidP="008D2DF6">
      <w:pPr>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 xml:space="preserve">Nel modello paternalistico é il medico a decidere nell’interesse del paziente senza che il paziente partecipi al processo decisionale (Emanuel &amp; Emanuel, 1992). Il tradizionale rapporto paternalistico tra medico e paziente in cui quest’ultimo é il destinatario passivo delle decisioni é stato contestato tanto a livello politico quanto in ambito medico e viene oggi considerato come un modello obsoleto (Quill et al., 1996). Il modello di relazione medico paziente deliberativo,  che va sempre più affermandosi nella pratica medica, suggerisce che le decisioni sul trattamento vengano prese in maniera condivisa dal paziente e dal medico. La </w:t>
      </w:r>
      <w:r w:rsidRPr="00EF60B7">
        <w:rPr>
          <w:rFonts w:ascii="Times New Roman" w:hAnsi="Times New Roman" w:cs="Times New Roman"/>
          <w:sz w:val="24"/>
          <w:szCs w:val="24"/>
        </w:rPr>
        <w:lastRenderedPageBreak/>
        <w:t xml:space="preserve">partecipazione attiva consente al paziente di esercitare la propria autonomia e di controllare le decisioni riguardanti il trattamento (Llewelyn-Thomas et al., 1995; Truant et al., 1999). La partecipazione dei pazienti nei processi di decisione implica che il medico fornisca precise ed abbondanti informazioni sui benefici e sui rischi del trattamento e che a sua volta il paziente fornisca al medico informazioni circa i suoi valori e le sue preferenze affinché si trovi un accordo sulla scelta tra le alternative di trattamento (Charles et al., 2003). La medicina centrata sul paziente sottolinea l’importanza della comprensione delle esperienze dei pazienti riguardo alla loro malattia e gli eventuali fattori sociali e psicologici. Essa (medicina centrata sul paziente) implica che i medici impieghino le loro capacità di ascolto attivo, allo scopo di incoraggiare i pazienti ad esprimere la loro agenda, si sforzino di capire il punto di vista e le aspettative dei pazienti e lavorino con questi ultimi per trovare una base comune di gestione del trattamento. Il processo decisionale condiviso presenta analogie con la medicina centrata sul paziente, ma non si tratta soltanto di incoraggiare i pazienti ad esprimere le loro esigenze e i loro valori come auspica la medicina centrata sul paziente; si tratta anche di includere il coinvolgimento attivo dei pazienti nella decisione del trattamento (Katon &amp; Kleinman, 1981; Charles et al., 1997; Coulter, 1997). Charles et al. (1997) sostengono che il processo decisionale condiviso é possibile solo se si verificano le seguenti condizioni: 1) tanto il paziente quanto il medico sono coinvolti nel processo decisionale, 2) entrambe le parti condividono le informazioni, 3) entrambe le parti si attivano per costruire un consenso circa il trattamento preferito e 4) raggiungono un accordo sul trattamento da attuare. Coulter (1997) ha osservato che la responsabilità di entrambe le parti nell’impegnarsi per costruire una decisione condivisa é cruciale, anche se l’entità del coinvolgimento può variare in quanto non tutti i pazienti vogliono avere il controllo delle loro cure mediche; l’importante é tuttavia che anche in questi casi le loro preoccupazioni, i loro desideri e valori vengano seriamente presi in considerazione nelle decisioni circa la loro cura (Guadagnoli &amp; Ward, 1998). Charles et al. (1997) presentano le partecipazione del paziente non come parte di un approccio graduale alla decisione condivisa, ma piuttosto come una caratteristica che é necessaria fin dall’inizio del rapporto. Essi (Charles et al., 1997) fissano alcuni punti che ritengono necessari affinché si verifichi concretamente la partecipazione del paziente nella consultazione: 1) il medico </w:t>
      </w:r>
      <w:r w:rsidRPr="00EF60B7">
        <w:rPr>
          <w:rFonts w:ascii="Times New Roman" w:hAnsi="Times New Roman" w:cs="Times New Roman"/>
          <w:sz w:val="24"/>
          <w:szCs w:val="24"/>
        </w:rPr>
        <w:lastRenderedPageBreak/>
        <w:t xml:space="preserve">deve creare un’atmosfera tale da indurre il paziente a sentire che le sue opinioni sulle varie opzioni di trattamento sono valutate e vengono considerate necessarie; 2) le preferenze dei pazienti debbono essere espresse in modo che qualsiasi opzione di trattamento discussa sia compatibile con gli stili di vita e i valori dei pazienti; 3) le informazioni tecniche sulle opzioni, sui rischi e sui probabili benefici debbono essere comunicate al paziente nel modo più imparziale, chiaro e semplice possibile; 4) la partecipazione del medico include anche il suo impegno nell’aiutare il paziente a valutare i rischi e i benefici, ad esporre chiaramente i suoi problemi e le sue esigenze per garantire che si evitino equivoci riguardo alle sue preferenze; 5) la condivisione implica che i consigli del medico corrispondano alle esigenze e ai valori del paziente (Charles et al., 1999). Medici e pazienti hanno entrambi conoscenza di ciò che é rilevante per la consultazione; infatti i medici hanno conoscenze tecniche sulle possibili soluzioni del problema, mentre i pazienti, in base alla loro esperienza e alla loro cultura, sono consapevoli della situazione in cui si trovano (Tuckett et al., 1985), e hanno delle preferenze su questioni come la necessità o meno di una prescrizione, la portata e il tipo di effetti collaterali che sarebbero disposti a tollerare. Da una ricerca alla quale hanno lavorato Stevenson, Barry, Britten, Barber e Bradley (2000) per conoscere il punto di vista di un campione di medici generici sul processo decisionale condiviso é emerso che nella pratica medica vengono fortemente avvertiti degli ostacoli che rendono difficile, o addirittura impediscono, la realizzazione di un </w:t>
      </w:r>
      <w:r w:rsidRPr="00EF60B7">
        <w:rPr>
          <w:rFonts w:ascii="Times New Roman" w:hAnsi="Times New Roman" w:cs="Times New Roman"/>
          <w:i/>
          <w:sz w:val="24"/>
          <w:szCs w:val="24"/>
        </w:rPr>
        <w:t>decision</w:t>
      </w:r>
      <w:r w:rsidRPr="00EF60B7">
        <w:rPr>
          <w:rFonts w:ascii="Times New Roman" w:hAnsi="Times New Roman" w:cs="Times New Roman"/>
          <w:sz w:val="24"/>
          <w:szCs w:val="24"/>
        </w:rPr>
        <w:t xml:space="preserve"> </w:t>
      </w:r>
      <w:r w:rsidRPr="00EF60B7">
        <w:rPr>
          <w:rFonts w:ascii="Times New Roman" w:hAnsi="Times New Roman" w:cs="Times New Roman"/>
          <w:i/>
          <w:sz w:val="24"/>
          <w:szCs w:val="24"/>
        </w:rPr>
        <w:t>making</w:t>
      </w:r>
      <w:r w:rsidRPr="00EF60B7">
        <w:rPr>
          <w:rFonts w:ascii="Times New Roman" w:hAnsi="Times New Roman" w:cs="Times New Roman"/>
          <w:sz w:val="24"/>
          <w:szCs w:val="24"/>
        </w:rPr>
        <w:t xml:space="preserve"> condiviso. Fra questi ostacoli i medici consultati indicavano: 1) la mancanza del tempo di cui ci sarebbe bisogno per costruire una decisione condivisa; 2) percezione di una diversità di ruoli nel senso che spesso gli stessi pazienti non concepiscono l’idea di potere essere parte attiva in una scelta che implica precise conoscenze tecniche e difficoltà da parte dei medici di concepire il proprio ruolo al di fuori del tradizionale modello paternalistico; 3) carenze sul piano dell’organizzazione e della formazione professionale.</w:t>
      </w:r>
    </w:p>
    <w:p w:rsidR="00381ABF" w:rsidRPr="00EF60B7" w:rsidRDefault="00381ABF" w:rsidP="008D2DF6">
      <w:pPr>
        <w:spacing w:line="360" w:lineRule="auto"/>
        <w:jc w:val="both"/>
        <w:rPr>
          <w:rFonts w:ascii="Times New Roman" w:hAnsi="Times New Roman" w:cs="Times New Roman"/>
          <w:sz w:val="24"/>
          <w:szCs w:val="24"/>
        </w:rPr>
      </w:pPr>
    </w:p>
    <w:p w:rsidR="00381ABF" w:rsidRPr="00EF60B7" w:rsidRDefault="00381ABF" w:rsidP="008D2DF6">
      <w:pPr>
        <w:spacing w:line="360" w:lineRule="auto"/>
        <w:jc w:val="both"/>
        <w:rPr>
          <w:rFonts w:ascii="Times New Roman" w:hAnsi="Times New Roman" w:cs="Times New Roman"/>
          <w:i/>
          <w:sz w:val="24"/>
          <w:szCs w:val="24"/>
        </w:rPr>
      </w:pPr>
      <w:r w:rsidRPr="00EF60B7">
        <w:rPr>
          <w:rFonts w:ascii="Times New Roman" w:hAnsi="Times New Roman" w:cs="Times New Roman"/>
          <w:i/>
          <w:sz w:val="24"/>
          <w:szCs w:val="24"/>
        </w:rPr>
        <w:t>2.5 Elementi che influenzano il processo decisionale in ambito medico</w:t>
      </w:r>
    </w:p>
    <w:p w:rsidR="00381ABF" w:rsidRPr="00EF60B7" w:rsidRDefault="00381ABF" w:rsidP="008D2DF6">
      <w:pPr>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 xml:space="preserve">Il processo di raccolta, valutazione e ponderazione delle informazioni necessario ai fini della decisione é influenzato dalla funzione cognitiva dei pazienti (a sua </w:t>
      </w:r>
      <w:r w:rsidRPr="00EF60B7">
        <w:rPr>
          <w:rFonts w:ascii="Times New Roman" w:hAnsi="Times New Roman" w:cs="Times New Roman"/>
          <w:sz w:val="24"/>
          <w:szCs w:val="24"/>
        </w:rPr>
        <w:lastRenderedPageBreak/>
        <w:t xml:space="preserve">volta correlata con il livello di istruzione e l’età), dalle abilità comunicazionali (per es. Quando chiedere al medico le questioni rilevanti), dall’assertività, dalla conoscenza riguardo alla specifica malattia, dal desiderio di partecipazione attiva del paziente nell’assistenza sanitaria, dalla convinzione di poter esercitare un controllo sull’assistenza sanitaria e dal livello di </w:t>
      </w:r>
      <w:r w:rsidRPr="00EF60B7">
        <w:rPr>
          <w:rFonts w:ascii="Times New Roman" w:hAnsi="Times New Roman" w:cs="Times New Roman"/>
          <w:i/>
          <w:sz w:val="24"/>
          <w:szCs w:val="24"/>
        </w:rPr>
        <w:t>distress</w:t>
      </w:r>
      <w:r w:rsidRPr="00EF60B7">
        <w:rPr>
          <w:rFonts w:ascii="Times New Roman" w:hAnsi="Times New Roman" w:cs="Times New Roman"/>
          <w:sz w:val="24"/>
          <w:szCs w:val="24"/>
        </w:rPr>
        <w:t xml:space="preserve"> (disagio) psicologico (Mastaglia et al., 2001). Il grado di partecipazione del paziente risulta correlato alla sua età. Varie ricerche (Street et al., 1995; Beisecker et al.,1988; Pinquart &amp; Duberstein, 2004) sono state effettuate a tal proposito; in particolare, dall’indagine condotta da Pinquart e Duberstein (2004)  risulta che la maggior parte dei pazienti anziani preferisce essere bene informata e che solo una minoranza di essi intende svolgere un ruolo attivo nella presa di decisione. Data la loro minore preferenza per una partecipazione attiva alla decisione, essi solitamente non mostrano quegli effetti psicologici positivi che sono legati all’esercizio di un ruolo attivo. Verosimilmente la rinuncia ad assumere un ruolo attivo nella decisione si collega a un inevitabile declino delle funzioni cognitive nei pazienti più anziani. Gli autori della ricerca osservano tuttavia che i medici di fronte a tali pazienti fanno ben poco per stimolarli ad assumere un ruolo meno passivo, probabilmente perché anch’essi sono condizionati da diffusi pregiudizi sociali sulla vecchiaia vista come una condizione di inevitabile declino. Essi dovrebbero chiedere ai pazienti anziani le loro preferenze piuttosto che basare il loro giudizio su illazioni derivate dal comportamento dei pazienti (infondate); i medici possono sollecitare domande del paziente sullo stato della sua malattia, sulle opzioni di trattamento, su possibili effetti collaterali della terapia, etc. In ogni caso, anche di fronte a pazienti anziani tendenzialmente passivi i medici dovrebbero preoccuparsi di includere nelle proprie decisioni che cosa é veramente importante per loro. Per esempio l’impatto delle opzioni terapeutiche sulla qualità di vita é mediamente più importante per i pazienti anziani che per quelli giovani. Considerato che i pazienti anziani si presentano spesso alla prima visita medica con uno o più accompagnatori (in genere un figlio adulto o il coniuge) un particolare filone di ricerche ha focalizzato l’attenzione sul possibile ruolo degli accompagnatori nel processo decisionale (Kapp, 1992; Greene et al., 1994; Prohaska &amp; Glasser, 1996; Schilling et al., 2002; Cleyman et al., 2005). Da uno studio di Prohaska e colleghi (1996) risulta che di un gruppo di pazienti geriatrici, che erano stati accompagnati ad una visita medica, meno della metà dichiaravano di considerare necessario </w:t>
      </w:r>
      <w:r w:rsidRPr="00EF60B7">
        <w:rPr>
          <w:rFonts w:ascii="Times New Roman" w:hAnsi="Times New Roman" w:cs="Times New Roman"/>
          <w:sz w:val="24"/>
          <w:szCs w:val="24"/>
        </w:rPr>
        <w:lastRenderedPageBreak/>
        <w:t xml:space="preserve">l’accompagnamento anche se oltre il 60% riconoscevano di avere accolto favorevolmente quest’ultimo. Alcuni studiosi (Greene et al., 1994; Kapp, 1992) ritengono che l’intrusione di una terza parte nel rapporto medico-paziente, oltre a violare la riservatezza può mettere a rischio l’autonomia del paziente. Infatti, vi sono alcune prove che i pazienti tendono ad essere più passivi durante le visite mediche e nel prendere una decisione, quando é presente un accompagnatore (Greene et al., 1994). C’é la possibilità che i medici rivolgano le informazioni all’accompagnatore piuttosto che al paziente (Beisecker, 1989; Greene et al., 1994) e che tanto il medico quanto l’accompagnatore ignorino o escludano il paziente dalle discussioni riguardanti la cura (Beisecker, 1989; Coe &amp; Prendergast, 1985; Greene et al., 1994). Altri studiosi ritengono che la presenza di un accompagnatore sia utile al processo terapeutico (Jecker, 1990) in quanto i medici danno maggiori informazioni quando sono presenti i familiari piuttosto che quando i pazienti non sono accompagnati (Labrecque et al., 1991; Prohaska &amp; Glasser, 1996); ritengono, inoltre, che la presenza dell’accompagnatore favorisca la comprensione del paziente e del medico (Schilling et al., 2002). Secondo Kapp (1992) c’é il rischio che gli accompagnatori possano ritenere di avere ricevuto dal paziente una tacita delega ad assumere il potere decisionale. Da una ricerca portata avanti da Cleyman e collaboratori (2005) emerge che la presenza degli accompagnatori non pregiudica l’autonomia del paziente, ma piuttosto la facilita. Gli accompagnatori fungono da mediatori tra medico e paziente nel processo di interazione facilitando la loro reciproca comprensione. Dall’indagine risultava, inoltre, che i pazienti che erano stati aiutati dagli accompagnatori a partecipare in maniera attiva nel corso della visita medica, erano anche nel processo decisionale più attivi rispetto ai pazienti i cui accompagnatori non avevano svolto un ruolo di stimolo nei loro confronti. In rapporto alla presa di decisione sono rilevanti anche i tempi di decisione, la reversibilità di quest’ultima e i fattori personali. Questi elementi sono stati presi in seria considerazione e con successo negli studi di </w:t>
      </w:r>
      <w:r w:rsidRPr="00EF60B7">
        <w:rPr>
          <w:rFonts w:ascii="Times New Roman" w:hAnsi="Times New Roman" w:cs="Times New Roman"/>
          <w:i/>
          <w:sz w:val="24"/>
          <w:szCs w:val="24"/>
        </w:rPr>
        <w:t>decision</w:t>
      </w:r>
      <w:r w:rsidRPr="00EF60B7">
        <w:rPr>
          <w:rFonts w:ascii="Times New Roman" w:hAnsi="Times New Roman" w:cs="Times New Roman"/>
          <w:sz w:val="24"/>
          <w:szCs w:val="24"/>
        </w:rPr>
        <w:t xml:space="preserve"> </w:t>
      </w:r>
      <w:r w:rsidRPr="00EF60B7">
        <w:rPr>
          <w:rFonts w:ascii="Times New Roman" w:hAnsi="Times New Roman" w:cs="Times New Roman"/>
          <w:i/>
          <w:sz w:val="24"/>
          <w:szCs w:val="24"/>
        </w:rPr>
        <w:t>making</w:t>
      </w:r>
      <w:r w:rsidRPr="00EF60B7">
        <w:rPr>
          <w:rFonts w:ascii="Times New Roman" w:hAnsi="Times New Roman" w:cs="Times New Roman"/>
          <w:sz w:val="24"/>
          <w:szCs w:val="24"/>
        </w:rPr>
        <w:t xml:space="preserve"> relativi a varie situazioni cliniche come la terapia dell’AIDS o come nel possibile ricorso alla sterilizzazione nei casi in cui una coppia non vuole avere figli (Callan, 1984; Baum, 1982; Kovats et al., 2005; Lassere et al., 2006; Driffield et al., 2007). Da ricerche sul </w:t>
      </w:r>
      <w:r w:rsidRPr="00EF60B7">
        <w:rPr>
          <w:rFonts w:ascii="Times New Roman" w:hAnsi="Times New Roman" w:cs="Times New Roman"/>
          <w:i/>
          <w:sz w:val="24"/>
          <w:szCs w:val="24"/>
        </w:rPr>
        <w:t>regret</w:t>
      </w:r>
      <w:r w:rsidRPr="00EF60B7">
        <w:rPr>
          <w:rFonts w:ascii="Times New Roman" w:hAnsi="Times New Roman" w:cs="Times New Roman"/>
          <w:sz w:val="24"/>
          <w:szCs w:val="24"/>
        </w:rPr>
        <w:t xml:space="preserve"> (rimorso, pentimento) anticipato o posticipato é risultato che alcune coppie volontariamente senza figli evitavano o rinviavano la sterilizzazione a causa della sua irreversibilità (Callan, 1984; Baum, </w:t>
      </w:r>
      <w:r w:rsidRPr="00EF60B7">
        <w:rPr>
          <w:rFonts w:ascii="Times New Roman" w:hAnsi="Times New Roman" w:cs="Times New Roman"/>
          <w:sz w:val="24"/>
          <w:szCs w:val="24"/>
        </w:rPr>
        <w:lastRenderedPageBreak/>
        <w:t xml:space="preserve">1982). Numerose ricerche si sono focalizzate sul </w:t>
      </w:r>
      <w:r w:rsidRPr="00EF60B7">
        <w:rPr>
          <w:rFonts w:ascii="Times New Roman" w:hAnsi="Times New Roman" w:cs="Times New Roman"/>
          <w:i/>
          <w:sz w:val="24"/>
          <w:szCs w:val="24"/>
        </w:rPr>
        <w:t>decision</w:t>
      </w:r>
      <w:r w:rsidRPr="00EF60B7">
        <w:rPr>
          <w:rFonts w:ascii="Times New Roman" w:hAnsi="Times New Roman" w:cs="Times New Roman"/>
          <w:sz w:val="24"/>
          <w:szCs w:val="24"/>
        </w:rPr>
        <w:t xml:space="preserve"> </w:t>
      </w:r>
      <w:r w:rsidRPr="00EF60B7">
        <w:rPr>
          <w:rFonts w:ascii="Times New Roman" w:hAnsi="Times New Roman" w:cs="Times New Roman"/>
          <w:i/>
          <w:sz w:val="24"/>
          <w:szCs w:val="24"/>
        </w:rPr>
        <w:t>making</w:t>
      </w:r>
      <w:r w:rsidRPr="00EF60B7">
        <w:rPr>
          <w:rFonts w:ascii="Times New Roman" w:hAnsi="Times New Roman" w:cs="Times New Roman"/>
          <w:sz w:val="24"/>
          <w:szCs w:val="24"/>
        </w:rPr>
        <w:t xml:space="preserve"> in casi di cancro alla prostata (Gwede et al., 2005; Steginga et al., 2002; Berry et al., 2003; Denberg et al., 2006; Berry et al., 2006; Mazur et al., 1996; Feldman-Stewart et al., 2000; 2001; 2004), patologia che negli Stati Uniti presenta il più alto grado di incidenza tra gli uomini. A differenza di molti tumori il cui trattamento, se iniziato il più presto possibile, assicura un evidente beneficio il carcinoma prostatico pone problemi decisionali e coloro che ne sono affetti spesso chiedono tempo per prendere una decisione in relazione alle loro preferenze, ai loro valori, alla loro percezione del rischio. Infatti, il trattamento al fine di ridurre il rischio di progressione del cancro può comportare effetti collaterali significativi come l’incontinenza urinaria e la disfunzione erettile. In una recente ricerca condotta da Henrickson, Ellis &amp; Berry (2009) riguardante il </w:t>
      </w:r>
      <w:r w:rsidRPr="00EF60B7">
        <w:rPr>
          <w:rFonts w:ascii="Times New Roman" w:hAnsi="Times New Roman" w:cs="Times New Roman"/>
          <w:i/>
          <w:sz w:val="24"/>
          <w:szCs w:val="24"/>
        </w:rPr>
        <w:t>decision</w:t>
      </w:r>
      <w:r w:rsidRPr="00EF60B7">
        <w:rPr>
          <w:rFonts w:ascii="Times New Roman" w:hAnsi="Times New Roman" w:cs="Times New Roman"/>
          <w:sz w:val="24"/>
          <w:szCs w:val="24"/>
        </w:rPr>
        <w:t xml:space="preserve"> </w:t>
      </w:r>
      <w:r w:rsidRPr="00EF60B7">
        <w:rPr>
          <w:rFonts w:ascii="Times New Roman" w:hAnsi="Times New Roman" w:cs="Times New Roman"/>
          <w:i/>
          <w:sz w:val="24"/>
          <w:szCs w:val="24"/>
        </w:rPr>
        <w:t>making</w:t>
      </w:r>
      <w:r w:rsidRPr="00EF60B7">
        <w:rPr>
          <w:rFonts w:ascii="Times New Roman" w:hAnsi="Times New Roman" w:cs="Times New Roman"/>
          <w:sz w:val="24"/>
          <w:szCs w:val="24"/>
        </w:rPr>
        <w:t xml:space="preserve"> in casi di carcinoma prostatico si sottolinea la fondamentale importanza per i pazienti che, in rapporto alla decisione, hanno la reversibilità del trattamento, le condizioni di incertezza associate alla decisione, i tempi di quest’ultima, il numero di opzioni disponibili. Alcune ricerche (Hawley et al.,2007; Schou et al., 2002) hanno rivolto l’attenzione ai problemi di </w:t>
      </w:r>
      <w:r w:rsidRPr="00EF60B7">
        <w:rPr>
          <w:rFonts w:ascii="Times New Roman" w:hAnsi="Times New Roman" w:cs="Times New Roman"/>
          <w:i/>
          <w:sz w:val="24"/>
          <w:szCs w:val="24"/>
        </w:rPr>
        <w:t>decision</w:t>
      </w:r>
      <w:r w:rsidRPr="00EF60B7">
        <w:rPr>
          <w:rFonts w:ascii="Times New Roman" w:hAnsi="Times New Roman" w:cs="Times New Roman"/>
          <w:sz w:val="24"/>
          <w:szCs w:val="24"/>
        </w:rPr>
        <w:t xml:space="preserve"> </w:t>
      </w:r>
      <w:r w:rsidRPr="00EF60B7">
        <w:rPr>
          <w:rFonts w:ascii="Times New Roman" w:hAnsi="Times New Roman" w:cs="Times New Roman"/>
          <w:i/>
          <w:sz w:val="24"/>
          <w:szCs w:val="24"/>
        </w:rPr>
        <w:t>making</w:t>
      </w:r>
      <w:r w:rsidRPr="00EF60B7">
        <w:rPr>
          <w:rFonts w:ascii="Times New Roman" w:hAnsi="Times New Roman" w:cs="Times New Roman"/>
          <w:sz w:val="24"/>
          <w:szCs w:val="24"/>
        </w:rPr>
        <w:t xml:space="preserve"> nei casi di cancro al seno. Nella ricerca condotta da Hawley e collaboratori (2007) si sottolinea come la comunicazione tra paziente e chirurgo abbia influenza sul modo in cui le donne affette da cancro al seno percepiscano il loro coinvolgimento nel </w:t>
      </w:r>
      <w:r w:rsidRPr="00EF60B7">
        <w:rPr>
          <w:rFonts w:ascii="Times New Roman" w:hAnsi="Times New Roman" w:cs="Times New Roman"/>
          <w:i/>
          <w:sz w:val="24"/>
          <w:szCs w:val="24"/>
        </w:rPr>
        <w:t>decision</w:t>
      </w:r>
      <w:r w:rsidRPr="00EF60B7">
        <w:rPr>
          <w:rFonts w:ascii="Times New Roman" w:hAnsi="Times New Roman" w:cs="Times New Roman"/>
          <w:sz w:val="24"/>
          <w:szCs w:val="24"/>
        </w:rPr>
        <w:t xml:space="preserve"> </w:t>
      </w:r>
      <w:r w:rsidRPr="00EF60B7">
        <w:rPr>
          <w:rFonts w:ascii="Times New Roman" w:hAnsi="Times New Roman" w:cs="Times New Roman"/>
          <w:i/>
          <w:sz w:val="24"/>
          <w:szCs w:val="24"/>
        </w:rPr>
        <w:t>making</w:t>
      </w:r>
      <w:r w:rsidRPr="00EF60B7">
        <w:rPr>
          <w:rFonts w:ascii="Times New Roman" w:hAnsi="Times New Roman" w:cs="Times New Roman"/>
          <w:sz w:val="24"/>
          <w:szCs w:val="24"/>
        </w:rPr>
        <w:t xml:space="preserve"> sul trattamento chirurgico preferibile. Infatti, per questo tipo di patologia sono possibili due opzioni di trattamento chirurgico che garantiscono entrambe la sopravvivenza: o una mastectomia radicale o un intervento chirurgico parziale seguito da radioterapia e/o chemioterapia. In situazioni del genere, é fondamentale che la decisione sia condivisa e che il chirurgo non si limiti a fornire alla paziente informazioni su rischi e benefici in termini probabilistici ma tenga nel dovuto conto le preferenze e i valori della paziente. Un’altra ricerca (Schou et al., 2002) sul </w:t>
      </w:r>
      <w:r w:rsidRPr="00EF60B7">
        <w:rPr>
          <w:rFonts w:ascii="Times New Roman" w:hAnsi="Times New Roman" w:cs="Times New Roman"/>
          <w:i/>
          <w:sz w:val="24"/>
          <w:szCs w:val="24"/>
        </w:rPr>
        <w:t>decision</w:t>
      </w:r>
      <w:r w:rsidRPr="00EF60B7">
        <w:rPr>
          <w:rFonts w:ascii="Times New Roman" w:hAnsi="Times New Roman" w:cs="Times New Roman"/>
          <w:sz w:val="24"/>
          <w:szCs w:val="24"/>
        </w:rPr>
        <w:t xml:space="preserve"> </w:t>
      </w:r>
      <w:r w:rsidRPr="00EF60B7">
        <w:rPr>
          <w:rFonts w:ascii="Times New Roman" w:hAnsi="Times New Roman" w:cs="Times New Roman"/>
          <w:i/>
          <w:sz w:val="24"/>
          <w:szCs w:val="24"/>
        </w:rPr>
        <w:t>making</w:t>
      </w:r>
      <w:r w:rsidRPr="00EF60B7">
        <w:rPr>
          <w:rFonts w:ascii="Times New Roman" w:hAnsi="Times New Roman" w:cs="Times New Roman"/>
          <w:sz w:val="24"/>
          <w:szCs w:val="24"/>
        </w:rPr>
        <w:t xml:space="preserve"> in casi di tumori al seno é giunta alla conclusione che, anche quando sul piano strettamente medico era possibile, non tutte le donne accettavano una delle due opzioni raccomandata dal chirurgo e che più della metà delle pazienti preferiva essere pienamente coinvolta nella decisione. Il motivo principale per cui l’11% delle pazienti non accettava la raccomandazione del chirurgo era la paura di una riproduzione del tumore. Le donne tendevano a scegliere l’intervento chirurgico parziale quando non veniva fornita loro alcuna </w:t>
      </w:r>
      <w:r w:rsidRPr="00EF60B7">
        <w:rPr>
          <w:rFonts w:ascii="Times New Roman" w:hAnsi="Times New Roman" w:cs="Times New Roman"/>
          <w:sz w:val="24"/>
          <w:szCs w:val="24"/>
        </w:rPr>
        <w:lastRenderedPageBreak/>
        <w:t>raccomandazione. I fattori più influenti sulla scelta per le donne erano la raccomandazione dei chirurghi e la paura di una recidiva del tumore, invece per i chirurghi i fattori più influenti erano la valutazione strettamente medica e i risultati estetici. Nella stessa ricerca viene evidenziato come il chirurgo, se é donna, nella sua valutazione tenga maggiormente in conto il bisogno di sicurezza della paziente.</w:t>
      </w:r>
    </w:p>
    <w:p w:rsidR="00381ABF" w:rsidRPr="00EF60B7" w:rsidRDefault="00381ABF" w:rsidP="008D2DF6">
      <w:pPr>
        <w:spacing w:line="360" w:lineRule="auto"/>
        <w:jc w:val="both"/>
        <w:rPr>
          <w:rFonts w:ascii="Times New Roman" w:hAnsi="Times New Roman" w:cs="Times New Roman"/>
          <w:sz w:val="24"/>
          <w:szCs w:val="24"/>
        </w:rPr>
      </w:pPr>
    </w:p>
    <w:p w:rsidR="00381ABF" w:rsidRPr="00EF60B7" w:rsidRDefault="00381ABF" w:rsidP="008D2DF6">
      <w:pPr>
        <w:spacing w:line="360" w:lineRule="auto"/>
        <w:jc w:val="both"/>
        <w:rPr>
          <w:rFonts w:ascii="Times New Roman" w:hAnsi="Times New Roman" w:cs="Times New Roman"/>
          <w:i/>
          <w:sz w:val="24"/>
          <w:szCs w:val="24"/>
        </w:rPr>
      </w:pPr>
      <w:r w:rsidRPr="00EF60B7">
        <w:rPr>
          <w:rFonts w:ascii="Times New Roman" w:hAnsi="Times New Roman" w:cs="Times New Roman"/>
          <w:i/>
          <w:sz w:val="24"/>
          <w:szCs w:val="24"/>
        </w:rPr>
        <w:t>2.6 Consenso Informato e Decision Making</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Il consenso informato è l’accettazione volontaria da parte di un paziente del trattamento che gli viene proposto da un medico. Il presupposto essenziale del consenso è l’informazione adeguata (compiuta ed idonea in ordine al trattamento sanitario da effettuare ed ai rischi che ne possono derivare), fornita dal medico al paziente (“</w:t>
      </w:r>
      <w:r w:rsidRPr="00EF60B7">
        <w:rPr>
          <w:rFonts w:ascii="Times New Roman" w:hAnsi="Times New Roman" w:cs="Times New Roman"/>
          <w:i/>
          <w:iCs/>
          <w:sz w:val="24"/>
          <w:szCs w:val="24"/>
        </w:rPr>
        <w:t>informed</w:t>
      </w:r>
      <w:r w:rsidRPr="00EF60B7">
        <w:rPr>
          <w:rFonts w:ascii="Times New Roman" w:hAnsi="Times New Roman" w:cs="Times New Roman"/>
          <w:sz w:val="24"/>
          <w:szCs w:val="24"/>
        </w:rPr>
        <w:t xml:space="preserve"> </w:t>
      </w:r>
      <w:r w:rsidRPr="00EF60B7">
        <w:rPr>
          <w:rFonts w:ascii="Times New Roman" w:hAnsi="Times New Roman" w:cs="Times New Roman"/>
          <w:i/>
          <w:iCs/>
          <w:sz w:val="24"/>
          <w:szCs w:val="24"/>
        </w:rPr>
        <w:t>consent</w:t>
      </w:r>
      <w:r w:rsidRPr="00EF60B7">
        <w:rPr>
          <w:rFonts w:ascii="Times New Roman" w:hAnsi="Times New Roman" w:cs="Times New Roman"/>
          <w:sz w:val="24"/>
          <w:szCs w:val="24"/>
        </w:rPr>
        <w:t>”).</w:t>
      </w:r>
    </w:p>
    <w:p w:rsidR="00381ABF" w:rsidRPr="00EF60B7" w:rsidRDefault="00381ABF" w:rsidP="008D2DF6">
      <w:pPr>
        <w:tabs>
          <w:tab w:val="left" w:pos="8056"/>
        </w:tabs>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Secondo quanto si legge nelle motivazioni della sentenza pronunciata dalla Corte di Cassazione nel 2008 (Cass. pen., sent. n. 45126/2008) “</w:t>
      </w:r>
      <w:r w:rsidRPr="00EF60B7">
        <w:rPr>
          <w:rFonts w:ascii="Times New Roman" w:hAnsi="Times New Roman" w:cs="Times New Roman"/>
          <w:i/>
          <w:iCs/>
          <w:sz w:val="24"/>
          <w:szCs w:val="24"/>
        </w:rPr>
        <w:t>Al medico va solo riconosciuta la facoltà o la potestà di</w:t>
      </w:r>
      <w:r w:rsidRPr="00EF60B7">
        <w:rPr>
          <w:rFonts w:ascii="Times New Roman" w:hAnsi="Times New Roman" w:cs="Times New Roman"/>
          <w:sz w:val="24"/>
          <w:szCs w:val="24"/>
        </w:rPr>
        <w:t xml:space="preserve"> </w:t>
      </w:r>
      <w:r w:rsidRPr="00EF60B7">
        <w:rPr>
          <w:rFonts w:ascii="Times New Roman" w:hAnsi="Times New Roman" w:cs="Times New Roman"/>
          <w:i/>
          <w:iCs/>
          <w:sz w:val="24"/>
          <w:szCs w:val="24"/>
        </w:rPr>
        <w:t>curare, situazioni soggettive, queste, derivanti dall’abilitazione all’esercizio della</w:t>
      </w:r>
      <w:r w:rsidRPr="00EF60B7">
        <w:rPr>
          <w:rFonts w:ascii="Times New Roman" w:hAnsi="Times New Roman" w:cs="Times New Roman"/>
          <w:sz w:val="24"/>
          <w:szCs w:val="24"/>
        </w:rPr>
        <w:t xml:space="preserve"> </w:t>
      </w:r>
      <w:r w:rsidRPr="00EF60B7">
        <w:rPr>
          <w:rFonts w:ascii="Times New Roman" w:hAnsi="Times New Roman" w:cs="Times New Roman"/>
          <w:i/>
          <w:iCs/>
          <w:sz w:val="24"/>
          <w:szCs w:val="24"/>
        </w:rPr>
        <w:t>professione sanitaria, le quali, tuttavia, per potersi estrinsecare abbisognano, di regola, del</w:t>
      </w:r>
      <w:r w:rsidRPr="00EF60B7">
        <w:rPr>
          <w:rFonts w:ascii="Times New Roman" w:hAnsi="Times New Roman" w:cs="Times New Roman"/>
          <w:sz w:val="24"/>
          <w:szCs w:val="24"/>
        </w:rPr>
        <w:t xml:space="preserve"> </w:t>
      </w:r>
      <w:r w:rsidRPr="00EF60B7">
        <w:rPr>
          <w:rFonts w:ascii="Times New Roman" w:hAnsi="Times New Roman" w:cs="Times New Roman"/>
          <w:i/>
          <w:iCs/>
          <w:sz w:val="24"/>
          <w:szCs w:val="24"/>
        </w:rPr>
        <w:t>consenso della persona che al trattamento sanitario deve sottoporsi…” “…il</w:t>
      </w:r>
      <w:r w:rsidRPr="00EF60B7">
        <w:rPr>
          <w:rFonts w:ascii="Times New Roman" w:hAnsi="Times New Roman" w:cs="Times New Roman"/>
          <w:sz w:val="24"/>
          <w:szCs w:val="24"/>
        </w:rPr>
        <w:t xml:space="preserve"> </w:t>
      </w:r>
      <w:r w:rsidRPr="00EF60B7">
        <w:rPr>
          <w:rFonts w:ascii="Times New Roman" w:hAnsi="Times New Roman" w:cs="Times New Roman"/>
          <w:i/>
          <w:iCs/>
          <w:sz w:val="24"/>
          <w:szCs w:val="24"/>
        </w:rPr>
        <w:t>consenso informato ha come contenuto concreto la facoltà non solo di scegliere tra le</w:t>
      </w:r>
      <w:r w:rsidRPr="00EF60B7">
        <w:rPr>
          <w:rFonts w:ascii="Times New Roman" w:hAnsi="Times New Roman" w:cs="Times New Roman"/>
          <w:sz w:val="24"/>
          <w:szCs w:val="24"/>
        </w:rPr>
        <w:t xml:space="preserve"> </w:t>
      </w:r>
      <w:r w:rsidRPr="00EF60B7">
        <w:rPr>
          <w:rFonts w:ascii="Times New Roman" w:hAnsi="Times New Roman" w:cs="Times New Roman"/>
          <w:i/>
          <w:iCs/>
          <w:sz w:val="24"/>
          <w:szCs w:val="24"/>
        </w:rPr>
        <w:t>diverse possibilità di trattamento medico, ma anche di eventualmente rifiutare la terapia e</w:t>
      </w:r>
      <w:r w:rsidRPr="00EF60B7">
        <w:rPr>
          <w:rFonts w:ascii="Times New Roman" w:hAnsi="Times New Roman" w:cs="Times New Roman"/>
          <w:sz w:val="24"/>
          <w:szCs w:val="24"/>
        </w:rPr>
        <w:t xml:space="preserve"> </w:t>
      </w:r>
      <w:r w:rsidRPr="00EF60B7">
        <w:rPr>
          <w:rFonts w:ascii="Times New Roman" w:hAnsi="Times New Roman" w:cs="Times New Roman"/>
          <w:i/>
          <w:iCs/>
          <w:sz w:val="24"/>
          <w:szCs w:val="24"/>
        </w:rPr>
        <w:t>di decidere consapevolmente di interromperla, in tutte le fasi della vita, anche in quella</w:t>
      </w:r>
      <w:r w:rsidRPr="00EF60B7">
        <w:rPr>
          <w:rFonts w:ascii="Times New Roman" w:hAnsi="Times New Roman" w:cs="Times New Roman"/>
          <w:sz w:val="24"/>
          <w:szCs w:val="24"/>
        </w:rPr>
        <w:t xml:space="preserve"> </w:t>
      </w:r>
      <w:r w:rsidRPr="00EF60B7">
        <w:rPr>
          <w:rFonts w:ascii="Times New Roman" w:hAnsi="Times New Roman" w:cs="Times New Roman"/>
          <w:i/>
          <w:iCs/>
          <w:sz w:val="24"/>
          <w:szCs w:val="24"/>
        </w:rPr>
        <w:t>terminale…” “…la mancanza del consenso del paziente o l’invalidità del consenso</w:t>
      </w:r>
      <w:r w:rsidRPr="00EF60B7">
        <w:rPr>
          <w:rFonts w:ascii="Times New Roman" w:hAnsi="Times New Roman" w:cs="Times New Roman"/>
          <w:sz w:val="24"/>
          <w:szCs w:val="24"/>
        </w:rPr>
        <w:t xml:space="preserve"> </w:t>
      </w:r>
      <w:r w:rsidRPr="00EF60B7">
        <w:rPr>
          <w:rFonts w:ascii="Times New Roman" w:hAnsi="Times New Roman" w:cs="Times New Roman"/>
          <w:i/>
          <w:iCs/>
          <w:sz w:val="24"/>
          <w:szCs w:val="24"/>
        </w:rPr>
        <w:t>determinano l’arbitrarietà del trattamento medico chirurgico e, quindi, la sua rilevanza</w:t>
      </w:r>
      <w:r w:rsidRPr="00EF60B7">
        <w:rPr>
          <w:rFonts w:ascii="Times New Roman" w:hAnsi="Times New Roman" w:cs="Times New Roman"/>
          <w:sz w:val="24"/>
          <w:szCs w:val="24"/>
        </w:rPr>
        <w:t xml:space="preserve"> </w:t>
      </w:r>
      <w:r w:rsidRPr="00EF60B7">
        <w:rPr>
          <w:rFonts w:ascii="Times New Roman" w:hAnsi="Times New Roman" w:cs="Times New Roman"/>
          <w:i/>
          <w:iCs/>
          <w:sz w:val="24"/>
          <w:szCs w:val="24"/>
        </w:rPr>
        <w:t>penale, in quanto compiuto in violazione della sfera personale del soggetto e del suo diritto</w:t>
      </w:r>
      <w:r w:rsidRPr="00EF60B7">
        <w:rPr>
          <w:rFonts w:ascii="Times New Roman" w:hAnsi="Times New Roman" w:cs="Times New Roman"/>
          <w:sz w:val="24"/>
          <w:szCs w:val="24"/>
        </w:rPr>
        <w:t xml:space="preserve"> </w:t>
      </w:r>
      <w:r w:rsidRPr="00EF60B7">
        <w:rPr>
          <w:rFonts w:ascii="Times New Roman" w:hAnsi="Times New Roman" w:cs="Times New Roman"/>
          <w:i/>
          <w:iCs/>
          <w:sz w:val="24"/>
          <w:szCs w:val="24"/>
        </w:rPr>
        <w:t>di decidere se permettere interventi estranei sul proprio corpo</w:t>
      </w:r>
      <w:r w:rsidRPr="00EF60B7">
        <w:rPr>
          <w:rFonts w:ascii="Times New Roman" w:hAnsi="Times New Roman" w:cs="Times New Roman"/>
          <w:sz w:val="24"/>
          <w:szCs w:val="24"/>
        </w:rPr>
        <w:t xml:space="preserve">”. Opportunamente Portalone e Mitello (2008) sottolineano come il consenso informato non debba essere concepito come un semplice pezzo di carta da fare firmare, bensì come una decisione che il paziente matura consapevolmente. In quanto tale, il consenso informato, é l’espressione dell’autonomia del paziente nel </w:t>
      </w:r>
      <w:r w:rsidRPr="00EF60B7">
        <w:rPr>
          <w:rFonts w:ascii="Times New Roman" w:hAnsi="Times New Roman" w:cs="Times New Roman"/>
          <w:i/>
          <w:sz w:val="24"/>
          <w:szCs w:val="24"/>
        </w:rPr>
        <w:t>decision</w:t>
      </w:r>
      <w:r w:rsidRPr="00EF60B7">
        <w:rPr>
          <w:rFonts w:ascii="Times New Roman" w:hAnsi="Times New Roman" w:cs="Times New Roman"/>
          <w:sz w:val="24"/>
          <w:szCs w:val="24"/>
        </w:rPr>
        <w:t xml:space="preserve"> </w:t>
      </w:r>
      <w:r w:rsidRPr="00EF60B7">
        <w:rPr>
          <w:rFonts w:ascii="Times New Roman" w:hAnsi="Times New Roman" w:cs="Times New Roman"/>
          <w:i/>
          <w:sz w:val="24"/>
          <w:szCs w:val="24"/>
        </w:rPr>
        <w:t>making</w:t>
      </w:r>
      <w:r w:rsidRPr="00EF60B7">
        <w:rPr>
          <w:rFonts w:ascii="Times New Roman" w:hAnsi="Times New Roman" w:cs="Times New Roman"/>
          <w:sz w:val="24"/>
          <w:szCs w:val="24"/>
        </w:rPr>
        <w:t xml:space="preserve">. Presupposto fondamentale di un effettivo consenso informato é che le informazioni date al paziente non siano </w:t>
      </w:r>
      <w:r w:rsidRPr="00EF60B7">
        <w:rPr>
          <w:rFonts w:ascii="Times New Roman" w:hAnsi="Times New Roman" w:cs="Times New Roman"/>
          <w:sz w:val="24"/>
          <w:szCs w:val="24"/>
        </w:rPr>
        <w:lastRenderedPageBreak/>
        <w:t xml:space="preserve">parziali, non si prestino ad interpretazioni ambigue e che le decisioni non vengano prese sostanzialmente dai medici, magari d’accordo con i familiari del paziente, perché in tal caso quest’ultimo si troverebbe in una condizione di tutela e non sarebbe rispettata la sua autonomia. Come ha osservato Schneider (1998) infatti, più spesso di quanto sia esplicitamente riconosciuto dalla legge e dai bioeticisti, le procedure stabilite per assicurare l’autonomia del paziente nel consenso informato  e nel processo di </w:t>
      </w:r>
      <w:r w:rsidRPr="00EF60B7">
        <w:rPr>
          <w:rFonts w:ascii="Times New Roman" w:hAnsi="Times New Roman" w:cs="Times New Roman"/>
          <w:i/>
          <w:sz w:val="24"/>
          <w:szCs w:val="24"/>
        </w:rPr>
        <w:t>decision</w:t>
      </w:r>
      <w:r w:rsidRPr="00EF60B7">
        <w:rPr>
          <w:rFonts w:ascii="Times New Roman" w:hAnsi="Times New Roman" w:cs="Times New Roman"/>
          <w:sz w:val="24"/>
          <w:szCs w:val="24"/>
        </w:rPr>
        <w:t xml:space="preserve"> </w:t>
      </w:r>
      <w:r w:rsidRPr="00EF60B7">
        <w:rPr>
          <w:rFonts w:ascii="Times New Roman" w:hAnsi="Times New Roman" w:cs="Times New Roman"/>
          <w:i/>
          <w:sz w:val="24"/>
          <w:szCs w:val="24"/>
        </w:rPr>
        <w:t>making</w:t>
      </w:r>
      <w:r w:rsidRPr="00EF60B7">
        <w:rPr>
          <w:rFonts w:ascii="Times New Roman" w:hAnsi="Times New Roman" w:cs="Times New Roman"/>
          <w:sz w:val="24"/>
          <w:szCs w:val="24"/>
        </w:rPr>
        <w:t xml:space="preserve"> sul trattamento sono diventate rituali di autonomia puramente formale; ciò  induce lo studioso a ritenere che la sconfitta del modello paternalistico sia più illusoria che reale. Una ricerca sul consenso informato in casi di radioterapia palliativa pone la questione sulla misura in cui in tale ambito esso sia effettivo (Verhaak, Kraaimaat, Staps &amp; Van Daal, 2000). La ricerca é stata condotta nell’ambito di </w:t>
      </w:r>
      <w:r w:rsidRPr="00EF60B7">
        <w:rPr>
          <w:rFonts w:ascii="Times New Roman" w:hAnsi="Times New Roman" w:cs="Times New Roman"/>
          <w:i/>
          <w:sz w:val="24"/>
          <w:szCs w:val="24"/>
        </w:rPr>
        <w:t>decision</w:t>
      </w:r>
      <w:r w:rsidRPr="00EF60B7">
        <w:rPr>
          <w:rFonts w:ascii="Times New Roman" w:hAnsi="Times New Roman" w:cs="Times New Roman"/>
          <w:sz w:val="24"/>
          <w:szCs w:val="24"/>
        </w:rPr>
        <w:t xml:space="preserve"> </w:t>
      </w:r>
      <w:r w:rsidRPr="00EF60B7">
        <w:rPr>
          <w:rFonts w:ascii="Times New Roman" w:hAnsi="Times New Roman" w:cs="Times New Roman"/>
          <w:i/>
          <w:sz w:val="24"/>
          <w:szCs w:val="24"/>
        </w:rPr>
        <w:t>making</w:t>
      </w:r>
      <w:r w:rsidRPr="00EF60B7">
        <w:rPr>
          <w:rFonts w:ascii="Times New Roman" w:hAnsi="Times New Roman" w:cs="Times New Roman"/>
          <w:sz w:val="24"/>
          <w:szCs w:val="24"/>
        </w:rPr>
        <w:t xml:space="preserve"> condiviso tra oncologi radioterapisti e pazienti e parenti prossimi in interviste dove si doveva decidere se utilizzare o meno una radioterapia palliativa. I risultati della ricerca indicavano che in più del 75% delle interviste ai pazienti e ai loro parenti prossimi non veniva chiesta la loro opinione riguardo alle decisioni sul trattamento; inoltre, nel 46% delle interviste si discuteva su altre opzioni di trattamento o sull’opzione di astenersi dal trattamento. Affinchè sia effettivo il consenso informato é fondamentale un’informazione adeguata sia sul piano della quantità che sul piano della qualità. L’ importanza dell’informazione é stata sottolineata da Wills e Holmes-Rovner (2003) secondo i quali gli elementi che caratterizzano una corretta informazione sono la rilevanza, l’accuratezza, l’accessibilità, la comprensibilità, l’utilizzabilità e l’accettabilità. I due studiosi osservano che la semplicità dell’informazione può essere a discapito della completezza, e viceversa, e suggeriscono di trovare modi per controbilanciare le due esigenze. In ogni caso essi propongono che l’informazione di cui il paziente ha bisogno per il consenso informato, piuttosto che obbedire ad un modello standard, venga fatta “su misura” tenendo conto delle esigenze e delle caratteristiche socio-culturali del paziente. L’informazione necessaria ai fini del consenso assume particolare importanza nei casi, purtroppo frequenti, di donne affette da carcinoma al seno che si trovano di fronte al dubbio se sia preferibile una mastectomia o un intervento chirurgico parziale integrato da chemio e radioterapia. Da una ricerca condotta da Fagerlin e collaboratori (2006) é risultato che solo il 16% delle donne intervistate sapeva che le probabilità di una riproduzione del tumore variavano a </w:t>
      </w:r>
      <w:r w:rsidRPr="00EF60B7">
        <w:rPr>
          <w:rFonts w:ascii="Times New Roman" w:hAnsi="Times New Roman" w:cs="Times New Roman"/>
          <w:sz w:val="24"/>
          <w:szCs w:val="24"/>
        </w:rPr>
        <w:lastRenderedPageBreak/>
        <w:t>seconda che si ricorresse alla mastectomia o ad un intervento chirurgico di asportazione parziale, e che il 48%  sapeva che le probabilità di sopravvivenza erano equivalenti. Secondo gli autori (Fargelin e coll., 2006), tali risultati segnalano che la maggioranza delle donne non ha una conoscenza adeguata a prendere decisioni informate sul trattamento chirurgico del cancro al seno e che, conseguentemente, é necessario migliorare e incrementare l’informazione al fine di assicurare che le donne siano in grado di prendere decisioni informate sul trattamento della loro patologia; a tale scopo sarebbe utile che le donne fossero aiutate a decidere e disponessero di un sufficiente lasso di tempo per prendere la decisione. Non meno difficili sono le decisioni in situazioni in cui il paziente é in fin di vita in quanto non si tratta tanto di una scelta clinica bensì di una decisione che comporta interrogativi di natura etica. Le scelte di fine vita rappresentano uno degli aspetti più impegnativi nell’ambito della rianimazione pediatrica; infatti si tratta di decidere se sospendere o non iniziare trattamenti che non possono migliorare le condizioni di salute del paziente bensì hanno l’unico scopo di mantenerlo in vita. La decisione di sospendere o di non cominciare trattamenti di supporto vitale (farmacologici e non) sul piano etico ha un identico valore (</w:t>
      </w:r>
      <w:r w:rsidRPr="00EF60B7">
        <w:rPr>
          <w:rFonts w:ascii="Times New Roman" w:hAnsi="Times New Roman" w:cs="Times New Roman"/>
          <w:i/>
          <w:sz w:val="24"/>
          <w:szCs w:val="24"/>
        </w:rPr>
        <w:t>American Academy of Pediatrics Committee on Bioethics</w:t>
      </w:r>
      <w:r w:rsidRPr="00EF60B7">
        <w:rPr>
          <w:rFonts w:ascii="Times New Roman" w:hAnsi="Times New Roman" w:cs="Times New Roman"/>
          <w:sz w:val="24"/>
          <w:szCs w:val="24"/>
        </w:rPr>
        <w:t xml:space="preserve">, 1994; </w:t>
      </w:r>
      <w:r w:rsidRPr="00EF60B7">
        <w:rPr>
          <w:rFonts w:ascii="Times New Roman" w:hAnsi="Times New Roman" w:cs="Times New Roman"/>
          <w:i/>
          <w:sz w:val="24"/>
          <w:szCs w:val="24"/>
        </w:rPr>
        <w:t>Royal College of Paediatrics and Child Health</w:t>
      </w:r>
      <w:r w:rsidRPr="00EF60B7">
        <w:rPr>
          <w:rFonts w:ascii="Times New Roman" w:hAnsi="Times New Roman" w:cs="Times New Roman"/>
          <w:sz w:val="24"/>
          <w:szCs w:val="24"/>
        </w:rPr>
        <w:t xml:space="preserve">, 2004), ma come osservano Giannini e collaboratori (2008) può avere un diverso impatto emotivo sui genitori in termini di senso di colpa, senso di inadeguatezza, ansia, depressione, etc. In ogni caso, poichè il medico alle cui cure é affidato il paziente e il primario della rianimazione hanno la responsabilità maggiore per la decisione finale, anche se questa é condivisa nel senso che trova il consenso dei genitori, questi ultimi corrono un minore rischio di provare quei sensi di colpa che proverebbero se prendessero la decisione da soli. I processi decisionali riguardanti i pazienti in fin di vita debbono definire esattamente gli elementi clinici della storia del paziente; identificare le possibili opzioni sul piano diagnostico, terapeutico e assistenziale; identificare i soggetti coinvolti e le loro specifiche responsabilità; definire i valori in gioco e gli aspetti etici relativi alle diverse opzioni possibili. Di fronte alla gravità delle condizioni cliniche, il </w:t>
      </w:r>
      <w:r w:rsidRPr="00EF60B7">
        <w:rPr>
          <w:rFonts w:ascii="Times New Roman" w:hAnsi="Times New Roman" w:cs="Times New Roman"/>
          <w:i/>
          <w:sz w:val="24"/>
          <w:szCs w:val="24"/>
        </w:rPr>
        <w:t>decision</w:t>
      </w:r>
      <w:r w:rsidRPr="00EF60B7">
        <w:rPr>
          <w:rFonts w:ascii="Times New Roman" w:hAnsi="Times New Roman" w:cs="Times New Roman"/>
          <w:sz w:val="24"/>
          <w:szCs w:val="24"/>
        </w:rPr>
        <w:t xml:space="preserve"> </w:t>
      </w:r>
      <w:r w:rsidRPr="00EF60B7">
        <w:rPr>
          <w:rFonts w:ascii="Times New Roman" w:hAnsi="Times New Roman" w:cs="Times New Roman"/>
          <w:i/>
          <w:sz w:val="24"/>
          <w:szCs w:val="24"/>
        </w:rPr>
        <w:t>making</w:t>
      </w:r>
      <w:r w:rsidRPr="00EF60B7">
        <w:rPr>
          <w:rFonts w:ascii="Times New Roman" w:hAnsi="Times New Roman" w:cs="Times New Roman"/>
          <w:sz w:val="24"/>
          <w:szCs w:val="24"/>
        </w:rPr>
        <w:t xml:space="preserve"> di fine vita può generare conflitti sia all’interno dell’équipe medica sia tra l’équipe curante e i genitori, sia tra i genitori stessi: conflitti che é importante riconoscere e affrontare con rispetto reciproco fra le parti. Poiché il criterio di base del </w:t>
      </w:r>
      <w:r w:rsidRPr="00EF60B7">
        <w:rPr>
          <w:rFonts w:ascii="Times New Roman" w:hAnsi="Times New Roman" w:cs="Times New Roman"/>
          <w:i/>
          <w:sz w:val="24"/>
          <w:szCs w:val="24"/>
        </w:rPr>
        <w:t>decision</w:t>
      </w:r>
      <w:r w:rsidRPr="00EF60B7">
        <w:rPr>
          <w:rFonts w:ascii="Times New Roman" w:hAnsi="Times New Roman" w:cs="Times New Roman"/>
          <w:sz w:val="24"/>
          <w:szCs w:val="24"/>
        </w:rPr>
        <w:t xml:space="preserve"> </w:t>
      </w:r>
      <w:r w:rsidRPr="00EF60B7">
        <w:rPr>
          <w:rFonts w:ascii="Times New Roman" w:hAnsi="Times New Roman" w:cs="Times New Roman"/>
          <w:i/>
          <w:sz w:val="24"/>
          <w:szCs w:val="24"/>
        </w:rPr>
        <w:t>making</w:t>
      </w:r>
      <w:r w:rsidRPr="00EF60B7">
        <w:rPr>
          <w:rFonts w:ascii="Times New Roman" w:hAnsi="Times New Roman" w:cs="Times New Roman"/>
          <w:sz w:val="24"/>
          <w:szCs w:val="24"/>
        </w:rPr>
        <w:t xml:space="preserve"> in questo caso </w:t>
      </w:r>
      <w:r w:rsidRPr="00EF60B7">
        <w:rPr>
          <w:rFonts w:ascii="Times New Roman" w:hAnsi="Times New Roman" w:cs="Times New Roman"/>
          <w:sz w:val="24"/>
          <w:szCs w:val="24"/>
        </w:rPr>
        <w:lastRenderedPageBreak/>
        <w:t>é l’interesse del bambino, la volontà espressa dai genitori, anche se informati adeguatamente, non può avere valore vincolante nel caso in cui essa appaia in conflitto con tale interesse.</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rPr>
      </w:pPr>
    </w:p>
    <w:p w:rsidR="00381ABF" w:rsidRPr="00EF60B7" w:rsidRDefault="00381ABF" w:rsidP="008D2DF6">
      <w:pPr>
        <w:spacing w:line="360" w:lineRule="auto"/>
        <w:jc w:val="both"/>
        <w:rPr>
          <w:rFonts w:ascii="Times New Roman" w:hAnsi="Times New Roman" w:cs="Times New Roman"/>
          <w:sz w:val="24"/>
          <w:szCs w:val="24"/>
        </w:rPr>
      </w:pPr>
    </w:p>
    <w:p w:rsidR="00381ABF" w:rsidRPr="00EF60B7" w:rsidRDefault="00381ABF" w:rsidP="008D2DF6">
      <w:pPr>
        <w:spacing w:line="360" w:lineRule="auto"/>
        <w:jc w:val="both"/>
        <w:rPr>
          <w:rFonts w:ascii="Times New Roman" w:hAnsi="Times New Roman" w:cs="Times New Roman"/>
          <w:sz w:val="24"/>
          <w:szCs w:val="24"/>
        </w:rPr>
      </w:pPr>
    </w:p>
    <w:p w:rsidR="00381ABF" w:rsidRPr="00EF60B7" w:rsidRDefault="00381ABF" w:rsidP="008D2DF6">
      <w:pPr>
        <w:spacing w:line="360" w:lineRule="auto"/>
        <w:jc w:val="both"/>
        <w:rPr>
          <w:rFonts w:ascii="Times New Roman" w:hAnsi="Times New Roman" w:cs="Times New Roman"/>
          <w:sz w:val="24"/>
          <w:szCs w:val="24"/>
        </w:rPr>
      </w:pPr>
    </w:p>
    <w:p w:rsidR="00381ABF" w:rsidRPr="00EF60B7" w:rsidRDefault="00381ABF" w:rsidP="008D2DF6">
      <w:pPr>
        <w:spacing w:line="360" w:lineRule="auto"/>
        <w:jc w:val="both"/>
        <w:rPr>
          <w:rFonts w:ascii="Times New Roman" w:hAnsi="Times New Roman" w:cs="Times New Roman"/>
          <w:sz w:val="24"/>
          <w:szCs w:val="24"/>
        </w:rPr>
      </w:pPr>
    </w:p>
    <w:p w:rsidR="00381ABF" w:rsidRPr="00EF60B7" w:rsidRDefault="00381ABF" w:rsidP="008D2DF6">
      <w:pPr>
        <w:spacing w:line="360" w:lineRule="auto"/>
        <w:jc w:val="both"/>
        <w:rPr>
          <w:rFonts w:ascii="Times New Roman" w:hAnsi="Times New Roman" w:cs="Times New Roman"/>
          <w:sz w:val="24"/>
          <w:szCs w:val="24"/>
        </w:rPr>
      </w:pPr>
    </w:p>
    <w:p w:rsidR="00381ABF" w:rsidRPr="00EF60B7" w:rsidRDefault="00381ABF" w:rsidP="008D2DF6">
      <w:pPr>
        <w:spacing w:line="360" w:lineRule="auto"/>
        <w:jc w:val="both"/>
        <w:rPr>
          <w:rFonts w:ascii="Times New Roman" w:hAnsi="Times New Roman" w:cs="Times New Roman"/>
          <w:sz w:val="24"/>
          <w:szCs w:val="24"/>
        </w:rPr>
      </w:pPr>
    </w:p>
    <w:p w:rsidR="00381ABF" w:rsidRPr="00EF60B7" w:rsidRDefault="00381ABF" w:rsidP="008D2DF6">
      <w:pPr>
        <w:spacing w:line="360" w:lineRule="auto"/>
        <w:jc w:val="both"/>
        <w:rPr>
          <w:rFonts w:ascii="Times New Roman" w:hAnsi="Times New Roman" w:cs="Times New Roman"/>
          <w:sz w:val="24"/>
          <w:szCs w:val="24"/>
        </w:rPr>
      </w:pPr>
    </w:p>
    <w:p w:rsidR="00381ABF" w:rsidRPr="00EF60B7" w:rsidRDefault="00381ABF" w:rsidP="008D2DF6">
      <w:pPr>
        <w:spacing w:line="360" w:lineRule="auto"/>
        <w:jc w:val="both"/>
        <w:rPr>
          <w:rFonts w:ascii="Times New Roman" w:hAnsi="Times New Roman" w:cs="Times New Roman"/>
          <w:sz w:val="24"/>
          <w:szCs w:val="24"/>
        </w:rPr>
      </w:pPr>
    </w:p>
    <w:p w:rsidR="00381ABF" w:rsidRPr="00EF60B7" w:rsidRDefault="00381ABF" w:rsidP="008D2DF6">
      <w:pPr>
        <w:spacing w:line="360" w:lineRule="auto"/>
        <w:jc w:val="both"/>
        <w:rPr>
          <w:rFonts w:ascii="Times New Roman" w:hAnsi="Times New Roman" w:cs="Times New Roman"/>
          <w:sz w:val="24"/>
          <w:szCs w:val="24"/>
        </w:rPr>
      </w:pPr>
    </w:p>
    <w:p w:rsidR="00381ABF" w:rsidRPr="00EF60B7" w:rsidRDefault="00381ABF" w:rsidP="008D2DF6">
      <w:pPr>
        <w:spacing w:line="360" w:lineRule="auto"/>
        <w:jc w:val="both"/>
        <w:rPr>
          <w:rFonts w:ascii="Times New Roman" w:hAnsi="Times New Roman" w:cs="Times New Roman"/>
          <w:sz w:val="24"/>
          <w:szCs w:val="24"/>
        </w:rPr>
      </w:pPr>
    </w:p>
    <w:p w:rsidR="00381ABF" w:rsidRPr="00EF60B7" w:rsidRDefault="00381ABF" w:rsidP="008D2DF6">
      <w:pPr>
        <w:spacing w:line="360" w:lineRule="auto"/>
        <w:jc w:val="both"/>
        <w:rPr>
          <w:rFonts w:ascii="Times New Roman" w:hAnsi="Times New Roman" w:cs="Times New Roman"/>
          <w:sz w:val="24"/>
          <w:szCs w:val="24"/>
        </w:rPr>
      </w:pPr>
    </w:p>
    <w:p w:rsidR="00381ABF" w:rsidRPr="00EF60B7" w:rsidRDefault="00381ABF" w:rsidP="008D2DF6">
      <w:pPr>
        <w:spacing w:line="360" w:lineRule="auto"/>
        <w:jc w:val="both"/>
        <w:rPr>
          <w:rFonts w:ascii="Times New Roman" w:hAnsi="Times New Roman" w:cs="Times New Roman"/>
          <w:sz w:val="24"/>
          <w:szCs w:val="24"/>
        </w:rPr>
      </w:pPr>
    </w:p>
    <w:p w:rsidR="00381ABF" w:rsidRPr="00EF60B7" w:rsidRDefault="00381ABF" w:rsidP="008D2DF6">
      <w:pPr>
        <w:spacing w:line="360" w:lineRule="auto"/>
        <w:jc w:val="both"/>
        <w:rPr>
          <w:rFonts w:ascii="Times New Roman" w:hAnsi="Times New Roman" w:cs="Times New Roman"/>
          <w:sz w:val="24"/>
          <w:szCs w:val="24"/>
        </w:rPr>
      </w:pPr>
    </w:p>
    <w:p w:rsidR="00381ABF" w:rsidRPr="00EF60B7" w:rsidRDefault="00381ABF" w:rsidP="008D2DF6">
      <w:pPr>
        <w:spacing w:line="360" w:lineRule="auto"/>
        <w:jc w:val="both"/>
        <w:rPr>
          <w:rFonts w:ascii="Times New Roman" w:hAnsi="Times New Roman" w:cs="Times New Roman"/>
          <w:sz w:val="24"/>
          <w:szCs w:val="24"/>
        </w:rPr>
      </w:pPr>
    </w:p>
    <w:p w:rsidR="00381ABF" w:rsidRPr="00EF60B7" w:rsidRDefault="00381ABF" w:rsidP="008D2DF6">
      <w:pPr>
        <w:spacing w:line="360" w:lineRule="auto"/>
        <w:jc w:val="both"/>
        <w:rPr>
          <w:rFonts w:ascii="Times New Roman" w:hAnsi="Times New Roman" w:cs="Times New Roman"/>
          <w:sz w:val="24"/>
          <w:szCs w:val="24"/>
        </w:rPr>
      </w:pPr>
    </w:p>
    <w:p w:rsidR="00381ABF" w:rsidRPr="00EF60B7" w:rsidRDefault="00381ABF" w:rsidP="008D2DF6">
      <w:pPr>
        <w:spacing w:line="360" w:lineRule="auto"/>
        <w:jc w:val="both"/>
        <w:rPr>
          <w:rFonts w:ascii="Times New Roman" w:hAnsi="Times New Roman" w:cs="Times New Roman"/>
          <w:sz w:val="24"/>
          <w:szCs w:val="24"/>
        </w:rPr>
      </w:pPr>
    </w:p>
    <w:p w:rsidR="00381ABF" w:rsidRPr="00EF60B7" w:rsidRDefault="00381ABF" w:rsidP="008D2DF6">
      <w:pPr>
        <w:spacing w:line="360" w:lineRule="auto"/>
        <w:jc w:val="both"/>
        <w:rPr>
          <w:rFonts w:ascii="Times New Roman" w:hAnsi="Times New Roman" w:cs="Times New Roman"/>
          <w:sz w:val="24"/>
          <w:szCs w:val="24"/>
        </w:rPr>
      </w:pPr>
    </w:p>
    <w:p w:rsidR="00381ABF" w:rsidRPr="00EF60B7" w:rsidRDefault="00381ABF" w:rsidP="008D2DF6">
      <w:pPr>
        <w:spacing w:line="360" w:lineRule="auto"/>
        <w:jc w:val="both"/>
        <w:rPr>
          <w:rFonts w:ascii="Times New Roman" w:hAnsi="Times New Roman" w:cs="Times New Roman"/>
          <w:sz w:val="24"/>
          <w:szCs w:val="24"/>
        </w:rPr>
      </w:pPr>
    </w:p>
    <w:p w:rsidR="00627D4C" w:rsidRDefault="00627D4C" w:rsidP="008D2DF6">
      <w:pPr>
        <w:spacing w:line="360" w:lineRule="auto"/>
        <w:jc w:val="both"/>
        <w:rPr>
          <w:rFonts w:ascii="Times New Roman" w:hAnsi="Times New Roman" w:cs="Times New Roman"/>
          <w:sz w:val="24"/>
          <w:szCs w:val="24"/>
        </w:rPr>
      </w:pPr>
    </w:p>
    <w:p w:rsidR="00627D4C" w:rsidRDefault="00627D4C" w:rsidP="008D2DF6">
      <w:pPr>
        <w:spacing w:line="360" w:lineRule="auto"/>
        <w:jc w:val="both"/>
        <w:rPr>
          <w:rFonts w:ascii="Times New Roman" w:hAnsi="Times New Roman" w:cs="Times New Roman"/>
          <w:sz w:val="24"/>
          <w:szCs w:val="24"/>
        </w:rPr>
      </w:pPr>
    </w:p>
    <w:p w:rsidR="00381ABF" w:rsidRPr="00EF60B7" w:rsidRDefault="00381ABF" w:rsidP="00627D4C">
      <w:pPr>
        <w:spacing w:line="360" w:lineRule="auto"/>
        <w:jc w:val="center"/>
        <w:rPr>
          <w:rFonts w:ascii="Times New Roman" w:hAnsi="Times New Roman" w:cs="Times New Roman"/>
          <w:sz w:val="24"/>
          <w:szCs w:val="24"/>
        </w:rPr>
      </w:pPr>
      <w:r w:rsidRPr="00EF60B7">
        <w:rPr>
          <w:rFonts w:ascii="Times New Roman" w:hAnsi="Times New Roman" w:cs="Times New Roman"/>
          <w:sz w:val="24"/>
          <w:szCs w:val="24"/>
        </w:rPr>
        <w:t>CAPITOLO TERZO</w:t>
      </w:r>
    </w:p>
    <w:p w:rsidR="00381ABF" w:rsidRPr="00EF60B7" w:rsidRDefault="00627D4C" w:rsidP="008D2DF6">
      <w:pPr>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I GENITORI POSTI DI FRONTE A TRAGICHE SCELTE. COMPARAZIONE DEGLI</w:t>
      </w:r>
      <w:r>
        <w:rPr>
          <w:rFonts w:ascii="Times New Roman" w:hAnsi="Times New Roman" w:cs="Times New Roman"/>
          <w:sz w:val="24"/>
          <w:szCs w:val="24"/>
        </w:rPr>
        <w:t xml:space="preserve"> EFFETTI EMOTIVI IN RELAZIONE A</w:t>
      </w:r>
      <w:r w:rsidR="006A16E9">
        <w:rPr>
          <w:rFonts w:ascii="Times New Roman" w:hAnsi="Times New Roman" w:cs="Times New Roman"/>
          <w:sz w:val="24"/>
          <w:szCs w:val="24"/>
        </w:rPr>
        <w:t>I</w:t>
      </w:r>
      <w:r w:rsidRPr="00EF60B7">
        <w:rPr>
          <w:rFonts w:ascii="Times New Roman" w:hAnsi="Times New Roman" w:cs="Times New Roman"/>
          <w:sz w:val="24"/>
          <w:szCs w:val="24"/>
        </w:rPr>
        <w:t xml:space="preserve"> DIVERSI MODELLI DI COMUNICAZIONE IN AMBITO MEDICO.</w:t>
      </w:r>
    </w:p>
    <w:p w:rsidR="00381ABF" w:rsidRPr="00EF60B7" w:rsidRDefault="00381ABF" w:rsidP="008D2DF6">
      <w:pPr>
        <w:spacing w:line="360" w:lineRule="auto"/>
        <w:jc w:val="both"/>
        <w:rPr>
          <w:rFonts w:ascii="Times New Roman" w:hAnsi="Times New Roman" w:cs="Times New Roman"/>
          <w:sz w:val="24"/>
          <w:szCs w:val="24"/>
        </w:rPr>
      </w:pPr>
    </w:p>
    <w:p w:rsidR="00381ABF" w:rsidRPr="00EF60B7" w:rsidRDefault="00381ABF" w:rsidP="008D2DF6">
      <w:pPr>
        <w:spacing w:line="360" w:lineRule="auto"/>
        <w:jc w:val="both"/>
        <w:rPr>
          <w:rFonts w:ascii="Times New Roman" w:hAnsi="Times New Roman" w:cs="Times New Roman"/>
          <w:i/>
          <w:sz w:val="24"/>
          <w:szCs w:val="24"/>
        </w:rPr>
      </w:pPr>
      <w:r w:rsidRPr="00EF60B7">
        <w:rPr>
          <w:rFonts w:ascii="Times New Roman" w:hAnsi="Times New Roman" w:cs="Times New Roman"/>
          <w:i/>
          <w:sz w:val="24"/>
          <w:szCs w:val="24"/>
        </w:rPr>
        <w:t>3.1 Introduzione</w:t>
      </w:r>
    </w:p>
    <w:p w:rsidR="00381ABF" w:rsidRPr="00EF60B7" w:rsidRDefault="00381ABF" w:rsidP="008D2DF6">
      <w:pPr>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 xml:space="preserve">In tutti quei casi in cui il paziente non é in grado di partecipare al processo decisionale, vengono coinvolti in esso i parenti prossimi. Fino a non molti anni addietro, ben poco si sapeva sull’impatto del coinvolgimento parentale nel </w:t>
      </w:r>
      <w:r w:rsidRPr="00EF60B7">
        <w:rPr>
          <w:rFonts w:ascii="Times New Roman" w:hAnsi="Times New Roman" w:cs="Times New Roman"/>
          <w:i/>
          <w:sz w:val="24"/>
          <w:szCs w:val="24"/>
        </w:rPr>
        <w:t>decision</w:t>
      </w:r>
      <w:r w:rsidRPr="00EF60B7">
        <w:rPr>
          <w:rFonts w:ascii="Times New Roman" w:hAnsi="Times New Roman" w:cs="Times New Roman"/>
          <w:sz w:val="24"/>
          <w:szCs w:val="24"/>
        </w:rPr>
        <w:t xml:space="preserve"> </w:t>
      </w:r>
      <w:r w:rsidRPr="00EF60B7">
        <w:rPr>
          <w:rFonts w:ascii="Times New Roman" w:hAnsi="Times New Roman" w:cs="Times New Roman"/>
          <w:i/>
          <w:sz w:val="24"/>
          <w:szCs w:val="24"/>
        </w:rPr>
        <w:t>making</w:t>
      </w:r>
      <w:r w:rsidRPr="00EF60B7">
        <w:rPr>
          <w:rFonts w:ascii="Times New Roman" w:hAnsi="Times New Roman" w:cs="Times New Roman"/>
          <w:sz w:val="24"/>
          <w:szCs w:val="24"/>
        </w:rPr>
        <w:t xml:space="preserve">, specialmente nei casi particolarmente critici. Solo da qualche anno la ricerca ha cominciato a prendere in seria considerazione questo importante aspetto focalizzando l’attenzione sulle situazioni in cui il </w:t>
      </w:r>
      <w:r w:rsidRPr="00EF60B7">
        <w:rPr>
          <w:rFonts w:ascii="Times New Roman" w:hAnsi="Times New Roman" w:cs="Times New Roman"/>
          <w:i/>
          <w:sz w:val="24"/>
          <w:szCs w:val="24"/>
        </w:rPr>
        <w:t>decision</w:t>
      </w:r>
      <w:r w:rsidRPr="00EF60B7">
        <w:rPr>
          <w:rFonts w:ascii="Times New Roman" w:hAnsi="Times New Roman" w:cs="Times New Roman"/>
          <w:sz w:val="24"/>
          <w:szCs w:val="24"/>
        </w:rPr>
        <w:t xml:space="preserve"> </w:t>
      </w:r>
      <w:r w:rsidRPr="00EF60B7">
        <w:rPr>
          <w:rFonts w:ascii="Times New Roman" w:hAnsi="Times New Roman" w:cs="Times New Roman"/>
          <w:i/>
          <w:sz w:val="24"/>
          <w:szCs w:val="24"/>
        </w:rPr>
        <w:t>making</w:t>
      </w:r>
      <w:r w:rsidRPr="00EF60B7">
        <w:rPr>
          <w:rFonts w:ascii="Times New Roman" w:hAnsi="Times New Roman" w:cs="Times New Roman"/>
          <w:sz w:val="24"/>
          <w:szCs w:val="24"/>
        </w:rPr>
        <w:t xml:space="preserve"> assume connotati tragici e implica una complessa problematica di ordine etico. Si tratta dei casi in cui il paziente versa in una condizione sospesa tra la vita e la morte e si pone la questione se continuare o interrompere quelle cure che, nella eventualità di una sopravvivenza, in nessun modo potrebbero riparare gravi danni destinati ad essere permanenti. In particolare, alcuni studiosi hanno indirizzato la loro ricerca verso i casi in cui dei neonati sono ricoverati in reparti di terapia intensiva (Orfali, 2004; Orfali &amp; Gordon, 2004; Botti, Orfali, Iyengar, 2009). Sulla terapia intensiva neonatale esistevano già vari studi condotti secondo una prospettiva etica (Englehardt, 1975; Beaufils &amp; Bourillon, 1986) o sociologica (Guillemin &amp; Holmstrom, 1986; Levine, 1990; Anspach, 1993; Heimer &amp; Staffen, 1998) o medico-epidemiologica (Hack &amp; Taylor, 2000; Saigal et al., 1999). La novità delle più recenti ricerche sta nel fatto che, per la prima volta, il focus é rivolto sul coinvolgimento dei genitori del neonato nel processo decisionale, sul ruolo che essi svolgono al suo interno e sul forte impatto emotivo di una scelta estremamente difficile. Tali ricerche sono state dettate dall’esigenza di verificare se, e in che misura, la differenza tra due opposti modelli relazionali – quello paternalistico vs quello autonomistico- si rifletta sull’effettivo ruolo svolto dai genitori nel </w:t>
      </w:r>
      <w:r w:rsidRPr="00EF60B7">
        <w:rPr>
          <w:rFonts w:ascii="Times New Roman" w:hAnsi="Times New Roman" w:cs="Times New Roman"/>
          <w:i/>
          <w:sz w:val="24"/>
          <w:szCs w:val="24"/>
        </w:rPr>
        <w:t>decision</w:t>
      </w:r>
      <w:r w:rsidRPr="00EF60B7">
        <w:rPr>
          <w:rFonts w:ascii="Times New Roman" w:hAnsi="Times New Roman" w:cs="Times New Roman"/>
          <w:sz w:val="24"/>
          <w:szCs w:val="24"/>
        </w:rPr>
        <w:t xml:space="preserve"> </w:t>
      </w:r>
      <w:r w:rsidRPr="00EF60B7">
        <w:rPr>
          <w:rFonts w:ascii="Times New Roman" w:hAnsi="Times New Roman" w:cs="Times New Roman"/>
          <w:i/>
          <w:sz w:val="24"/>
          <w:szCs w:val="24"/>
        </w:rPr>
        <w:t>making</w:t>
      </w:r>
      <w:r w:rsidRPr="00EF60B7">
        <w:rPr>
          <w:rFonts w:ascii="Times New Roman" w:hAnsi="Times New Roman" w:cs="Times New Roman"/>
          <w:sz w:val="24"/>
          <w:szCs w:val="24"/>
        </w:rPr>
        <w:t xml:space="preserve"> e sulle emozioni che questi provano. Ai fini di tale </w:t>
      </w:r>
      <w:r w:rsidRPr="00EF60B7">
        <w:rPr>
          <w:rFonts w:ascii="Times New Roman" w:hAnsi="Times New Roman" w:cs="Times New Roman"/>
          <w:sz w:val="24"/>
          <w:szCs w:val="24"/>
        </w:rPr>
        <w:lastRenderedPageBreak/>
        <w:t xml:space="preserve">verifica Orfali (2004) ha svolto una approfondita indagine in due unità di terapia intensiva neonatale situate l’una in America, l’altra in Francia, Paesi che sono orientati verso opposti modelli relazionali (autonomistico il primo, paternalistico il secondo) per capire se, di fronte a identici casi clinici e in condizioni di pari livello in materia di tecnologia medica, l’intervento dei genitori o la loro esclusione incidesse sul </w:t>
      </w:r>
      <w:r w:rsidRPr="00EF60B7">
        <w:rPr>
          <w:rFonts w:ascii="Times New Roman" w:hAnsi="Times New Roman" w:cs="Times New Roman"/>
          <w:i/>
          <w:sz w:val="24"/>
          <w:szCs w:val="24"/>
        </w:rPr>
        <w:t>decision making</w:t>
      </w:r>
      <w:r w:rsidRPr="00EF60B7">
        <w:rPr>
          <w:rFonts w:ascii="Times New Roman" w:hAnsi="Times New Roman" w:cs="Times New Roman"/>
          <w:sz w:val="24"/>
          <w:szCs w:val="24"/>
        </w:rPr>
        <w:t xml:space="preserve"> . Alla luce del modello americano, in casi di pazienti neonati, i genitori sono visti come dei veri e propri sostituti dei loro figli riguardo alle decisioni mediche (Duff &amp; Campbell, 1973): i medici offrono informazioni e opzioni di trattamento ai genitori, ai quali spetta il compito di decidere. In Francia, al contrario, i genitori vengono considerati troppo emotivi per essere in grado di prendere una decisione ponderata; i medici considerano come implicito il consenso dei genitori e il criterio esclusivo a cui si ispirano nel prendere la decisione é il “migliore interesse” del bambino. Tuttavia, come osserva Orfali (2004), nella pratica neonatologica l’opposizione tra i due modelli non é così netta, e ciò anche in conseguenza del contesto legale. Se é vero che tanto in America quanto in Francia é proibita l’eutanasia (considerata come omicidio), é pur vero che in Francia non vi sono precise norme sulla cessazione del trattamento: i medici hanno l’obbligo di alleviare la sofferenza e di astenersi da qualsiasi forma di accanimento terapeutico, ma la legge non specifica con esattezza cosa sia consentito e cosa non lo sia; pertanto, in questo vuoto legislativo, le pratiche dei neonatologi francesi variano da un’unità all’altra. Dall’altro canto, se é vero che in America specifiche norme di legge stabiliscono ciò che é consentito e ciò che non lo é; la maggior parte dei genitori non viene sufficientemente informata sulle possibili opzioni in violazione del principio dell’autonomia (Orfali, 2004). Dunque le differenze tra i due tipi di </w:t>
      </w:r>
      <w:r w:rsidRPr="00EF60B7">
        <w:rPr>
          <w:rFonts w:ascii="Times New Roman" w:hAnsi="Times New Roman" w:cs="Times New Roman"/>
          <w:i/>
          <w:sz w:val="24"/>
          <w:szCs w:val="24"/>
        </w:rPr>
        <w:t>decision making</w:t>
      </w:r>
      <w:r w:rsidRPr="00EF60B7">
        <w:rPr>
          <w:rFonts w:ascii="Times New Roman" w:hAnsi="Times New Roman" w:cs="Times New Roman"/>
          <w:sz w:val="24"/>
          <w:szCs w:val="24"/>
        </w:rPr>
        <w:t xml:space="preserve"> non dipendono dal contesto legale, bensì, piuttosto, dal ruolo svolto dai genitori. Nella ricerca di Orfali  (2004) effettivamente in alcuni casi gli </w:t>
      </w:r>
      <w:r w:rsidRPr="00EF60B7">
        <w:rPr>
          <w:rFonts w:ascii="Times New Roman" w:hAnsi="Times New Roman" w:cs="Times New Roman"/>
          <w:i/>
          <w:sz w:val="24"/>
          <w:szCs w:val="24"/>
        </w:rPr>
        <w:t>outcomes</w:t>
      </w:r>
      <w:r w:rsidRPr="00EF60B7">
        <w:rPr>
          <w:rFonts w:ascii="Times New Roman" w:hAnsi="Times New Roman" w:cs="Times New Roman"/>
          <w:sz w:val="24"/>
          <w:szCs w:val="24"/>
        </w:rPr>
        <w:t xml:space="preserve"> riflettevano le opposte vedute sul ruolo parentale nelle due unità di terapia intensiva neonatale. Infatti, nel campione francese, tranne in un solo caso, i genitori esprimevano quasi fin dall’inizio la loro volontà di continuare il trattamento nonostante la condizione disperata del figlio. Nel campione americano i genitori insistevano sulla rianimazione, accettavano o rifiutavano le limitazioni di trattamento proposte dai medici, e tuttavia la loro autonomia presentava ben precisi limiti, c’era solo nella misura in cui i medici la consentivano. Infatti, la </w:t>
      </w:r>
      <w:r w:rsidRPr="00EF60B7">
        <w:rPr>
          <w:rFonts w:ascii="Times New Roman" w:hAnsi="Times New Roman" w:cs="Times New Roman"/>
          <w:sz w:val="24"/>
          <w:szCs w:val="24"/>
        </w:rPr>
        <w:lastRenderedPageBreak/>
        <w:t xml:space="preserve">sospensione del trattamento assai spesso veniva proposta quando i bambini erano già moribondi, e quindi l’opposizione dei genitori assai spesso si manifestava solo dopo che il bambino era morto. La conclusione alla quale Orfali (2004) perviene é che le differenze osservate erano, alla fin fine, meno forti di quelle che ci si attendeva di trovare in ordine al ruolo esercitato dai genitori. Secondo Orfali (2004) il fattore che principalmente incide sulle scelte riguardanti il trattamento é la “costruzione differenziata” della prognosi a partire dalla medesima diagnosi. Dal confronto tra le due unità pediatriche neonatali risultava che i medici americani ammettevano un più ampio spettro di possibilità nella prognosi rispetto ai colleghi dell’unità francese; questi ultimi, invece, nonostante fossero consapevoli dell’incertezza della prognosi, tendevano a stabilire criteri obiettivi per la decisione mettendo da parte i dilemmi etici. L’impiego del paradigma della certezza medica, da una parte, l’enfatizzazione dell’incertezza, dall’altra, finiscono per assicurare al medico il controllo sulla decisione. In pratica, i medici francesi non chiedono ai genitori il permesso di sospendere la terapia, e i medici americani tendono a non chiedere loro il permesso di continuarla. In entrambi i casi, nonostante l’apparente opposizione tra i due modelli, l’autonomia parentale é, di fatto, sovrastata dall’autorità dei medici. Dalla ricerca </w:t>
      </w:r>
      <w:r w:rsidRPr="00EF60B7">
        <w:rPr>
          <w:rFonts w:ascii="Times New Roman" w:hAnsi="Times New Roman" w:cs="Times New Roman"/>
          <w:i/>
          <w:sz w:val="24"/>
          <w:szCs w:val="24"/>
        </w:rPr>
        <w:t>cross-culturale</w:t>
      </w:r>
      <w:r w:rsidRPr="00EF60B7">
        <w:rPr>
          <w:rFonts w:ascii="Times New Roman" w:hAnsi="Times New Roman" w:cs="Times New Roman"/>
          <w:sz w:val="24"/>
          <w:szCs w:val="24"/>
        </w:rPr>
        <w:t xml:space="preserve"> sulle esperienze dei genitori in unità di terapia neonatale intensiva emergono ulteriori argomentazioni atte a mostrare l’astrattezza della troppo rigida contrapposizione tra il modello paternalistico e quello autonomistico (Orfali &amp; Gordon, 2004). Infatti, non solo il controllo sul </w:t>
      </w:r>
      <w:r w:rsidRPr="00EF60B7">
        <w:rPr>
          <w:rFonts w:ascii="Times New Roman" w:hAnsi="Times New Roman" w:cs="Times New Roman"/>
          <w:i/>
          <w:sz w:val="24"/>
          <w:szCs w:val="24"/>
        </w:rPr>
        <w:t>decision making</w:t>
      </w:r>
      <w:r w:rsidRPr="00EF60B7">
        <w:rPr>
          <w:rFonts w:ascii="Times New Roman" w:hAnsi="Times New Roman" w:cs="Times New Roman"/>
          <w:sz w:val="24"/>
          <w:szCs w:val="24"/>
        </w:rPr>
        <w:t xml:space="preserve"> viene esercitato dai medici in ambedue i contesti, ma, per di più, nel tanto criticato modello paternalistico la negazione dell’autonomia risulta compensata da un vantaggio, e cioè dal fatto che le risposte emotive dei genitori risultano più positive rispetto a quelle dei genitori che hanno sperimentato le medesime situazioni drammatiche in un contesto orientato secondo il modello autonomistico. Infatti, é emerso che i genitori francesi intervistati esprimevano un più alto grado di soddisfazione rispetto a quelli americani e, soprattutto, manifestavano una percezione di autonomia o, perlomeno, la sensazione di condividere con i medici la decisione probabilmente perché la loro esclusione dal processo decisionale era compensata da un considerevole “</w:t>
      </w:r>
      <w:r w:rsidRPr="00EF60B7">
        <w:rPr>
          <w:rFonts w:ascii="Times New Roman" w:hAnsi="Times New Roman" w:cs="Times New Roman"/>
          <w:i/>
          <w:sz w:val="24"/>
          <w:szCs w:val="24"/>
        </w:rPr>
        <w:t>sentimental work</w:t>
      </w:r>
      <w:r w:rsidRPr="00EF60B7">
        <w:rPr>
          <w:rFonts w:ascii="Times New Roman" w:hAnsi="Times New Roman" w:cs="Times New Roman"/>
          <w:sz w:val="24"/>
          <w:szCs w:val="24"/>
        </w:rPr>
        <w:t xml:space="preserve">” svolto dal </w:t>
      </w:r>
      <w:r w:rsidRPr="00EF60B7">
        <w:rPr>
          <w:rFonts w:ascii="Times New Roman" w:hAnsi="Times New Roman" w:cs="Times New Roman"/>
          <w:i/>
          <w:sz w:val="24"/>
          <w:szCs w:val="24"/>
        </w:rPr>
        <w:t>team</w:t>
      </w:r>
      <w:r w:rsidRPr="00EF60B7">
        <w:rPr>
          <w:rFonts w:ascii="Times New Roman" w:hAnsi="Times New Roman" w:cs="Times New Roman"/>
          <w:sz w:val="24"/>
          <w:szCs w:val="24"/>
        </w:rPr>
        <w:t xml:space="preserve"> nei loro confronti. Ciò suscitava nei genitori l’impressione di essere pienamente coinvolti nel processo decisionale e li faceva sentire più capaci di fronteggiare anche le situazioni più critiche. Al </w:t>
      </w:r>
      <w:r w:rsidRPr="00EF60B7">
        <w:rPr>
          <w:rFonts w:ascii="Times New Roman" w:hAnsi="Times New Roman" w:cs="Times New Roman"/>
          <w:sz w:val="24"/>
          <w:szCs w:val="24"/>
        </w:rPr>
        <w:lastRenderedPageBreak/>
        <w:t xml:space="preserve">contrario, i genitori americani, pur in un contesto orientato, almeno teoricamente, verso il rispetto della loro autonomia, non si sentivano pienamente coinvolti nel </w:t>
      </w:r>
      <w:r w:rsidRPr="00EF60B7">
        <w:rPr>
          <w:rFonts w:ascii="Times New Roman" w:hAnsi="Times New Roman" w:cs="Times New Roman"/>
          <w:i/>
          <w:sz w:val="24"/>
          <w:szCs w:val="24"/>
        </w:rPr>
        <w:t>decision making</w:t>
      </w:r>
      <w:r w:rsidRPr="00EF60B7">
        <w:rPr>
          <w:rFonts w:ascii="Times New Roman" w:hAnsi="Times New Roman" w:cs="Times New Roman"/>
          <w:sz w:val="24"/>
          <w:szCs w:val="24"/>
        </w:rPr>
        <w:t>, avvertivano la mancanza di “</w:t>
      </w:r>
      <w:r w:rsidRPr="00EF60B7">
        <w:rPr>
          <w:rFonts w:ascii="Times New Roman" w:hAnsi="Times New Roman" w:cs="Times New Roman"/>
          <w:i/>
          <w:sz w:val="24"/>
          <w:szCs w:val="24"/>
        </w:rPr>
        <w:t>emotional work</w:t>
      </w:r>
      <w:r w:rsidRPr="00EF60B7">
        <w:rPr>
          <w:rFonts w:ascii="Times New Roman" w:hAnsi="Times New Roman" w:cs="Times New Roman"/>
          <w:sz w:val="24"/>
          <w:szCs w:val="24"/>
        </w:rPr>
        <w:t>”, arrivavano a percepire un senso di isolamento proprio perché il loro rapporto con i medici presentava una debole intensità emotiva.</w:t>
      </w:r>
    </w:p>
    <w:p w:rsidR="00381ABF" w:rsidRPr="00EF60B7" w:rsidRDefault="00381ABF" w:rsidP="008D2DF6">
      <w:pPr>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Un’ulteriore e più approfondita verifica della stretta correlazione tra l’autonomia e le risposte emozionali dei genitori nelle “</w:t>
      </w:r>
      <w:r w:rsidRPr="00EF60B7">
        <w:rPr>
          <w:rFonts w:ascii="Times New Roman" w:hAnsi="Times New Roman" w:cs="Times New Roman"/>
          <w:i/>
          <w:sz w:val="24"/>
          <w:szCs w:val="24"/>
        </w:rPr>
        <w:t>tragic choices</w:t>
      </w:r>
      <w:r w:rsidRPr="00EF60B7">
        <w:rPr>
          <w:rFonts w:ascii="Times New Roman" w:hAnsi="Times New Roman" w:cs="Times New Roman"/>
          <w:sz w:val="24"/>
          <w:szCs w:val="24"/>
        </w:rPr>
        <w:t>” riguardanti i loro neonati in “</w:t>
      </w:r>
      <w:r w:rsidRPr="00EF60B7">
        <w:rPr>
          <w:rFonts w:ascii="Times New Roman" w:hAnsi="Times New Roman" w:cs="Times New Roman"/>
          <w:i/>
          <w:sz w:val="24"/>
          <w:szCs w:val="24"/>
        </w:rPr>
        <w:t>end-of-life</w:t>
      </w:r>
      <w:r w:rsidRPr="00EF60B7">
        <w:rPr>
          <w:rFonts w:ascii="Times New Roman" w:hAnsi="Times New Roman" w:cs="Times New Roman"/>
          <w:sz w:val="24"/>
          <w:szCs w:val="24"/>
        </w:rPr>
        <w:t>” é stata svolta congiuntamente da Botti, Orfali e Iyengar (2009) muovendo dall’ipotesi che le decisioni altamente indesiderabili influenzino emozioni e preferenza per l’autonomia. I risultati raccolti da un approccio multidisciplinare articolato in un’analisi qualitativa di interviste approfondite e in tre studi di laboratorio rivelano che la percezione di una “</w:t>
      </w:r>
      <w:r w:rsidRPr="00EF60B7">
        <w:rPr>
          <w:rFonts w:ascii="Times New Roman" w:hAnsi="Times New Roman" w:cs="Times New Roman"/>
          <w:i/>
          <w:sz w:val="24"/>
          <w:szCs w:val="24"/>
        </w:rPr>
        <w:t>personal causality</w:t>
      </w:r>
      <w:r w:rsidRPr="00EF60B7">
        <w:rPr>
          <w:rFonts w:ascii="Times New Roman" w:hAnsi="Times New Roman" w:cs="Times New Roman"/>
          <w:sz w:val="24"/>
          <w:szCs w:val="24"/>
        </w:rPr>
        <w:t>” nel prendere decisioni tragiche genera sentimenti più negativi rispetto a quelli che sarebbero provati se le medesime decisioni venissero prese dall’esterno, e che le decisioni tragiche indeboliscono non solo le capacità di “</w:t>
      </w:r>
      <w:r w:rsidRPr="00EF60B7">
        <w:rPr>
          <w:rFonts w:ascii="Times New Roman" w:hAnsi="Times New Roman" w:cs="Times New Roman"/>
          <w:i/>
          <w:sz w:val="24"/>
          <w:szCs w:val="24"/>
        </w:rPr>
        <w:t>coping</w:t>
      </w:r>
      <w:r w:rsidRPr="00EF60B7">
        <w:rPr>
          <w:rFonts w:ascii="Times New Roman" w:hAnsi="Times New Roman" w:cs="Times New Roman"/>
          <w:sz w:val="24"/>
          <w:szCs w:val="24"/>
        </w:rPr>
        <w:t xml:space="preserve">”, ma anche il desiderio di autonomia. In posizione critica nei confronti dell’assunto secondo cui, così come avviene nel comportamento del consumatore, c’é una preferenza generalizzata per la scelta anche se in situazioni estreme, come le decisioni </w:t>
      </w:r>
      <w:r w:rsidRPr="00EF60B7">
        <w:rPr>
          <w:rFonts w:ascii="Times New Roman" w:hAnsi="Times New Roman" w:cs="Times New Roman"/>
          <w:i/>
          <w:sz w:val="24"/>
          <w:szCs w:val="24"/>
        </w:rPr>
        <w:t>end-of-life</w:t>
      </w:r>
      <w:r w:rsidRPr="00EF60B7">
        <w:rPr>
          <w:rFonts w:ascii="Times New Roman" w:hAnsi="Times New Roman" w:cs="Times New Roman"/>
          <w:sz w:val="24"/>
          <w:szCs w:val="24"/>
        </w:rPr>
        <w:t xml:space="preserve">, il desiderio di autonomia é limitato, Botti e colleghi (2009) suggeriscono che il modello autonomistico di </w:t>
      </w:r>
      <w:r w:rsidRPr="00EF60B7">
        <w:rPr>
          <w:rFonts w:ascii="Times New Roman" w:hAnsi="Times New Roman" w:cs="Times New Roman"/>
          <w:i/>
          <w:sz w:val="24"/>
          <w:szCs w:val="24"/>
        </w:rPr>
        <w:t>decision making</w:t>
      </w:r>
      <w:r w:rsidRPr="00EF60B7">
        <w:rPr>
          <w:rFonts w:ascii="Times New Roman" w:hAnsi="Times New Roman" w:cs="Times New Roman"/>
          <w:sz w:val="24"/>
          <w:szCs w:val="24"/>
        </w:rPr>
        <w:t xml:space="preserve"> medico può sortire effetti deleteri nella sfera psichica dei genitori di neonati sottoposti a terapia intensiva. In particolare, in accordo con l’ipotesi confermata dallo studio qualitativo, risulta che i genitori statunitensi che avevano fatto la tragica scelta di interrompere il supporto vitale con conseguente morte immediata dei loro figli manifestavano emozioni estremamente negative, mentre i genitori francesi che non avevano fatto personalmente tale scelta mostravano emozioni meno negative. La tendenza dei genitori statunitensi ad esprimere emozioni negative particolarmente forti viene interpretata come segnale di una “maggiore causalità percepita”. Nel condurre i tre studi di laboratorio nel corso dei quali ai partecipanti veniva chiesto di immaginare di essere genitori di un neonato tenuto in vita artificialmente, gli autori volutamente hanno ignorato le differenze culturali tra i partecipanti allo scopo di isolare il ruolo svolto dalla causalità percepita. I risultati degli studi di laboratorio hanno confermato che, nella misura in cui i decisori percepiscono se </w:t>
      </w:r>
      <w:r w:rsidRPr="00EF60B7">
        <w:rPr>
          <w:rFonts w:ascii="Times New Roman" w:hAnsi="Times New Roman" w:cs="Times New Roman"/>
          <w:sz w:val="24"/>
          <w:szCs w:val="24"/>
        </w:rPr>
        <w:lastRenderedPageBreak/>
        <w:t xml:space="preserve">stessi come agenti causali della morte conseguente all’interruzione del sostegno vitale, aumenta il livello delle emozioni negative. Tutto ciò induce a riflettere sui presunti vantaggi per i pazienti o per i loro parenti prossimi del modello autonomistico rispetto a quello paternalistico. L’interrogativo che gli autori della ricerca pongono é se sia preferibile porre limiti all’auto-determinazione dei pazienti (o dei loro genitori), ma proteggerli da prevedibili sconvolgimenti emotivi, o avere pazienti autonomi ma infelici. </w:t>
      </w:r>
    </w:p>
    <w:p w:rsidR="00381ABF" w:rsidRPr="00EF60B7" w:rsidRDefault="00381ABF" w:rsidP="008D2DF6">
      <w:pPr>
        <w:pStyle w:val="NormaleWeb"/>
        <w:spacing w:line="360" w:lineRule="auto"/>
        <w:jc w:val="both"/>
      </w:pPr>
      <w:r w:rsidRPr="00EF60B7">
        <w:t xml:space="preserve">Negli scenari proposti da Botti e colleghi  a studenti universitari della </w:t>
      </w:r>
      <w:r w:rsidRPr="00EF60B7">
        <w:rPr>
          <w:i/>
        </w:rPr>
        <w:t>Cornell University</w:t>
      </w:r>
      <w:r w:rsidRPr="00EF60B7">
        <w:t xml:space="preserve"> (</w:t>
      </w:r>
      <w:r w:rsidRPr="00EF60B7">
        <w:rPr>
          <w:i/>
        </w:rPr>
        <w:t xml:space="preserve">laboratory study I, </w:t>
      </w:r>
      <w:r w:rsidRPr="00EF60B7">
        <w:t>in</w:t>
      </w:r>
      <w:r w:rsidRPr="00EF60B7">
        <w:rPr>
          <w:i/>
        </w:rPr>
        <w:t xml:space="preserve">  </w:t>
      </w:r>
      <w:r w:rsidRPr="00EF60B7">
        <w:t>“</w:t>
      </w:r>
      <w:r w:rsidRPr="00EF60B7">
        <w:rPr>
          <w:i/>
        </w:rPr>
        <w:t>Tragic choices: Autonomy and Emotional Responses to Medical Decisions</w:t>
      </w:r>
      <w:r w:rsidRPr="00EF60B7">
        <w:t xml:space="preserve">”, 2009) venivano descritte tre condizioni di </w:t>
      </w:r>
      <w:r w:rsidRPr="00EF60B7">
        <w:rPr>
          <w:i/>
        </w:rPr>
        <w:t>decision making</w:t>
      </w:r>
      <w:r w:rsidRPr="00EF60B7">
        <w:t xml:space="preserve">: 1) scelta, 2) non scelta informata, 3) non scelta non informata. Dalla definizione stessa che gli autori ne danno, le condizioni n. 2 e 3 si differenziano soltanto in quanto nella prima la decisione viene presa dal medico dopo avere informato i genitori sulle due opzioni e sulle loro conseguenze, spiegando di avere preso la decisione di interrompere il trattamento nel “migliore interesse” del paziente; nella seconda il medico decide di interrompere il trattamento senza esplicitamente menzionare l’opzione di continuarlo. A parte le differenze relative all’informazione, le due condizioni sono accomunate dal fatto che in entrambe a decidere é soltanto il medico. Dunque, entrambe le condizioni riflettono il modello relazionale paternalistico che viene confrontato col modello autonomistico che caratterizza la condizione n. 1 cioè quella di scelta del paziente (familiari). Pertanto, non sembra che tra le condizioni contemplate nella sopracitata ricerca sia prevista un’altra possibile condizione, ossia quella della decisione condivisa che, fra i modelli classificati da Emanuel &amp; Emanuel (1992), caratterizza il modello deliberativo, un modello che, almeno in teoria, si presenta come quello ottimale nella relazione medico-paziente. Questa considerazione ci ha indotto a focalizzare l’attenzione sul confronto tra modello paternalistico e modello deliberativo allo scopo di verificare se l’influenza esercitata sulle emozioni del paziente (nel nostro caso del genitore del paziente) da una decisione condivisa si differenzia da quella esercitata da una decisione (preceduta o no da informazione) presa esclusivamente dal medico. Nello studio dei diversi effetti che sul piano emotivo provocano i diversi tipi di </w:t>
      </w:r>
      <w:r w:rsidRPr="00EF60B7">
        <w:rPr>
          <w:i/>
        </w:rPr>
        <w:t xml:space="preserve">decision making </w:t>
      </w:r>
      <w:r w:rsidRPr="00EF60B7">
        <w:t xml:space="preserve">nei genitori di neonati in rianimazione, abbiamo pensato di sostituire alla condizione di scelta </w:t>
      </w:r>
      <w:r w:rsidRPr="00EF60B7">
        <w:lastRenderedPageBreak/>
        <w:t xml:space="preserve">autonoma la condizione di scelta condivisa in considerazione del fatto che, almeno sul piano teorico, i due tipi di decisione presentano differenze non lievi. Infatti, la differenza più evidente sta nel fatto che il modello deliberativo prevede che il medico non si limiti a fornire informazioni su rischi e benefici di ogni intervento, come prevede il modello autonomistico, bensì aiuti il paziente (o chi per lui) a comprendere quali valori sono contemplati nelle opzioni disponibili. Come osserva Majani (2001) nel modello autonomistico “non c’é posto per i valori del medico o per le sue opinioni sui valori del paziente”. Le differenze tra questi due modelli (autonomistico versus deliberativo) non riguardano soltanto chi prende la decisione (se il medico o se il paziente insieme al medico) ma anche il tipo di relazione che si stabilisce tra medico e paziente (in questo caso familiari del paziente). Ciò che caratterizza il modello deliberativo é che la condivisione della decisione é la conseguenza di una relazione interpersonale che, superando l’asimmetria del rapporto medico-paziente, si svolge su un piano più paritario. Infatti, il medico incoraggia lo scambio stabilendo un’atmosfera che stimola la partecipazione e pone il paziente nella condizione di percepire che le sue aspettative, i suoi valori sono apprezzati e attentamente considerati. Inoltre, il medico non si limita a presentare i pro e i contro delle possibili opzioni ma li discute col paziente (o con i suoi familiari) (Roter &amp; Hall, 2006). Il presente lavoro si pone l'obiettivo di fornire un contributo allo studio delle relazioni pubbliche in ambito medico-sanitario focalizzandosi sull'impatto che hanno due diversi modelli relazionali medico paziente (modello paternalistico </w:t>
      </w:r>
      <w:r w:rsidRPr="00EF60B7">
        <w:rPr>
          <w:i/>
        </w:rPr>
        <w:t>versus</w:t>
      </w:r>
      <w:r w:rsidRPr="00EF60B7">
        <w:t xml:space="preserve"> deliberativo).  In virtù di tali caratteristiche, il modello deliberativo potrebbe apparire, almeno in teoria, come una possibilità di uscire dal dilemma denunciato dagli autori delle precedenti ricerche sul </w:t>
      </w:r>
      <w:r w:rsidRPr="00EF60B7">
        <w:rPr>
          <w:i/>
        </w:rPr>
        <w:t xml:space="preserve">decision making </w:t>
      </w:r>
      <w:r w:rsidRPr="00EF60B7">
        <w:t xml:space="preserve">in situazioni cliniche estremamente gravi: é preferibile porre limiti all’autodeterminazione dei pazienti (o dei loro familiari) ma proteggerli da prevedibili sconvolgimenti emotivi, oppure avere pazienti autonomi, ma infelici? (Orfali, 2004; Orfali &amp; Gordon, 2004; Botti et al., 2009). Sennonchè, considerato che, come é stato dimostrato nelle ricerche precedenti (Orfali, 2004; Orfali &amp; Gordon, 2004; Botti et al., 2009),  l’esito di una scelta tragica in campo medico genera emozioni negative più forti quando é fatta in maniera autonoma dal paziente (o dai suoi familiari)  perché in tal caso agisce un maggiore senso di causalità, ci si aspetta che anche la condivisione della responsabilità comportando un’autonomia, seppur limitata, del </w:t>
      </w:r>
      <w:r w:rsidRPr="00EF60B7">
        <w:lastRenderedPageBreak/>
        <w:t>paziente nella decisione , produca una percezione di causalità e, conseguentemente, più emozioni negative</w:t>
      </w:r>
      <w:r w:rsidRPr="00EF60B7">
        <w:rPr>
          <w:i/>
        </w:rPr>
        <w:t xml:space="preserve"> </w:t>
      </w:r>
      <w:r w:rsidRPr="00EF60B7">
        <w:t xml:space="preserve">rispetto a quelle esperite quando l’unico decisore é il medico (modello paternalistico). </w:t>
      </w:r>
    </w:p>
    <w:p w:rsidR="00381ABF" w:rsidRPr="00EF60B7" w:rsidRDefault="00381ABF" w:rsidP="008D2DF6">
      <w:pPr>
        <w:pStyle w:val="NormaleWeb"/>
        <w:spacing w:line="360" w:lineRule="auto"/>
        <w:jc w:val="both"/>
      </w:pPr>
    </w:p>
    <w:p w:rsidR="00381ABF" w:rsidRPr="00EF60B7" w:rsidRDefault="00381ABF" w:rsidP="008D2DF6">
      <w:pPr>
        <w:spacing w:line="360" w:lineRule="auto"/>
        <w:jc w:val="both"/>
        <w:rPr>
          <w:rFonts w:ascii="Times New Roman" w:hAnsi="Times New Roman" w:cs="Times New Roman"/>
          <w:i/>
          <w:sz w:val="24"/>
          <w:szCs w:val="24"/>
        </w:rPr>
      </w:pPr>
      <w:r w:rsidRPr="00EF60B7">
        <w:rPr>
          <w:rFonts w:ascii="Times New Roman" w:hAnsi="Times New Roman" w:cs="Times New Roman"/>
          <w:i/>
          <w:sz w:val="24"/>
          <w:szCs w:val="24"/>
        </w:rPr>
        <w:t>3.2 Obiettivi e ipotesi della ricerca</w:t>
      </w:r>
    </w:p>
    <w:p w:rsidR="00381ABF" w:rsidRPr="00EF60B7" w:rsidRDefault="00381ABF" w:rsidP="008D2DF6">
      <w:pPr>
        <w:spacing w:line="360" w:lineRule="auto"/>
        <w:jc w:val="both"/>
        <w:rPr>
          <w:rFonts w:ascii="Times New Roman" w:hAnsi="Times New Roman" w:cs="Times New Roman"/>
          <w:i/>
          <w:sz w:val="24"/>
          <w:szCs w:val="24"/>
        </w:rPr>
      </w:pPr>
      <w:r w:rsidRPr="00EF60B7">
        <w:rPr>
          <w:rFonts w:ascii="Times New Roman" w:hAnsi="Times New Roman" w:cs="Times New Roman"/>
          <w:i/>
          <w:sz w:val="24"/>
          <w:szCs w:val="24"/>
        </w:rPr>
        <w:t>3.2.1 Obiettivi</w:t>
      </w:r>
    </w:p>
    <w:p w:rsidR="00381ABF" w:rsidRPr="00EF60B7" w:rsidRDefault="00381ABF" w:rsidP="008D2DF6">
      <w:pPr>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L’</w:t>
      </w:r>
      <w:r w:rsidRPr="00EF60B7">
        <w:rPr>
          <w:rFonts w:ascii="Times New Roman" w:hAnsi="Times New Roman" w:cs="Times New Roman"/>
          <w:i/>
          <w:sz w:val="24"/>
          <w:szCs w:val="24"/>
        </w:rPr>
        <w:t>obiettivo generale</w:t>
      </w:r>
      <w:r w:rsidRPr="00EF60B7">
        <w:rPr>
          <w:rFonts w:ascii="Times New Roman" w:hAnsi="Times New Roman" w:cs="Times New Roman"/>
          <w:sz w:val="24"/>
          <w:szCs w:val="24"/>
        </w:rPr>
        <w:t xml:space="preserve"> di questa ricerca</w:t>
      </w:r>
      <w:r w:rsidRPr="00EF60B7">
        <w:rPr>
          <w:rFonts w:ascii="Times New Roman" w:hAnsi="Times New Roman" w:cs="Times New Roman"/>
          <w:i/>
          <w:sz w:val="24"/>
          <w:szCs w:val="24"/>
        </w:rPr>
        <w:t xml:space="preserve"> </w:t>
      </w:r>
      <w:r w:rsidRPr="00EF60B7">
        <w:rPr>
          <w:rFonts w:ascii="Times New Roman" w:hAnsi="Times New Roman" w:cs="Times New Roman"/>
          <w:sz w:val="24"/>
          <w:szCs w:val="24"/>
        </w:rPr>
        <w:t xml:space="preserve">è quello di fornire un contributo allo studio delle relazioni pubbliche in ambito medico-sanitario focalizzandosi sull’impatto degli stili relazionali medico paziente. </w:t>
      </w:r>
    </w:p>
    <w:p w:rsidR="00381ABF" w:rsidRPr="00EF60B7" w:rsidRDefault="00381ABF" w:rsidP="008D2DF6">
      <w:pPr>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 xml:space="preserve">Gli </w:t>
      </w:r>
      <w:r w:rsidRPr="00EF60B7">
        <w:rPr>
          <w:rFonts w:ascii="Times New Roman" w:hAnsi="Times New Roman" w:cs="Times New Roman"/>
          <w:i/>
          <w:sz w:val="24"/>
          <w:szCs w:val="24"/>
        </w:rPr>
        <w:t>obiettivi specifici</w:t>
      </w:r>
      <w:r w:rsidRPr="00EF60B7">
        <w:rPr>
          <w:rFonts w:ascii="Times New Roman" w:hAnsi="Times New Roman" w:cs="Times New Roman"/>
          <w:sz w:val="24"/>
          <w:szCs w:val="24"/>
        </w:rPr>
        <w:t xml:space="preserve"> sono:</w:t>
      </w:r>
    </w:p>
    <w:p w:rsidR="00381ABF" w:rsidRPr="00EF60B7" w:rsidRDefault="00381ABF" w:rsidP="008D2DF6">
      <w:pPr>
        <w:pStyle w:val="Paragrafoelenco"/>
        <w:numPr>
          <w:ilvl w:val="0"/>
          <w:numId w:val="2"/>
        </w:numPr>
        <w:spacing w:after="0" w:line="360" w:lineRule="auto"/>
        <w:jc w:val="both"/>
        <w:rPr>
          <w:rFonts w:ascii="Times New Roman" w:hAnsi="Times New Roman" w:cs="Times New Roman"/>
          <w:sz w:val="24"/>
          <w:szCs w:val="24"/>
          <w:lang w:val="it-IT"/>
        </w:rPr>
      </w:pPr>
      <w:r w:rsidRPr="00EF60B7">
        <w:rPr>
          <w:rFonts w:ascii="Times New Roman" w:hAnsi="Times New Roman" w:cs="Times New Roman"/>
          <w:sz w:val="24"/>
          <w:szCs w:val="24"/>
          <w:lang w:val="it-IT"/>
        </w:rPr>
        <w:t xml:space="preserve">Verificare se e in che misura dal confronto tra due diversi stili relazionali medico paziente (modello paternalistico </w:t>
      </w:r>
      <w:r w:rsidRPr="00EF60B7">
        <w:rPr>
          <w:rFonts w:ascii="Times New Roman" w:hAnsi="Times New Roman" w:cs="Times New Roman"/>
          <w:i/>
          <w:sz w:val="24"/>
          <w:szCs w:val="24"/>
          <w:lang w:val="it-IT"/>
        </w:rPr>
        <w:t>versus</w:t>
      </w:r>
      <w:r w:rsidRPr="00EF60B7">
        <w:rPr>
          <w:rFonts w:ascii="Times New Roman" w:hAnsi="Times New Roman" w:cs="Times New Roman"/>
          <w:sz w:val="24"/>
          <w:szCs w:val="24"/>
          <w:lang w:val="it-IT"/>
        </w:rPr>
        <w:t xml:space="preserve"> modello deliberativo) risultino differenze significative sul piano delle emozioni negative esperite dai familiari di pazienti, che si trovano in situazioni cliniche critiche, di fronte a scelte particolarmente difficili.</w:t>
      </w:r>
    </w:p>
    <w:p w:rsidR="00381ABF" w:rsidRPr="00EF60B7" w:rsidRDefault="00381ABF" w:rsidP="008D2DF6">
      <w:pPr>
        <w:numPr>
          <w:ilvl w:val="0"/>
          <w:numId w:val="2"/>
        </w:numPr>
        <w:spacing w:after="0" w:line="360" w:lineRule="auto"/>
        <w:ind w:left="0" w:firstLine="0"/>
        <w:jc w:val="both"/>
        <w:rPr>
          <w:rFonts w:ascii="Times New Roman" w:hAnsi="Times New Roman" w:cs="Times New Roman"/>
          <w:sz w:val="24"/>
          <w:szCs w:val="24"/>
        </w:rPr>
      </w:pPr>
      <w:r w:rsidRPr="00EF60B7">
        <w:rPr>
          <w:rFonts w:ascii="Times New Roman" w:hAnsi="Times New Roman" w:cs="Times New Roman"/>
          <w:sz w:val="24"/>
          <w:szCs w:val="24"/>
        </w:rPr>
        <w:t xml:space="preserve">Verificare se e in che misura dal confronto tra i due suddetti modelli risultino differenze significative per quanto attiene il desiderio di fare scelte autonome e il livello di </w:t>
      </w:r>
      <w:r w:rsidRPr="00EF60B7">
        <w:rPr>
          <w:rFonts w:ascii="Times New Roman" w:hAnsi="Times New Roman" w:cs="Times New Roman"/>
          <w:i/>
          <w:sz w:val="24"/>
          <w:szCs w:val="24"/>
        </w:rPr>
        <w:t>confidence</w:t>
      </w:r>
      <w:r w:rsidRPr="00EF60B7">
        <w:rPr>
          <w:rFonts w:ascii="Times New Roman" w:hAnsi="Times New Roman" w:cs="Times New Roman"/>
          <w:sz w:val="24"/>
          <w:szCs w:val="24"/>
        </w:rPr>
        <w:t xml:space="preserve"> in situazioni cliniche particolarmente critiche.</w:t>
      </w:r>
    </w:p>
    <w:p w:rsidR="00381ABF" w:rsidRPr="00EF60B7" w:rsidRDefault="00381ABF" w:rsidP="008D2DF6">
      <w:pPr>
        <w:numPr>
          <w:ilvl w:val="0"/>
          <w:numId w:val="2"/>
        </w:numPr>
        <w:spacing w:after="0" w:line="360" w:lineRule="auto"/>
        <w:ind w:left="0" w:firstLine="0"/>
        <w:jc w:val="both"/>
        <w:rPr>
          <w:rFonts w:ascii="Times New Roman" w:hAnsi="Times New Roman" w:cs="Times New Roman"/>
          <w:sz w:val="24"/>
          <w:szCs w:val="24"/>
        </w:rPr>
      </w:pPr>
      <w:r w:rsidRPr="00EF60B7">
        <w:rPr>
          <w:rFonts w:ascii="Times New Roman" w:hAnsi="Times New Roman" w:cs="Times New Roman"/>
          <w:sz w:val="24"/>
          <w:szCs w:val="24"/>
        </w:rPr>
        <w:t>Verificare se esiste una relazione significativa tra il desiderio di fare scelte autonome e il desiderio di controllo quando si deve prendere una decisione in condizioni particolarmente critiche.</w:t>
      </w:r>
    </w:p>
    <w:p w:rsidR="00381ABF" w:rsidRPr="00EF60B7" w:rsidRDefault="00381ABF" w:rsidP="008D2DF6">
      <w:pPr>
        <w:spacing w:line="360" w:lineRule="auto"/>
        <w:jc w:val="both"/>
        <w:rPr>
          <w:rFonts w:ascii="Times New Roman" w:hAnsi="Times New Roman" w:cs="Times New Roman"/>
          <w:sz w:val="24"/>
          <w:szCs w:val="24"/>
        </w:rPr>
      </w:pPr>
    </w:p>
    <w:p w:rsidR="00381ABF" w:rsidRPr="00EF60B7" w:rsidRDefault="00381ABF" w:rsidP="008D2DF6">
      <w:pPr>
        <w:spacing w:line="360" w:lineRule="auto"/>
        <w:jc w:val="both"/>
        <w:rPr>
          <w:rFonts w:ascii="Times New Roman" w:hAnsi="Times New Roman" w:cs="Times New Roman"/>
          <w:i/>
          <w:sz w:val="24"/>
          <w:szCs w:val="24"/>
        </w:rPr>
      </w:pPr>
      <w:r w:rsidRPr="00EF60B7">
        <w:rPr>
          <w:rFonts w:ascii="Times New Roman" w:hAnsi="Times New Roman" w:cs="Times New Roman"/>
          <w:i/>
          <w:sz w:val="24"/>
          <w:szCs w:val="24"/>
        </w:rPr>
        <w:t>3.2.2 Ipotesi</w:t>
      </w:r>
    </w:p>
    <w:p w:rsidR="00381ABF" w:rsidRPr="00EF60B7" w:rsidRDefault="00381ABF" w:rsidP="008D2DF6">
      <w:pPr>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 xml:space="preserve">Tenendo conto dei risultati di precedenti indagini (Orfali, 2004; Orfali &amp; Gordon, 2004; Botti et al., 2009) dalle quali emerge come il modello paternalistico attenui il livello di emozioni negative rispetto a quello autonomistico, si </w:t>
      </w:r>
      <w:r w:rsidRPr="00EF60B7">
        <w:rPr>
          <w:rFonts w:ascii="Times New Roman" w:hAnsi="Times New Roman" w:cs="Times New Roman"/>
          <w:i/>
          <w:sz w:val="24"/>
          <w:szCs w:val="24"/>
        </w:rPr>
        <w:t>ipotizza</w:t>
      </w:r>
      <w:r w:rsidRPr="00EF60B7">
        <w:rPr>
          <w:rFonts w:ascii="Times New Roman" w:hAnsi="Times New Roman" w:cs="Times New Roman"/>
          <w:sz w:val="24"/>
          <w:szCs w:val="24"/>
        </w:rPr>
        <w:t xml:space="preserve"> che anche il processo decisionale condiviso (tra medico e familiari del paziente), che caratterizza il modello deliberativo, in situazioni cliniche che pongono di fronte a scelte tragiche, produca maggiori emozioni negative e minore desiderio di autonomia rispetto al modello paternalistico. Tale ipotesi é suggerita dalla </w:t>
      </w:r>
      <w:r w:rsidRPr="00EF60B7">
        <w:rPr>
          <w:rFonts w:ascii="Times New Roman" w:hAnsi="Times New Roman" w:cs="Times New Roman"/>
          <w:sz w:val="24"/>
          <w:szCs w:val="24"/>
        </w:rPr>
        <w:lastRenderedPageBreak/>
        <w:t xml:space="preserve">considerazione che nel modello deliberativo il genitore del paziente esercita un ruolo attivo ed autonomo nel </w:t>
      </w:r>
      <w:r w:rsidRPr="00EF60B7">
        <w:rPr>
          <w:rFonts w:ascii="Times New Roman" w:hAnsi="Times New Roman" w:cs="Times New Roman"/>
          <w:i/>
          <w:sz w:val="24"/>
          <w:szCs w:val="24"/>
        </w:rPr>
        <w:t>decision</w:t>
      </w:r>
      <w:r w:rsidRPr="00EF60B7">
        <w:rPr>
          <w:rFonts w:ascii="Times New Roman" w:hAnsi="Times New Roman" w:cs="Times New Roman"/>
          <w:sz w:val="24"/>
          <w:szCs w:val="24"/>
        </w:rPr>
        <w:t xml:space="preserve"> </w:t>
      </w:r>
      <w:r w:rsidRPr="00EF60B7">
        <w:rPr>
          <w:rFonts w:ascii="Times New Roman" w:hAnsi="Times New Roman" w:cs="Times New Roman"/>
          <w:i/>
          <w:sz w:val="24"/>
          <w:szCs w:val="24"/>
        </w:rPr>
        <w:t>making</w:t>
      </w:r>
      <w:r w:rsidRPr="00EF60B7">
        <w:rPr>
          <w:rFonts w:ascii="Times New Roman" w:hAnsi="Times New Roman" w:cs="Times New Roman"/>
          <w:sz w:val="24"/>
          <w:szCs w:val="24"/>
        </w:rPr>
        <w:t>.  In particolare si ipotizza che :</w:t>
      </w:r>
    </w:p>
    <w:p w:rsidR="00381ABF" w:rsidRPr="00EF60B7" w:rsidRDefault="00381ABF" w:rsidP="008D2DF6">
      <w:pPr>
        <w:spacing w:line="360" w:lineRule="auto"/>
        <w:jc w:val="both"/>
        <w:rPr>
          <w:rFonts w:ascii="Times New Roman" w:hAnsi="Times New Roman" w:cs="Times New Roman"/>
          <w:sz w:val="24"/>
          <w:szCs w:val="24"/>
        </w:rPr>
      </w:pPr>
      <w:r w:rsidRPr="00EF60B7">
        <w:rPr>
          <w:rFonts w:ascii="Times New Roman" w:hAnsi="Times New Roman" w:cs="Times New Roman"/>
          <w:i/>
          <w:sz w:val="24"/>
          <w:szCs w:val="24"/>
        </w:rPr>
        <w:t xml:space="preserve">H1: </w:t>
      </w:r>
      <w:r w:rsidRPr="00EF60B7">
        <w:rPr>
          <w:rFonts w:ascii="Times New Roman" w:hAnsi="Times New Roman" w:cs="Times New Roman"/>
          <w:sz w:val="24"/>
          <w:szCs w:val="24"/>
        </w:rPr>
        <w:t>di fronte a una scelta particolarmente difficile, l’uso di un modello relazionale medico-paziente deliberativo produca maggiori emozioni negative - quali “nervosismo”, “turbamento”, “tristezza”, “</w:t>
      </w:r>
      <w:r w:rsidRPr="00EF60B7">
        <w:rPr>
          <w:rFonts w:ascii="Times New Roman" w:hAnsi="Times New Roman" w:cs="Times New Roman"/>
          <w:i/>
          <w:sz w:val="24"/>
          <w:szCs w:val="24"/>
        </w:rPr>
        <w:t>distress</w:t>
      </w:r>
      <w:r w:rsidRPr="00EF60B7">
        <w:rPr>
          <w:rFonts w:ascii="Times New Roman" w:hAnsi="Times New Roman" w:cs="Times New Roman"/>
          <w:sz w:val="24"/>
          <w:szCs w:val="24"/>
        </w:rPr>
        <w:t>”, “preoccupazione”, “senso di colpa” -  rispetto a quelle esperite quando viene adottato un modello relazionale paternalistico.</w:t>
      </w:r>
    </w:p>
    <w:p w:rsidR="00381ABF" w:rsidRPr="00EF60B7" w:rsidRDefault="00381ABF" w:rsidP="008D2DF6">
      <w:pPr>
        <w:spacing w:line="360" w:lineRule="auto"/>
        <w:jc w:val="both"/>
        <w:rPr>
          <w:rFonts w:ascii="Times New Roman" w:hAnsi="Times New Roman" w:cs="Times New Roman"/>
          <w:sz w:val="24"/>
          <w:szCs w:val="24"/>
        </w:rPr>
      </w:pPr>
      <w:r w:rsidRPr="00EF60B7">
        <w:rPr>
          <w:rFonts w:ascii="Times New Roman" w:hAnsi="Times New Roman" w:cs="Times New Roman"/>
          <w:i/>
          <w:sz w:val="24"/>
          <w:szCs w:val="24"/>
        </w:rPr>
        <w:t>H2:</w:t>
      </w:r>
      <w:r w:rsidRPr="00EF60B7">
        <w:rPr>
          <w:rFonts w:ascii="Times New Roman" w:hAnsi="Times New Roman" w:cs="Times New Roman"/>
          <w:sz w:val="24"/>
          <w:szCs w:val="24"/>
        </w:rPr>
        <w:t xml:space="preserve"> Ci sia una relazione significativa tra la variabile “desiderio di prendere una decisione in maniera autonoma” e “desiderio di controllo”.</w:t>
      </w:r>
    </w:p>
    <w:p w:rsidR="00381ABF" w:rsidRPr="00EF60B7" w:rsidRDefault="00381ABF" w:rsidP="008D2DF6">
      <w:pPr>
        <w:spacing w:line="360" w:lineRule="auto"/>
        <w:jc w:val="both"/>
        <w:rPr>
          <w:rFonts w:ascii="Times New Roman" w:hAnsi="Times New Roman" w:cs="Times New Roman"/>
          <w:sz w:val="24"/>
          <w:szCs w:val="24"/>
        </w:rPr>
      </w:pPr>
    </w:p>
    <w:p w:rsidR="00381ABF" w:rsidRPr="00EF60B7" w:rsidRDefault="00381ABF" w:rsidP="008D2DF6">
      <w:pPr>
        <w:spacing w:line="360" w:lineRule="auto"/>
        <w:jc w:val="both"/>
        <w:rPr>
          <w:rFonts w:ascii="Times New Roman" w:hAnsi="Times New Roman" w:cs="Times New Roman"/>
          <w:i/>
          <w:sz w:val="24"/>
          <w:szCs w:val="24"/>
        </w:rPr>
      </w:pPr>
      <w:r w:rsidRPr="00EF60B7">
        <w:rPr>
          <w:rFonts w:ascii="Times New Roman" w:hAnsi="Times New Roman" w:cs="Times New Roman"/>
          <w:i/>
          <w:sz w:val="24"/>
          <w:szCs w:val="24"/>
        </w:rPr>
        <w:t>3.3 Metodologia</w:t>
      </w:r>
    </w:p>
    <w:p w:rsidR="00381ABF" w:rsidRPr="00EF60B7" w:rsidRDefault="00381ABF" w:rsidP="008D2DF6">
      <w:pPr>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 xml:space="preserve">La ricerca consta di due diversi momenti. Nel primo, in collaborazione con il Professore Barry Anderson - docente di Psicologia presso la </w:t>
      </w:r>
      <w:r w:rsidRPr="00EF60B7">
        <w:rPr>
          <w:rFonts w:ascii="Times New Roman" w:hAnsi="Times New Roman" w:cs="Times New Roman"/>
          <w:i/>
          <w:sz w:val="24"/>
          <w:szCs w:val="24"/>
        </w:rPr>
        <w:t>Portland State University</w:t>
      </w:r>
      <w:r w:rsidRPr="00EF60B7">
        <w:rPr>
          <w:rFonts w:ascii="Times New Roman" w:hAnsi="Times New Roman" w:cs="Times New Roman"/>
          <w:sz w:val="24"/>
          <w:szCs w:val="24"/>
        </w:rPr>
        <w:t xml:space="preserve"> ed esperto nella ricerca sul </w:t>
      </w:r>
      <w:r w:rsidRPr="00EF60B7">
        <w:rPr>
          <w:rFonts w:ascii="Times New Roman" w:hAnsi="Times New Roman" w:cs="Times New Roman"/>
          <w:i/>
          <w:sz w:val="24"/>
          <w:szCs w:val="24"/>
        </w:rPr>
        <w:t>decision</w:t>
      </w:r>
      <w:r w:rsidRPr="00EF60B7">
        <w:rPr>
          <w:rFonts w:ascii="Times New Roman" w:hAnsi="Times New Roman" w:cs="Times New Roman"/>
          <w:sz w:val="24"/>
          <w:szCs w:val="24"/>
        </w:rPr>
        <w:t xml:space="preserve"> </w:t>
      </w:r>
      <w:r w:rsidRPr="00EF60B7">
        <w:rPr>
          <w:rFonts w:ascii="Times New Roman" w:hAnsi="Times New Roman" w:cs="Times New Roman"/>
          <w:i/>
          <w:sz w:val="24"/>
          <w:szCs w:val="24"/>
        </w:rPr>
        <w:t>making</w:t>
      </w:r>
      <w:r w:rsidRPr="00EF60B7">
        <w:rPr>
          <w:rFonts w:ascii="Times New Roman" w:hAnsi="Times New Roman" w:cs="Times New Roman"/>
          <w:sz w:val="24"/>
          <w:szCs w:val="24"/>
        </w:rPr>
        <w:t xml:space="preserve"> -, é stato fatto, a partire dai risultati della ricerca di Botti et al. (2009), uno studio pilota (studio 1) volto a definire il modello teorico e a creare gli scenari sperimentali. Questi ultimi sono stati testati in via preliminare su un gruppo di 61 studenti universitari americani; poi l’indagine é stata estesa ad un gruppo di 63 studenti universitari italiani, quindi sono stati messi a confronto i due campioni. Il secondo studio (studio 2) è stato svolto, in un primo momento, su un gruppo di 62 genitori di bambini nati a termine reclutati presso l’Asilo Nido “Giocomondo” e presso la Scuola Materna “De Gasperi” di Palermo. In un secondo momento lo studio 2 è stato condotto in ambito clinico-ospedaliero analizzando un gruppo di 63 genitori di bambini nati pretermine reclutato presso le Unità Operative di Neonatologia Intensiva, di Ginecologia ed Ostetricia, in collaborazione con l’Unità Operativa “Educazione alla salute”  degli Ospedali Riuniti “Cervello-Villa Sofia” della AUSL 6 di Palermo. </w:t>
      </w:r>
    </w:p>
    <w:p w:rsidR="00381ABF" w:rsidRDefault="00381ABF" w:rsidP="008D2DF6">
      <w:pPr>
        <w:spacing w:line="360" w:lineRule="auto"/>
        <w:jc w:val="both"/>
        <w:rPr>
          <w:rFonts w:ascii="Times New Roman" w:hAnsi="Times New Roman" w:cs="Times New Roman"/>
          <w:sz w:val="24"/>
          <w:szCs w:val="24"/>
        </w:rPr>
      </w:pPr>
    </w:p>
    <w:p w:rsidR="00DD5A74" w:rsidRDefault="00DD5A74" w:rsidP="008D2DF6">
      <w:pPr>
        <w:spacing w:line="360" w:lineRule="auto"/>
        <w:jc w:val="both"/>
        <w:rPr>
          <w:rFonts w:ascii="Times New Roman" w:hAnsi="Times New Roman" w:cs="Times New Roman"/>
          <w:sz w:val="24"/>
          <w:szCs w:val="24"/>
        </w:rPr>
      </w:pPr>
    </w:p>
    <w:p w:rsidR="00DD5A74" w:rsidRDefault="00DD5A74" w:rsidP="008D2DF6">
      <w:pPr>
        <w:spacing w:line="360" w:lineRule="auto"/>
        <w:jc w:val="both"/>
        <w:rPr>
          <w:rFonts w:ascii="Times New Roman" w:hAnsi="Times New Roman" w:cs="Times New Roman"/>
          <w:sz w:val="24"/>
          <w:szCs w:val="24"/>
        </w:rPr>
      </w:pPr>
    </w:p>
    <w:p w:rsidR="00DD5A74" w:rsidRPr="00EF60B7" w:rsidRDefault="00DD5A74" w:rsidP="008D2DF6">
      <w:pPr>
        <w:spacing w:line="360" w:lineRule="auto"/>
        <w:jc w:val="both"/>
        <w:rPr>
          <w:rFonts w:ascii="Times New Roman" w:hAnsi="Times New Roman" w:cs="Times New Roman"/>
          <w:sz w:val="24"/>
          <w:szCs w:val="24"/>
        </w:rPr>
      </w:pPr>
    </w:p>
    <w:p w:rsidR="00381ABF" w:rsidRPr="00EF60B7" w:rsidRDefault="00381ABF" w:rsidP="008D2DF6">
      <w:pPr>
        <w:spacing w:line="360" w:lineRule="auto"/>
        <w:jc w:val="both"/>
        <w:rPr>
          <w:rFonts w:ascii="Times New Roman" w:hAnsi="Times New Roman" w:cs="Times New Roman"/>
          <w:i/>
          <w:sz w:val="24"/>
          <w:szCs w:val="24"/>
        </w:rPr>
      </w:pPr>
      <w:r w:rsidRPr="00EF60B7">
        <w:rPr>
          <w:rFonts w:ascii="Times New Roman" w:hAnsi="Times New Roman" w:cs="Times New Roman"/>
          <w:sz w:val="24"/>
          <w:szCs w:val="24"/>
        </w:rPr>
        <w:t xml:space="preserve">3.3.1  </w:t>
      </w:r>
      <w:r w:rsidRPr="00EF60B7">
        <w:rPr>
          <w:rFonts w:ascii="Times New Roman" w:hAnsi="Times New Roman" w:cs="Times New Roman"/>
          <w:i/>
          <w:sz w:val="24"/>
          <w:szCs w:val="24"/>
        </w:rPr>
        <w:t>Studio</w:t>
      </w:r>
      <w:r w:rsidRPr="00EF60B7">
        <w:rPr>
          <w:rFonts w:ascii="Times New Roman" w:hAnsi="Times New Roman" w:cs="Times New Roman"/>
          <w:sz w:val="24"/>
          <w:szCs w:val="24"/>
        </w:rPr>
        <w:t xml:space="preserve"> </w:t>
      </w:r>
      <w:r w:rsidRPr="00EF60B7">
        <w:rPr>
          <w:rFonts w:ascii="Times New Roman" w:hAnsi="Times New Roman" w:cs="Times New Roman"/>
          <w:i/>
          <w:sz w:val="24"/>
          <w:szCs w:val="24"/>
        </w:rPr>
        <w:t>1</w:t>
      </w:r>
      <w:r w:rsidRPr="00EF60B7">
        <w:rPr>
          <w:rFonts w:ascii="Times New Roman" w:hAnsi="Times New Roman" w:cs="Times New Roman"/>
          <w:sz w:val="24"/>
          <w:szCs w:val="24"/>
        </w:rPr>
        <w:t xml:space="preserve">: </w:t>
      </w:r>
      <w:r w:rsidRPr="00EF60B7">
        <w:rPr>
          <w:rFonts w:ascii="Times New Roman" w:hAnsi="Times New Roman" w:cs="Times New Roman"/>
          <w:i/>
          <w:sz w:val="24"/>
          <w:szCs w:val="24"/>
        </w:rPr>
        <w:t>Partecipanti</w:t>
      </w:r>
    </w:p>
    <w:p w:rsidR="00381ABF" w:rsidRPr="00EF60B7" w:rsidRDefault="00381ABF" w:rsidP="008D2DF6">
      <w:pPr>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 xml:space="preserve">La ricerca dello </w:t>
      </w:r>
      <w:r w:rsidRPr="00EF60B7">
        <w:rPr>
          <w:rFonts w:ascii="Times New Roman" w:hAnsi="Times New Roman" w:cs="Times New Roman"/>
          <w:i/>
          <w:sz w:val="24"/>
          <w:szCs w:val="24"/>
        </w:rPr>
        <w:t>studio 1</w:t>
      </w:r>
      <w:r w:rsidRPr="00EF60B7">
        <w:rPr>
          <w:rFonts w:ascii="Times New Roman" w:hAnsi="Times New Roman" w:cs="Times New Roman"/>
          <w:sz w:val="24"/>
          <w:szCs w:val="24"/>
        </w:rPr>
        <w:t xml:space="preserve"> é stata condotta su un campione di 124 studenti universitari (vedi </w:t>
      </w:r>
      <w:r w:rsidRPr="00EF60B7">
        <w:rPr>
          <w:rFonts w:ascii="Times New Roman" w:hAnsi="Times New Roman" w:cs="Times New Roman"/>
          <w:b/>
          <w:sz w:val="24"/>
          <w:szCs w:val="24"/>
        </w:rPr>
        <w:t xml:space="preserve">tabella 1 </w:t>
      </w:r>
      <w:r w:rsidRPr="00EF60B7">
        <w:rPr>
          <w:rFonts w:ascii="Times New Roman" w:hAnsi="Times New Roman" w:cs="Times New Roman"/>
          <w:sz w:val="24"/>
          <w:szCs w:val="24"/>
        </w:rPr>
        <w:t>e</w:t>
      </w:r>
      <w:r w:rsidRPr="00EF60B7">
        <w:rPr>
          <w:rFonts w:ascii="Times New Roman" w:hAnsi="Times New Roman" w:cs="Times New Roman"/>
          <w:b/>
          <w:sz w:val="24"/>
          <w:szCs w:val="24"/>
        </w:rPr>
        <w:t xml:space="preserve"> 2</w:t>
      </w:r>
      <w:r w:rsidRPr="00EF60B7">
        <w:rPr>
          <w:rFonts w:ascii="Times New Roman" w:hAnsi="Times New Roman" w:cs="Times New Roman"/>
          <w:sz w:val="24"/>
          <w:szCs w:val="24"/>
        </w:rPr>
        <w:t xml:space="preserve">) di età compresa tra 18 e 58 anni (M=26.04; sd=7.02), di cui 26 maschi (21%) e 98 femmine (79%); di questi, 61 soggetti, di età compresa tra 18 e 58 anni (M = 26.74; DS = 8.6), di cui 17 maschi (27.9 %) e 44 femmine (72.1%), senza figli (82%) o con uno o più figli (18%), sono stati reclutati negli Stati Uniti presso il </w:t>
      </w:r>
      <w:r w:rsidRPr="00EF60B7">
        <w:rPr>
          <w:rFonts w:ascii="Times New Roman" w:hAnsi="Times New Roman" w:cs="Times New Roman"/>
          <w:i/>
          <w:sz w:val="24"/>
          <w:szCs w:val="24"/>
        </w:rPr>
        <w:t>campus</w:t>
      </w:r>
      <w:r w:rsidRPr="00EF60B7">
        <w:rPr>
          <w:rFonts w:ascii="Times New Roman" w:hAnsi="Times New Roman" w:cs="Times New Roman"/>
          <w:sz w:val="24"/>
          <w:szCs w:val="24"/>
        </w:rPr>
        <w:t xml:space="preserve"> della Portland </w:t>
      </w:r>
      <w:r w:rsidRPr="00EF60B7">
        <w:rPr>
          <w:rFonts w:ascii="Times New Roman" w:hAnsi="Times New Roman" w:cs="Times New Roman"/>
          <w:i/>
          <w:sz w:val="24"/>
          <w:szCs w:val="24"/>
        </w:rPr>
        <w:t>State</w:t>
      </w:r>
      <w:r w:rsidRPr="00EF60B7">
        <w:rPr>
          <w:rFonts w:ascii="Times New Roman" w:hAnsi="Times New Roman" w:cs="Times New Roman"/>
          <w:sz w:val="24"/>
          <w:szCs w:val="24"/>
        </w:rPr>
        <w:t xml:space="preserve"> </w:t>
      </w:r>
      <w:r w:rsidRPr="00EF60B7">
        <w:rPr>
          <w:rFonts w:ascii="Times New Roman" w:hAnsi="Times New Roman" w:cs="Times New Roman"/>
          <w:i/>
          <w:sz w:val="24"/>
          <w:szCs w:val="24"/>
        </w:rPr>
        <w:t>University</w:t>
      </w:r>
      <w:r w:rsidRPr="00EF60B7">
        <w:rPr>
          <w:rFonts w:ascii="Times New Roman" w:hAnsi="Times New Roman" w:cs="Times New Roman"/>
          <w:sz w:val="24"/>
          <w:szCs w:val="24"/>
        </w:rPr>
        <w:t xml:space="preserve"> e presso la palestra </w:t>
      </w:r>
      <w:r w:rsidRPr="00EF60B7">
        <w:rPr>
          <w:rFonts w:ascii="Times New Roman" w:hAnsi="Times New Roman" w:cs="Times New Roman"/>
          <w:i/>
          <w:sz w:val="24"/>
          <w:szCs w:val="24"/>
        </w:rPr>
        <w:t>Gold</w:t>
      </w:r>
      <w:r w:rsidRPr="00EF60B7">
        <w:rPr>
          <w:rFonts w:ascii="Times New Roman" w:hAnsi="Times New Roman" w:cs="Times New Roman"/>
          <w:sz w:val="24"/>
          <w:szCs w:val="24"/>
        </w:rPr>
        <w:t xml:space="preserve"> </w:t>
      </w:r>
      <w:r w:rsidRPr="00EF60B7">
        <w:rPr>
          <w:rFonts w:ascii="Times New Roman" w:hAnsi="Times New Roman" w:cs="Times New Roman"/>
          <w:i/>
          <w:sz w:val="24"/>
          <w:szCs w:val="24"/>
        </w:rPr>
        <w:t>Gym</w:t>
      </w:r>
      <w:r w:rsidRPr="00EF60B7">
        <w:rPr>
          <w:rFonts w:ascii="Times New Roman" w:hAnsi="Times New Roman" w:cs="Times New Roman"/>
          <w:sz w:val="24"/>
          <w:szCs w:val="24"/>
        </w:rPr>
        <w:t xml:space="preserve"> di Vancouver (WA); gli altri 63 soggetti, di età compresa tra 20 e 55 anni (M = 25.34; SD = 4.95),  di cui 9 maschi (14.3 %) e 54 femmine (85.7 %), con nessun figlio (96.8 %) o con un o più di un figlio (1.6 %), sono stati invece intervistati in Italia presso l’Università degli Studi di Palermo. </w:t>
      </w:r>
    </w:p>
    <w:p w:rsidR="00381ABF" w:rsidRPr="00EF60B7" w:rsidRDefault="00381ABF" w:rsidP="008D2DF6">
      <w:pPr>
        <w:spacing w:line="360" w:lineRule="auto"/>
        <w:jc w:val="both"/>
        <w:rPr>
          <w:rFonts w:ascii="Times New Roman" w:hAnsi="Times New Roman" w:cs="Times New Roman"/>
          <w:sz w:val="24"/>
          <w:szCs w:val="24"/>
        </w:rPr>
      </w:pPr>
    </w:p>
    <w:p w:rsidR="00381ABF" w:rsidRPr="00EF60B7" w:rsidRDefault="00381ABF" w:rsidP="008D2DF6">
      <w:pPr>
        <w:spacing w:line="360" w:lineRule="auto"/>
        <w:jc w:val="both"/>
        <w:rPr>
          <w:rFonts w:ascii="Times New Roman" w:hAnsi="Times New Roman" w:cs="Times New Roman"/>
          <w:sz w:val="24"/>
          <w:szCs w:val="24"/>
        </w:rPr>
      </w:pPr>
    </w:p>
    <w:p w:rsidR="00381ABF" w:rsidRPr="00EF60B7" w:rsidRDefault="00381ABF" w:rsidP="008D2DF6">
      <w:pPr>
        <w:spacing w:line="360" w:lineRule="auto"/>
        <w:jc w:val="both"/>
        <w:rPr>
          <w:rFonts w:ascii="Times New Roman" w:hAnsi="Times New Roman" w:cs="Times New Roman"/>
          <w:sz w:val="24"/>
          <w:szCs w:val="24"/>
        </w:rPr>
      </w:pPr>
    </w:p>
    <w:p w:rsidR="00381ABF" w:rsidRPr="00EF60B7" w:rsidRDefault="00381ABF" w:rsidP="008D2DF6">
      <w:pPr>
        <w:spacing w:line="360" w:lineRule="auto"/>
        <w:jc w:val="both"/>
        <w:rPr>
          <w:rFonts w:ascii="Times New Roman" w:hAnsi="Times New Roman" w:cs="Times New Roman"/>
          <w:sz w:val="24"/>
          <w:szCs w:val="24"/>
        </w:rPr>
      </w:pPr>
    </w:p>
    <w:p w:rsidR="00381ABF" w:rsidRPr="00EF60B7" w:rsidRDefault="00381ABF" w:rsidP="008D2DF6">
      <w:pPr>
        <w:spacing w:line="360" w:lineRule="auto"/>
        <w:jc w:val="both"/>
        <w:rPr>
          <w:rFonts w:ascii="Times New Roman" w:hAnsi="Times New Roman" w:cs="Times New Roman"/>
          <w:sz w:val="24"/>
          <w:szCs w:val="24"/>
        </w:rPr>
      </w:pPr>
    </w:p>
    <w:p w:rsidR="00381ABF" w:rsidRPr="00EF60B7" w:rsidRDefault="00381ABF" w:rsidP="008D2DF6">
      <w:pPr>
        <w:spacing w:line="360" w:lineRule="auto"/>
        <w:jc w:val="both"/>
        <w:rPr>
          <w:rFonts w:ascii="Times New Roman" w:hAnsi="Times New Roman" w:cs="Times New Roman"/>
          <w:sz w:val="24"/>
          <w:szCs w:val="24"/>
        </w:rPr>
      </w:pPr>
    </w:p>
    <w:p w:rsidR="00381ABF" w:rsidRPr="00EF60B7" w:rsidRDefault="00381ABF" w:rsidP="008D2DF6">
      <w:pPr>
        <w:spacing w:line="360" w:lineRule="auto"/>
        <w:jc w:val="both"/>
        <w:rPr>
          <w:rFonts w:ascii="Times New Roman" w:hAnsi="Times New Roman" w:cs="Times New Roman"/>
          <w:sz w:val="24"/>
          <w:szCs w:val="24"/>
        </w:rPr>
      </w:pPr>
    </w:p>
    <w:p w:rsidR="00381ABF" w:rsidRPr="00EF60B7" w:rsidRDefault="00381ABF" w:rsidP="008D2DF6">
      <w:pPr>
        <w:spacing w:line="360" w:lineRule="auto"/>
        <w:jc w:val="both"/>
        <w:rPr>
          <w:rFonts w:ascii="Times New Roman" w:hAnsi="Times New Roman" w:cs="Times New Roman"/>
          <w:sz w:val="24"/>
          <w:szCs w:val="24"/>
        </w:rPr>
      </w:pPr>
    </w:p>
    <w:p w:rsidR="00381ABF" w:rsidRPr="00EF60B7" w:rsidRDefault="00381ABF" w:rsidP="008D2DF6">
      <w:pPr>
        <w:spacing w:line="360" w:lineRule="auto"/>
        <w:jc w:val="both"/>
        <w:rPr>
          <w:rFonts w:ascii="Times New Roman" w:hAnsi="Times New Roman" w:cs="Times New Roman"/>
          <w:sz w:val="24"/>
          <w:szCs w:val="24"/>
        </w:rPr>
      </w:pPr>
    </w:p>
    <w:p w:rsidR="00381ABF" w:rsidRPr="00EF60B7" w:rsidRDefault="00381ABF" w:rsidP="008D2DF6">
      <w:pPr>
        <w:spacing w:line="360" w:lineRule="auto"/>
        <w:jc w:val="both"/>
        <w:rPr>
          <w:rFonts w:ascii="Times New Roman" w:hAnsi="Times New Roman" w:cs="Times New Roman"/>
          <w:sz w:val="24"/>
          <w:szCs w:val="24"/>
        </w:rPr>
      </w:pPr>
    </w:p>
    <w:p w:rsidR="00381ABF" w:rsidRDefault="00381ABF" w:rsidP="008D2DF6">
      <w:pPr>
        <w:spacing w:line="360" w:lineRule="auto"/>
        <w:jc w:val="both"/>
        <w:rPr>
          <w:rFonts w:ascii="Times New Roman" w:hAnsi="Times New Roman" w:cs="Times New Roman"/>
          <w:sz w:val="24"/>
          <w:szCs w:val="24"/>
        </w:rPr>
      </w:pPr>
    </w:p>
    <w:p w:rsidR="00DD5A74" w:rsidRDefault="00DD5A74" w:rsidP="008D2DF6">
      <w:pPr>
        <w:spacing w:line="360" w:lineRule="auto"/>
        <w:jc w:val="both"/>
        <w:rPr>
          <w:rFonts w:ascii="Times New Roman" w:hAnsi="Times New Roman" w:cs="Times New Roman"/>
          <w:sz w:val="24"/>
          <w:szCs w:val="24"/>
        </w:rPr>
      </w:pPr>
    </w:p>
    <w:p w:rsidR="00DD5A74" w:rsidRDefault="00DD5A74" w:rsidP="008D2DF6">
      <w:pPr>
        <w:spacing w:line="360" w:lineRule="auto"/>
        <w:jc w:val="both"/>
        <w:rPr>
          <w:rFonts w:ascii="Times New Roman" w:hAnsi="Times New Roman" w:cs="Times New Roman"/>
          <w:sz w:val="24"/>
          <w:szCs w:val="24"/>
        </w:rPr>
      </w:pPr>
    </w:p>
    <w:p w:rsidR="00DD5A74" w:rsidRDefault="00DD5A74" w:rsidP="008D2DF6">
      <w:pPr>
        <w:spacing w:line="360" w:lineRule="auto"/>
        <w:jc w:val="both"/>
        <w:rPr>
          <w:rFonts w:ascii="Times New Roman" w:hAnsi="Times New Roman" w:cs="Times New Roman"/>
          <w:sz w:val="24"/>
          <w:szCs w:val="24"/>
        </w:rPr>
      </w:pPr>
    </w:p>
    <w:p w:rsidR="00DD5A74" w:rsidRPr="00EF60B7" w:rsidRDefault="00DD5A74" w:rsidP="008D2DF6">
      <w:pPr>
        <w:spacing w:line="360" w:lineRule="auto"/>
        <w:jc w:val="both"/>
        <w:rPr>
          <w:rFonts w:ascii="Times New Roman" w:hAnsi="Times New Roman" w:cs="Times New Roman"/>
          <w:sz w:val="24"/>
          <w:szCs w:val="24"/>
        </w:rPr>
      </w:pPr>
    </w:p>
    <w:tbl>
      <w:tblPr>
        <w:tblW w:w="7140" w:type="dxa"/>
        <w:tblInd w:w="55" w:type="dxa"/>
        <w:tblCellMar>
          <w:left w:w="70" w:type="dxa"/>
          <w:right w:w="70" w:type="dxa"/>
        </w:tblCellMar>
        <w:tblLook w:val="04A0"/>
      </w:tblPr>
      <w:tblGrid>
        <w:gridCol w:w="2141"/>
        <w:gridCol w:w="2279"/>
        <w:gridCol w:w="1280"/>
        <w:gridCol w:w="1393"/>
        <w:gridCol w:w="146"/>
      </w:tblGrid>
      <w:tr w:rsidR="00381ABF" w:rsidRPr="00EF60B7" w:rsidTr="00D564CF">
        <w:trPr>
          <w:trHeight w:val="300"/>
        </w:trPr>
        <w:tc>
          <w:tcPr>
            <w:tcW w:w="7140" w:type="dxa"/>
            <w:gridSpan w:val="5"/>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i/>
                <w:iCs/>
                <w:color w:val="000000"/>
                <w:sz w:val="24"/>
                <w:szCs w:val="24"/>
                <w:lang w:eastAsia="it-IT"/>
              </w:rPr>
              <w:t>Tabella 1. Statistiche descrittive  studenti italiani e studenti americani.</w:t>
            </w:r>
            <w:r w:rsidRPr="00EF60B7">
              <w:rPr>
                <w:rFonts w:ascii="Times New Roman" w:eastAsia="Times New Roman" w:hAnsi="Times New Roman" w:cs="Times New Roman"/>
                <w:color w:val="000000"/>
                <w:sz w:val="24"/>
                <w:szCs w:val="24"/>
                <w:lang w:eastAsia="it-IT"/>
              </w:rPr>
              <w:t xml:space="preserve"> </w:t>
            </w:r>
          </w:p>
        </w:tc>
      </w:tr>
      <w:tr w:rsidR="00381ABF" w:rsidRPr="00EF60B7" w:rsidTr="00D564CF">
        <w:trPr>
          <w:trHeight w:val="315"/>
        </w:trPr>
        <w:tc>
          <w:tcPr>
            <w:tcW w:w="7093" w:type="dxa"/>
            <w:gridSpan w:val="4"/>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i/>
                <w:iCs/>
                <w:color w:val="000000"/>
                <w:sz w:val="24"/>
                <w:szCs w:val="24"/>
                <w:lang w:eastAsia="it-IT"/>
              </w:rPr>
            </w:pPr>
            <w:r w:rsidRPr="00EF60B7">
              <w:rPr>
                <w:rFonts w:ascii="Times New Roman" w:eastAsia="Times New Roman" w:hAnsi="Times New Roman" w:cs="Times New Roman"/>
                <w:i/>
                <w:iCs/>
                <w:color w:val="000000"/>
                <w:sz w:val="24"/>
                <w:szCs w:val="24"/>
                <w:lang w:eastAsia="it-IT"/>
              </w:rPr>
              <w:t>Genere, stato civile, numero figli, livello scolastico</w:t>
            </w:r>
          </w:p>
        </w:tc>
        <w:tc>
          <w:tcPr>
            <w:tcW w:w="4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i/>
                <w:iCs/>
                <w:color w:val="000000"/>
                <w:sz w:val="24"/>
                <w:szCs w:val="24"/>
                <w:lang w:eastAsia="it-IT"/>
              </w:rPr>
            </w:pPr>
          </w:p>
        </w:tc>
      </w:tr>
      <w:tr w:rsidR="00381ABF" w:rsidRPr="00EF60B7" w:rsidTr="00D564CF">
        <w:trPr>
          <w:trHeight w:val="300"/>
        </w:trPr>
        <w:tc>
          <w:tcPr>
            <w:tcW w:w="2141" w:type="dxa"/>
            <w:tcBorders>
              <w:top w:val="single" w:sz="4" w:space="0" w:color="auto"/>
              <w:left w:val="nil"/>
              <w:bottom w:val="single" w:sz="4" w:space="0" w:color="auto"/>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i/>
                <w:iCs/>
                <w:color w:val="000000"/>
                <w:sz w:val="24"/>
                <w:szCs w:val="24"/>
                <w:lang w:eastAsia="it-IT"/>
              </w:rPr>
            </w:pPr>
            <w:r w:rsidRPr="00EF60B7">
              <w:rPr>
                <w:rFonts w:ascii="Times New Roman" w:eastAsia="Times New Roman" w:hAnsi="Times New Roman" w:cs="Times New Roman"/>
                <w:i/>
                <w:iCs/>
                <w:color w:val="000000"/>
                <w:sz w:val="24"/>
                <w:szCs w:val="24"/>
                <w:lang w:eastAsia="it-IT"/>
              </w:rPr>
              <w:t> </w:t>
            </w:r>
          </w:p>
        </w:tc>
        <w:tc>
          <w:tcPr>
            <w:tcW w:w="2279" w:type="dxa"/>
            <w:tcBorders>
              <w:top w:val="single" w:sz="4" w:space="0" w:color="auto"/>
              <w:left w:val="nil"/>
              <w:bottom w:val="single" w:sz="4" w:space="0" w:color="auto"/>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i/>
                <w:iCs/>
                <w:color w:val="000000"/>
                <w:sz w:val="24"/>
                <w:szCs w:val="24"/>
                <w:lang w:eastAsia="it-IT"/>
              </w:rPr>
            </w:pPr>
            <w:r w:rsidRPr="00EF60B7">
              <w:rPr>
                <w:rFonts w:ascii="Times New Roman" w:eastAsia="Times New Roman" w:hAnsi="Times New Roman" w:cs="Times New Roman"/>
                <w:i/>
                <w:iCs/>
                <w:color w:val="000000"/>
                <w:sz w:val="24"/>
                <w:szCs w:val="24"/>
                <w:lang w:eastAsia="it-IT"/>
              </w:rPr>
              <w:t> </w:t>
            </w:r>
          </w:p>
        </w:tc>
        <w:tc>
          <w:tcPr>
            <w:tcW w:w="1280" w:type="dxa"/>
            <w:tcBorders>
              <w:top w:val="single" w:sz="4" w:space="0" w:color="auto"/>
              <w:left w:val="nil"/>
              <w:bottom w:val="single" w:sz="4" w:space="0" w:color="auto"/>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i/>
                <w:iCs/>
                <w:color w:val="000000"/>
                <w:sz w:val="24"/>
                <w:szCs w:val="24"/>
                <w:lang w:eastAsia="it-IT"/>
              </w:rPr>
            </w:pPr>
            <w:r w:rsidRPr="00EF60B7">
              <w:rPr>
                <w:rFonts w:ascii="Times New Roman" w:eastAsia="Times New Roman" w:hAnsi="Times New Roman" w:cs="Times New Roman"/>
                <w:i/>
                <w:iCs/>
                <w:color w:val="000000"/>
                <w:sz w:val="24"/>
                <w:szCs w:val="24"/>
                <w:lang w:eastAsia="it-IT"/>
              </w:rPr>
              <w:t>Frequenza</w:t>
            </w:r>
          </w:p>
        </w:tc>
        <w:tc>
          <w:tcPr>
            <w:tcW w:w="1393" w:type="dxa"/>
            <w:tcBorders>
              <w:top w:val="single" w:sz="4" w:space="0" w:color="auto"/>
              <w:left w:val="nil"/>
              <w:bottom w:val="single" w:sz="4" w:space="0" w:color="auto"/>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i/>
                <w:iCs/>
                <w:color w:val="000000"/>
                <w:sz w:val="24"/>
                <w:szCs w:val="24"/>
                <w:lang w:eastAsia="it-IT"/>
              </w:rPr>
            </w:pPr>
            <w:r w:rsidRPr="00EF60B7">
              <w:rPr>
                <w:rFonts w:ascii="Times New Roman" w:eastAsia="Times New Roman" w:hAnsi="Times New Roman" w:cs="Times New Roman"/>
                <w:i/>
                <w:iCs/>
                <w:color w:val="000000"/>
                <w:sz w:val="24"/>
                <w:szCs w:val="24"/>
                <w:lang w:eastAsia="it-IT"/>
              </w:rPr>
              <w:t>Percentuali</w:t>
            </w:r>
          </w:p>
        </w:tc>
        <w:tc>
          <w:tcPr>
            <w:tcW w:w="4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r>
      <w:tr w:rsidR="00381ABF" w:rsidRPr="00EF60B7" w:rsidTr="00D564CF">
        <w:trPr>
          <w:trHeight w:val="300"/>
        </w:trPr>
        <w:tc>
          <w:tcPr>
            <w:tcW w:w="2141"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Genere</w:t>
            </w:r>
          </w:p>
        </w:tc>
        <w:tc>
          <w:tcPr>
            <w:tcW w:w="2279"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Maschi</w:t>
            </w:r>
          </w:p>
        </w:tc>
        <w:tc>
          <w:tcPr>
            <w:tcW w:w="1280"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26</w:t>
            </w:r>
          </w:p>
        </w:tc>
        <w:tc>
          <w:tcPr>
            <w:tcW w:w="139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20,97</w:t>
            </w:r>
          </w:p>
        </w:tc>
        <w:tc>
          <w:tcPr>
            <w:tcW w:w="4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r>
      <w:tr w:rsidR="00381ABF" w:rsidRPr="00EF60B7" w:rsidTr="00D564CF">
        <w:trPr>
          <w:trHeight w:val="300"/>
        </w:trPr>
        <w:tc>
          <w:tcPr>
            <w:tcW w:w="2141"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2279"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Femmine</w:t>
            </w:r>
          </w:p>
        </w:tc>
        <w:tc>
          <w:tcPr>
            <w:tcW w:w="1280"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98</w:t>
            </w:r>
          </w:p>
        </w:tc>
        <w:tc>
          <w:tcPr>
            <w:tcW w:w="139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79,03</w:t>
            </w:r>
          </w:p>
        </w:tc>
        <w:tc>
          <w:tcPr>
            <w:tcW w:w="4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r>
      <w:tr w:rsidR="00381ABF" w:rsidRPr="00EF60B7" w:rsidTr="00D564CF">
        <w:trPr>
          <w:trHeight w:val="300"/>
        </w:trPr>
        <w:tc>
          <w:tcPr>
            <w:tcW w:w="2141"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2279"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1280"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139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4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r>
      <w:tr w:rsidR="00381ABF" w:rsidRPr="00EF60B7" w:rsidTr="00D564CF">
        <w:trPr>
          <w:trHeight w:val="300"/>
        </w:trPr>
        <w:tc>
          <w:tcPr>
            <w:tcW w:w="2141"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Stato Civile</w:t>
            </w:r>
          </w:p>
        </w:tc>
        <w:tc>
          <w:tcPr>
            <w:tcW w:w="2279"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Celibe/Nubile</w:t>
            </w:r>
          </w:p>
        </w:tc>
        <w:tc>
          <w:tcPr>
            <w:tcW w:w="1280"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102</w:t>
            </w:r>
          </w:p>
        </w:tc>
        <w:tc>
          <w:tcPr>
            <w:tcW w:w="139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82,26</w:t>
            </w:r>
          </w:p>
        </w:tc>
        <w:tc>
          <w:tcPr>
            <w:tcW w:w="4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r>
      <w:tr w:rsidR="00381ABF" w:rsidRPr="00EF60B7" w:rsidTr="00D564CF">
        <w:trPr>
          <w:trHeight w:val="300"/>
        </w:trPr>
        <w:tc>
          <w:tcPr>
            <w:tcW w:w="2141"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2279"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Sposato/Divorziato</w:t>
            </w:r>
          </w:p>
        </w:tc>
        <w:tc>
          <w:tcPr>
            <w:tcW w:w="1280"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22</w:t>
            </w:r>
          </w:p>
        </w:tc>
        <w:tc>
          <w:tcPr>
            <w:tcW w:w="139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17,74</w:t>
            </w:r>
          </w:p>
        </w:tc>
        <w:tc>
          <w:tcPr>
            <w:tcW w:w="4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r>
      <w:tr w:rsidR="00381ABF" w:rsidRPr="00EF60B7" w:rsidTr="00D564CF">
        <w:trPr>
          <w:trHeight w:val="300"/>
        </w:trPr>
        <w:tc>
          <w:tcPr>
            <w:tcW w:w="2141"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2279"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1280"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139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4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r>
      <w:tr w:rsidR="00381ABF" w:rsidRPr="00EF60B7" w:rsidTr="00D564CF">
        <w:trPr>
          <w:trHeight w:val="300"/>
        </w:trPr>
        <w:tc>
          <w:tcPr>
            <w:tcW w:w="2141"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Numero Figli</w:t>
            </w:r>
          </w:p>
        </w:tc>
        <w:tc>
          <w:tcPr>
            <w:tcW w:w="2279"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Nessuno</w:t>
            </w:r>
          </w:p>
        </w:tc>
        <w:tc>
          <w:tcPr>
            <w:tcW w:w="1280"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111</w:t>
            </w:r>
          </w:p>
        </w:tc>
        <w:tc>
          <w:tcPr>
            <w:tcW w:w="139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89,52</w:t>
            </w:r>
          </w:p>
        </w:tc>
        <w:tc>
          <w:tcPr>
            <w:tcW w:w="4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r>
      <w:tr w:rsidR="00381ABF" w:rsidRPr="00EF60B7" w:rsidTr="00D564CF">
        <w:trPr>
          <w:trHeight w:val="300"/>
        </w:trPr>
        <w:tc>
          <w:tcPr>
            <w:tcW w:w="2141"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2279"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Uno</w:t>
            </w:r>
          </w:p>
        </w:tc>
        <w:tc>
          <w:tcPr>
            <w:tcW w:w="1280"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5</w:t>
            </w:r>
          </w:p>
        </w:tc>
        <w:tc>
          <w:tcPr>
            <w:tcW w:w="139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4,03</w:t>
            </w:r>
          </w:p>
        </w:tc>
        <w:tc>
          <w:tcPr>
            <w:tcW w:w="4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r>
      <w:tr w:rsidR="00381ABF" w:rsidRPr="00EF60B7" w:rsidTr="00D564CF">
        <w:trPr>
          <w:trHeight w:val="300"/>
        </w:trPr>
        <w:tc>
          <w:tcPr>
            <w:tcW w:w="2141"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2279"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Due</w:t>
            </w:r>
          </w:p>
        </w:tc>
        <w:tc>
          <w:tcPr>
            <w:tcW w:w="1280"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5</w:t>
            </w:r>
          </w:p>
        </w:tc>
        <w:tc>
          <w:tcPr>
            <w:tcW w:w="139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4,03</w:t>
            </w:r>
          </w:p>
        </w:tc>
        <w:tc>
          <w:tcPr>
            <w:tcW w:w="4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r>
      <w:tr w:rsidR="00381ABF" w:rsidRPr="00EF60B7" w:rsidTr="00D564CF">
        <w:trPr>
          <w:trHeight w:val="300"/>
        </w:trPr>
        <w:tc>
          <w:tcPr>
            <w:tcW w:w="2141"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2279"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Più di due</w:t>
            </w:r>
          </w:p>
        </w:tc>
        <w:tc>
          <w:tcPr>
            <w:tcW w:w="1280"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3</w:t>
            </w:r>
          </w:p>
        </w:tc>
        <w:tc>
          <w:tcPr>
            <w:tcW w:w="139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2,42</w:t>
            </w:r>
          </w:p>
        </w:tc>
        <w:tc>
          <w:tcPr>
            <w:tcW w:w="4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r>
      <w:tr w:rsidR="00381ABF" w:rsidRPr="00EF60B7" w:rsidTr="00D564CF">
        <w:trPr>
          <w:trHeight w:val="300"/>
        </w:trPr>
        <w:tc>
          <w:tcPr>
            <w:tcW w:w="2141"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2279"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1280"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139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4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r>
      <w:tr w:rsidR="00381ABF" w:rsidRPr="00EF60B7" w:rsidTr="00D564CF">
        <w:trPr>
          <w:trHeight w:val="300"/>
        </w:trPr>
        <w:tc>
          <w:tcPr>
            <w:tcW w:w="2141"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Livello Scolastico</w:t>
            </w:r>
          </w:p>
        </w:tc>
        <w:tc>
          <w:tcPr>
            <w:tcW w:w="2279"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Scuola media</w:t>
            </w:r>
          </w:p>
        </w:tc>
        <w:tc>
          <w:tcPr>
            <w:tcW w:w="1280"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2</w:t>
            </w:r>
          </w:p>
        </w:tc>
        <w:tc>
          <w:tcPr>
            <w:tcW w:w="139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1,61</w:t>
            </w:r>
          </w:p>
        </w:tc>
        <w:tc>
          <w:tcPr>
            <w:tcW w:w="4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r>
      <w:tr w:rsidR="00381ABF" w:rsidRPr="00EF60B7" w:rsidTr="00D564CF">
        <w:trPr>
          <w:trHeight w:val="300"/>
        </w:trPr>
        <w:tc>
          <w:tcPr>
            <w:tcW w:w="2141"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2279"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Liceo</w:t>
            </w:r>
          </w:p>
        </w:tc>
        <w:tc>
          <w:tcPr>
            <w:tcW w:w="1280"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27</w:t>
            </w:r>
          </w:p>
        </w:tc>
        <w:tc>
          <w:tcPr>
            <w:tcW w:w="139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21,77</w:t>
            </w:r>
          </w:p>
        </w:tc>
        <w:tc>
          <w:tcPr>
            <w:tcW w:w="4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r>
      <w:tr w:rsidR="00381ABF" w:rsidRPr="00EF60B7" w:rsidTr="00D564CF">
        <w:trPr>
          <w:trHeight w:val="300"/>
        </w:trPr>
        <w:tc>
          <w:tcPr>
            <w:tcW w:w="2141"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2279"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Laurea Triennale</w:t>
            </w:r>
          </w:p>
        </w:tc>
        <w:tc>
          <w:tcPr>
            <w:tcW w:w="1280"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78</w:t>
            </w:r>
          </w:p>
        </w:tc>
        <w:tc>
          <w:tcPr>
            <w:tcW w:w="139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62,90</w:t>
            </w:r>
          </w:p>
        </w:tc>
        <w:tc>
          <w:tcPr>
            <w:tcW w:w="4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r>
      <w:tr w:rsidR="00381ABF" w:rsidRPr="00EF60B7" w:rsidTr="00D564CF">
        <w:trPr>
          <w:trHeight w:val="300"/>
        </w:trPr>
        <w:tc>
          <w:tcPr>
            <w:tcW w:w="2141"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2279"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Laurea Magistrale</w:t>
            </w:r>
          </w:p>
        </w:tc>
        <w:tc>
          <w:tcPr>
            <w:tcW w:w="1280"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16</w:t>
            </w:r>
          </w:p>
        </w:tc>
        <w:tc>
          <w:tcPr>
            <w:tcW w:w="139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12,90</w:t>
            </w:r>
          </w:p>
        </w:tc>
        <w:tc>
          <w:tcPr>
            <w:tcW w:w="4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r>
      <w:tr w:rsidR="00381ABF" w:rsidRPr="00EF60B7" w:rsidTr="00D564CF">
        <w:trPr>
          <w:trHeight w:val="300"/>
        </w:trPr>
        <w:tc>
          <w:tcPr>
            <w:tcW w:w="2141"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2279"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1280"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139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4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r>
      <w:tr w:rsidR="00381ABF" w:rsidRPr="00EF60B7" w:rsidTr="00D564CF">
        <w:trPr>
          <w:trHeight w:val="300"/>
        </w:trPr>
        <w:tc>
          <w:tcPr>
            <w:tcW w:w="2141" w:type="dxa"/>
            <w:tcBorders>
              <w:top w:val="nil"/>
              <w:left w:val="nil"/>
              <w:bottom w:val="single" w:sz="4" w:space="0" w:color="auto"/>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Totale</w:t>
            </w:r>
          </w:p>
        </w:tc>
        <w:tc>
          <w:tcPr>
            <w:tcW w:w="2279" w:type="dxa"/>
            <w:tcBorders>
              <w:top w:val="nil"/>
              <w:left w:val="nil"/>
              <w:bottom w:val="single" w:sz="4" w:space="0" w:color="auto"/>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 </w:t>
            </w:r>
          </w:p>
        </w:tc>
        <w:tc>
          <w:tcPr>
            <w:tcW w:w="1280" w:type="dxa"/>
            <w:tcBorders>
              <w:top w:val="nil"/>
              <w:left w:val="nil"/>
              <w:bottom w:val="single" w:sz="4" w:space="0" w:color="auto"/>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124</w:t>
            </w:r>
          </w:p>
        </w:tc>
        <w:tc>
          <w:tcPr>
            <w:tcW w:w="1393" w:type="dxa"/>
            <w:tcBorders>
              <w:top w:val="nil"/>
              <w:left w:val="nil"/>
              <w:bottom w:val="single" w:sz="4" w:space="0" w:color="auto"/>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100</w:t>
            </w:r>
          </w:p>
        </w:tc>
        <w:tc>
          <w:tcPr>
            <w:tcW w:w="4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r>
    </w:tbl>
    <w:p w:rsidR="00381ABF" w:rsidRPr="00EF60B7" w:rsidRDefault="00381ABF" w:rsidP="008D2DF6">
      <w:pPr>
        <w:spacing w:line="360" w:lineRule="auto"/>
        <w:jc w:val="both"/>
        <w:rPr>
          <w:rFonts w:ascii="Times New Roman" w:hAnsi="Times New Roman" w:cs="Times New Roman"/>
          <w:sz w:val="24"/>
          <w:szCs w:val="24"/>
        </w:rPr>
      </w:pPr>
    </w:p>
    <w:p w:rsidR="00381ABF" w:rsidRDefault="00381ABF" w:rsidP="008D2DF6">
      <w:pPr>
        <w:spacing w:line="360" w:lineRule="auto"/>
        <w:jc w:val="both"/>
        <w:rPr>
          <w:rFonts w:ascii="Times New Roman" w:hAnsi="Times New Roman" w:cs="Times New Roman"/>
          <w:sz w:val="24"/>
          <w:szCs w:val="24"/>
        </w:rPr>
      </w:pPr>
    </w:p>
    <w:p w:rsidR="00DD5A74" w:rsidRDefault="00DD5A74" w:rsidP="008D2DF6">
      <w:pPr>
        <w:spacing w:line="360" w:lineRule="auto"/>
        <w:jc w:val="both"/>
        <w:rPr>
          <w:rFonts w:ascii="Times New Roman" w:hAnsi="Times New Roman" w:cs="Times New Roman"/>
          <w:sz w:val="24"/>
          <w:szCs w:val="24"/>
        </w:rPr>
      </w:pPr>
    </w:p>
    <w:p w:rsidR="00DD5A74" w:rsidRDefault="00DD5A74" w:rsidP="008D2DF6">
      <w:pPr>
        <w:spacing w:line="360" w:lineRule="auto"/>
        <w:jc w:val="both"/>
        <w:rPr>
          <w:rFonts w:ascii="Times New Roman" w:hAnsi="Times New Roman" w:cs="Times New Roman"/>
          <w:sz w:val="24"/>
          <w:szCs w:val="24"/>
        </w:rPr>
      </w:pPr>
    </w:p>
    <w:p w:rsidR="00DD5A74" w:rsidRPr="00EF60B7" w:rsidRDefault="00DD5A74" w:rsidP="008D2DF6">
      <w:pPr>
        <w:spacing w:line="360" w:lineRule="auto"/>
        <w:jc w:val="both"/>
        <w:rPr>
          <w:rFonts w:ascii="Times New Roman" w:hAnsi="Times New Roman" w:cs="Times New Roman"/>
          <w:sz w:val="24"/>
          <w:szCs w:val="24"/>
        </w:rPr>
      </w:pPr>
    </w:p>
    <w:tbl>
      <w:tblPr>
        <w:tblW w:w="7040" w:type="dxa"/>
        <w:tblInd w:w="55" w:type="dxa"/>
        <w:tblCellMar>
          <w:left w:w="70" w:type="dxa"/>
          <w:right w:w="70" w:type="dxa"/>
        </w:tblCellMar>
        <w:tblLook w:val="04A0"/>
      </w:tblPr>
      <w:tblGrid>
        <w:gridCol w:w="2764"/>
        <w:gridCol w:w="707"/>
        <w:gridCol w:w="756"/>
        <w:gridCol w:w="829"/>
        <w:gridCol w:w="1168"/>
        <w:gridCol w:w="816"/>
      </w:tblGrid>
      <w:tr w:rsidR="00381ABF" w:rsidRPr="00EF60B7" w:rsidTr="00D564CF">
        <w:trPr>
          <w:trHeight w:val="300"/>
        </w:trPr>
        <w:tc>
          <w:tcPr>
            <w:tcW w:w="7040" w:type="dxa"/>
            <w:gridSpan w:val="6"/>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i/>
                <w:iCs/>
                <w:color w:val="000000"/>
                <w:sz w:val="24"/>
                <w:szCs w:val="24"/>
                <w:lang w:eastAsia="it-IT"/>
              </w:rPr>
            </w:pPr>
            <w:r w:rsidRPr="00EF60B7">
              <w:rPr>
                <w:rFonts w:ascii="Times New Roman" w:eastAsia="Times New Roman" w:hAnsi="Times New Roman" w:cs="Times New Roman"/>
                <w:i/>
                <w:iCs/>
                <w:color w:val="000000"/>
                <w:sz w:val="24"/>
                <w:szCs w:val="24"/>
                <w:lang w:eastAsia="it-IT"/>
              </w:rPr>
              <w:t>Tabella 2. Statistiche descrittive studenti italiani e americani</w:t>
            </w:r>
          </w:p>
        </w:tc>
      </w:tr>
      <w:tr w:rsidR="00381ABF" w:rsidRPr="00EF60B7" w:rsidTr="00D564CF">
        <w:trPr>
          <w:trHeight w:val="330"/>
        </w:trPr>
        <w:tc>
          <w:tcPr>
            <w:tcW w:w="7040" w:type="dxa"/>
            <w:gridSpan w:val="6"/>
            <w:tcBorders>
              <w:top w:val="nil"/>
              <w:left w:val="nil"/>
              <w:bottom w:val="single" w:sz="8" w:space="0" w:color="auto"/>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i/>
                <w:iCs/>
                <w:color w:val="000000"/>
                <w:sz w:val="24"/>
                <w:szCs w:val="24"/>
                <w:lang w:eastAsia="it-IT"/>
              </w:rPr>
            </w:pPr>
            <w:r w:rsidRPr="00EF60B7">
              <w:rPr>
                <w:rFonts w:ascii="Times New Roman" w:eastAsia="Times New Roman" w:hAnsi="Times New Roman" w:cs="Times New Roman"/>
                <w:i/>
                <w:iCs/>
                <w:color w:val="000000"/>
                <w:sz w:val="24"/>
                <w:szCs w:val="24"/>
                <w:lang w:eastAsia="it-IT"/>
              </w:rPr>
              <w:t>Età e Numero di figli</w:t>
            </w:r>
          </w:p>
        </w:tc>
      </w:tr>
      <w:tr w:rsidR="00381ABF" w:rsidRPr="00EF60B7" w:rsidTr="00D564CF">
        <w:trPr>
          <w:trHeight w:val="330"/>
        </w:trPr>
        <w:tc>
          <w:tcPr>
            <w:tcW w:w="2764" w:type="dxa"/>
            <w:tcBorders>
              <w:top w:val="nil"/>
              <w:left w:val="nil"/>
              <w:bottom w:val="single" w:sz="8" w:space="0" w:color="auto"/>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i/>
                <w:iCs/>
                <w:color w:val="000000"/>
                <w:sz w:val="24"/>
                <w:szCs w:val="24"/>
                <w:lang w:eastAsia="it-IT"/>
              </w:rPr>
            </w:pPr>
            <w:r w:rsidRPr="00EF60B7">
              <w:rPr>
                <w:rFonts w:ascii="Times New Roman" w:eastAsia="Times New Roman" w:hAnsi="Times New Roman" w:cs="Times New Roman"/>
                <w:i/>
                <w:iCs/>
                <w:color w:val="000000"/>
                <w:sz w:val="24"/>
                <w:szCs w:val="24"/>
                <w:lang w:eastAsia="it-IT"/>
              </w:rPr>
              <w:t> </w:t>
            </w:r>
          </w:p>
        </w:tc>
        <w:tc>
          <w:tcPr>
            <w:tcW w:w="707" w:type="dxa"/>
            <w:tcBorders>
              <w:top w:val="nil"/>
              <w:left w:val="nil"/>
              <w:bottom w:val="single" w:sz="8" w:space="0" w:color="auto"/>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i/>
                <w:iCs/>
                <w:color w:val="000000"/>
                <w:sz w:val="24"/>
                <w:szCs w:val="24"/>
                <w:lang w:eastAsia="it-IT"/>
              </w:rPr>
            </w:pPr>
            <w:r w:rsidRPr="00EF60B7">
              <w:rPr>
                <w:rFonts w:ascii="Times New Roman" w:eastAsia="Times New Roman" w:hAnsi="Times New Roman" w:cs="Times New Roman"/>
                <w:i/>
                <w:iCs/>
                <w:color w:val="000000"/>
                <w:sz w:val="24"/>
                <w:szCs w:val="24"/>
                <w:lang w:eastAsia="it-IT"/>
              </w:rPr>
              <w:t>N</w:t>
            </w:r>
          </w:p>
        </w:tc>
        <w:tc>
          <w:tcPr>
            <w:tcW w:w="756" w:type="dxa"/>
            <w:tcBorders>
              <w:top w:val="nil"/>
              <w:left w:val="nil"/>
              <w:bottom w:val="single" w:sz="8" w:space="0" w:color="auto"/>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i/>
                <w:iCs/>
                <w:color w:val="000000"/>
                <w:sz w:val="24"/>
                <w:szCs w:val="24"/>
                <w:lang w:eastAsia="it-IT"/>
              </w:rPr>
            </w:pPr>
            <w:r w:rsidRPr="00EF60B7">
              <w:rPr>
                <w:rFonts w:ascii="Times New Roman" w:eastAsia="Times New Roman" w:hAnsi="Times New Roman" w:cs="Times New Roman"/>
                <w:i/>
                <w:iCs/>
                <w:color w:val="000000"/>
                <w:sz w:val="24"/>
                <w:szCs w:val="24"/>
                <w:lang w:eastAsia="it-IT"/>
              </w:rPr>
              <w:t>Min</w:t>
            </w:r>
          </w:p>
        </w:tc>
        <w:tc>
          <w:tcPr>
            <w:tcW w:w="829" w:type="dxa"/>
            <w:tcBorders>
              <w:top w:val="nil"/>
              <w:left w:val="nil"/>
              <w:bottom w:val="single" w:sz="8" w:space="0" w:color="auto"/>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i/>
                <w:iCs/>
                <w:color w:val="000000"/>
                <w:sz w:val="24"/>
                <w:szCs w:val="24"/>
                <w:lang w:eastAsia="it-IT"/>
              </w:rPr>
            </w:pPr>
            <w:r w:rsidRPr="00EF60B7">
              <w:rPr>
                <w:rFonts w:ascii="Times New Roman" w:eastAsia="Times New Roman" w:hAnsi="Times New Roman" w:cs="Times New Roman"/>
                <w:i/>
                <w:iCs/>
                <w:color w:val="000000"/>
                <w:sz w:val="24"/>
                <w:szCs w:val="24"/>
                <w:lang w:eastAsia="it-IT"/>
              </w:rPr>
              <w:t>Max</w:t>
            </w:r>
          </w:p>
        </w:tc>
        <w:tc>
          <w:tcPr>
            <w:tcW w:w="1168" w:type="dxa"/>
            <w:tcBorders>
              <w:top w:val="nil"/>
              <w:left w:val="nil"/>
              <w:bottom w:val="single" w:sz="8" w:space="0" w:color="auto"/>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i/>
                <w:iCs/>
                <w:color w:val="000000"/>
                <w:sz w:val="24"/>
                <w:szCs w:val="24"/>
                <w:lang w:eastAsia="it-IT"/>
              </w:rPr>
            </w:pPr>
            <w:r w:rsidRPr="00EF60B7">
              <w:rPr>
                <w:rFonts w:ascii="Times New Roman" w:eastAsia="Times New Roman" w:hAnsi="Times New Roman" w:cs="Times New Roman"/>
                <w:i/>
                <w:iCs/>
                <w:color w:val="000000"/>
                <w:sz w:val="24"/>
                <w:szCs w:val="24"/>
                <w:lang w:eastAsia="it-IT"/>
              </w:rPr>
              <w:t>Media</w:t>
            </w:r>
          </w:p>
        </w:tc>
        <w:tc>
          <w:tcPr>
            <w:tcW w:w="816" w:type="dxa"/>
            <w:tcBorders>
              <w:top w:val="nil"/>
              <w:left w:val="nil"/>
              <w:bottom w:val="single" w:sz="8" w:space="0" w:color="auto"/>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i/>
                <w:iCs/>
                <w:color w:val="000000"/>
                <w:sz w:val="24"/>
                <w:szCs w:val="24"/>
                <w:lang w:eastAsia="it-IT"/>
              </w:rPr>
            </w:pPr>
            <w:r w:rsidRPr="00EF60B7">
              <w:rPr>
                <w:rFonts w:ascii="Times New Roman" w:eastAsia="Times New Roman" w:hAnsi="Times New Roman" w:cs="Times New Roman"/>
                <w:i/>
                <w:iCs/>
                <w:color w:val="000000"/>
                <w:sz w:val="24"/>
                <w:szCs w:val="24"/>
                <w:lang w:eastAsia="it-IT"/>
              </w:rPr>
              <w:t>SD</w:t>
            </w:r>
          </w:p>
        </w:tc>
      </w:tr>
      <w:tr w:rsidR="00381ABF" w:rsidRPr="00EF60B7" w:rsidTr="00D564CF">
        <w:trPr>
          <w:trHeight w:val="315"/>
        </w:trPr>
        <w:tc>
          <w:tcPr>
            <w:tcW w:w="2764"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Età</w:t>
            </w:r>
          </w:p>
        </w:tc>
        <w:tc>
          <w:tcPr>
            <w:tcW w:w="70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122</w:t>
            </w:r>
          </w:p>
        </w:tc>
        <w:tc>
          <w:tcPr>
            <w:tcW w:w="756"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18</w:t>
            </w:r>
          </w:p>
        </w:tc>
        <w:tc>
          <w:tcPr>
            <w:tcW w:w="829"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58</w:t>
            </w:r>
          </w:p>
        </w:tc>
        <w:tc>
          <w:tcPr>
            <w:tcW w:w="1168"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26,04</w:t>
            </w:r>
          </w:p>
        </w:tc>
        <w:tc>
          <w:tcPr>
            <w:tcW w:w="816"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7,02</w:t>
            </w:r>
          </w:p>
        </w:tc>
      </w:tr>
      <w:tr w:rsidR="00381ABF" w:rsidRPr="00EF60B7" w:rsidTr="00D564CF">
        <w:trPr>
          <w:trHeight w:val="330"/>
        </w:trPr>
        <w:tc>
          <w:tcPr>
            <w:tcW w:w="2764" w:type="dxa"/>
            <w:tcBorders>
              <w:top w:val="nil"/>
              <w:left w:val="nil"/>
              <w:bottom w:val="single" w:sz="8" w:space="0" w:color="auto"/>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Numero di figli</w:t>
            </w:r>
          </w:p>
        </w:tc>
        <w:tc>
          <w:tcPr>
            <w:tcW w:w="707" w:type="dxa"/>
            <w:tcBorders>
              <w:top w:val="nil"/>
              <w:left w:val="nil"/>
              <w:bottom w:val="single" w:sz="8" w:space="0" w:color="auto"/>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124</w:t>
            </w:r>
          </w:p>
        </w:tc>
        <w:tc>
          <w:tcPr>
            <w:tcW w:w="756" w:type="dxa"/>
            <w:tcBorders>
              <w:top w:val="nil"/>
              <w:left w:val="nil"/>
              <w:bottom w:val="single" w:sz="8" w:space="0" w:color="auto"/>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0</w:t>
            </w:r>
          </w:p>
        </w:tc>
        <w:tc>
          <w:tcPr>
            <w:tcW w:w="829" w:type="dxa"/>
            <w:tcBorders>
              <w:top w:val="nil"/>
              <w:left w:val="nil"/>
              <w:bottom w:val="single" w:sz="8" w:space="0" w:color="auto"/>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3</w:t>
            </w:r>
          </w:p>
        </w:tc>
        <w:tc>
          <w:tcPr>
            <w:tcW w:w="1168" w:type="dxa"/>
            <w:tcBorders>
              <w:top w:val="nil"/>
              <w:left w:val="nil"/>
              <w:bottom w:val="single" w:sz="8" w:space="0" w:color="auto"/>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0,19</w:t>
            </w:r>
          </w:p>
        </w:tc>
        <w:tc>
          <w:tcPr>
            <w:tcW w:w="816" w:type="dxa"/>
            <w:tcBorders>
              <w:top w:val="nil"/>
              <w:left w:val="nil"/>
              <w:bottom w:val="single" w:sz="8" w:space="0" w:color="auto"/>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0,62</w:t>
            </w:r>
          </w:p>
        </w:tc>
      </w:tr>
    </w:tbl>
    <w:p w:rsidR="00381ABF" w:rsidRPr="00EF60B7" w:rsidRDefault="00381ABF" w:rsidP="008D2DF6">
      <w:pPr>
        <w:spacing w:line="360" w:lineRule="auto"/>
        <w:jc w:val="both"/>
        <w:rPr>
          <w:rFonts w:ascii="Times New Roman" w:hAnsi="Times New Roman" w:cs="Times New Roman"/>
          <w:sz w:val="24"/>
          <w:szCs w:val="24"/>
        </w:rPr>
      </w:pPr>
    </w:p>
    <w:p w:rsidR="00381ABF" w:rsidRPr="00EF60B7" w:rsidRDefault="00381ABF" w:rsidP="008D2DF6">
      <w:pPr>
        <w:spacing w:line="360" w:lineRule="auto"/>
        <w:jc w:val="both"/>
        <w:rPr>
          <w:rFonts w:ascii="Times New Roman" w:hAnsi="Times New Roman" w:cs="Times New Roman"/>
          <w:i/>
          <w:sz w:val="24"/>
          <w:szCs w:val="24"/>
        </w:rPr>
      </w:pPr>
      <w:r w:rsidRPr="00EF60B7">
        <w:rPr>
          <w:rFonts w:ascii="Times New Roman" w:hAnsi="Times New Roman" w:cs="Times New Roman"/>
          <w:i/>
          <w:sz w:val="24"/>
          <w:szCs w:val="24"/>
        </w:rPr>
        <w:t>3.3.2 Studio 2: Partecipanti</w:t>
      </w:r>
    </w:p>
    <w:p w:rsidR="00381ABF" w:rsidRPr="00EF60B7" w:rsidRDefault="00381ABF" w:rsidP="008D2DF6">
      <w:pPr>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 xml:space="preserve">Lo studio 2 è stato condotto su un campione di 125 soggetti, di cui 62 genitori di bambini nati a termine reclutati presso l’Asilo Nido “Giocomondo” e presso la Scuola Materna “De Gasperi” di Palermo e 63 genitori di bambini nati pretermine reclutati presso le Unità Operative di Neonatologia Intensiva, di Ginecologia ed Ostetricia degli Ospedali Riuniti “Cervello-Villa Sofia” della AUSL 6 di Palermo. Il campione di 125 genitori (vedi </w:t>
      </w:r>
      <w:r w:rsidRPr="00EF60B7">
        <w:rPr>
          <w:rFonts w:ascii="Times New Roman" w:hAnsi="Times New Roman" w:cs="Times New Roman"/>
          <w:b/>
          <w:sz w:val="24"/>
          <w:szCs w:val="24"/>
        </w:rPr>
        <w:t>tabella 3</w:t>
      </w:r>
      <w:r w:rsidRPr="00EF60B7">
        <w:rPr>
          <w:rFonts w:ascii="Times New Roman" w:hAnsi="Times New Roman" w:cs="Times New Roman"/>
          <w:sz w:val="24"/>
          <w:szCs w:val="24"/>
        </w:rPr>
        <w:t xml:space="preserve">) ha un’età compresa tra 22 e 64 anni (M = 37.3; DS = 6.43), di questi 51 sono maschi (40.8 %) e 74 femmine (59.2 %), 53 soggetti sono genitori di un figlio (42.4 %), 58 di due figli, 14 soggetti sono genitori di più di due figli (11.2 %). Per quanto attiene al livello scolastico, 26 genitori hanno il diploma di scuola media (20.8 %), 61 il diploma di scuola superiore (48.8 %), 38 sono laureati (30.4 %). Il gruppo di 62 genitori di bambini nati a termine (vedi </w:t>
      </w:r>
      <w:r w:rsidRPr="00EF60B7">
        <w:rPr>
          <w:rFonts w:ascii="Times New Roman" w:hAnsi="Times New Roman" w:cs="Times New Roman"/>
          <w:b/>
          <w:sz w:val="24"/>
          <w:szCs w:val="24"/>
        </w:rPr>
        <w:t>tabella 4 a</w:t>
      </w:r>
      <w:r w:rsidRPr="00EF60B7">
        <w:rPr>
          <w:rFonts w:ascii="Times New Roman" w:hAnsi="Times New Roman" w:cs="Times New Roman"/>
          <w:sz w:val="24"/>
          <w:szCs w:val="24"/>
        </w:rPr>
        <w:t xml:space="preserve">) ha un’età compresa tra i 31 e 64 anni M = 40.80, DS = 5.53), 28 sono maschi (45.2 %) e 34 femmine (54.8 %); di questi 21 soggetti con un figlio (33.9 %), 35 soggetti con due figli (56.5 %) e 6 soggetti con più di due figli (9.7 %). Tutti i genitori partecipanti si recano a scuola a prendere o a lasciare i figli.  </w:t>
      </w:r>
    </w:p>
    <w:p w:rsidR="00381ABF" w:rsidRPr="00EF60B7" w:rsidRDefault="00381ABF" w:rsidP="008D2DF6">
      <w:pPr>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 xml:space="preserve">Il gruppo di 63 genitori di bambini nati pretermine (vedi </w:t>
      </w:r>
      <w:r w:rsidRPr="00EF60B7">
        <w:rPr>
          <w:rFonts w:ascii="Times New Roman" w:hAnsi="Times New Roman" w:cs="Times New Roman"/>
          <w:b/>
          <w:sz w:val="24"/>
          <w:szCs w:val="24"/>
        </w:rPr>
        <w:t>tabella 4 b</w:t>
      </w:r>
      <w:r w:rsidRPr="00EF60B7">
        <w:rPr>
          <w:rFonts w:ascii="Times New Roman" w:hAnsi="Times New Roman" w:cs="Times New Roman"/>
          <w:sz w:val="24"/>
          <w:szCs w:val="24"/>
        </w:rPr>
        <w:t xml:space="preserve">), ha un’età compresa tra 22 e 49 anni (M = 34; SD = 5.40), 23 sono maschi (36.5  %) e 40 femmine (63.5 %); di questi 32 soggetti con un figlio (50.8 %), 23 soggetti con due figli (36.5 %) e 8 soggetti con più di due figli (12.7 %) . Tutti i partecipanti sono genitori di bambini nati pretermine, che si recano al servizio ambulatoriale, </w:t>
      </w:r>
      <w:r w:rsidRPr="00EF60B7">
        <w:rPr>
          <w:rFonts w:ascii="Times New Roman" w:hAnsi="Times New Roman" w:cs="Times New Roman"/>
          <w:sz w:val="24"/>
          <w:szCs w:val="24"/>
        </w:rPr>
        <w:lastRenderedPageBreak/>
        <w:t>presso le unità operative di neonatologia infantile, ginecologia e ostetricia degli Ospedali Riuniti “Cervello-Villa Sofia” della AUSL 6 di Palermo, per le visite di controllo dei figli entro un anno dalla data di dimissione degli stessi.</w:t>
      </w:r>
    </w:p>
    <w:tbl>
      <w:tblPr>
        <w:tblW w:w="7154" w:type="dxa"/>
        <w:tblInd w:w="55" w:type="dxa"/>
        <w:tblCellMar>
          <w:left w:w="70" w:type="dxa"/>
          <w:right w:w="70" w:type="dxa"/>
        </w:tblCellMar>
        <w:tblLook w:val="04A0"/>
      </w:tblPr>
      <w:tblGrid>
        <w:gridCol w:w="1625"/>
        <w:gridCol w:w="1994"/>
        <w:gridCol w:w="1320"/>
        <w:gridCol w:w="1520"/>
        <w:gridCol w:w="960"/>
      </w:tblGrid>
      <w:tr w:rsidR="00381ABF" w:rsidRPr="00EF60B7" w:rsidTr="00D564CF">
        <w:trPr>
          <w:trHeight w:val="300"/>
        </w:trPr>
        <w:tc>
          <w:tcPr>
            <w:tcW w:w="3354" w:type="dxa"/>
            <w:gridSpan w:val="2"/>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i/>
                <w:iCs/>
                <w:color w:val="000000"/>
                <w:sz w:val="24"/>
                <w:szCs w:val="24"/>
                <w:lang w:eastAsia="it-IT"/>
              </w:rPr>
            </w:pPr>
            <w:r w:rsidRPr="00EF60B7">
              <w:rPr>
                <w:rFonts w:ascii="Times New Roman" w:eastAsia="Times New Roman" w:hAnsi="Times New Roman" w:cs="Times New Roman"/>
                <w:i/>
                <w:iCs/>
                <w:color w:val="000000"/>
                <w:sz w:val="24"/>
                <w:szCs w:val="24"/>
                <w:lang w:eastAsia="it-IT"/>
              </w:rPr>
              <w:t>Tabella 3. Statistiche descrittive.</w:t>
            </w:r>
          </w:p>
        </w:tc>
        <w:tc>
          <w:tcPr>
            <w:tcW w:w="1320"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1520"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960"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r>
      <w:tr w:rsidR="00381ABF" w:rsidRPr="00EF60B7" w:rsidTr="00D564CF">
        <w:trPr>
          <w:trHeight w:val="300"/>
        </w:trPr>
        <w:tc>
          <w:tcPr>
            <w:tcW w:w="7154" w:type="dxa"/>
            <w:gridSpan w:val="5"/>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i/>
                <w:iCs/>
                <w:color w:val="000000"/>
                <w:sz w:val="24"/>
                <w:szCs w:val="24"/>
                <w:lang w:eastAsia="it-IT"/>
              </w:rPr>
            </w:pPr>
            <w:r w:rsidRPr="00EF60B7">
              <w:rPr>
                <w:rFonts w:ascii="Times New Roman" w:eastAsia="Times New Roman" w:hAnsi="Times New Roman" w:cs="Times New Roman"/>
                <w:i/>
                <w:iCs/>
                <w:color w:val="000000"/>
                <w:sz w:val="24"/>
                <w:szCs w:val="24"/>
                <w:lang w:eastAsia="it-IT"/>
              </w:rPr>
              <w:t>Genitori con figli nati a termine e genitori con figli nati pretermine</w:t>
            </w:r>
          </w:p>
        </w:tc>
      </w:tr>
      <w:tr w:rsidR="00381ABF" w:rsidRPr="00EF60B7" w:rsidTr="00D564CF">
        <w:trPr>
          <w:trHeight w:val="300"/>
        </w:trPr>
        <w:tc>
          <w:tcPr>
            <w:tcW w:w="1625" w:type="dxa"/>
            <w:tcBorders>
              <w:top w:val="single" w:sz="4" w:space="0" w:color="auto"/>
              <w:left w:val="nil"/>
              <w:bottom w:val="single" w:sz="4" w:space="0" w:color="auto"/>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i/>
                <w:iCs/>
                <w:color w:val="000000"/>
                <w:sz w:val="24"/>
                <w:szCs w:val="24"/>
                <w:lang w:eastAsia="it-IT"/>
              </w:rPr>
            </w:pPr>
            <w:r w:rsidRPr="00EF60B7">
              <w:rPr>
                <w:rFonts w:ascii="Times New Roman" w:eastAsia="Times New Roman" w:hAnsi="Times New Roman" w:cs="Times New Roman"/>
                <w:i/>
                <w:iCs/>
                <w:color w:val="000000"/>
                <w:sz w:val="24"/>
                <w:szCs w:val="24"/>
                <w:lang w:eastAsia="it-IT"/>
              </w:rPr>
              <w:t> </w:t>
            </w:r>
          </w:p>
        </w:tc>
        <w:tc>
          <w:tcPr>
            <w:tcW w:w="1729" w:type="dxa"/>
            <w:tcBorders>
              <w:top w:val="single" w:sz="4" w:space="0" w:color="auto"/>
              <w:left w:val="nil"/>
              <w:bottom w:val="single" w:sz="4" w:space="0" w:color="auto"/>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i/>
                <w:iCs/>
                <w:color w:val="000000"/>
                <w:sz w:val="24"/>
                <w:szCs w:val="24"/>
                <w:lang w:eastAsia="it-IT"/>
              </w:rPr>
            </w:pPr>
            <w:r w:rsidRPr="00EF60B7">
              <w:rPr>
                <w:rFonts w:ascii="Times New Roman" w:eastAsia="Times New Roman" w:hAnsi="Times New Roman" w:cs="Times New Roman"/>
                <w:i/>
                <w:iCs/>
                <w:color w:val="000000"/>
                <w:sz w:val="24"/>
                <w:szCs w:val="24"/>
                <w:lang w:eastAsia="it-IT"/>
              </w:rPr>
              <w:t> </w:t>
            </w:r>
          </w:p>
        </w:tc>
        <w:tc>
          <w:tcPr>
            <w:tcW w:w="1320" w:type="dxa"/>
            <w:tcBorders>
              <w:top w:val="single" w:sz="4" w:space="0" w:color="auto"/>
              <w:left w:val="nil"/>
              <w:bottom w:val="single" w:sz="4" w:space="0" w:color="auto"/>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i/>
                <w:iCs/>
                <w:color w:val="000000"/>
                <w:sz w:val="24"/>
                <w:szCs w:val="24"/>
                <w:lang w:eastAsia="it-IT"/>
              </w:rPr>
            </w:pPr>
            <w:r w:rsidRPr="00EF60B7">
              <w:rPr>
                <w:rFonts w:ascii="Times New Roman" w:eastAsia="Times New Roman" w:hAnsi="Times New Roman" w:cs="Times New Roman"/>
                <w:i/>
                <w:iCs/>
                <w:color w:val="000000"/>
                <w:sz w:val="24"/>
                <w:szCs w:val="24"/>
                <w:lang w:eastAsia="it-IT"/>
              </w:rPr>
              <w:t>Frequenze</w:t>
            </w:r>
          </w:p>
        </w:tc>
        <w:tc>
          <w:tcPr>
            <w:tcW w:w="1520" w:type="dxa"/>
            <w:tcBorders>
              <w:top w:val="single" w:sz="4" w:space="0" w:color="auto"/>
              <w:left w:val="nil"/>
              <w:bottom w:val="single" w:sz="4" w:space="0" w:color="auto"/>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i/>
                <w:iCs/>
                <w:color w:val="000000"/>
                <w:sz w:val="24"/>
                <w:szCs w:val="24"/>
                <w:lang w:eastAsia="it-IT"/>
              </w:rPr>
            </w:pPr>
            <w:r w:rsidRPr="00EF60B7">
              <w:rPr>
                <w:rFonts w:ascii="Times New Roman" w:eastAsia="Times New Roman" w:hAnsi="Times New Roman" w:cs="Times New Roman"/>
                <w:i/>
                <w:iCs/>
                <w:color w:val="000000"/>
                <w:sz w:val="24"/>
                <w:szCs w:val="24"/>
                <w:lang w:eastAsia="it-IT"/>
              </w:rPr>
              <w:t>Percentuali</w:t>
            </w:r>
          </w:p>
        </w:tc>
        <w:tc>
          <w:tcPr>
            <w:tcW w:w="960"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r>
      <w:tr w:rsidR="00381ABF" w:rsidRPr="00EF60B7" w:rsidTr="00D564CF">
        <w:trPr>
          <w:trHeight w:val="300"/>
        </w:trPr>
        <w:tc>
          <w:tcPr>
            <w:tcW w:w="1625"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Genere</w:t>
            </w:r>
          </w:p>
        </w:tc>
        <w:tc>
          <w:tcPr>
            <w:tcW w:w="1729"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Maschi</w:t>
            </w:r>
          </w:p>
        </w:tc>
        <w:tc>
          <w:tcPr>
            <w:tcW w:w="1320"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51</w:t>
            </w:r>
          </w:p>
        </w:tc>
        <w:tc>
          <w:tcPr>
            <w:tcW w:w="1520"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40,8</w:t>
            </w:r>
          </w:p>
        </w:tc>
        <w:tc>
          <w:tcPr>
            <w:tcW w:w="960"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r>
      <w:tr w:rsidR="00381ABF" w:rsidRPr="00EF60B7" w:rsidTr="00D564CF">
        <w:trPr>
          <w:trHeight w:val="300"/>
        </w:trPr>
        <w:tc>
          <w:tcPr>
            <w:tcW w:w="1625"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1729"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Femmine</w:t>
            </w:r>
          </w:p>
        </w:tc>
        <w:tc>
          <w:tcPr>
            <w:tcW w:w="1320"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74</w:t>
            </w:r>
          </w:p>
        </w:tc>
        <w:tc>
          <w:tcPr>
            <w:tcW w:w="1520"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59,2</w:t>
            </w:r>
          </w:p>
        </w:tc>
        <w:tc>
          <w:tcPr>
            <w:tcW w:w="960"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r>
      <w:tr w:rsidR="00381ABF" w:rsidRPr="00EF60B7" w:rsidTr="00D564CF">
        <w:trPr>
          <w:trHeight w:val="300"/>
        </w:trPr>
        <w:tc>
          <w:tcPr>
            <w:tcW w:w="1625"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1729"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1320"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1520"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960"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r>
      <w:tr w:rsidR="00381ABF" w:rsidRPr="00EF60B7" w:rsidTr="00D564CF">
        <w:trPr>
          <w:trHeight w:val="300"/>
        </w:trPr>
        <w:tc>
          <w:tcPr>
            <w:tcW w:w="1625"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Stato Civile</w:t>
            </w:r>
          </w:p>
        </w:tc>
        <w:tc>
          <w:tcPr>
            <w:tcW w:w="1729"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Celibe/Nubile</w:t>
            </w:r>
          </w:p>
        </w:tc>
        <w:tc>
          <w:tcPr>
            <w:tcW w:w="1320"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3</w:t>
            </w:r>
          </w:p>
        </w:tc>
        <w:tc>
          <w:tcPr>
            <w:tcW w:w="1520"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2,4</w:t>
            </w:r>
          </w:p>
        </w:tc>
        <w:tc>
          <w:tcPr>
            <w:tcW w:w="960"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r>
      <w:tr w:rsidR="00381ABF" w:rsidRPr="00EF60B7" w:rsidTr="00D564CF">
        <w:trPr>
          <w:trHeight w:val="300"/>
        </w:trPr>
        <w:tc>
          <w:tcPr>
            <w:tcW w:w="1625"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1729"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Sposato/Divorziato</w:t>
            </w:r>
          </w:p>
        </w:tc>
        <w:tc>
          <w:tcPr>
            <w:tcW w:w="1320"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122</w:t>
            </w:r>
          </w:p>
        </w:tc>
        <w:tc>
          <w:tcPr>
            <w:tcW w:w="1520"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97,6</w:t>
            </w:r>
          </w:p>
        </w:tc>
        <w:tc>
          <w:tcPr>
            <w:tcW w:w="960"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r>
      <w:tr w:rsidR="00381ABF" w:rsidRPr="00EF60B7" w:rsidTr="00D564CF">
        <w:trPr>
          <w:trHeight w:val="300"/>
        </w:trPr>
        <w:tc>
          <w:tcPr>
            <w:tcW w:w="1625"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1729"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1320"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1520"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960"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r>
      <w:tr w:rsidR="00381ABF" w:rsidRPr="00EF60B7" w:rsidTr="00D564CF">
        <w:trPr>
          <w:trHeight w:val="300"/>
        </w:trPr>
        <w:tc>
          <w:tcPr>
            <w:tcW w:w="1625"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Numero Figli</w:t>
            </w:r>
          </w:p>
        </w:tc>
        <w:tc>
          <w:tcPr>
            <w:tcW w:w="1729"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Uno</w:t>
            </w:r>
          </w:p>
        </w:tc>
        <w:tc>
          <w:tcPr>
            <w:tcW w:w="1320"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53</w:t>
            </w:r>
          </w:p>
        </w:tc>
        <w:tc>
          <w:tcPr>
            <w:tcW w:w="1520"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42,4</w:t>
            </w:r>
          </w:p>
        </w:tc>
        <w:tc>
          <w:tcPr>
            <w:tcW w:w="960"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r>
      <w:tr w:rsidR="00381ABF" w:rsidRPr="00EF60B7" w:rsidTr="00D564CF">
        <w:trPr>
          <w:trHeight w:val="300"/>
        </w:trPr>
        <w:tc>
          <w:tcPr>
            <w:tcW w:w="1625"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1729"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Due</w:t>
            </w:r>
          </w:p>
        </w:tc>
        <w:tc>
          <w:tcPr>
            <w:tcW w:w="1320"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58</w:t>
            </w:r>
          </w:p>
        </w:tc>
        <w:tc>
          <w:tcPr>
            <w:tcW w:w="1520"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46,4</w:t>
            </w:r>
          </w:p>
        </w:tc>
        <w:tc>
          <w:tcPr>
            <w:tcW w:w="960"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r>
      <w:tr w:rsidR="00381ABF" w:rsidRPr="00EF60B7" w:rsidTr="00D564CF">
        <w:trPr>
          <w:trHeight w:val="300"/>
        </w:trPr>
        <w:tc>
          <w:tcPr>
            <w:tcW w:w="1625"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1729"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Più di due</w:t>
            </w:r>
          </w:p>
        </w:tc>
        <w:tc>
          <w:tcPr>
            <w:tcW w:w="1320"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14</w:t>
            </w:r>
          </w:p>
        </w:tc>
        <w:tc>
          <w:tcPr>
            <w:tcW w:w="1520"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11,2</w:t>
            </w:r>
          </w:p>
        </w:tc>
        <w:tc>
          <w:tcPr>
            <w:tcW w:w="960"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r>
      <w:tr w:rsidR="00381ABF" w:rsidRPr="00EF60B7" w:rsidTr="00D564CF">
        <w:trPr>
          <w:trHeight w:val="300"/>
        </w:trPr>
        <w:tc>
          <w:tcPr>
            <w:tcW w:w="1625"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1729"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1320"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1520"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960"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r>
      <w:tr w:rsidR="00381ABF" w:rsidRPr="00EF60B7" w:rsidTr="00D564CF">
        <w:trPr>
          <w:trHeight w:val="300"/>
        </w:trPr>
        <w:tc>
          <w:tcPr>
            <w:tcW w:w="1625"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Livello Scolastico</w:t>
            </w:r>
          </w:p>
        </w:tc>
        <w:tc>
          <w:tcPr>
            <w:tcW w:w="1729"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Scuola media</w:t>
            </w:r>
          </w:p>
        </w:tc>
        <w:tc>
          <w:tcPr>
            <w:tcW w:w="1320"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26</w:t>
            </w:r>
          </w:p>
        </w:tc>
        <w:tc>
          <w:tcPr>
            <w:tcW w:w="1520"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20,8</w:t>
            </w:r>
          </w:p>
        </w:tc>
        <w:tc>
          <w:tcPr>
            <w:tcW w:w="960"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r>
      <w:tr w:rsidR="00381ABF" w:rsidRPr="00EF60B7" w:rsidTr="00D564CF">
        <w:trPr>
          <w:trHeight w:val="300"/>
        </w:trPr>
        <w:tc>
          <w:tcPr>
            <w:tcW w:w="1625"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1729"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Liceo</w:t>
            </w:r>
          </w:p>
        </w:tc>
        <w:tc>
          <w:tcPr>
            <w:tcW w:w="1320"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61</w:t>
            </w:r>
          </w:p>
        </w:tc>
        <w:tc>
          <w:tcPr>
            <w:tcW w:w="1520"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48,8</w:t>
            </w:r>
          </w:p>
        </w:tc>
        <w:tc>
          <w:tcPr>
            <w:tcW w:w="960"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r>
      <w:tr w:rsidR="00381ABF" w:rsidRPr="00EF60B7" w:rsidTr="00D564CF">
        <w:trPr>
          <w:trHeight w:val="300"/>
        </w:trPr>
        <w:tc>
          <w:tcPr>
            <w:tcW w:w="1625"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1729"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Laurea Triennale</w:t>
            </w:r>
          </w:p>
        </w:tc>
        <w:tc>
          <w:tcPr>
            <w:tcW w:w="1320"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5</w:t>
            </w:r>
          </w:p>
        </w:tc>
        <w:tc>
          <w:tcPr>
            <w:tcW w:w="1520"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4</w:t>
            </w:r>
          </w:p>
        </w:tc>
        <w:tc>
          <w:tcPr>
            <w:tcW w:w="960"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r>
      <w:tr w:rsidR="00381ABF" w:rsidRPr="00EF60B7" w:rsidTr="00D564CF">
        <w:trPr>
          <w:trHeight w:val="300"/>
        </w:trPr>
        <w:tc>
          <w:tcPr>
            <w:tcW w:w="1625"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1729"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Laurea Magistrale</w:t>
            </w:r>
          </w:p>
        </w:tc>
        <w:tc>
          <w:tcPr>
            <w:tcW w:w="1320"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33</w:t>
            </w:r>
          </w:p>
        </w:tc>
        <w:tc>
          <w:tcPr>
            <w:tcW w:w="1520"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26,4</w:t>
            </w:r>
          </w:p>
        </w:tc>
        <w:tc>
          <w:tcPr>
            <w:tcW w:w="960"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r>
      <w:tr w:rsidR="00381ABF" w:rsidRPr="00EF60B7" w:rsidTr="00D564CF">
        <w:trPr>
          <w:trHeight w:val="300"/>
        </w:trPr>
        <w:tc>
          <w:tcPr>
            <w:tcW w:w="1625" w:type="dxa"/>
            <w:tcBorders>
              <w:top w:val="nil"/>
              <w:left w:val="nil"/>
              <w:bottom w:val="single" w:sz="4" w:space="0" w:color="auto"/>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 </w:t>
            </w:r>
          </w:p>
        </w:tc>
        <w:tc>
          <w:tcPr>
            <w:tcW w:w="1729" w:type="dxa"/>
            <w:tcBorders>
              <w:top w:val="nil"/>
              <w:left w:val="nil"/>
              <w:bottom w:val="single" w:sz="4" w:space="0" w:color="auto"/>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Totale</w:t>
            </w:r>
          </w:p>
        </w:tc>
        <w:tc>
          <w:tcPr>
            <w:tcW w:w="1320" w:type="dxa"/>
            <w:tcBorders>
              <w:top w:val="nil"/>
              <w:left w:val="nil"/>
              <w:bottom w:val="single" w:sz="4" w:space="0" w:color="auto"/>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125</w:t>
            </w:r>
          </w:p>
        </w:tc>
        <w:tc>
          <w:tcPr>
            <w:tcW w:w="1520" w:type="dxa"/>
            <w:tcBorders>
              <w:top w:val="nil"/>
              <w:left w:val="nil"/>
              <w:bottom w:val="single" w:sz="4" w:space="0" w:color="auto"/>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100</w:t>
            </w:r>
          </w:p>
        </w:tc>
        <w:tc>
          <w:tcPr>
            <w:tcW w:w="960"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r>
    </w:tbl>
    <w:p w:rsidR="005E716B" w:rsidRDefault="005E716B" w:rsidP="008D2DF6">
      <w:pPr>
        <w:spacing w:line="360" w:lineRule="auto"/>
        <w:jc w:val="both"/>
        <w:rPr>
          <w:rFonts w:ascii="Times New Roman" w:hAnsi="Times New Roman" w:cs="Times New Roman"/>
          <w:sz w:val="24"/>
          <w:szCs w:val="24"/>
        </w:rPr>
      </w:pPr>
    </w:p>
    <w:p w:rsidR="005E716B" w:rsidRDefault="005E716B" w:rsidP="008D2DF6">
      <w:pPr>
        <w:spacing w:line="360" w:lineRule="auto"/>
        <w:jc w:val="both"/>
        <w:rPr>
          <w:rFonts w:ascii="Times New Roman" w:hAnsi="Times New Roman" w:cs="Times New Roman"/>
          <w:sz w:val="24"/>
          <w:szCs w:val="24"/>
        </w:rPr>
      </w:pPr>
    </w:p>
    <w:p w:rsidR="005E716B" w:rsidRDefault="005E716B" w:rsidP="008D2DF6">
      <w:pPr>
        <w:spacing w:line="360" w:lineRule="auto"/>
        <w:jc w:val="both"/>
        <w:rPr>
          <w:rFonts w:ascii="Times New Roman" w:hAnsi="Times New Roman" w:cs="Times New Roman"/>
          <w:sz w:val="24"/>
          <w:szCs w:val="24"/>
        </w:rPr>
      </w:pPr>
    </w:p>
    <w:p w:rsidR="005E716B" w:rsidRPr="00EF60B7" w:rsidRDefault="005E716B" w:rsidP="008D2DF6">
      <w:pPr>
        <w:spacing w:line="360" w:lineRule="auto"/>
        <w:jc w:val="both"/>
        <w:rPr>
          <w:rFonts w:ascii="Times New Roman" w:hAnsi="Times New Roman" w:cs="Times New Roman"/>
          <w:sz w:val="24"/>
          <w:szCs w:val="24"/>
        </w:rPr>
      </w:pPr>
    </w:p>
    <w:tbl>
      <w:tblPr>
        <w:tblW w:w="6880" w:type="dxa"/>
        <w:tblInd w:w="55" w:type="dxa"/>
        <w:tblCellMar>
          <w:left w:w="70" w:type="dxa"/>
          <w:right w:w="70" w:type="dxa"/>
        </w:tblCellMar>
        <w:tblLook w:val="04A0"/>
      </w:tblPr>
      <w:tblGrid>
        <w:gridCol w:w="2083"/>
        <w:gridCol w:w="2217"/>
        <w:gridCol w:w="1229"/>
        <w:gridCol w:w="1354"/>
      </w:tblGrid>
      <w:tr w:rsidR="00381ABF" w:rsidRPr="00EF60B7" w:rsidTr="00D564CF">
        <w:trPr>
          <w:trHeight w:val="330"/>
        </w:trPr>
        <w:tc>
          <w:tcPr>
            <w:tcW w:w="6880" w:type="dxa"/>
            <w:gridSpan w:val="4"/>
            <w:tcBorders>
              <w:top w:val="nil"/>
              <w:left w:val="nil"/>
              <w:bottom w:val="single" w:sz="8" w:space="0" w:color="auto"/>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i/>
                <w:iCs/>
                <w:color w:val="000000"/>
                <w:sz w:val="24"/>
                <w:szCs w:val="24"/>
                <w:lang w:eastAsia="it-IT"/>
              </w:rPr>
            </w:pPr>
            <w:r w:rsidRPr="00EF60B7">
              <w:rPr>
                <w:rFonts w:ascii="Times New Roman" w:eastAsia="Times New Roman" w:hAnsi="Times New Roman" w:cs="Times New Roman"/>
                <w:i/>
                <w:iCs/>
                <w:color w:val="000000"/>
                <w:sz w:val="24"/>
                <w:szCs w:val="24"/>
                <w:lang w:eastAsia="it-IT"/>
              </w:rPr>
              <w:t>Tabella 4 a. Statistiche descrittive. Genitori con figli nati a termine</w:t>
            </w:r>
          </w:p>
        </w:tc>
      </w:tr>
      <w:tr w:rsidR="00381ABF" w:rsidRPr="00EF60B7" w:rsidTr="00D564CF">
        <w:trPr>
          <w:trHeight w:val="315"/>
        </w:trPr>
        <w:tc>
          <w:tcPr>
            <w:tcW w:w="2082" w:type="dxa"/>
            <w:tcBorders>
              <w:top w:val="single" w:sz="8" w:space="0" w:color="auto"/>
              <w:left w:val="nil"/>
              <w:bottom w:val="single" w:sz="8" w:space="0" w:color="auto"/>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i/>
                <w:iCs/>
                <w:color w:val="000000"/>
                <w:sz w:val="24"/>
                <w:szCs w:val="24"/>
                <w:lang w:eastAsia="it-IT"/>
              </w:rPr>
            </w:pPr>
            <w:r w:rsidRPr="00EF60B7">
              <w:rPr>
                <w:rFonts w:ascii="Times New Roman" w:eastAsia="Times New Roman" w:hAnsi="Times New Roman" w:cs="Times New Roman"/>
                <w:i/>
                <w:iCs/>
                <w:color w:val="000000"/>
                <w:sz w:val="24"/>
                <w:szCs w:val="24"/>
                <w:lang w:eastAsia="it-IT"/>
              </w:rPr>
              <w:t> </w:t>
            </w:r>
          </w:p>
        </w:tc>
        <w:tc>
          <w:tcPr>
            <w:tcW w:w="2215" w:type="dxa"/>
            <w:tcBorders>
              <w:top w:val="single" w:sz="8" w:space="0" w:color="auto"/>
              <w:left w:val="nil"/>
              <w:bottom w:val="single" w:sz="8" w:space="0" w:color="auto"/>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i/>
                <w:iCs/>
                <w:color w:val="000000"/>
                <w:sz w:val="24"/>
                <w:szCs w:val="24"/>
                <w:lang w:eastAsia="it-IT"/>
              </w:rPr>
            </w:pPr>
            <w:r w:rsidRPr="00EF60B7">
              <w:rPr>
                <w:rFonts w:ascii="Times New Roman" w:eastAsia="Times New Roman" w:hAnsi="Times New Roman" w:cs="Times New Roman"/>
                <w:i/>
                <w:iCs/>
                <w:color w:val="000000"/>
                <w:sz w:val="24"/>
                <w:szCs w:val="24"/>
                <w:lang w:eastAsia="it-IT"/>
              </w:rPr>
              <w:t> </w:t>
            </w:r>
          </w:p>
        </w:tc>
        <w:tc>
          <w:tcPr>
            <w:tcW w:w="1229" w:type="dxa"/>
            <w:tcBorders>
              <w:top w:val="single" w:sz="8" w:space="0" w:color="auto"/>
              <w:left w:val="nil"/>
              <w:bottom w:val="single" w:sz="8" w:space="0" w:color="auto"/>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i/>
                <w:iCs/>
                <w:color w:val="000000"/>
                <w:sz w:val="24"/>
                <w:szCs w:val="24"/>
                <w:lang w:eastAsia="it-IT"/>
              </w:rPr>
            </w:pPr>
            <w:r w:rsidRPr="00EF60B7">
              <w:rPr>
                <w:rFonts w:ascii="Times New Roman" w:eastAsia="Times New Roman" w:hAnsi="Times New Roman" w:cs="Times New Roman"/>
                <w:i/>
                <w:iCs/>
                <w:color w:val="000000"/>
                <w:sz w:val="24"/>
                <w:szCs w:val="24"/>
                <w:lang w:eastAsia="it-IT"/>
              </w:rPr>
              <w:t>Frequenze</w:t>
            </w:r>
          </w:p>
        </w:tc>
        <w:tc>
          <w:tcPr>
            <w:tcW w:w="1354" w:type="dxa"/>
            <w:tcBorders>
              <w:top w:val="single" w:sz="8" w:space="0" w:color="auto"/>
              <w:left w:val="nil"/>
              <w:bottom w:val="single" w:sz="8" w:space="0" w:color="auto"/>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i/>
                <w:iCs/>
                <w:color w:val="000000"/>
                <w:sz w:val="24"/>
                <w:szCs w:val="24"/>
                <w:lang w:eastAsia="it-IT"/>
              </w:rPr>
            </w:pPr>
            <w:r w:rsidRPr="00EF60B7">
              <w:rPr>
                <w:rFonts w:ascii="Times New Roman" w:eastAsia="Times New Roman" w:hAnsi="Times New Roman" w:cs="Times New Roman"/>
                <w:i/>
                <w:iCs/>
                <w:color w:val="000000"/>
                <w:sz w:val="24"/>
                <w:szCs w:val="24"/>
                <w:lang w:eastAsia="it-IT"/>
              </w:rPr>
              <w:t>Percentuali</w:t>
            </w:r>
          </w:p>
        </w:tc>
      </w:tr>
      <w:tr w:rsidR="00381ABF" w:rsidRPr="00EF60B7" w:rsidTr="00D564CF">
        <w:trPr>
          <w:trHeight w:val="300"/>
        </w:trPr>
        <w:tc>
          <w:tcPr>
            <w:tcW w:w="2082"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Genere</w:t>
            </w:r>
          </w:p>
        </w:tc>
        <w:tc>
          <w:tcPr>
            <w:tcW w:w="2215"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Maschi</w:t>
            </w:r>
          </w:p>
        </w:tc>
        <w:tc>
          <w:tcPr>
            <w:tcW w:w="1229"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28</w:t>
            </w:r>
          </w:p>
        </w:tc>
        <w:tc>
          <w:tcPr>
            <w:tcW w:w="1354"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45,16</w:t>
            </w:r>
          </w:p>
        </w:tc>
      </w:tr>
      <w:tr w:rsidR="00381ABF" w:rsidRPr="00EF60B7" w:rsidTr="00D564CF">
        <w:trPr>
          <w:trHeight w:val="300"/>
        </w:trPr>
        <w:tc>
          <w:tcPr>
            <w:tcW w:w="2082"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2215"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Femmine</w:t>
            </w:r>
          </w:p>
        </w:tc>
        <w:tc>
          <w:tcPr>
            <w:tcW w:w="1229"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34</w:t>
            </w:r>
          </w:p>
        </w:tc>
        <w:tc>
          <w:tcPr>
            <w:tcW w:w="1354"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54,84</w:t>
            </w:r>
          </w:p>
        </w:tc>
      </w:tr>
      <w:tr w:rsidR="00381ABF" w:rsidRPr="00EF60B7" w:rsidTr="00D564CF">
        <w:trPr>
          <w:trHeight w:val="300"/>
        </w:trPr>
        <w:tc>
          <w:tcPr>
            <w:tcW w:w="2082"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2215"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1229"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1354"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r>
      <w:tr w:rsidR="00381ABF" w:rsidRPr="00EF60B7" w:rsidTr="00D564CF">
        <w:trPr>
          <w:trHeight w:val="300"/>
        </w:trPr>
        <w:tc>
          <w:tcPr>
            <w:tcW w:w="2082"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Livello Scolastico</w:t>
            </w:r>
          </w:p>
        </w:tc>
        <w:tc>
          <w:tcPr>
            <w:tcW w:w="2215"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Scuola media</w:t>
            </w:r>
          </w:p>
        </w:tc>
        <w:tc>
          <w:tcPr>
            <w:tcW w:w="1229"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4</w:t>
            </w:r>
          </w:p>
        </w:tc>
        <w:tc>
          <w:tcPr>
            <w:tcW w:w="1354"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6,45</w:t>
            </w:r>
          </w:p>
        </w:tc>
      </w:tr>
      <w:tr w:rsidR="00381ABF" w:rsidRPr="00EF60B7" w:rsidTr="00D564CF">
        <w:trPr>
          <w:trHeight w:val="300"/>
        </w:trPr>
        <w:tc>
          <w:tcPr>
            <w:tcW w:w="2082"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2215"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Liceo</w:t>
            </w:r>
          </w:p>
        </w:tc>
        <w:tc>
          <w:tcPr>
            <w:tcW w:w="1229"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31</w:t>
            </w:r>
          </w:p>
        </w:tc>
        <w:tc>
          <w:tcPr>
            <w:tcW w:w="1354"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50</w:t>
            </w:r>
          </w:p>
        </w:tc>
      </w:tr>
      <w:tr w:rsidR="00381ABF" w:rsidRPr="00EF60B7" w:rsidTr="00D564CF">
        <w:trPr>
          <w:trHeight w:val="300"/>
        </w:trPr>
        <w:tc>
          <w:tcPr>
            <w:tcW w:w="2082"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2215"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Laurea Triennale</w:t>
            </w:r>
          </w:p>
        </w:tc>
        <w:tc>
          <w:tcPr>
            <w:tcW w:w="1229"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4</w:t>
            </w:r>
          </w:p>
        </w:tc>
        <w:tc>
          <w:tcPr>
            <w:tcW w:w="1354"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6,45</w:t>
            </w:r>
          </w:p>
        </w:tc>
      </w:tr>
      <w:tr w:rsidR="00381ABF" w:rsidRPr="00EF60B7" w:rsidTr="00D564CF">
        <w:trPr>
          <w:trHeight w:val="300"/>
        </w:trPr>
        <w:tc>
          <w:tcPr>
            <w:tcW w:w="2082"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2215"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Laurea Magistrale</w:t>
            </w:r>
          </w:p>
        </w:tc>
        <w:tc>
          <w:tcPr>
            <w:tcW w:w="1229"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23</w:t>
            </w:r>
          </w:p>
        </w:tc>
        <w:tc>
          <w:tcPr>
            <w:tcW w:w="1354"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37,1</w:t>
            </w:r>
          </w:p>
        </w:tc>
      </w:tr>
      <w:tr w:rsidR="00381ABF" w:rsidRPr="00EF60B7" w:rsidTr="00D564CF">
        <w:trPr>
          <w:trHeight w:val="300"/>
        </w:trPr>
        <w:tc>
          <w:tcPr>
            <w:tcW w:w="2082"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2215"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1229"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1354"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r>
      <w:tr w:rsidR="00381ABF" w:rsidRPr="00EF60B7" w:rsidTr="00D564CF">
        <w:trPr>
          <w:trHeight w:val="300"/>
        </w:trPr>
        <w:tc>
          <w:tcPr>
            <w:tcW w:w="2082"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Stato Civile</w:t>
            </w:r>
          </w:p>
        </w:tc>
        <w:tc>
          <w:tcPr>
            <w:tcW w:w="2215"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Sposato/Divorziato</w:t>
            </w:r>
          </w:p>
        </w:tc>
        <w:tc>
          <w:tcPr>
            <w:tcW w:w="1229"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62</w:t>
            </w:r>
          </w:p>
        </w:tc>
        <w:tc>
          <w:tcPr>
            <w:tcW w:w="1354"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100</w:t>
            </w:r>
          </w:p>
        </w:tc>
      </w:tr>
      <w:tr w:rsidR="00381ABF" w:rsidRPr="00EF60B7" w:rsidTr="00D564CF">
        <w:trPr>
          <w:trHeight w:val="300"/>
        </w:trPr>
        <w:tc>
          <w:tcPr>
            <w:tcW w:w="2082"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2215"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1229"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1354"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r>
      <w:tr w:rsidR="00381ABF" w:rsidRPr="00EF60B7" w:rsidTr="00D564CF">
        <w:trPr>
          <w:trHeight w:val="300"/>
        </w:trPr>
        <w:tc>
          <w:tcPr>
            <w:tcW w:w="2082"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Numero Figli</w:t>
            </w:r>
          </w:p>
        </w:tc>
        <w:tc>
          <w:tcPr>
            <w:tcW w:w="2215"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Uno</w:t>
            </w:r>
          </w:p>
        </w:tc>
        <w:tc>
          <w:tcPr>
            <w:tcW w:w="1229"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21</w:t>
            </w:r>
          </w:p>
        </w:tc>
        <w:tc>
          <w:tcPr>
            <w:tcW w:w="1354"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33,87</w:t>
            </w:r>
          </w:p>
        </w:tc>
      </w:tr>
      <w:tr w:rsidR="00381ABF" w:rsidRPr="00EF60B7" w:rsidTr="00D564CF">
        <w:trPr>
          <w:trHeight w:val="300"/>
        </w:trPr>
        <w:tc>
          <w:tcPr>
            <w:tcW w:w="2082"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2215"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Due</w:t>
            </w:r>
          </w:p>
        </w:tc>
        <w:tc>
          <w:tcPr>
            <w:tcW w:w="1229"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35</w:t>
            </w:r>
          </w:p>
        </w:tc>
        <w:tc>
          <w:tcPr>
            <w:tcW w:w="1354"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56,45</w:t>
            </w:r>
          </w:p>
        </w:tc>
      </w:tr>
      <w:tr w:rsidR="00381ABF" w:rsidRPr="00EF60B7" w:rsidTr="00D564CF">
        <w:trPr>
          <w:trHeight w:val="300"/>
        </w:trPr>
        <w:tc>
          <w:tcPr>
            <w:tcW w:w="2082"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2215"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Più di due</w:t>
            </w:r>
          </w:p>
        </w:tc>
        <w:tc>
          <w:tcPr>
            <w:tcW w:w="1229"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6</w:t>
            </w:r>
          </w:p>
        </w:tc>
        <w:tc>
          <w:tcPr>
            <w:tcW w:w="1354"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9,68</w:t>
            </w:r>
          </w:p>
        </w:tc>
      </w:tr>
      <w:tr w:rsidR="00381ABF" w:rsidRPr="00EF60B7" w:rsidTr="00D564CF">
        <w:trPr>
          <w:trHeight w:val="315"/>
        </w:trPr>
        <w:tc>
          <w:tcPr>
            <w:tcW w:w="2082" w:type="dxa"/>
            <w:tcBorders>
              <w:top w:val="nil"/>
              <w:left w:val="nil"/>
              <w:bottom w:val="single" w:sz="8" w:space="0" w:color="auto"/>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 </w:t>
            </w:r>
          </w:p>
        </w:tc>
        <w:tc>
          <w:tcPr>
            <w:tcW w:w="2215" w:type="dxa"/>
            <w:tcBorders>
              <w:top w:val="nil"/>
              <w:left w:val="nil"/>
              <w:bottom w:val="single" w:sz="8" w:space="0" w:color="auto"/>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Totale</w:t>
            </w:r>
          </w:p>
        </w:tc>
        <w:tc>
          <w:tcPr>
            <w:tcW w:w="1229" w:type="dxa"/>
            <w:tcBorders>
              <w:top w:val="nil"/>
              <w:left w:val="nil"/>
              <w:bottom w:val="single" w:sz="8" w:space="0" w:color="auto"/>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62</w:t>
            </w:r>
          </w:p>
        </w:tc>
        <w:tc>
          <w:tcPr>
            <w:tcW w:w="1354" w:type="dxa"/>
            <w:tcBorders>
              <w:top w:val="nil"/>
              <w:left w:val="nil"/>
              <w:bottom w:val="single" w:sz="8" w:space="0" w:color="auto"/>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100</w:t>
            </w:r>
          </w:p>
        </w:tc>
      </w:tr>
      <w:tr w:rsidR="00381ABF" w:rsidRPr="00EF60B7" w:rsidTr="00D564CF">
        <w:trPr>
          <w:trHeight w:val="330"/>
        </w:trPr>
        <w:tc>
          <w:tcPr>
            <w:tcW w:w="6880" w:type="dxa"/>
            <w:gridSpan w:val="4"/>
            <w:tcBorders>
              <w:top w:val="nil"/>
              <w:left w:val="nil"/>
              <w:bottom w:val="single" w:sz="8" w:space="0" w:color="auto"/>
              <w:right w:val="nil"/>
            </w:tcBorders>
            <w:shd w:val="clear" w:color="auto" w:fill="auto"/>
            <w:noWrap/>
            <w:vAlign w:val="bottom"/>
            <w:hideMark/>
          </w:tcPr>
          <w:p w:rsidR="00381ABF" w:rsidRDefault="00381ABF" w:rsidP="008D2DF6">
            <w:pPr>
              <w:spacing w:line="360" w:lineRule="auto"/>
              <w:jc w:val="both"/>
              <w:rPr>
                <w:rFonts w:ascii="Times New Roman" w:eastAsia="Times New Roman" w:hAnsi="Times New Roman" w:cs="Times New Roman"/>
                <w:i/>
                <w:iCs/>
                <w:color w:val="000000"/>
                <w:sz w:val="24"/>
                <w:szCs w:val="24"/>
                <w:lang w:eastAsia="it-IT"/>
              </w:rPr>
            </w:pPr>
          </w:p>
          <w:p w:rsidR="005E716B" w:rsidRDefault="005E716B" w:rsidP="008D2DF6">
            <w:pPr>
              <w:spacing w:line="360" w:lineRule="auto"/>
              <w:jc w:val="both"/>
              <w:rPr>
                <w:rFonts w:ascii="Times New Roman" w:eastAsia="Times New Roman" w:hAnsi="Times New Roman" w:cs="Times New Roman"/>
                <w:i/>
                <w:iCs/>
                <w:color w:val="000000"/>
                <w:sz w:val="24"/>
                <w:szCs w:val="24"/>
                <w:lang w:eastAsia="it-IT"/>
              </w:rPr>
            </w:pPr>
          </w:p>
          <w:p w:rsidR="005E716B" w:rsidRDefault="005E716B" w:rsidP="008D2DF6">
            <w:pPr>
              <w:spacing w:line="360" w:lineRule="auto"/>
              <w:jc w:val="both"/>
              <w:rPr>
                <w:rFonts w:ascii="Times New Roman" w:eastAsia="Times New Roman" w:hAnsi="Times New Roman" w:cs="Times New Roman"/>
                <w:i/>
                <w:iCs/>
                <w:color w:val="000000"/>
                <w:sz w:val="24"/>
                <w:szCs w:val="24"/>
                <w:lang w:eastAsia="it-IT"/>
              </w:rPr>
            </w:pPr>
          </w:p>
          <w:p w:rsidR="005E716B" w:rsidRDefault="005E716B" w:rsidP="008D2DF6">
            <w:pPr>
              <w:spacing w:line="360" w:lineRule="auto"/>
              <w:jc w:val="both"/>
              <w:rPr>
                <w:rFonts w:ascii="Times New Roman" w:eastAsia="Times New Roman" w:hAnsi="Times New Roman" w:cs="Times New Roman"/>
                <w:i/>
                <w:iCs/>
                <w:color w:val="000000"/>
                <w:sz w:val="24"/>
                <w:szCs w:val="24"/>
                <w:lang w:eastAsia="it-IT"/>
              </w:rPr>
            </w:pPr>
          </w:p>
          <w:p w:rsidR="005E716B" w:rsidRDefault="005E716B" w:rsidP="008D2DF6">
            <w:pPr>
              <w:spacing w:line="360" w:lineRule="auto"/>
              <w:jc w:val="both"/>
              <w:rPr>
                <w:rFonts w:ascii="Times New Roman" w:eastAsia="Times New Roman" w:hAnsi="Times New Roman" w:cs="Times New Roman"/>
                <w:i/>
                <w:iCs/>
                <w:color w:val="000000"/>
                <w:sz w:val="24"/>
                <w:szCs w:val="24"/>
                <w:lang w:eastAsia="it-IT"/>
              </w:rPr>
            </w:pPr>
          </w:p>
          <w:p w:rsidR="005E716B" w:rsidRDefault="005E716B" w:rsidP="008D2DF6">
            <w:pPr>
              <w:spacing w:line="360" w:lineRule="auto"/>
              <w:jc w:val="both"/>
              <w:rPr>
                <w:rFonts w:ascii="Times New Roman" w:eastAsia="Times New Roman" w:hAnsi="Times New Roman" w:cs="Times New Roman"/>
                <w:i/>
                <w:iCs/>
                <w:color w:val="000000"/>
                <w:sz w:val="24"/>
                <w:szCs w:val="24"/>
                <w:lang w:eastAsia="it-IT"/>
              </w:rPr>
            </w:pPr>
          </w:p>
          <w:p w:rsidR="005E716B" w:rsidRDefault="005E716B" w:rsidP="008D2DF6">
            <w:pPr>
              <w:spacing w:line="360" w:lineRule="auto"/>
              <w:jc w:val="both"/>
              <w:rPr>
                <w:rFonts w:ascii="Times New Roman" w:eastAsia="Times New Roman" w:hAnsi="Times New Roman" w:cs="Times New Roman"/>
                <w:i/>
                <w:iCs/>
                <w:color w:val="000000"/>
                <w:sz w:val="24"/>
                <w:szCs w:val="24"/>
                <w:lang w:eastAsia="it-IT"/>
              </w:rPr>
            </w:pPr>
          </w:p>
          <w:p w:rsidR="005E716B" w:rsidRPr="00EF60B7" w:rsidRDefault="005E716B" w:rsidP="008D2DF6">
            <w:pPr>
              <w:spacing w:line="360" w:lineRule="auto"/>
              <w:jc w:val="both"/>
              <w:rPr>
                <w:rFonts w:ascii="Times New Roman" w:eastAsia="Times New Roman" w:hAnsi="Times New Roman" w:cs="Times New Roman"/>
                <w:i/>
                <w:iCs/>
                <w:color w:val="000000"/>
                <w:sz w:val="24"/>
                <w:szCs w:val="24"/>
                <w:lang w:eastAsia="it-IT"/>
              </w:rPr>
            </w:pPr>
          </w:p>
          <w:p w:rsidR="00381ABF" w:rsidRPr="00EF60B7" w:rsidRDefault="00381ABF" w:rsidP="008D2DF6">
            <w:pPr>
              <w:spacing w:line="360" w:lineRule="auto"/>
              <w:jc w:val="both"/>
              <w:rPr>
                <w:rFonts w:ascii="Times New Roman" w:eastAsia="Times New Roman" w:hAnsi="Times New Roman" w:cs="Times New Roman"/>
                <w:i/>
                <w:iCs/>
                <w:color w:val="000000"/>
                <w:sz w:val="24"/>
                <w:szCs w:val="24"/>
                <w:lang w:eastAsia="it-IT"/>
              </w:rPr>
            </w:pPr>
            <w:r w:rsidRPr="00EF60B7">
              <w:rPr>
                <w:rFonts w:ascii="Times New Roman" w:eastAsia="Times New Roman" w:hAnsi="Times New Roman" w:cs="Times New Roman"/>
                <w:i/>
                <w:iCs/>
                <w:color w:val="000000"/>
                <w:sz w:val="24"/>
                <w:szCs w:val="24"/>
                <w:lang w:eastAsia="it-IT"/>
              </w:rPr>
              <w:t>Tabella 4b. Statistiche descrittive. Genitori con figli nati pretermine</w:t>
            </w:r>
          </w:p>
        </w:tc>
      </w:tr>
      <w:tr w:rsidR="00381ABF" w:rsidRPr="00EF60B7" w:rsidTr="00D564CF">
        <w:trPr>
          <w:trHeight w:val="330"/>
        </w:trPr>
        <w:tc>
          <w:tcPr>
            <w:tcW w:w="2083" w:type="dxa"/>
            <w:tcBorders>
              <w:top w:val="nil"/>
              <w:left w:val="nil"/>
              <w:bottom w:val="single" w:sz="8" w:space="0" w:color="auto"/>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i/>
                <w:iCs/>
                <w:color w:val="000000"/>
                <w:sz w:val="24"/>
                <w:szCs w:val="24"/>
                <w:lang w:eastAsia="it-IT"/>
              </w:rPr>
            </w:pPr>
            <w:r w:rsidRPr="00EF60B7">
              <w:rPr>
                <w:rFonts w:ascii="Times New Roman" w:eastAsia="Times New Roman" w:hAnsi="Times New Roman" w:cs="Times New Roman"/>
                <w:i/>
                <w:iCs/>
                <w:color w:val="000000"/>
                <w:sz w:val="24"/>
                <w:szCs w:val="24"/>
                <w:lang w:eastAsia="it-IT"/>
              </w:rPr>
              <w:lastRenderedPageBreak/>
              <w:t> </w:t>
            </w:r>
          </w:p>
        </w:tc>
        <w:tc>
          <w:tcPr>
            <w:tcW w:w="2217" w:type="dxa"/>
            <w:tcBorders>
              <w:top w:val="nil"/>
              <w:left w:val="nil"/>
              <w:bottom w:val="single" w:sz="8" w:space="0" w:color="auto"/>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i/>
                <w:iCs/>
                <w:color w:val="000000"/>
                <w:sz w:val="24"/>
                <w:szCs w:val="24"/>
                <w:lang w:eastAsia="it-IT"/>
              </w:rPr>
            </w:pPr>
            <w:r w:rsidRPr="00EF60B7">
              <w:rPr>
                <w:rFonts w:ascii="Times New Roman" w:eastAsia="Times New Roman" w:hAnsi="Times New Roman" w:cs="Times New Roman"/>
                <w:i/>
                <w:iCs/>
                <w:color w:val="000000"/>
                <w:sz w:val="24"/>
                <w:szCs w:val="24"/>
                <w:lang w:eastAsia="it-IT"/>
              </w:rPr>
              <w:t> </w:t>
            </w:r>
          </w:p>
        </w:tc>
        <w:tc>
          <w:tcPr>
            <w:tcW w:w="1227" w:type="dxa"/>
            <w:tcBorders>
              <w:top w:val="nil"/>
              <w:left w:val="nil"/>
              <w:bottom w:val="single" w:sz="8" w:space="0" w:color="auto"/>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i/>
                <w:iCs/>
                <w:color w:val="000000"/>
                <w:sz w:val="24"/>
                <w:szCs w:val="24"/>
                <w:lang w:eastAsia="it-IT"/>
              </w:rPr>
            </w:pPr>
            <w:r w:rsidRPr="00EF60B7">
              <w:rPr>
                <w:rFonts w:ascii="Times New Roman" w:eastAsia="Times New Roman" w:hAnsi="Times New Roman" w:cs="Times New Roman"/>
                <w:i/>
                <w:iCs/>
                <w:color w:val="000000"/>
                <w:sz w:val="24"/>
                <w:szCs w:val="24"/>
                <w:lang w:eastAsia="it-IT"/>
              </w:rPr>
              <w:t>Frequenze</w:t>
            </w:r>
          </w:p>
        </w:tc>
        <w:tc>
          <w:tcPr>
            <w:tcW w:w="1353" w:type="dxa"/>
            <w:tcBorders>
              <w:top w:val="nil"/>
              <w:left w:val="nil"/>
              <w:bottom w:val="single" w:sz="8" w:space="0" w:color="auto"/>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i/>
                <w:iCs/>
                <w:color w:val="000000"/>
                <w:sz w:val="24"/>
                <w:szCs w:val="24"/>
                <w:lang w:eastAsia="it-IT"/>
              </w:rPr>
            </w:pPr>
            <w:r w:rsidRPr="00EF60B7">
              <w:rPr>
                <w:rFonts w:ascii="Times New Roman" w:eastAsia="Times New Roman" w:hAnsi="Times New Roman" w:cs="Times New Roman"/>
                <w:i/>
                <w:iCs/>
                <w:color w:val="000000"/>
                <w:sz w:val="24"/>
                <w:szCs w:val="24"/>
                <w:lang w:eastAsia="it-IT"/>
              </w:rPr>
              <w:t>Percentuali</w:t>
            </w:r>
          </w:p>
        </w:tc>
      </w:tr>
      <w:tr w:rsidR="00381ABF" w:rsidRPr="00EF60B7" w:rsidTr="00D564CF">
        <w:trPr>
          <w:trHeight w:val="315"/>
        </w:trPr>
        <w:tc>
          <w:tcPr>
            <w:tcW w:w="208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Genere</w:t>
            </w:r>
          </w:p>
        </w:tc>
        <w:tc>
          <w:tcPr>
            <w:tcW w:w="221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Maschi</w:t>
            </w:r>
          </w:p>
        </w:tc>
        <w:tc>
          <w:tcPr>
            <w:tcW w:w="122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23</w:t>
            </w:r>
          </w:p>
        </w:tc>
        <w:tc>
          <w:tcPr>
            <w:tcW w:w="135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36,51</w:t>
            </w:r>
          </w:p>
        </w:tc>
      </w:tr>
      <w:tr w:rsidR="00381ABF" w:rsidRPr="00EF60B7" w:rsidTr="00D564CF">
        <w:trPr>
          <w:trHeight w:val="315"/>
        </w:trPr>
        <w:tc>
          <w:tcPr>
            <w:tcW w:w="208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221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Femmine</w:t>
            </w:r>
          </w:p>
        </w:tc>
        <w:tc>
          <w:tcPr>
            <w:tcW w:w="122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40</w:t>
            </w:r>
          </w:p>
        </w:tc>
        <w:tc>
          <w:tcPr>
            <w:tcW w:w="135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63,49</w:t>
            </w:r>
          </w:p>
        </w:tc>
      </w:tr>
      <w:tr w:rsidR="00381ABF" w:rsidRPr="00EF60B7" w:rsidTr="00D564CF">
        <w:trPr>
          <w:trHeight w:val="300"/>
        </w:trPr>
        <w:tc>
          <w:tcPr>
            <w:tcW w:w="208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221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122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135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r>
      <w:tr w:rsidR="00381ABF" w:rsidRPr="00EF60B7" w:rsidTr="00D564CF">
        <w:trPr>
          <w:trHeight w:val="315"/>
        </w:trPr>
        <w:tc>
          <w:tcPr>
            <w:tcW w:w="208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Stato Civile</w:t>
            </w:r>
          </w:p>
        </w:tc>
        <w:tc>
          <w:tcPr>
            <w:tcW w:w="221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Celibe/Nubile</w:t>
            </w:r>
          </w:p>
        </w:tc>
        <w:tc>
          <w:tcPr>
            <w:tcW w:w="122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3</w:t>
            </w:r>
          </w:p>
        </w:tc>
        <w:tc>
          <w:tcPr>
            <w:tcW w:w="135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4,76</w:t>
            </w:r>
          </w:p>
        </w:tc>
      </w:tr>
      <w:tr w:rsidR="00381ABF" w:rsidRPr="00EF60B7" w:rsidTr="00D564CF">
        <w:trPr>
          <w:trHeight w:val="315"/>
        </w:trPr>
        <w:tc>
          <w:tcPr>
            <w:tcW w:w="208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221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Sposato/Divorziato</w:t>
            </w:r>
          </w:p>
        </w:tc>
        <w:tc>
          <w:tcPr>
            <w:tcW w:w="122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60</w:t>
            </w:r>
          </w:p>
        </w:tc>
        <w:tc>
          <w:tcPr>
            <w:tcW w:w="135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95,24</w:t>
            </w:r>
          </w:p>
        </w:tc>
      </w:tr>
      <w:tr w:rsidR="00381ABF" w:rsidRPr="00EF60B7" w:rsidTr="00D564CF">
        <w:trPr>
          <w:trHeight w:val="300"/>
        </w:trPr>
        <w:tc>
          <w:tcPr>
            <w:tcW w:w="208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221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122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135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r>
      <w:tr w:rsidR="00381ABF" w:rsidRPr="00EF60B7" w:rsidTr="00D564CF">
        <w:trPr>
          <w:trHeight w:val="315"/>
        </w:trPr>
        <w:tc>
          <w:tcPr>
            <w:tcW w:w="208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Numero di Figli</w:t>
            </w:r>
          </w:p>
        </w:tc>
        <w:tc>
          <w:tcPr>
            <w:tcW w:w="221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Uno</w:t>
            </w:r>
          </w:p>
        </w:tc>
        <w:tc>
          <w:tcPr>
            <w:tcW w:w="122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32</w:t>
            </w:r>
          </w:p>
        </w:tc>
        <w:tc>
          <w:tcPr>
            <w:tcW w:w="135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50,79</w:t>
            </w:r>
          </w:p>
        </w:tc>
      </w:tr>
      <w:tr w:rsidR="00381ABF" w:rsidRPr="00EF60B7" w:rsidTr="00D564CF">
        <w:trPr>
          <w:trHeight w:val="315"/>
        </w:trPr>
        <w:tc>
          <w:tcPr>
            <w:tcW w:w="208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221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Due</w:t>
            </w:r>
          </w:p>
        </w:tc>
        <w:tc>
          <w:tcPr>
            <w:tcW w:w="122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23</w:t>
            </w:r>
          </w:p>
        </w:tc>
        <w:tc>
          <w:tcPr>
            <w:tcW w:w="135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36,51</w:t>
            </w:r>
          </w:p>
        </w:tc>
      </w:tr>
      <w:tr w:rsidR="00381ABF" w:rsidRPr="00EF60B7" w:rsidTr="00D564CF">
        <w:trPr>
          <w:trHeight w:val="315"/>
        </w:trPr>
        <w:tc>
          <w:tcPr>
            <w:tcW w:w="208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221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Più di due</w:t>
            </w:r>
          </w:p>
        </w:tc>
        <w:tc>
          <w:tcPr>
            <w:tcW w:w="122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8</w:t>
            </w:r>
          </w:p>
        </w:tc>
        <w:tc>
          <w:tcPr>
            <w:tcW w:w="135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12,7</w:t>
            </w:r>
          </w:p>
        </w:tc>
      </w:tr>
      <w:tr w:rsidR="00381ABF" w:rsidRPr="00EF60B7" w:rsidTr="00D564CF">
        <w:trPr>
          <w:trHeight w:val="300"/>
        </w:trPr>
        <w:tc>
          <w:tcPr>
            <w:tcW w:w="208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221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122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135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r>
      <w:tr w:rsidR="00381ABF" w:rsidRPr="00EF60B7" w:rsidTr="00D564CF">
        <w:trPr>
          <w:trHeight w:val="315"/>
        </w:trPr>
        <w:tc>
          <w:tcPr>
            <w:tcW w:w="208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Livello Scolastico</w:t>
            </w:r>
          </w:p>
        </w:tc>
        <w:tc>
          <w:tcPr>
            <w:tcW w:w="221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Scuola media</w:t>
            </w:r>
          </w:p>
        </w:tc>
        <w:tc>
          <w:tcPr>
            <w:tcW w:w="122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22</w:t>
            </w:r>
          </w:p>
        </w:tc>
        <w:tc>
          <w:tcPr>
            <w:tcW w:w="135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34,92</w:t>
            </w:r>
          </w:p>
        </w:tc>
      </w:tr>
      <w:tr w:rsidR="00381ABF" w:rsidRPr="00EF60B7" w:rsidTr="00D564CF">
        <w:trPr>
          <w:trHeight w:val="315"/>
        </w:trPr>
        <w:tc>
          <w:tcPr>
            <w:tcW w:w="208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221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Liceo</w:t>
            </w:r>
          </w:p>
        </w:tc>
        <w:tc>
          <w:tcPr>
            <w:tcW w:w="122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30</w:t>
            </w:r>
          </w:p>
        </w:tc>
        <w:tc>
          <w:tcPr>
            <w:tcW w:w="135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47,62</w:t>
            </w:r>
          </w:p>
        </w:tc>
      </w:tr>
      <w:tr w:rsidR="00381ABF" w:rsidRPr="00EF60B7" w:rsidTr="00D564CF">
        <w:trPr>
          <w:trHeight w:val="315"/>
        </w:trPr>
        <w:tc>
          <w:tcPr>
            <w:tcW w:w="208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221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Laurea Triennale</w:t>
            </w:r>
          </w:p>
        </w:tc>
        <w:tc>
          <w:tcPr>
            <w:tcW w:w="122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1</w:t>
            </w:r>
          </w:p>
        </w:tc>
        <w:tc>
          <w:tcPr>
            <w:tcW w:w="135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1,59</w:t>
            </w:r>
          </w:p>
        </w:tc>
      </w:tr>
      <w:tr w:rsidR="00381ABF" w:rsidRPr="00EF60B7" w:rsidTr="00D564CF">
        <w:trPr>
          <w:trHeight w:val="315"/>
        </w:trPr>
        <w:tc>
          <w:tcPr>
            <w:tcW w:w="208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221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Laurea Magistrale</w:t>
            </w:r>
          </w:p>
        </w:tc>
        <w:tc>
          <w:tcPr>
            <w:tcW w:w="122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10</w:t>
            </w:r>
          </w:p>
        </w:tc>
        <w:tc>
          <w:tcPr>
            <w:tcW w:w="135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15,87</w:t>
            </w:r>
          </w:p>
        </w:tc>
      </w:tr>
      <w:tr w:rsidR="00381ABF" w:rsidRPr="00EF60B7" w:rsidTr="00D564CF">
        <w:trPr>
          <w:trHeight w:val="330"/>
        </w:trPr>
        <w:tc>
          <w:tcPr>
            <w:tcW w:w="2083" w:type="dxa"/>
            <w:tcBorders>
              <w:top w:val="nil"/>
              <w:left w:val="nil"/>
              <w:bottom w:val="single" w:sz="8" w:space="0" w:color="auto"/>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 </w:t>
            </w:r>
          </w:p>
        </w:tc>
        <w:tc>
          <w:tcPr>
            <w:tcW w:w="2217" w:type="dxa"/>
            <w:tcBorders>
              <w:top w:val="nil"/>
              <w:left w:val="nil"/>
              <w:bottom w:val="single" w:sz="8" w:space="0" w:color="auto"/>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Totale</w:t>
            </w:r>
          </w:p>
        </w:tc>
        <w:tc>
          <w:tcPr>
            <w:tcW w:w="1227" w:type="dxa"/>
            <w:tcBorders>
              <w:top w:val="nil"/>
              <w:left w:val="nil"/>
              <w:bottom w:val="single" w:sz="8" w:space="0" w:color="auto"/>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63</w:t>
            </w:r>
          </w:p>
        </w:tc>
        <w:tc>
          <w:tcPr>
            <w:tcW w:w="1353" w:type="dxa"/>
            <w:tcBorders>
              <w:top w:val="nil"/>
              <w:left w:val="nil"/>
              <w:bottom w:val="single" w:sz="8" w:space="0" w:color="auto"/>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100</w:t>
            </w:r>
          </w:p>
        </w:tc>
      </w:tr>
    </w:tbl>
    <w:p w:rsidR="00381ABF" w:rsidRPr="00EF60B7" w:rsidRDefault="00381ABF" w:rsidP="008D2DF6">
      <w:pPr>
        <w:spacing w:line="360" w:lineRule="auto"/>
        <w:jc w:val="both"/>
        <w:rPr>
          <w:rFonts w:ascii="Times New Roman" w:hAnsi="Times New Roman" w:cs="Times New Roman"/>
          <w:sz w:val="24"/>
          <w:szCs w:val="24"/>
        </w:rPr>
      </w:pPr>
    </w:p>
    <w:p w:rsidR="00381ABF" w:rsidRPr="00EF60B7" w:rsidRDefault="00381ABF" w:rsidP="008D2DF6">
      <w:pPr>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 xml:space="preserve">3.3.2 </w:t>
      </w:r>
      <w:r w:rsidRPr="00EF60B7">
        <w:rPr>
          <w:rFonts w:ascii="Times New Roman" w:hAnsi="Times New Roman" w:cs="Times New Roman"/>
          <w:i/>
          <w:sz w:val="24"/>
          <w:szCs w:val="24"/>
        </w:rPr>
        <w:t>Disegno Sperimentale</w:t>
      </w:r>
    </w:p>
    <w:p w:rsidR="00381ABF" w:rsidRPr="00EF60B7" w:rsidRDefault="00381ABF" w:rsidP="008D2DF6">
      <w:pPr>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 xml:space="preserve">Ci siamo avvalsi di un disegno sperimentale </w:t>
      </w:r>
      <w:r w:rsidRPr="00EF60B7">
        <w:rPr>
          <w:rFonts w:ascii="Times New Roman" w:hAnsi="Times New Roman" w:cs="Times New Roman"/>
          <w:i/>
          <w:sz w:val="24"/>
          <w:szCs w:val="24"/>
        </w:rPr>
        <w:t>between subject</w:t>
      </w:r>
      <w:r w:rsidRPr="00EF60B7">
        <w:rPr>
          <w:rFonts w:ascii="Times New Roman" w:hAnsi="Times New Roman" w:cs="Times New Roman"/>
          <w:sz w:val="24"/>
          <w:szCs w:val="24"/>
        </w:rPr>
        <w:t xml:space="preserve"> o disegno tra i soggetti.</w:t>
      </w:r>
    </w:p>
    <w:p w:rsidR="00381ABF" w:rsidRPr="00EF60B7" w:rsidRDefault="00381ABF" w:rsidP="008D2DF6">
      <w:pPr>
        <w:spacing w:line="360" w:lineRule="auto"/>
        <w:jc w:val="both"/>
        <w:rPr>
          <w:rFonts w:ascii="Times New Roman" w:hAnsi="Times New Roman" w:cs="Times New Roman"/>
          <w:i/>
          <w:sz w:val="24"/>
          <w:szCs w:val="24"/>
        </w:rPr>
      </w:pPr>
      <w:r w:rsidRPr="00EF60B7">
        <w:rPr>
          <w:rFonts w:ascii="Times New Roman" w:hAnsi="Times New Roman" w:cs="Times New Roman"/>
          <w:sz w:val="24"/>
          <w:szCs w:val="24"/>
        </w:rPr>
        <w:t xml:space="preserve">3.3.3 </w:t>
      </w:r>
      <w:r w:rsidRPr="00EF60B7">
        <w:rPr>
          <w:rFonts w:ascii="Times New Roman" w:hAnsi="Times New Roman" w:cs="Times New Roman"/>
          <w:i/>
          <w:sz w:val="24"/>
          <w:szCs w:val="24"/>
        </w:rPr>
        <w:t>Variabili</w:t>
      </w:r>
    </w:p>
    <w:p w:rsidR="00381ABF" w:rsidRPr="00EF60B7" w:rsidRDefault="00381ABF" w:rsidP="008D2DF6">
      <w:pPr>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 xml:space="preserve">La variabile “modello relazionale medico-paziente” ha due livelli: Paternalistico e Condiviso. Gli stimoli per la condizione Paternalistica replicano quelli presenti </w:t>
      </w:r>
      <w:r w:rsidRPr="00EF60B7">
        <w:rPr>
          <w:rFonts w:ascii="Times New Roman" w:hAnsi="Times New Roman" w:cs="Times New Roman"/>
          <w:sz w:val="24"/>
          <w:szCs w:val="24"/>
        </w:rPr>
        <w:lastRenderedPageBreak/>
        <w:t>nello studio di Botti et al. (2009). Gli stimoli per la condizione condivisa sono come quelli che si leggono qui di seguito:  “</w:t>
      </w:r>
      <w:r w:rsidRPr="00EF60B7">
        <w:rPr>
          <w:rFonts w:ascii="Times New Roman" w:hAnsi="Times New Roman" w:cs="Times New Roman"/>
          <w:i/>
          <w:sz w:val="24"/>
          <w:szCs w:val="24"/>
        </w:rPr>
        <w:t>Dopo solo 27 settimane di gestazione, la madre partorisce una bambina prematura, Giulia, che pesa meno di un chilo. Giulia é gravemente malata perché ha subito un’emorragia cerebrale. Per questo motivo, é stata ricoverata nell’unità di terapia intensiva neonatale di un famoso ospedale accademico dove é mantenuta in vita da una macchina che l’aiuta a respirare. Dopo tre settimane di trattamento di sostegno vitale, la condizione generale di salute di Giulia non é migliorata.  A questo punto, I medici chiamano la madre di Giulia (possibilmente anche il padre) e spiegano loro la decisione riguardo alla sospensione del trattamento, tenendo conto sia delle considerazioni mediche sia valutando la qualità di vita che la bimba ha avuto nelle prime 27 settimane.  Il medico chiede se sono d’accordo. Se fossi nei loro panni, cosa decideresti?</w:t>
      </w:r>
      <w:r w:rsidRPr="00EF60B7">
        <w:rPr>
          <w:rFonts w:ascii="Times New Roman" w:hAnsi="Times New Roman" w:cs="Times New Roman"/>
          <w:sz w:val="24"/>
          <w:szCs w:val="24"/>
        </w:rPr>
        <w:t>”.</w:t>
      </w:r>
    </w:p>
    <w:p w:rsidR="005E716B" w:rsidRPr="00EF60B7" w:rsidRDefault="00381ABF" w:rsidP="008D2DF6">
      <w:pPr>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Le altre variabili che prendiamo in considerazione sono: Indice unico “Risposta Emozionale”, Stati emotivi “nervoso”, “agitato”, “triste”, “afflitto (</w:t>
      </w:r>
      <w:r w:rsidRPr="00EF60B7">
        <w:rPr>
          <w:rFonts w:ascii="Times New Roman" w:hAnsi="Times New Roman" w:cs="Times New Roman"/>
          <w:i/>
          <w:sz w:val="24"/>
          <w:szCs w:val="24"/>
        </w:rPr>
        <w:t>distressed</w:t>
      </w:r>
      <w:r w:rsidRPr="00EF60B7">
        <w:rPr>
          <w:rFonts w:ascii="Times New Roman" w:hAnsi="Times New Roman" w:cs="Times New Roman"/>
          <w:sz w:val="24"/>
          <w:szCs w:val="24"/>
        </w:rPr>
        <w:t xml:space="preserve">)”, “preoccupato”, “in colpa”; “desiderio di autonomia nella scelta”;  “desiderio di delegare una decisione difficile”; “Fiducia nella decisione presa”; “desiderio di controllo”. </w:t>
      </w:r>
    </w:p>
    <w:p w:rsidR="00381ABF" w:rsidRPr="00EF60B7" w:rsidRDefault="00381ABF" w:rsidP="008D2DF6">
      <w:pPr>
        <w:spacing w:line="360" w:lineRule="auto"/>
        <w:jc w:val="both"/>
        <w:rPr>
          <w:rFonts w:ascii="Times New Roman" w:hAnsi="Times New Roman" w:cs="Times New Roman"/>
          <w:i/>
          <w:sz w:val="24"/>
          <w:szCs w:val="24"/>
        </w:rPr>
      </w:pPr>
      <w:r w:rsidRPr="00EF60B7">
        <w:rPr>
          <w:rFonts w:ascii="Times New Roman" w:hAnsi="Times New Roman" w:cs="Times New Roman"/>
          <w:sz w:val="24"/>
          <w:szCs w:val="24"/>
        </w:rPr>
        <w:t xml:space="preserve">3.3.4 </w:t>
      </w:r>
      <w:r w:rsidRPr="00EF60B7">
        <w:rPr>
          <w:rFonts w:ascii="Times New Roman" w:hAnsi="Times New Roman" w:cs="Times New Roman"/>
          <w:i/>
          <w:sz w:val="24"/>
          <w:szCs w:val="24"/>
        </w:rPr>
        <w:t>Procedura</w:t>
      </w:r>
    </w:p>
    <w:p w:rsidR="00381ABF" w:rsidRPr="00EF60B7" w:rsidRDefault="00381ABF" w:rsidP="008D2DF6">
      <w:pPr>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 xml:space="preserve">A sessantuno studenti universitari della Portland </w:t>
      </w:r>
      <w:r w:rsidRPr="00EF60B7">
        <w:rPr>
          <w:rFonts w:ascii="Times New Roman" w:hAnsi="Times New Roman" w:cs="Times New Roman"/>
          <w:i/>
          <w:sz w:val="24"/>
          <w:szCs w:val="24"/>
        </w:rPr>
        <w:t>State</w:t>
      </w:r>
      <w:r w:rsidRPr="00EF60B7">
        <w:rPr>
          <w:rFonts w:ascii="Times New Roman" w:hAnsi="Times New Roman" w:cs="Times New Roman"/>
          <w:sz w:val="24"/>
          <w:szCs w:val="24"/>
        </w:rPr>
        <w:t xml:space="preserve"> </w:t>
      </w:r>
      <w:r w:rsidRPr="00EF60B7">
        <w:rPr>
          <w:rFonts w:ascii="Times New Roman" w:hAnsi="Times New Roman" w:cs="Times New Roman"/>
          <w:i/>
          <w:sz w:val="24"/>
          <w:szCs w:val="24"/>
        </w:rPr>
        <w:t>University</w:t>
      </w:r>
      <w:r w:rsidRPr="00EF60B7">
        <w:rPr>
          <w:rFonts w:ascii="Times New Roman" w:hAnsi="Times New Roman" w:cs="Times New Roman"/>
          <w:sz w:val="24"/>
          <w:szCs w:val="24"/>
        </w:rPr>
        <w:t xml:space="preserve"> e frequentatori della </w:t>
      </w:r>
      <w:r w:rsidRPr="00EF60B7">
        <w:rPr>
          <w:rFonts w:ascii="Times New Roman" w:hAnsi="Times New Roman" w:cs="Times New Roman"/>
          <w:i/>
          <w:sz w:val="24"/>
          <w:szCs w:val="24"/>
        </w:rPr>
        <w:t>Gold</w:t>
      </w:r>
      <w:r w:rsidRPr="00EF60B7">
        <w:rPr>
          <w:rFonts w:ascii="Times New Roman" w:hAnsi="Times New Roman" w:cs="Times New Roman"/>
          <w:sz w:val="24"/>
          <w:szCs w:val="24"/>
        </w:rPr>
        <w:t xml:space="preserve"> </w:t>
      </w:r>
      <w:r w:rsidRPr="00EF60B7">
        <w:rPr>
          <w:rFonts w:ascii="Times New Roman" w:hAnsi="Times New Roman" w:cs="Times New Roman"/>
          <w:i/>
          <w:sz w:val="24"/>
          <w:szCs w:val="24"/>
        </w:rPr>
        <w:t>Gym</w:t>
      </w:r>
      <w:r w:rsidRPr="00EF60B7">
        <w:rPr>
          <w:rFonts w:ascii="Times New Roman" w:hAnsi="Times New Roman" w:cs="Times New Roman"/>
          <w:sz w:val="24"/>
          <w:szCs w:val="24"/>
        </w:rPr>
        <w:t xml:space="preserve"> di Vancouver e a sessantatre studenti dell’Università degli Studi di Palermo sono stati somministrati i questionari </w:t>
      </w:r>
      <w:r w:rsidRPr="00EF60B7">
        <w:rPr>
          <w:rFonts w:ascii="Times New Roman" w:hAnsi="Times New Roman" w:cs="Times New Roman"/>
          <w:i/>
          <w:sz w:val="24"/>
          <w:szCs w:val="24"/>
        </w:rPr>
        <w:t>self</w:t>
      </w:r>
      <w:r w:rsidRPr="00EF60B7">
        <w:rPr>
          <w:rFonts w:ascii="Times New Roman" w:hAnsi="Times New Roman" w:cs="Times New Roman"/>
          <w:sz w:val="24"/>
          <w:szCs w:val="24"/>
        </w:rPr>
        <w:t xml:space="preserve"> </w:t>
      </w:r>
      <w:r w:rsidRPr="00EF60B7">
        <w:rPr>
          <w:rFonts w:ascii="Times New Roman" w:hAnsi="Times New Roman" w:cs="Times New Roman"/>
          <w:i/>
          <w:sz w:val="24"/>
          <w:szCs w:val="24"/>
        </w:rPr>
        <w:t>report</w:t>
      </w:r>
      <w:r w:rsidRPr="00EF60B7">
        <w:rPr>
          <w:rFonts w:ascii="Times New Roman" w:hAnsi="Times New Roman" w:cs="Times New Roman"/>
          <w:sz w:val="24"/>
          <w:szCs w:val="24"/>
        </w:rPr>
        <w:t xml:space="preserve"> nei rispettivi </w:t>
      </w:r>
      <w:r w:rsidRPr="00EF60B7">
        <w:rPr>
          <w:rFonts w:ascii="Times New Roman" w:hAnsi="Times New Roman" w:cs="Times New Roman"/>
          <w:i/>
          <w:sz w:val="24"/>
          <w:szCs w:val="24"/>
        </w:rPr>
        <w:t>campus</w:t>
      </w:r>
      <w:r w:rsidRPr="00EF60B7">
        <w:rPr>
          <w:rFonts w:ascii="Times New Roman" w:hAnsi="Times New Roman" w:cs="Times New Roman"/>
          <w:sz w:val="24"/>
          <w:szCs w:val="24"/>
        </w:rPr>
        <w:t xml:space="preserve"> universitari; a sessantadue genitori di bambini nati a termine reclutati presso l’asilo nido “Giocomondo” e presso la scuola materna “De Gasperi” di Palermo sono stati somministrati i questionari </w:t>
      </w:r>
      <w:r w:rsidRPr="00EF60B7">
        <w:rPr>
          <w:rFonts w:ascii="Times New Roman" w:hAnsi="Times New Roman" w:cs="Times New Roman"/>
          <w:i/>
          <w:sz w:val="24"/>
          <w:szCs w:val="24"/>
        </w:rPr>
        <w:t xml:space="preserve">self – report </w:t>
      </w:r>
      <w:r w:rsidRPr="00EF60B7">
        <w:rPr>
          <w:rFonts w:ascii="Times New Roman" w:hAnsi="Times New Roman" w:cs="Times New Roman"/>
          <w:sz w:val="24"/>
          <w:szCs w:val="24"/>
        </w:rPr>
        <w:t xml:space="preserve">dopo avere lasciato il figlio a scuola o mentre attendevano che uscisse da scuola; infine, a sessantatre genitori di bambini nati pretermine ricoverati presso le unità operative di neonatologia infantile, ginecologia e ostetricia degli Ospedali  Riuniti “Cervello-Villa Sofia” dell’AUSL 6 di Palermo sono stati somministrati, in una stanza adibita a questo fine, i questionari </w:t>
      </w:r>
      <w:r w:rsidRPr="00EF60B7">
        <w:rPr>
          <w:rFonts w:ascii="Times New Roman" w:hAnsi="Times New Roman" w:cs="Times New Roman"/>
          <w:i/>
          <w:sz w:val="24"/>
          <w:szCs w:val="24"/>
        </w:rPr>
        <w:t>self</w:t>
      </w:r>
      <w:r w:rsidRPr="00EF60B7">
        <w:rPr>
          <w:rFonts w:ascii="Times New Roman" w:hAnsi="Times New Roman" w:cs="Times New Roman"/>
          <w:sz w:val="24"/>
          <w:szCs w:val="24"/>
        </w:rPr>
        <w:t xml:space="preserve"> </w:t>
      </w:r>
      <w:r w:rsidRPr="00EF60B7">
        <w:rPr>
          <w:rFonts w:ascii="Times New Roman" w:hAnsi="Times New Roman" w:cs="Times New Roman"/>
          <w:i/>
          <w:sz w:val="24"/>
          <w:szCs w:val="24"/>
        </w:rPr>
        <w:t>report</w:t>
      </w:r>
      <w:r w:rsidRPr="00EF60B7">
        <w:rPr>
          <w:rFonts w:ascii="Times New Roman" w:hAnsi="Times New Roman" w:cs="Times New Roman"/>
          <w:sz w:val="24"/>
          <w:szCs w:val="24"/>
        </w:rPr>
        <w:t xml:space="preserve"> mentre attendevano la visita ambulatoriale dei propri figli.</w:t>
      </w:r>
    </w:p>
    <w:p w:rsidR="00381ABF" w:rsidRPr="00EF60B7" w:rsidRDefault="00381ABF" w:rsidP="008D2DF6">
      <w:pPr>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lastRenderedPageBreak/>
        <w:t>I partecipanti  erano assegnati in maniera casuale ad una delle due condizioni: scelta del medico, scelta congiunta medico paziente (vedi appendice).</w:t>
      </w:r>
    </w:p>
    <w:p w:rsidR="00381ABF" w:rsidRPr="00EF60B7" w:rsidRDefault="00381ABF" w:rsidP="008D2DF6">
      <w:pPr>
        <w:spacing w:line="360" w:lineRule="auto"/>
        <w:jc w:val="both"/>
        <w:rPr>
          <w:rFonts w:ascii="Times New Roman" w:hAnsi="Times New Roman" w:cs="Times New Roman"/>
          <w:i/>
          <w:sz w:val="24"/>
          <w:szCs w:val="24"/>
        </w:rPr>
      </w:pPr>
      <w:r w:rsidRPr="00EF60B7">
        <w:rPr>
          <w:rFonts w:ascii="Times New Roman" w:hAnsi="Times New Roman" w:cs="Times New Roman"/>
          <w:i/>
          <w:sz w:val="24"/>
          <w:szCs w:val="24"/>
        </w:rPr>
        <w:t>3.3.5 Strumenti</w:t>
      </w:r>
    </w:p>
    <w:p w:rsidR="00381ABF" w:rsidRPr="00EF60B7" w:rsidRDefault="00381ABF" w:rsidP="008D2DF6">
      <w:pPr>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 xml:space="preserve">In questo studio abbiamo replicato, per la condizione in cui é il medico a prendere la decisione, gli scenari, tratti dall’articolo di Botti et al. (2009), che descrivono il processo decisionale in contesti simili alle situazioni di vita reale. </w:t>
      </w:r>
    </w:p>
    <w:p w:rsidR="00381ABF" w:rsidRPr="00EF60B7" w:rsidRDefault="00381ABF" w:rsidP="008D2DF6">
      <w:pPr>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In apertura, gli scenari, che non variavano attraverso le condizioni di scelta, descrivevano Giulia, una bambina prematura, ricoverata nell’unità di terapia intensiva neonatale, NICU, di un famoso ospedale a causa di un’emorragia cerebrale.</w:t>
      </w:r>
    </w:p>
    <w:p w:rsidR="00381ABF" w:rsidRPr="00EF60B7" w:rsidRDefault="00381ABF" w:rsidP="008D2DF6">
      <w:pPr>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 xml:space="preserve">La bimba era mantenuta in vita da un ventilatore, ma dopo tre settimane di trattamento la sua salute non era migliorata. I dottori convocano i genitori di Giulia per spiegare la situazione. Nella condizione di decisione presa dal medico (stile relazionale medico paziente di tipo paternalistico) la vignetta continuava presentando i medici che descrivevano ai genitori entrambi i possibili interventi e le loro conseguenze, ma spiegavano di aver deciso di sospendere il trattamento nel “migliore interesse” di Giulia . </w:t>
      </w:r>
    </w:p>
    <w:p w:rsidR="00381ABF" w:rsidRPr="00EF60B7" w:rsidRDefault="00381ABF" w:rsidP="008D2DF6">
      <w:pPr>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Nella condizione di decisione condivisa (modello deliberativo) il medico spiega ai genitori di Giulia quale sarebbe la scelta migliore ma lascia loro la libertà di scegliere.</w:t>
      </w:r>
    </w:p>
    <w:p w:rsidR="00381ABF" w:rsidRPr="00EF60B7" w:rsidRDefault="00381ABF" w:rsidP="008D2DF6">
      <w:pPr>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 xml:space="preserve">I partecipanti, previo consenso informato (vedi appendice), hanno completato un questionario </w:t>
      </w:r>
      <w:r w:rsidRPr="00EF60B7">
        <w:rPr>
          <w:rFonts w:ascii="Times New Roman" w:hAnsi="Times New Roman" w:cs="Times New Roman"/>
          <w:i/>
          <w:sz w:val="24"/>
          <w:szCs w:val="24"/>
        </w:rPr>
        <w:t xml:space="preserve">self report </w:t>
      </w:r>
      <w:r w:rsidRPr="00EF60B7">
        <w:rPr>
          <w:rFonts w:ascii="Times New Roman" w:hAnsi="Times New Roman" w:cs="Times New Roman"/>
          <w:sz w:val="24"/>
          <w:szCs w:val="24"/>
        </w:rPr>
        <w:t xml:space="preserve">costruito ad </w:t>
      </w:r>
      <w:r w:rsidRPr="00EF60B7">
        <w:rPr>
          <w:rFonts w:ascii="Times New Roman" w:hAnsi="Times New Roman" w:cs="Times New Roman"/>
          <w:i/>
          <w:sz w:val="24"/>
          <w:szCs w:val="24"/>
        </w:rPr>
        <w:t xml:space="preserve">hoc </w:t>
      </w:r>
      <w:r w:rsidRPr="00EF60B7">
        <w:rPr>
          <w:rFonts w:ascii="Times New Roman" w:hAnsi="Times New Roman" w:cs="Times New Roman"/>
          <w:sz w:val="24"/>
          <w:szCs w:val="24"/>
        </w:rPr>
        <w:t xml:space="preserve">costituito da 30 </w:t>
      </w:r>
      <w:r w:rsidRPr="00EF60B7">
        <w:rPr>
          <w:rFonts w:ascii="Times New Roman" w:hAnsi="Times New Roman" w:cs="Times New Roman"/>
          <w:i/>
          <w:sz w:val="24"/>
          <w:szCs w:val="24"/>
        </w:rPr>
        <w:t>items</w:t>
      </w:r>
      <w:r w:rsidRPr="00EF60B7">
        <w:rPr>
          <w:rFonts w:ascii="Times New Roman" w:hAnsi="Times New Roman" w:cs="Times New Roman"/>
          <w:sz w:val="24"/>
          <w:szCs w:val="24"/>
        </w:rPr>
        <w:t xml:space="preserve"> riguardanti le seguenti dimensioni: risposta emotiva (nervoso, agitato, triste, </w:t>
      </w:r>
      <w:r w:rsidRPr="00EF60B7">
        <w:rPr>
          <w:rFonts w:ascii="Times New Roman" w:hAnsi="Times New Roman" w:cs="Times New Roman"/>
          <w:i/>
          <w:sz w:val="24"/>
          <w:szCs w:val="24"/>
        </w:rPr>
        <w:t>distressed</w:t>
      </w:r>
      <w:r w:rsidRPr="00EF60B7">
        <w:rPr>
          <w:rFonts w:ascii="Times New Roman" w:hAnsi="Times New Roman" w:cs="Times New Roman"/>
          <w:sz w:val="24"/>
          <w:szCs w:val="24"/>
        </w:rPr>
        <w:t>, preoccupato, senso di colpa), fiducia nella decisione presa, preferenza per l’autonomia decisionale, preferenza per delegare ad altri la decisione. La risposta emotiva complessiva é stata misurata fornendo una lista di stati emotivi e ponendo la seguente domanda: “</w:t>
      </w:r>
      <w:r w:rsidRPr="00EF60B7">
        <w:rPr>
          <w:rFonts w:ascii="Times New Roman" w:hAnsi="Times New Roman" w:cs="Times New Roman"/>
          <w:i/>
          <w:sz w:val="24"/>
          <w:szCs w:val="24"/>
        </w:rPr>
        <w:t>In che misura ognuno di questi stati emotivi descrive il vostro umore come conseguenza della decisione sul trattamento?</w:t>
      </w:r>
      <w:r w:rsidRPr="00EF60B7">
        <w:rPr>
          <w:rFonts w:ascii="Times New Roman" w:hAnsi="Times New Roman" w:cs="Times New Roman"/>
          <w:sz w:val="24"/>
          <w:szCs w:val="24"/>
        </w:rPr>
        <w:t xml:space="preserve">”. </w:t>
      </w:r>
    </w:p>
    <w:p w:rsidR="00381ABF" w:rsidRPr="00EF60B7" w:rsidRDefault="00381ABF" w:rsidP="008D2DF6">
      <w:pPr>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 xml:space="preserve">Per garantire la coerenza con lo studio sul campo di Orfali (2004), la lista comprendeva le stesse sei diverse emozioni negative (nervoso, turbato, triste, </w:t>
      </w:r>
      <w:r w:rsidRPr="00EF60B7">
        <w:rPr>
          <w:rFonts w:ascii="Times New Roman" w:hAnsi="Times New Roman" w:cs="Times New Roman"/>
          <w:sz w:val="24"/>
          <w:szCs w:val="24"/>
        </w:rPr>
        <w:lastRenderedPageBreak/>
        <w:t>afflitto, preoccupato, in colpa) più spesso menzionate, nello studio condotto da Orfali (2004), dai genitori intervistati che avevano subito la perdita del figlio.</w:t>
      </w:r>
    </w:p>
    <w:p w:rsidR="00381ABF" w:rsidRPr="00EF60B7" w:rsidRDefault="00381ABF" w:rsidP="008D2DF6">
      <w:pPr>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 xml:space="preserve">Per verificare la nostra ipotesi secondo la quale prendere decisioni tragiche , a differenza di altre scelte emotivamente difficili, genera influenze  negative anche quando é selezionata un’ottima alternativa – in questo caso il trattamento alternativo era la sospensione (Orfali, 2004) – abbiamo misurato la fiducia nella decisione dei partecipanti chiedendo: “ </w:t>
      </w:r>
      <w:r w:rsidRPr="00EF60B7">
        <w:rPr>
          <w:rFonts w:ascii="Times New Roman" w:hAnsi="Times New Roman" w:cs="Times New Roman"/>
          <w:i/>
          <w:sz w:val="24"/>
          <w:szCs w:val="24"/>
        </w:rPr>
        <w:t>Come sei sicuro che é stata presa la decisione migliore?</w:t>
      </w:r>
      <w:r w:rsidRPr="00EF60B7">
        <w:rPr>
          <w:rFonts w:ascii="Times New Roman" w:hAnsi="Times New Roman" w:cs="Times New Roman"/>
          <w:sz w:val="24"/>
          <w:szCs w:val="24"/>
        </w:rPr>
        <w:t>” La preferenza per la autonomia decisionale o quella di delegare la presa di decisione é stata accertata misurando l’ auto-valutazione della propria condizione: “</w:t>
      </w:r>
      <w:r w:rsidRPr="00EF60B7">
        <w:rPr>
          <w:rFonts w:ascii="Times New Roman" w:hAnsi="Times New Roman" w:cs="Times New Roman"/>
          <w:i/>
          <w:sz w:val="24"/>
          <w:szCs w:val="24"/>
        </w:rPr>
        <w:t>Quanto ti sarebbe piaciuto prendere (o non prendere) questa decisione?</w:t>
      </w:r>
      <w:r w:rsidRPr="00EF60B7">
        <w:rPr>
          <w:rFonts w:ascii="Times New Roman" w:hAnsi="Times New Roman" w:cs="Times New Roman"/>
          <w:sz w:val="24"/>
          <w:szCs w:val="24"/>
        </w:rPr>
        <w:t>” e la condizione opposta: “</w:t>
      </w:r>
      <w:r w:rsidRPr="00EF60B7">
        <w:rPr>
          <w:rFonts w:ascii="Times New Roman" w:hAnsi="Times New Roman" w:cs="Times New Roman"/>
          <w:i/>
          <w:sz w:val="24"/>
          <w:szCs w:val="24"/>
        </w:rPr>
        <w:t>Quanto avresti preferito che fossero i dottori a prendere questa decisione al posto tuo?</w:t>
      </w:r>
      <w:r w:rsidRPr="00EF60B7">
        <w:rPr>
          <w:rFonts w:ascii="Times New Roman" w:hAnsi="Times New Roman" w:cs="Times New Roman"/>
          <w:sz w:val="24"/>
          <w:szCs w:val="24"/>
        </w:rPr>
        <w:t xml:space="preserve">” Le risposte sono state misurate lungo una scala </w:t>
      </w:r>
      <w:r w:rsidRPr="00EF60B7">
        <w:rPr>
          <w:rFonts w:ascii="Times New Roman" w:hAnsi="Times New Roman" w:cs="Times New Roman"/>
          <w:i/>
          <w:sz w:val="24"/>
          <w:szCs w:val="24"/>
        </w:rPr>
        <w:t>likert</w:t>
      </w:r>
      <w:r w:rsidRPr="00EF60B7">
        <w:rPr>
          <w:rFonts w:ascii="Times New Roman" w:hAnsi="Times New Roman" w:cs="Times New Roman"/>
          <w:sz w:val="24"/>
          <w:szCs w:val="24"/>
        </w:rPr>
        <w:t xml:space="preserve"> che va da 1 (per niente) a 9 (estremamente).</w:t>
      </w:r>
    </w:p>
    <w:p w:rsidR="00381ABF" w:rsidRPr="00EF60B7" w:rsidRDefault="00381ABF" w:rsidP="008D2DF6">
      <w:pPr>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 xml:space="preserve">Infine, ci siamo avvalsi del questionario </w:t>
      </w:r>
      <w:r w:rsidRPr="00EF60B7">
        <w:rPr>
          <w:rFonts w:ascii="Times New Roman" w:hAnsi="Times New Roman" w:cs="Times New Roman"/>
          <w:i/>
          <w:sz w:val="24"/>
          <w:szCs w:val="24"/>
        </w:rPr>
        <w:t xml:space="preserve">self report </w:t>
      </w:r>
      <w:r w:rsidRPr="00EF60B7">
        <w:rPr>
          <w:rFonts w:ascii="Times New Roman" w:hAnsi="Times New Roman" w:cs="Times New Roman"/>
          <w:sz w:val="24"/>
          <w:szCs w:val="24"/>
        </w:rPr>
        <w:t xml:space="preserve">di “Desiderabilità di Controllo” (α= .74) di Burger &amp; Cooper (1979) costituito da 20 item per verificare se il desiderio di maggiore autonomia nella scelta da parte del paziente o dei familiari del paziente correla con un maggiore desiderio di controllo sulla presa di decisione; le risposte sono state misurate lungo una scala </w:t>
      </w:r>
      <w:r w:rsidRPr="00EF60B7">
        <w:rPr>
          <w:rFonts w:ascii="Times New Roman" w:hAnsi="Times New Roman" w:cs="Times New Roman"/>
          <w:i/>
          <w:sz w:val="24"/>
          <w:szCs w:val="24"/>
        </w:rPr>
        <w:t>likert</w:t>
      </w:r>
      <w:r w:rsidRPr="00EF60B7">
        <w:rPr>
          <w:rFonts w:ascii="Times New Roman" w:hAnsi="Times New Roman" w:cs="Times New Roman"/>
          <w:sz w:val="24"/>
          <w:szCs w:val="24"/>
        </w:rPr>
        <w:t xml:space="preserve"> che va da 1 (l’espressione “non mi si addice completamente”) a 7 (l’espressione “mi si addice sempre”). Il questionario di “Desiderabilità di Controllo” identifica cinque fattori: 1) Desiderio di controllo sugli altri; 2) Desiderio di non prendere decisioni; 3) Controllo di preparazione-prevenzione; 4) Desiderio di prendere decisioni su se stessi e sulla propria vita; 5) Rifiuto di situazioni dove altri hanno il controllo su di te. </w:t>
      </w:r>
    </w:p>
    <w:p w:rsidR="00381ABF" w:rsidRPr="00EF60B7" w:rsidRDefault="00381ABF" w:rsidP="008D2DF6">
      <w:pPr>
        <w:spacing w:line="360" w:lineRule="auto"/>
        <w:jc w:val="both"/>
        <w:rPr>
          <w:rFonts w:ascii="Times New Roman" w:hAnsi="Times New Roman" w:cs="Times New Roman"/>
          <w:i/>
          <w:sz w:val="24"/>
          <w:szCs w:val="24"/>
        </w:rPr>
      </w:pPr>
      <w:r w:rsidRPr="00EF60B7">
        <w:rPr>
          <w:rFonts w:ascii="Times New Roman" w:hAnsi="Times New Roman" w:cs="Times New Roman"/>
          <w:i/>
          <w:sz w:val="24"/>
          <w:szCs w:val="24"/>
        </w:rPr>
        <w:t>3.3.6 Analisi dei dati</w:t>
      </w:r>
    </w:p>
    <w:p w:rsidR="00381ABF" w:rsidRDefault="00381ABF" w:rsidP="005E716B">
      <w:pPr>
        <w:spacing w:line="360" w:lineRule="auto"/>
        <w:jc w:val="both"/>
        <w:rPr>
          <w:rFonts w:ascii="Times New Roman" w:hAnsi="Times New Roman" w:cs="Times New Roman"/>
          <w:i/>
          <w:sz w:val="24"/>
          <w:szCs w:val="24"/>
        </w:rPr>
      </w:pPr>
      <w:r w:rsidRPr="00EF60B7">
        <w:rPr>
          <w:rFonts w:ascii="Times New Roman" w:hAnsi="Times New Roman" w:cs="Times New Roman"/>
          <w:sz w:val="24"/>
          <w:szCs w:val="24"/>
        </w:rPr>
        <w:t xml:space="preserve">Al fine di verificare le ipotesi dello studio, sono state inizialmente calcolate le statistiche descrittive: media, deviazione standard e frequenze. Come nel lavoro proposto da Botti et al. (2009), abbiamo creato un unico indice che riassume le emozioni negative che è stato denominato “risposta emozionale”. L’utilizzo di un indice unico per le emozioni negative è giustificato dall’analisi fattoriale che ha estratto un singolo fattore che spiega il 59% della varianza con α di Cronbach pari a .85. Per avere un quadro più dettagliato, oltre a creare un indice unico di risposta </w:t>
      </w:r>
      <w:r w:rsidRPr="00EF60B7">
        <w:rPr>
          <w:rFonts w:ascii="Times New Roman" w:hAnsi="Times New Roman" w:cs="Times New Roman"/>
          <w:sz w:val="24"/>
          <w:szCs w:val="24"/>
        </w:rPr>
        <w:lastRenderedPageBreak/>
        <w:t xml:space="preserve">emozionale negativa, sono state analizzate anche le differenze tra gruppi mediante Anova per ciascun stato emotivo negativo (nervoso, turbato, triste , afflitto, preoccupato e senso di colpa). Infine, sono state utilizzate le seguenti analisi statistiche: analisi delle correlazioni con </w:t>
      </w:r>
      <w:r w:rsidRPr="00EF60B7">
        <w:rPr>
          <w:rFonts w:ascii="Times New Roman" w:hAnsi="Times New Roman" w:cs="Times New Roman"/>
          <w:i/>
          <w:sz w:val="24"/>
          <w:szCs w:val="24"/>
        </w:rPr>
        <w:t>rho</w:t>
      </w:r>
      <w:r w:rsidRPr="00EF60B7">
        <w:rPr>
          <w:rFonts w:ascii="Times New Roman" w:hAnsi="Times New Roman" w:cs="Times New Roman"/>
          <w:sz w:val="24"/>
          <w:szCs w:val="24"/>
        </w:rPr>
        <w:t xml:space="preserve"> di Spearman dal momento che alcune correlazioni o associazioni sono state eseguite tra variabili qualitative e quantitative tra i punteggi delle diverse scale utilizzate nello studio; confronto tra gruppi indipendenti tramite Anova ad una via e, per i campioni di numero ridotto, tramite test non parametrico di Mann-Whitney. Quest’ultimo è stato adottato a causa dell’esiguità del numero di soggetti che compongono i due campioni  (studio 1: gruppo studenti americani e gruppo studenti italiani; studio 2: gruppo di genitori con figli nati a termine e gruppo clinico di genitori con figli nati pretermine) presi singolarmente. Le statistiche effettuate riguardano le differenze tra valori centrali per gruppi dipendenti, per le quali è stato applicato il test di Wilcoxon; e le differenze tra valori centrali per gruppi indipendenti, per le quali è stato utilizzato il test di Mann-Whitney (Siegel, Castellani, 1988). Infine è stata utilizzata  l’ Analisi della Varianza Multivariata (Manova) dal momento che abbiamo valutato le differenze tra gruppi per un </w:t>
      </w:r>
      <w:r w:rsidRPr="00EF60B7">
        <w:rPr>
          <w:rFonts w:ascii="Times New Roman" w:hAnsi="Times New Roman" w:cs="Times New Roman"/>
          <w:i/>
          <w:sz w:val="24"/>
          <w:szCs w:val="24"/>
        </w:rPr>
        <w:t>set</w:t>
      </w:r>
      <w:r w:rsidRPr="00EF60B7">
        <w:rPr>
          <w:rFonts w:ascii="Times New Roman" w:hAnsi="Times New Roman" w:cs="Times New Roman"/>
          <w:sz w:val="24"/>
          <w:szCs w:val="24"/>
        </w:rPr>
        <w:t xml:space="preserve"> di variabili dipendenti avendo una variabile indipendente con due livelli (Barbaranelli, 2003). Le analisi statistiche sono state condotte con il </w:t>
      </w:r>
      <w:r w:rsidRPr="00EF60B7">
        <w:rPr>
          <w:rFonts w:ascii="Times New Roman" w:hAnsi="Times New Roman" w:cs="Times New Roman"/>
          <w:i/>
          <w:sz w:val="24"/>
          <w:szCs w:val="24"/>
        </w:rPr>
        <w:t>package</w:t>
      </w:r>
      <w:r w:rsidRPr="00EF60B7">
        <w:rPr>
          <w:rFonts w:ascii="Times New Roman" w:hAnsi="Times New Roman" w:cs="Times New Roman"/>
          <w:sz w:val="24"/>
          <w:szCs w:val="24"/>
        </w:rPr>
        <w:t xml:space="preserve"> statistico SPSS 13.0.  </w:t>
      </w:r>
    </w:p>
    <w:p w:rsidR="005E716B" w:rsidRPr="005E716B" w:rsidRDefault="005E716B" w:rsidP="005E716B">
      <w:pPr>
        <w:spacing w:line="360" w:lineRule="auto"/>
        <w:jc w:val="both"/>
        <w:rPr>
          <w:rFonts w:ascii="Times New Roman" w:hAnsi="Times New Roman" w:cs="Times New Roman"/>
          <w:i/>
          <w:sz w:val="24"/>
          <w:szCs w:val="24"/>
        </w:rPr>
      </w:pPr>
    </w:p>
    <w:p w:rsidR="00381ABF" w:rsidRPr="00EF60B7" w:rsidRDefault="00381ABF" w:rsidP="008D2DF6">
      <w:pPr>
        <w:spacing w:line="360" w:lineRule="auto"/>
        <w:jc w:val="both"/>
        <w:rPr>
          <w:rFonts w:ascii="Times New Roman" w:hAnsi="Times New Roman" w:cs="Times New Roman"/>
          <w:i/>
          <w:sz w:val="24"/>
          <w:szCs w:val="24"/>
        </w:rPr>
      </w:pPr>
      <w:r w:rsidRPr="00EF60B7">
        <w:rPr>
          <w:rFonts w:ascii="Times New Roman" w:hAnsi="Times New Roman" w:cs="Times New Roman"/>
          <w:i/>
          <w:sz w:val="24"/>
          <w:szCs w:val="24"/>
        </w:rPr>
        <w:t>3.4 Risultati</w:t>
      </w:r>
    </w:p>
    <w:p w:rsidR="00381ABF" w:rsidRPr="00EF60B7" w:rsidRDefault="00381ABF" w:rsidP="008D2DF6">
      <w:pPr>
        <w:spacing w:line="360" w:lineRule="auto"/>
        <w:jc w:val="both"/>
        <w:rPr>
          <w:rFonts w:ascii="Times New Roman" w:hAnsi="Times New Roman" w:cs="Times New Roman"/>
          <w:i/>
          <w:sz w:val="24"/>
          <w:szCs w:val="24"/>
        </w:rPr>
      </w:pPr>
      <w:r w:rsidRPr="00EF60B7">
        <w:rPr>
          <w:rFonts w:ascii="Times New Roman" w:hAnsi="Times New Roman" w:cs="Times New Roman"/>
          <w:i/>
          <w:sz w:val="24"/>
          <w:szCs w:val="24"/>
        </w:rPr>
        <w:t>3.4.1 Risultati Studio 1</w:t>
      </w:r>
    </w:p>
    <w:p w:rsidR="00381ABF" w:rsidRPr="00EF60B7" w:rsidRDefault="00381ABF" w:rsidP="008D2DF6">
      <w:pPr>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Inizialmente nello Studio 1 sono stati riportati i risultati di tutto il campione di studenti (americani ed italiani). In seguito è stato messo a confronto il gruppo degli studenti italiani con quello degli studenti americani.</w:t>
      </w:r>
    </w:p>
    <w:p w:rsidR="00381ABF" w:rsidRPr="00EF60B7" w:rsidRDefault="00381ABF" w:rsidP="008D2DF6">
      <w:pPr>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 xml:space="preserve">Nella </w:t>
      </w:r>
      <w:r w:rsidRPr="00EF60B7">
        <w:rPr>
          <w:rFonts w:ascii="Times New Roman" w:hAnsi="Times New Roman" w:cs="Times New Roman"/>
          <w:i/>
          <w:sz w:val="24"/>
          <w:szCs w:val="24"/>
        </w:rPr>
        <w:t>Tabella 5</w:t>
      </w:r>
      <w:r w:rsidRPr="00EF60B7">
        <w:rPr>
          <w:rFonts w:ascii="Times New Roman" w:hAnsi="Times New Roman" w:cs="Times New Roman"/>
          <w:sz w:val="24"/>
          <w:szCs w:val="24"/>
        </w:rPr>
        <w:t xml:space="preserve"> sono riportate medie e deviazioni standard rispetto alle emozioni negative in rapporto allo stile relazionale utilizzato dal medico quando si rapporta ai genitori dei pazienti. </w:t>
      </w:r>
    </w:p>
    <w:p w:rsidR="00381ABF" w:rsidRDefault="00381ABF" w:rsidP="008D2DF6">
      <w:pPr>
        <w:spacing w:line="360" w:lineRule="auto"/>
        <w:jc w:val="both"/>
        <w:rPr>
          <w:rFonts w:ascii="Times New Roman" w:hAnsi="Times New Roman" w:cs="Times New Roman"/>
          <w:sz w:val="24"/>
          <w:szCs w:val="24"/>
        </w:rPr>
      </w:pPr>
    </w:p>
    <w:p w:rsidR="005E716B" w:rsidRDefault="005E716B" w:rsidP="008D2DF6">
      <w:pPr>
        <w:spacing w:line="360" w:lineRule="auto"/>
        <w:jc w:val="both"/>
        <w:rPr>
          <w:rFonts w:ascii="Times New Roman" w:hAnsi="Times New Roman" w:cs="Times New Roman"/>
          <w:sz w:val="24"/>
          <w:szCs w:val="24"/>
        </w:rPr>
      </w:pPr>
    </w:p>
    <w:p w:rsidR="005E716B" w:rsidRPr="00EF60B7" w:rsidRDefault="005E716B" w:rsidP="008D2DF6">
      <w:pPr>
        <w:spacing w:line="360" w:lineRule="auto"/>
        <w:jc w:val="both"/>
        <w:rPr>
          <w:rFonts w:ascii="Times New Roman" w:hAnsi="Times New Roman" w:cs="Times New Roman"/>
          <w:sz w:val="24"/>
          <w:szCs w:val="24"/>
        </w:rPr>
      </w:pPr>
    </w:p>
    <w:p w:rsidR="00381ABF" w:rsidRPr="00EF60B7" w:rsidRDefault="00381ABF" w:rsidP="008D2DF6">
      <w:pPr>
        <w:spacing w:line="360" w:lineRule="auto"/>
        <w:jc w:val="both"/>
        <w:rPr>
          <w:rFonts w:ascii="Times New Roman" w:hAnsi="Times New Roman" w:cs="Times New Roman"/>
          <w:sz w:val="24"/>
          <w:szCs w:val="24"/>
        </w:rPr>
      </w:pPr>
      <w:r w:rsidRPr="00EF60B7">
        <w:rPr>
          <w:rFonts w:ascii="Times New Roman" w:hAnsi="Times New Roman" w:cs="Times New Roman"/>
          <w:noProof/>
          <w:sz w:val="24"/>
          <w:szCs w:val="24"/>
          <w:lang w:eastAsia="it-IT"/>
        </w:rPr>
        <w:drawing>
          <wp:inline distT="0" distB="0" distL="0" distR="0">
            <wp:extent cx="5252085" cy="4333840"/>
            <wp:effectExtent l="19050" t="0" r="5715" b="0"/>
            <wp:docPr id="11"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srcRect/>
                    <a:stretch>
                      <a:fillRect/>
                    </a:stretch>
                  </pic:blipFill>
                  <pic:spPr bwMode="auto">
                    <a:xfrm>
                      <a:off x="0" y="0"/>
                      <a:ext cx="5252085" cy="4333840"/>
                    </a:xfrm>
                    <a:prstGeom prst="rect">
                      <a:avLst/>
                    </a:prstGeom>
                    <a:noFill/>
                    <a:ln w="9525">
                      <a:noFill/>
                      <a:miter lim="800000"/>
                      <a:headEnd/>
                      <a:tailEnd/>
                    </a:ln>
                  </pic:spPr>
                </pic:pic>
              </a:graphicData>
            </a:graphic>
          </wp:inline>
        </w:drawing>
      </w:r>
    </w:p>
    <w:p w:rsidR="00381ABF" w:rsidRPr="00EF60B7" w:rsidRDefault="00381ABF" w:rsidP="008D2DF6">
      <w:pPr>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È interessante notare come su tutto il campione (124 soggetti tra americani e italiani) se viene adottato un modello relazionale paternalistico i genitori dei pazienti in media esperiscono minori emozioni negative rispetto a quelle provate nel caso in cui il medico utilizza uno stile relazionale deliberativo o condiviso. Inoltre possiamo notare come le emozioni negative maggiormente esperite quando la decisione viene presa in maniera congiunta dal medico e dai genitori del paziente insieme (modello deliberativo) sono: nervosismo, agitazione, tristezza, angoscia e preoccupazione. Non sembrano essere presenti sentimenti di colpa.</w:t>
      </w:r>
    </w:p>
    <w:p w:rsidR="00381ABF" w:rsidRPr="00EF60B7" w:rsidRDefault="00381ABF" w:rsidP="008D2DF6">
      <w:pPr>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 xml:space="preserve">Relativamente alle correlazioni (vedi </w:t>
      </w:r>
      <w:r w:rsidRPr="00EF60B7">
        <w:rPr>
          <w:rFonts w:ascii="Times New Roman" w:hAnsi="Times New Roman" w:cs="Times New Roman"/>
          <w:b/>
          <w:sz w:val="24"/>
          <w:szCs w:val="24"/>
        </w:rPr>
        <w:t>tabella 6</w:t>
      </w:r>
      <w:r w:rsidRPr="00EF60B7">
        <w:rPr>
          <w:rFonts w:ascii="Times New Roman" w:hAnsi="Times New Roman" w:cs="Times New Roman"/>
          <w:sz w:val="24"/>
          <w:szCs w:val="24"/>
        </w:rPr>
        <w:t xml:space="preserve">) è stato trovato che le variabili “stile relazionale adottato”, “emozioni negative”, “livello di </w:t>
      </w:r>
      <w:r w:rsidRPr="00EF60B7">
        <w:rPr>
          <w:rFonts w:ascii="Times New Roman" w:hAnsi="Times New Roman" w:cs="Times New Roman"/>
          <w:i/>
          <w:sz w:val="24"/>
          <w:szCs w:val="24"/>
        </w:rPr>
        <w:t>confidence</w:t>
      </w:r>
      <w:r w:rsidRPr="00EF60B7">
        <w:rPr>
          <w:rFonts w:ascii="Times New Roman" w:hAnsi="Times New Roman" w:cs="Times New Roman"/>
          <w:sz w:val="24"/>
          <w:szCs w:val="24"/>
        </w:rPr>
        <w:t xml:space="preserve">” o “sicurezza nella decisione presa”, “decisione autonoma”, “genere” e “desiderio di controllo” sono correlate significativamente tra di loro. </w:t>
      </w:r>
    </w:p>
    <w:p w:rsidR="00381ABF" w:rsidRDefault="00381ABF" w:rsidP="008D2DF6">
      <w:pPr>
        <w:spacing w:line="360" w:lineRule="auto"/>
        <w:jc w:val="both"/>
        <w:rPr>
          <w:rFonts w:ascii="Times New Roman" w:hAnsi="Times New Roman" w:cs="Times New Roman"/>
          <w:sz w:val="24"/>
          <w:szCs w:val="24"/>
        </w:rPr>
      </w:pPr>
    </w:p>
    <w:p w:rsidR="005E716B" w:rsidRPr="00EF60B7" w:rsidRDefault="005E716B" w:rsidP="008D2DF6">
      <w:pPr>
        <w:spacing w:line="360" w:lineRule="auto"/>
        <w:jc w:val="both"/>
        <w:rPr>
          <w:rFonts w:ascii="Times New Roman" w:hAnsi="Times New Roman" w:cs="Times New Roman"/>
          <w:sz w:val="24"/>
          <w:szCs w:val="24"/>
        </w:rPr>
      </w:pPr>
    </w:p>
    <w:p w:rsidR="00381ABF" w:rsidRPr="00EF60B7" w:rsidRDefault="00381ABF" w:rsidP="008D2DF6">
      <w:pPr>
        <w:spacing w:line="360" w:lineRule="auto"/>
        <w:jc w:val="both"/>
        <w:rPr>
          <w:rFonts w:ascii="Times New Roman" w:hAnsi="Times New Roman" w:cs="Times New Roman"/>
          <w:sz w:val="24"/>
          <w:szCs w:val="24"/>
        </w:rPr>
      </w:pPr>
      <w:r w:rsidRPr="00EF60B7">
        <w:rPr>
          <w:rFonts w:ascii="Times New Roman" w:hAnsi="Times New Roman" w:cs="Times New Roman"/>
          <w:noProof/>
          <w:sz w:val="24"/>
          <w:szCs w:val="24"/>
          <w:lang w:eastAsia="it-IT"/>
        </w:rPr>
        <w:drawing>
          <wp:inline distT="0" distB="0" distL="0" distR="0">
            <wp:extent cx="5472000" cy="1562076"/>
            <wp:effectExtent l="19050" t="0" r="0" b="0"/>
            <wp:docPr id="12"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srcRect/>
                    <a:stretch>
                      <a:fillRect/>
                    </a:stretch>
                  </pic:blipFill>
                  <pic:spPr bwMode="auto">
                    <a:xfrm>
                      <a:off x="0" y="0"/>
                      <a:ext cx="5472000" cy="1562076"/>
                    </a:xfrm>
                    <a:prstGeom prst="rect">
                      <a:avLst/>
                    </a:prstGeom>
                    <a:noFill/>
                    <a:ln w="9525">
                      <a:noFill/>
                      <a:miter lim="800000"/>
                      <a:headEnd/>
                      <a:tailEnd/>
                    </a:ln>
                  </pic:spPr>
                </pic:pic>
              </a:graphicData>
            </a:graphic>
          </wp:inline>
        </w:drawing>
      </w:r>
    </w:p>
    <w:p w:rsidR="00381ABF" w:rsidRPr="00EF60B7" w:rsidRDefault="00381ABF" w:rsidP="008D2DF6">
      <w:pPr>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Dai risultati si evince che lo stile relazionale è correlato in maniera negativa con la scelta non autonoma  (</w:t>
      </w:r>
      <w:r w:rsidRPr="00EF60B7">
        <w:rPr>
          <w:rFonts w:ascii="Times New Roman" w:hAnsi="Times New Roman" w:cs="Times New Roman"/>
          <w:i/>
          <w:sz w:val="24"/>
          <w:szCs w:val="24"/>
        </w:rPr>
        <w:t>rho</w:t>
      </w:r>
      <w:r w:rsidRPr="00EF60B7">
        <w:rPr>
          <w:rFonts w:ascii="Times New Roman" w:hAnsi="Times New Roman" w:cs="Times New Roman"/>
          <w:sz w:val="24"/>
          <w:szCs w:val="24"/>
        </w:rPr>
        <w:t xml:space="preserve"> = -.295,  p &lt; .05), questo evidenzia come all’aumentare della scelta non autonoma si tenda verso il modello paternalistico ma non verso quello deliberativo. I risultati mostrano inoltre come uno stile relazionale deliberativo, dove familiari del paziente e medico prendono la decisione insieme, sia maggiormente correlato a emozioni negative rispetto a quando lo stile relazionale adottato dal medico è quello paternalistico. Infatti risultano significative le correlazioni tra stile relazionale del medico e stato emotivo negativo “nervoso” (</w:t>
      </w:r>
      <w:r w:rsidRPr="00EF60B7">
        <w:rPr>
          <w:rFonts w:ascii="Times New Roman" w:hAnsi="Times New Roman" w:cs="Times New Roman"/>
          <w:i/>
          <w:sz w:val="24"/>
          <w:szCs w:val="24"/>
        </w:rPr>
        <w:t>rho</w:t>
      </w:r>
      <w:r w:rsidRPr="00EF60B7">
        <w:rPr>
          <w:rFonts w:ascii="Times New Roman" w:hAnsi="Times New Roman" w:cs="Times New Roman"/>
          <w:sz w:val="24"/>
          <w:szCs w:val="24"/>
        </w:rPr>
        <w:t xml:space="preserve"> = .298, p &lt; .01), “turbato” (</w:t>
      </w:r>
      <w:r w:rsidRPr="00EF60B7">
        <w:rPr>
          <w:rFonts w:ascii="Times New Roman" w:hAnsi="Times New Roman" w:cs="Times New Roman"/>
          <w:i/>
          <w:sz w:val="24"/>
          <w:szCs w:val="24"/>
        </w:rPr>
        <w:t>rho</w:t>
      </w:r>
      <w:r w:rsidRPr="00EF60B7">
        <w:rPr>
          <w:rFonts w:ascii="Times New Roman" w:hAnsi="Times New Roman" w:cs="Times New Roman"/>
          <w:sz w:val="24"/>
          <w:szCs w:val="24"/>
        </w:rPr>
        <w:t xml:space="preserve"> = .246, p &lt; .05), “</w:t>
      </w:r>
      <w:r w:rsidRPr="00EF60B7">
        <w:rPr>
          <w:rFonts w:ascii="Times New Roman" w:hAnsi="Times New Roman" w:cs="Times New Roman"/>
          <w:i/>
          <w:sz w:val="24"/>
          <w:szCs w:val="24"/>
        </w:rPr>
        <w:t>distressed</w:t>
      </w:r>
      <w:r w:rsidRPr="00EF60B7">
        <w:rPr>
          <w:rFonts w:ascii="Times New Roman" w:hAnsi="Times New Roman" w:cs="Times New Roman"/>
          <w:sz w:val="24"/>
          <w:szCs w:val="24"/>
        </w:rPr>
        <w:t>” (</w:t>
      </w:r>
      <w:r w:rsidRPr="00EF60B7">
        <w:rPr>
          <w:rFonts w:ascii="Times New Roman" w:hAnsi="Times New Roman" w:cs="Times New Roman"/>
          <w:i/>
          <w:sz w:val="24"/>
          <w:szCs w:val="24"/>
        </w:rPr>
        <w:t>rho</w:t>
      </w:r>
      <w:r w:rsidRPr="00EF60B7">
        <w:rPr>
          <w:rFonts w:ascii="Times New Roman" w:hAnsi="Times New Roman" w:cs="Times New Roman"/>
          <w:sz w:val="24"/>
          <w:szCs w:val="24"/>
        </w:rPr>
        <w:t xml:space="preserve"> = .206, p &lt; .05), “preoccupato” (</w:t>
      </w:r>
      <w:r w:rsidRPr="00EF60B7">
        <w:rPr>
          <w:rFonts w:ascii="Times New Roman" w:hAnsi="Times New Roman" w:cs="Times New Roman"/>
          <w:i/>
          <w:sz w:val="24"/>
          <w:szCs w:val="24"/>
        </w:rPr>
        <w:t>rho</w:t>
      </w:r>
      <w:r w:rsidRPr="00EF60B7">
        <w:rPr>
          <w:rFonts w:ascii="Times New Roman" w:hAnsi="Times New Roman" w:cs="Times New Roman"/>
          <w:sz w:val="24"/>
          <w:szCs w:val="24"/>
        </w:rPr>
        <w:t xml:space="preserve"> = .212, p &lt; .05). Risultano infine correlati tra di loro in modo significativo gli stati emotivi “turbato” e “nervoso” (</w:t>
      </w:r>
      <w:r w:rsidRPr="00EF60B7">
        <w:rPr>
          <w:rFonts w:ascii="Times New Roman" w:hAnsi="Times New Roman" w:cs="Times New Roman"/>
          <w:i/>
          <w:sz w:val="24"/>
          <w:szCs w:val="24"/>
        </w:rPr>
        <w:t>rho</w:t>
      </w:r>
      <w:r w:rsidRPr="00EF60B7">
        <w:rPr>
          <w:rFonts w:ascii="Times New Roman" w:hAnsi="Times New Roman" w:cs="Times New Roman"/>
          <w:sz w:val="24"/>
          <w:szCs w:val="24"/>
        </w:rPr>
        <w:t xml:space="preserve"> = .629, p &lt; .01), “</w:t>
      </w:r>
      <w:r w:rsidRPr="00EF60B7">
        <w:rPr>
          <w:rFonts w:ascii="Times New Roman" w:hAnsi="Times New Roman" w:cs="Times New Roman"/>
          <w:i/>
          <w:sz w:val="24"/>
          <w:szCs w:val="24"/>
        </w:rPr>
        <w:t>distressed</w:t>
      </w:r>
      <w:r w:rsidRPr="00EF60B7">
        <w:rPr>
          <w:rFonts w:ascii="Times New Roman" w:hAnsi="Times New Roman" w:cs="Times New Roman"/>
          <w:sz w:val="24"/>
          <w:szCs w:val="24"/>
        </w:rPr>
        <w:t>” e “nervoso” (</w:t>
      </w:r>
      <w:r w:rsidRPr="00EF60B7">
        <w:rPr>
          <w:rFonts w:ascii="Times New Roman" w:hAnsi="Times New Roman" w:cs="Times New Roman"/>
          <w:i/>
          <w:sz w:val="24"/>
          <w:szCs w:val="24"/>
        </w:rPr>
        <w:t>rho</w:t>
      </w:r>
      <w:r w:rsidRPr="00EF60B7">
        <w:rPr>
          <w:rFonts w:ascii="Times New Roman" w:hAnsi="Times New Roman" w:cs="Times New Roman"/>
          <w:sz w:val="24"/>
          <w:szCs w:val="24"/>
        </w:rPr>
        <w:t xml:space="preserve"> = .640, p &lt; .01), “</w:t>
      </w:r>
      <w:r w:rsidRPr="00EF60B7">
        <w:rPr>
          <w:rFonts w:ascii="Times New Roman" w:hAnsi="Times New Roman" w:cs="Times New Roman"/>
          <w:i/>
          <w:sz w:val="24"/>
          <w:szCs w:val="24"/>
        </w:rPr>
        <w:t>distressed</w:t>
      </w:r>
      <w:r w:rsidRPr="00EF60B7">
        <w:rPr>
          <w:rFonts w:ascii="Times New Roman" w:hAnsi="Times New Roman" w:cs="Times New Roman"/>
          <w:sz w:val="24"/>
          <w:szCs w:val="24"/>
        </w:rPr>
        <w:t>” e “turbato” (</w:t>
      </w:r>
      <w:r w:rsidRPr="00EF60B7">
        <w:rPr>
          <w:rFonts w:ascii="Times New Roman" w:hAnsi="Times New Roman" w:cs="Times New Roman"/>
          <w:i/>
          <w:sz w:val="24"/>
          <w:szCs w:val="24"/>
        </w:rPr>
        <w:t>rho</w:t>
      </w:r>
      <w:r w:rsidRPr="00EF60B7">
        <w:rPr>
          <w:rFonts w:ascii="Times New Roman" w:hAnsi="Times New Roman" w:cs="Times New Roman"/>
          <w:sz w:val="24"/>
          <w:szCs w:val="24"/>
        </w:rPr>
        <w:t xml:space="preserve"> = .685, p &lt; .01), “</w:t>
      </w:r>
      <w:r w:rsidRPr="00EF60B7">
        <w:rPr>
          <w:rFonts w:ascii="Times New Roman" w:hAnsi="Times New Roman" w:cs="Times New Roman"/>
          <w:i/>
          <w:sz w:val="24"/>
          <w:szCs w:val="24"/>
        </w:rPr>
        <w:t>distresse</w:t>
      </w:r>
      <w:r w:rsidRPr="00EF60B7">
        <w:rPr>
          <w:rFonts w:ascii="Times New Roman" w:hAnsi="Times New Roman" w:cs="Times New Roman"/>
          <w:sz w:val="24"/>
          <w:szCs w:val="24"/>
        </w:rPr>
        <w:t>” e “triste” (</w:t>
      </w:r>
      <w:r w:rsidRPr="00EF60B7">
        <w:rPr>
          <w:rFonts w:ascii="Times New Roman" w:hAnsi="Times New Roman" w:cs="Times New Roman"/>
          <w:i/>
          <w:sz w:val="24"/>
          <w:szCs w:val="24"/>
        </w:rPr>
        <w:t>rho</w:t>
      </w:r>
      <w:r w:rsidRPr="00EF60B7">
        <w:rPr>
          <w:rFonts w:ascii="Times New Roman" w:hAnsi="Times New Roman" w:cs="Times New Roman"/>
          <w:sz w:val="24"/>
          <w:szCs w:val="24"/>
        </w:rPr>
        <w:t>= .750, p &lt; .01), “preoccupato” e tutti gli altri stati emotivi negativi “nervoso” (</w:t>
      </w:r>
      <w:r w:rsidRPr="00EF60B7">
        <w:rPr>
          <w:rFonts w:ascii="Times New Roman" w:hAnsi="Times New Roman" w:cs="Times New Roman"/>
          <w:i/>
          <w:sz w:val="24"/>
          <w:szCs w:val="24"/>
        </w:rPr>
        <w:t>rho</w:t>
      </w:r>
      <w:r w:rsidRPr="00EF60B7">
        <w:rPr>
          <w:rFonts w:ascii="Times New Roman" w:hAnsi="Times New Roman" w:cs="Times New Roman"/>
          <w:sz w:val="24"/>
          <w:szCs w:val="24"/>
        </w:rPr>
        <w:t xml:space="preserve"> = .486, p &lt; .01); “turbato” (</w:t>
      </w:r>
      <w:r w:rsidRPr="00EF60B7">
        <w:rPr>
          <w:rFonts w:ascii="Times New Roman" w:hAnsi="Times New Roman" w:cs="Times New Roman"/>
          <w:i/>
          <w:sz w:val="24"/>
          <w:szCs w:val="24"/>
        </w:rPr>
        <w:t>rho</w:t>
      </w:r>
      <w:r w:rsidRPr="00EF60B7">
        <w:rPr>
          <w:rFonts w:ascii="Times New Roman" w:hAnsi="Times New Roman" w:cs="Times New Roman"/>
          <w:sz w:val="24"/>
          <w:szCs w:val="24"/>
        </w:rPr>
        <w:t xml:space="preserve"> = .498, p &lt; .01); “triste” (</w:t>
      </w:r>
      <w:r w:rsidRPr="00EF60B7">
        <w:rPr>
          <w:rFonts w:ascii="Times New Roman" w:hAnsi="Times New Roman" w:cs="Times New Roman"/>
          <w:i/>
          <w:sz w:val="24"/>
          <w:szCs w:val="24"/>
        </w:rPr>
        <w:t>rho</w:t>
      </w:r>
      <w:r w:rsidRPr="00EF60B7">
        <w:rPr>
          <w:rFonts w:ascii="Times New Roman" w:hAnsi="Times New Roman" w:cs="Times New Roman"/>
          <w:sz w:val="24"/>
          <w:szCs w:val="24"/>
        </w:rPr>
        <w:t xml:space="preserve"> = .459, p &lt; .05); “</w:t>
      </w:r>
      <w:r w:rsidRPr="00EF60B7">
        <w:rPr>
          <w:rFonts w:ascii="Times New Roman" w:hAnsi="Times New Roman" w:cs="Times New Roman"/>
          <w:i/>
          <w:sz w:val="24"/>
          <w:szCs w:val="24"/>
        </w:rPr>
        <w:t>distressed</w:t>
      </w:r>
      <w:r w:rsidRPr="00EF60B7">
        <w:rPr>
          <w:rFonts w:ascii="Times New Roman" w:hAnsi="Times New Roman" w:cs="Times New Roman"/>
          <w:sz w:val="24"/>
          <w:szCs w:val="24"/>
        </w:rPr>
        <w:t xml:space="preserve">”( </w:t>
      </w:r>
      <w:r w:rsidRPr="00EF60B7">
        <w:rPr>
          <w:rFonts w:ascii="Times New Roman" w:hAnsi="Times New Roman" w:cs="Times New Roman"/>
          <w:i/>
          <w:sz w:val="24"/>
          <w:szCs w:val="24"/>
        </w:rPr>
        <w:t>rho</w:t>
      </w:r>
      <w:r w:rsidRPr="00EF60B7">
        <w:rPr>
          <w:rFonts w:ascii="Times New Roman" w:hAnsi="Times New Roman" w:cs="Times New Roman"/>
          <w:sz w:val="24"/>
          <w:szCs w:val="24"/>
        </w:rPr>
        <w:t xml:space="preserve"> = .592, p &lt; .01); “in colpa” (</w:t>
      </w:r>
      <w:r w:rsidRPr="00EF60B7">
        <w:rPr>
          <w:rFonts w:ascii="Times New Roman" w:hAnsi="Times New Roman" w:cs="Times New Roman"/>
          <w:i/>
          <w:sz w:val="24"/>
          <w:szCs w:val="24"/>
        </w:rPr>
        <w:t xml:space="preserve">rho </w:t>
      </w:r>
      <w:r w:rsidRPr="00EF60B7">
        <w:rPr>
          <w:rFonts w:ascii="Times New Roman" w:hAnsi="Times New Roman" w:cs="Times New Roman"/>
          <w:sz w:val="24"/>
          <w:szCs w:val="24"/>
        </w:rPr>
        <w:t>= .609, p &lt; .01), “in colpa” correla in maniera significativa con tutti gli stati emotivi negativi (vedi tabella 6). Infine si nota come il desiderio di delegare la decisione presa è correlato significativamente in maniera negativa con lo stile relazionale adottato (</w:t>
      </w:r>
      <w:r w:rsidRPr="00EF60B7">
        <w:rPr>
          <w:rFonts w:ascii="Times New Roman" w:hAnsi="Times New Roman" w:cs="Times New Roman"/>
          <w:i/>
          <w:sz w:val="24"/>
          <w:szCs w:val="24"/>
        </w:rPr>
        <w:t>rho</w:t>
      </w:r>
      <w:r w:rsidRPr="00EF60B7">
        <w:rPr>
          <w:rFonts w:ascii="Times New Roman" w:hAnsi="Times New Roman" w:cs="Times New Roman"/>
          <w:sz w:val="24"/>
          <w:szCs w:val="24"/>
        </w:rPr>
        <w:t xml:space="preserve"> = -.295, p &lt; .01). Questo mostra che maggiore è la tendenza a delegare, minore è quella ad adottare uno stile relazionale deliberativo. Il desiderio di delegare correla positivamente in maniera significativa con il grado di sicurezza nella decisione presa (</w:t>
      </w:r>
      <w:r w:rsidRPr="00EF60B7">
        <w:rPr>
          <w:rFonts w:ascii="Times New Roman" w:hAnsi="Times New Roman" w:cs="Times New Roman"/>
          <w:i/>
          <w:sz w:val="24"/>
          <w:szCs w:val="24"/>
        </w:rPr>
        <w:t>rho</w:t>
      </w:r>
      <w:r w:rsidRPr="00EF60B7">
        <w:rPr>
          <w:rFonts w:ascii="Times New Roman" w:hAnsi="Times New Roman" w:cs="Times New Roman"/>
          <w:sz w:val="24"/>
          <w:szCs w:val="24"/>
        </w:rPr>
        <w:t xml:space="preserve"> = .263, p &lt; .01).</w:t>
      </w:r>
    </w:p>
    <w:p w:rsidR="00381ABF" w:rsidRPr="00EF60B7" w:rsidRDefault="00381ABF" w:rsidP="008D2DF6">
      <w:pPr>
        <w:pStyle w:val="NormaleWeb"/>
        <w:spacing w:after="0" w:line="360" w:lineRule="auto"/>
        <w:jc w:val="both"/>
      </w:pPr>
      <w:r w:rsidRPr="00EF60B7">
        <w:lastRenderedPageBreak/>
        <w:t xml:space="preserve">Mediante ANOVA (vedi </w:t>
      </w:r>
      <w:r w:rsidRPr="00EF60B7">
        <w:rPr>
          <w:b/>
        </w:rPr>
        <w:t>tabella 7</w:t>
      </w:r>
      <w:r w:rsidRPr="00EF60B7">
        <w:t xml:space="preserve">) sono stati confrontati i punteggi ottenuti per ciascuna emozione negativa tra il modello paternalistico e quello deliberativo su tutto il campione di studenti (italiani e americani). </w:t>
      </w:r>
    </w:p>
    <w:p w:rsidR="00381ABF" w:rsidRPr="00EF60B7" w:rsidRDefault="00381ABF" w:rsidP="008D2DF6">
      <w:pPr>
        <w:pStyle w:val="NormaleWeb"/>
        <w:spacing w:after="0" w:line="360" w:lineRule="auto"/>
        <w:jc w:val="both"/>
      </w:pPr>
      <w:r w:rsidRPr="00EF60B7">
        <w:rPr>
          <w:noProof/>
        </w:rPr>
        <w:drawing>
          <wp:inline distT="0" distB="0" distL="0" distR="0">
            <wp:extent cx="5252085" cy="4264636"/>
            <wp:effectExtent l="19050" t="0" r="0" b="0"/>
            <wp:docPr id="15"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srcRect/>
                    <a:stretch>
                      <a:fillRect/>
                    </a:stretch>
                  </pic:blipFill>
                  <pic:spPr bwMode="auto">
                    <a:xfrm>
                      <a:off x="0" y="0"/>
                      <a:ext cx="5252085" cy="4264636"/>
                    </a:xfrm>
                    <a:prstGeom prst="rect">
                      <a:avLst/>
                    </a:prstGeom>
                    <a:noFill/>
                    <a:ln w="9525">
                      <a:noFill/>
                      <a:miter lim="800000"/>
                      <a:headEnd/>
                      <a:tailEnd/>
                    </a:ln>
                  </pic:spPr>
                </pic:pic>
              </a:graphicData>
            </a:graphic>
          </wp:inline>
        </w:drawing>
      </w:r>
    </w:p>
    <w:p w:rsidR="00381ABF" w:rsidRPr="00EF60B7" w:rsidRDefault="00381ABF" w:rsidP="008D2DF6">
      <w:pPr>
        <w:pStyle w:val="NormaleWeb"/>
        <w:spacing w:after="0" w:line="360" w:lineRule="auto"/>
        <w:jc w:val="both"/>
      </w:pPr>
    </w:p>
    <w:p w:rsidR="00381ABF" w:rsidRPr="00EF60B7" w:rsidRDefault="00381ABF" w:rsidP="008D2DF6">
      <w:pPr>
        <w:pStyle w:val="NormaleWeb"/>
        <w:spacing w:after="0" w:line="360" w:lineRule="auto"/>
        <w:jc w:val="both"/>
      </w:pPr>
      <w:r w:rsidRPr="00EF60B7">
        <w:t>Quando viene adottato il modello deliberativo si ottengono punteggi più alti  nell’emozione “Nervoso” (F (1,122) = 11, p &lt; .001),  “Turbato” (F(1,121) = 6.36,      p &lt; .01), “</w:t>
      </w:r>
      <w:r w:rsidRPr="00EF60B7">
        <w:rPr>
          <w:i/>
        </w:rPr>
        <w:t>Distressed</w:t>
      </w:r>
      <w:r w:rsidRPr="00EF60B7">
        <w:t xml:space="preserve">” (F(1,121) = 4.74, p &lt; .05), “Preoccupato” (F(1,121) = 5.34,     p &lt;.05) rispetto al modello paternalistico. </w:t>
      </w:r>
    </w:p>
    <w:p w:rsidR="00381ABF" w:rsidRPr="00EF60B7" w:rsidRDefault="00381ABF" w:rsidP="008D2DF6">
      <w:pPr>
        <w:pStyle w:val="NormaleWeb"/>
        <w:spacing w:after="0" w:line="360" w:lineRule="auto"/>
        <w:jc w:val="both"/>
      </w:pPr>
      <w:r w:rsidRPr="00EF60B7">
        <w:t xml:space="preserve">Mediante il test di Mann-Whitney sono stati confrontati i punteggi ottenuti per i due modelli relazionali (paternalistico versus deliberativo) sia per il campione italiano che per quello americano. Dall’analisi è emerso che gli studenti italiani ottengono punteggi più elevati quando utilizzano il modello deliberativo per la dimensione “Nervoso” (U = 270, p  &lt; .01), “Turbato” (U = 326,  p &lt; .05), “Preoccupato”           (U = 319.5, p &lt; .05); è emerso inoltre che gli studenti </w:t>
      </w:r>
      <w:r w:rsidRPr="00EF60B7">
        <w:lastRenderedPageBreak/>
        <w:t>americani ottengono punteggi più elevati solo per quanto attiene alla dimensione “</w:t>
      </w:r>
      <w:r w:rsidRPr="00EF60B7">
        <w:rPr>
          <w:i/>
        </w:rPr>
        <w:t>Distressed</w:t>
      </w:r>
      <w:r w:rsidRPr="00EF60B7">
        <w:t>” (U = 391.5, p &lt; .05). Per quanto riguarda il desiderio di fare scelte autonome in situazioni critiche nel campione italiano si riscontra un minore desiderio quando si adotta uno stile relazionale paternalistico, nel campione americano non si rilevano differenze significative tra il modello paternalistico e quello deliberativo per quanto riguarda il desiderio di fare una scelta autonoma. Infine, non sono state riscontrate differenze significative tra maschi e femmine rispetto alla variabile criterio “stile relazionale adottato” tranne per il fatto che le femmine preferiscono delegare la scelta in una situazione critica più dei maschi (U = 678, p &lt; .01). Questo risultato potrebbe dipendere dal fatto che il campione non è omogeneo per quanto concerne la variabile genere (98 femmine e 26 maschi).</w:t>
      </w:r>
    </w:p>
    <w:p w:rsidR="00381ABF" w:rsidRDefault="00381ABF" w:rsidP="008D2DF6">
      <w:pPr>
        <w:pStyle w:val="NormaleWeb"/>
        <w:spacing w:after="0" w:line="360" w:lineRule="auto"/>
        <w:jc w:val="both"/>
      </w:pPr>
      <w:r w:rsidRPr="00EF60B7">
        <w:t>Infine è stata utilizzata  l’ Analisi della Varianza Multivariata (Manova) per valutare le differenze tra il gruppo degli studenti americani e quello degli studenti italiani per le variabili  “stato emotivo nervoso”, “turbato”, “triste”, “</w:t>
      </w:r>
      <w:r w:rsidRPr="00EF60B7">
        <w:rPr>
          <w:i/>
        </w:rPr>
        <w:t>distressed</w:t>
      </w:r>
      <w:r w:rsidRPr="00EF60B7">
        <w:t xml:space="preserve">”, “preoccupato” e “in colpa” rispetto alla variabile criterio “modello relazionale” che assume i due livelli “paternalistico” e “deliberativo”. Mediante MANOVA (vedi </w:t>
      </w:r>
      <w:r w:rsidRPr="00EF60B7">
        <w:rPr>
          <w:b/>
        </w:rPr>
        <w:t>tabella 8</w:t>
      </w:r>
      <w:r w:rsidRPr="00EF60B7">
        <w:t>) sono stati confrontati i punteggi ottenuti per ciascuna emozione negativa tra il modello paternalistico e quello deliberativo nei due campioni americano e italiano. Dalla Manova è risultato che c’è una differenza significativa tra americani e italiani per quanto attiene all’emozione negativa “Preoccupazione” (F = 6.13, p &lt; .01). Quando viene adottato il modello deliberativo si ottengono punteggi più alti  in tutte le emozioni negative tranne che nella “tristezza” e nel “senso di colpa” rispetto a quando si utilizza il modello paternalistico. I risultati sono i seguenti: “Nervoso” (F = 10.67, p &lt; .01),  “Turbato” (F = 6.27,  p &lt; .01), “Preoccupato” (F = 5.44, p &lt; .05) “</w:t>
      </w:r>
      <w:r w:rsidRPr="00EF60B7">
        <w:rPr>
          <w:i/>
        </w:rPr>
        <w:t>Distressed</w:t>
      </w:r>
      <w:r w:rsidRPr="00EF60B7">
        <w:t>” (F = 4.67 , p &lt; .05),  . Infine non risulta significativo l’effetto di interazione tra “campione socio culturale di appartenenza” e “modello relazionale utilizzato dal medico”  sulle emozioni negative.</w:t>
      </w:r>
    </w:p>
    <w:p w:rsidR="005E716B" w:rsidRDefault="005E716B" w:rsidP="008D2DF6">
      <w:pPr>
        <w:pStyle w:val="NormaleWeb"/>
        <w:spacing w:after="0" w:line="360" w:lineRule="auto"/>
        <w:jc w:val="both"/>
      </w:pPr>
    </w:p>
    <w:p w:rsidR="005E716B" w:rsidRDefault="005E716B" w:rsidP="008D2DF6">
      <w:pPr>
        <w:pStyle w:val="NormaleWeb"/>
        <w:spacing w:after="0" w:line="360" w:lineRule="auto"/>
        <w:jc w:val="both"/>
      </w:pPr>
    </w:p>
    <w:p w:rsidR="005E716B" w:rsidRPr="00EF60B7" w:rsidRDefault="005E716B" w:rsidP="008D2DF6">
      <w:pPr>
        <w:pStyle w:val="NormaleWeb"/>
        <w:spacing w:after="0" w:line="360" w:lineRule="auto"/>
        <w:jc w:val="both"/>
      </w:pPr>
    </w:p>
    <w:p w:rsidR="00381ABF" w:rsidRPr="00EF60B7" w:rsidRDefault="00381ABF" w:rsidP="008D2DF6">
      <w:pPr>
        <w:pStyle w:val="NormaleWeb"/>
        <w:spacing w:after="0" w:line="360" w:lineRule="auto"/>
        <w:jc w:val="both"/>
      </w:pPr>
      <w:r w:rsidRPr="00EF60B7">
        <w:rPr>
          <w:noProof/>
        </w:rPr>
        <w:drawing>
          <wp:inline distT="0" distB="0" distL="0" distR="0">
            <wp:extent cx="5252085" cy="3311743"/>
            <wp:effectExtent l="19050" t="0" r="0" b="0"/>
            <wp:docPr id="3"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srcRect/>
                    <a:stretch>
                      <a:fillRect/>
                    </a:stretch>
                  </pic:blipFill>
                  <pic:spPr bwMode="auto">
                    <a:xfrm>
                      <a:off x="0" y="0"/>
                      <a:ext cx="5252085" cy="3311743"/>
                    </a:xfrm>
                    <a:prstGeom prst="rect">
                      <a:avLst/>
                    </a:prstGeom>
                    <a:noFill/>
                    <a:ln w="9525">
                      <a:noFill/>
                      <a:miter lim="800000"/>
                      <a:headEnd/>
                      <a:tailEnd/>
                    </a:ln>
                  </pic:spPr>
                </pic:pic>
              </a:graphicData>
            </a:graphic>
          </wp:inline>
        </w:drawing>
      </w:r>
    </w:p>
    <w:p w:rsidR="00381ABF" w:rsidRPr="00EF60B7" w:rsidRDefault="00381ABF" w:rsidP="008D2DF6">
      <w:pPr>
        <w:autoSpaceDE w:val="0"/>
        <w:autoSpaceDN w:val="0"/>
        <w:adjustRightInd w:val="0"/>
        <w:spacing w:line="360" w:lineRule="auto"/>
        <w:jc w:val="both"/>
        <w:rPr>
          <w:rFonts w:ascii="Times New Roman" w:hAnsi="Times New Roman" w:cs="Times New Roman"/>
          <w:i/>
          <w:sz w:val="24"/>
          <w:szCs w:val="24"/>
        </w:rPr>
      </w:pPr>
    </w:p>
    <w:p w:rsidR="00381ABF" w:rsidRPr="00EF60B7" w:rsidRDefault="00381ABF" w:rsidP="008D2DF6">
      <w:pPr>
        <w:autoSpaceDE w:val="0"/>
        <w:autoSpaceDN w:val="0"/>
        <w:adjustRightInd w:val="0"/>
        <w:spacing w:line="360" w:lineRule="auto"/>
        <w:jc w:val="both"/>
        <w:rPr>
          <w:rFonts w:ascii="Times New Roman" w:hAnsi="Times New Roman" w:cs="Times New Roman"/>
          <w:i/>
          <w:sz w:val="24"/>
          <w:szCs w:val="24"/>
        </w:rPr>
      </w:pPr>
      <w:r w:rsidRPr="00EF60B7">
        <w:rPr>
          <w:rFonts w:ascii="Times New Roman" w:hAnsi="Times New Roman" w:cs="Times New Roman"/>
          <w:i/>
          <w:sz w:val="24"/>
          <w:szCs w:val="24"/>
        </w:rPr>
        <w:t>3.4.2 Risultati Studio 2</w:t>
      </w:r>
    </w:p>
    <w:p w:rsidR="00381ABF" w:rsidRPr="00EF60B7" w:rsidRDefault="00381ABF" w:rsidP="008D2DF6">
      <w:pPr>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 xml:space="preserve">Relativamente allo Studio 2 è stato testato il modello validato nello Studio 1 prima su un gruppo di 62 genitori con figli nati a termine reclutato presso l’Asilo Nido “Giocomondo” e presso la Scuola Materna “De Gasperi” di Palermo e poi su un gruppo di genitori di bambini nati pretermine che si recavano al servizio ambulatoriale per le visite di controllo entro un anno dalla dimissione presso le Unità Operative di Neonatologia Intensiva degli Ospedali Riuniti “Cervello-Villa Sofia” della AUSL 6 di Palermo. Inizialmente nello Studio 2 sono stati riportati i risultati di tutto il campione di genitori (con figli nati a termine e figli nati pretermine). In seguito è stato messo a confronto il gruppo dei genitori non clinici con figli nati a termine con quello dei genitori clinici con figli nati pretermine. Nella </w:t>
      </w:r>
      <w:r w:rsidRPr="00EF60B7">
        <w:rPr>
          <w:rFonts w:ascii="Times New Roman" w:hAnsi="Times New Roman" w:cs="Times New Roman"/>
          <w:i/>
          <w:sz w:val="24"/>
          <w:szCs w:val="24"/>
        </w:rPr>
        <w:t xml:space="preserve">tabella 9 </w:t>
      </w:r>
      <w:r w:rsidRPr="00EF60B7">
        <w:rPr>
          <w:rFonts w:ascii="Times New Roman" w:hAnsi="Times New Roman" w:cs="Times New Roman"/>
          <w:sz w:val="24"/>
          <w:szCs w:val="24"/>
        </w:rPr>
        <w:t xml:space="preserve">sono riportate medie, deviazioni standard rispetto alle emozioni negative in rapporto allo stile relazionale utilizzato dal medico quando si rapporta ai genitori dei pazienti. </w:t>
      </w:r>
    </w:p>
    <w:p w:rsidR="00381ABF" w:rsidRPr="00EF60B7" w:rsidRDefault="00381ABF" w:rsidP="008D2DF6">
      <w:pPr>
        <w:spacing w:line="360" w:lineRule="auto"/>
        <w:jc w:val="both"/>
        <w:rPr>
          <w:rFonts w:ascii="Times New Roman" w:hAnsi="Times New Roman" w:cs="Times New Roman"/>
          <w:sz w:val="24"/>
          <w:szCs w:val="24"/>
        </w:rPr>
      </w:pPr>
    </w:p>
    <w:tbl>
      <w:tblPr>
        <w:tblW w:w="7860" w:type="dxa"/>
        <w:tblInd w:w="55" w:type="dxa"/>
        <w:tblCellMar>
          <w:left w:w="70" w:type="dxa"/>
          <w:right w:w="70" w:type="dxa"/>
        </w:tblCellMar>
        <w:tblLook w:val="04A0"/>
      </w:tblPr>
      <w:tblGrid>
        <w:gridCol w:w="3727"/>
        <w:gridCol w:w="1955"/>
        <w:gridCol w:w="573"/>
        <w:gridCol w:w="944"/>
        <w:gridCol w:w="661"/>
      </w:tblGrid>
      <w:tr w:rsidR="00381ABF" w:rsidRPr="00EF60B7" w:rsidTr="00D564CF">
        <w:trPr>
          <w:trHeight w:val="300"/>
        </w:trPr>
        <w:tc>
          <w:tcPr>
            <w:tcW w:w="7860" w:type="dxa"/>
            <w:gridSpan w:val="5"/>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i/>
                <w:iCs/>
                <w:color w:val="000000"/>
                <w:sz w:val="24"/>
                <w:szCs w:val="24"/>
                <w:lang w:eastAsia="it-IT"/>
              </w:rPr>
            </w:pPr>
            <w:r w:rsidRPr="00EF60B7">
              <w:rPr>
                <w:rFonts w:ascii="Times New Roman" w:eastAsia="Times New Roman" w:hAnsi="Times New Roman" w:cs="Times New Roman"/>
                <w:i/>
                <w:iCs/>
                <w:color w:val="000000"/>
                <w:sz w:val="24"/>
                <w:szCs w:val="24"/>
                <w:lang w:eastAsia="it-IT"/>
              </w:rPr>
              <w:lastRenderedPageBreak/>
              <w:t>Tabella 9. Statistiche descrittive per i punteggi sulle emozioni in relazione al</w:t>
            </w:r>
          </w:p>
        </w:tc>
      </w:tr>
      <w:tr w:rsidR="00381ABF" w:rsidRPr="00EF60B7" w:rsidTr="00D564CF">
        <w:trPr>
          <w:trHeight w:val="300"/>
        </w:trPr>
        <w:tc>
          <w:tcPr>
            <w:tcW w:w="5682" w:type="dxa"/>
            <w:gridSpan w:val="2"/>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i/>
                <w:iCs/>
                <w:color w:val="000000"/>
                <w:sz w:val="24"/>
                <w:szCs w:val="24"/>
                <w:lang w:eastAsia="it-IT"/>
              </w:rPr>
            </w:pPr>
            <w:r w:rsidRPr="00EF60B7">
              <w:rPr>
                <w:rFonts w:ascii="Times New Roman" w:eastAsia="Times New Roman" w:hAnsi="Times New Roman" w:cs="Times New Roman"/>
                <w:i/>
                <w:iCs/>
                <w:color w:val="000000"/>
                <w:sz w:val="24"/>
                <w:szCs w:val="24"/>
                <w:lang w:eastAsia="it-IT"/>
              </w:rPr>
              <w:t>modello medico-paziente utilizzato</w:t>
            </w:r>
          </w:p>
        </w:tc>
        <w:tc>
          <w:tcPr>
            <w:tcW w:w="57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944"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661"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r>
      <w:tr w:rsidR="00381ABF" w:rsidRPr="00EF60B7" w:rsidTr="00D564CF">
        <w:trPr>
          <w:trHeight w:val="300"/>
        </w:trPr>
        <w:tc>
          <w:tcPr>
            <w:tcW w:w="3727" w:type="dxa"/>
            <w:tcBorders>
              <w:top w:val="single" w:sz="4" w:space="0" w:color="auto"/>
              <w:left w:val="nil"/>
              <w:bottom w:val="single" w:sz="4" w:space="0" w:color="auto"/>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i/>
                <w:iCs/>
                <w:color w:val="000000"/>
                <w:sz w:val="24"/>
                <w:szCs w:val="24"/>
                <w:lang w:eastAsia="it-IT"/>
              </w:rPr>
            </w:pPr>
            <w:r w:rsidRPr="00EF60B7">
              <w:rPr>
                <w:rFonts w:ascii="Times New Roman" w:eastAsia="Times New Roman" w:hAnsi="Times New Roman" w:cs="Times New Roman"/>
                <w:i/>
                <w:iCs/>
                <w:color w:val="000000"/>
                <w:sz w:val="24"/>
                <w:szCs w:val="24"/>
                <w:lang w:eastAsia="it-IT"/>
              </w:rPr>
              <w:t> </w:t>
            </w:r>
          </w:p>
        </w:tc>
        <w:tc>
          <w:tcPr>
            <w:tcW w:w="1955" w:type="dxa"/>
            <w:tcBorders>
              <w:top w:val="single" w:sz="4" w:space="0" w:color="auto"/>
              <w:left w:val="nil"/>
              <w:bottom w:val="single" w:sz="4" w:space="0" w:color="auto"/>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i/>
                <w:iCs/>
                <w:color w:val="000000"/>
                <w:sz w:val="24"/>
                <w:szCs w:val="24"/>
                <w:lang w:eastAsia="it-IT"/>
              </w:rPr>
            </w:pPr>
            <w:r w:rsidRPr="00EF60B7">
              <w:rPr>
                <w:rFonts w:ascii="Times New Roman" w:eastAsia="Times New Roman" w:hAnsi="Times New Roman" w:cs="Times New Roman"/>
                <w:i/>
                <w:iCs/>
                <w:color w:val="000000"/>
                <w:sz w:val="24"/>
                <w:szCs w:val="24"/>
                <w:lang w:eastAsia="it-IT"/>
              </w:rPr>
              <w:t>Modello</w:t>
            </w:r>
          </w:p>
        </w:tc>
        <w:tc>
          <w:tcPr>
            <w:tcW w:w="573" w:type="dxa"/>
            <w:tcBorders>
              <w:top w:val="single" w:sz="4" w:space="0" w:color="auto"/>
              <w:left w:val="nil"/>
              <w:bottom w:val="single" w:sz="4" w:space="0" w:color="auto"/>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i/>
                <w:iCs/>
                <w:color w:val="000000"/>
                <w:sz w:val="24"/>
                <w:szCs w:val="24"/>
                <w:lang w:eastAsia="it-IT"/>
              </w:rPr>
            </w:pPr>
            <w:r w:rsidRPr="00EF60B7">
              <w:rPr>
                <w:rFonts w:ascii="Times New Roman" w:eastAsia="Times New Roman" w:hAnsi="Times New Roman" w:cs="Times New Roman"/>
                <w:i/>
                <w:iCs/>
                <w:color w:val="000000"/>
                <w:sz w:val="24"/>
                <w:szCs w:val="24"/>
                <w:lang w:eastAsia="it-IT"/>
              </w:rPr>
              <w:t>N</w:t>
            </w:r>
          </w:p>
        </w:tc>
        <w:tc>
          <w:tcPr>
            <w:tcW w:w="944" w:type="dxa"/>
            <w:tcBorders>
              <w:top w:val="single" w:sz="4" w:space="0" w:color="auto"/>
              <w:left w:val="nil"/>
              <w:bottom w:val="single" w:sz="4" w:space="0" w:color="auto"/>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i/>
                <w:iCs/>
                <w:color w:val="000000"/>
                <w:sz w:val="24"/>
                <w:szCs w:val="24"/>
                <w:lang w:eastAsia="it-IT"/>
              </w:rPr>
            </w:pPr>
            <w:r w:rsidRPr="00EF60B7">
              <w:rPr>
                <w:rFonts w:ascii="Times New Roman" w:eastAsia="Times New Roman" w:hAnsi="Times New Roman" w:cs="Times New Roman"/>
                <w:i/>
                <w:iCs/>
                <w:color w:val="000000"/>
                <w:sz w:val="24"/>
                <w:szCs w:val="24"/>
                <w:lang w:eastAsia="it-IT"/>
              </w:rPr>
              <w:t>Media</w:t>
            </w:r>
          </w:p>
        </w:tc>
        <w:tc>
          <w:tcPr>
            <w:tcW w:w="661" w:type="dxa"/>
            <w:tcBorders>
              <w:top w:val="single" w:sz="4" w:space="0" w:color="auto"/>
              <w:left w:val="nil"/>
              <w:bottom w:val="single" w:sz="4" w:space="0" w:color="auto"/>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i/>
                <w:iCs/>
                <w:color w:val="000000"/>
                <w:sz w:val="24"/>
                <w:szCs w:val="24"/>
                <w:lang w:eastAsia="it-IT"/>
              </w:rPr>
            </w:pPr>
            <w:r w:rsidRPr="00EF60B7">
              <w:rPr>
                <w:rFonts w:ascii="Times New Roman" w:eastAsia="Times New Roman" w:hAnsi="Times New Roman" w:cs="Times New Roman"/>
                <w:i/>
                <w:iCs/>
                <w:color w:val="000000"/>
                <w:sz w:val="24"/>
                <w:szCs w:val="24"/>
                <w:lang w:eastAsia="it-IT"/>
              </w:rPr>
              <w:t>SD</w:t>
            </w:r>
          </w:p>
        </w:tc>
      </w:tr>
      <w:tr w:rsidR="00381ABF" w:rsidRPr="00EF60B7" w:rsidTr="00D564CF">
        <w:trPr>
          <w:trHeight w:val="300"/>
        </w:trPr>
        <w:tc>
          <w:tcPr>
            <w:tcW w:w="372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Nervoso</w:t>
            </w:r>
          </w:p>
        </w:tc>
        <w:tc>
          <w:tcPr>
            <w:tcW w:w="1955"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Paternalistico</w:t>
            </w:r>
          </w:p>
        </w:tc>
        <w:tc>
          <w:tcPr>
            <w:tcW w:w="57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64</w:t>
            </w:r>
          </w:p>
        </w:tc>
        <w:tc>
          <w:tcPr>
            <w:tcW w:w="944"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6.83</w:t>
            </w:r>
          </w:p>
        </w:tc>
        <w:tc>
          <w:tcPr>
            <w:tcW w:w="661"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2.50</w:t>
            </w:r>
          </w:p>
        </w:tc>
      </w:tr>
      <w:tr w:rsidR="00381ABF" w:rsidRPr="00EF60B7" w:rsidTr="00D564CF">
        <w:trPr>
          <w:trHeight w:val="300"/>
        </w:trPr>
        <w:tc>
          <w:tcPr>
            <w:tcW w:w="372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1955"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Deliberativo</w:t>
            </w:r>
          </w:p>
        </w:tc>
        <w:tc>
          <w:tcPr>
            <w:tcW w:w="57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61</w:t>
            </w:r>
          </w:p>
        </w:tc>
        <w:tc>
          <w:tcPr>
            <w:tcW w:w="944"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6.78</w:t>
            </w:r>
          </w:p>
        </w:tc>
        <w:tc>
          <w:tcPr>
            <w:tcW w:w="661"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2.66</w:t>
            </w:r>
          </w:p>
        </w:tc>
      </w:tr>
      <w:tr w:rsidR="00381ABF" w:rsidRPr="00EF60B7" w:rsidTr="00D564CF">
        <w:trPr>
          <w:trHeight w:val="300"/>
        </w:trPr>
        <w:tc>
          <w:tcPr>
            <w:tcW w:w="372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1955"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57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944"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661"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r>
      <w:tr w:rsidR="00381ABF" w:rsidRPr="00EF60B7" w:rsidTr="00D564CF">
        <w:trPr>
          <w:trHeight w:val="300"/>
        </w:trPr>
        <w:tc>
          <w:tcPr>
            <w:tcW w:w="372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Turbato</w:t>
            </w:r>
          </w:p>
        </w:tc>
        <w:tc>
          <w:tcPr>
            <w:tcW w:w="1955"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Paternalistico</w:t>
            </w:r>
          </w:p>
        </w:tc>
        <w:tc>
          <w:tcPr>
            <w:tcW w:w="57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64</w:t>
            </w:r>
          </w:p>
        </w:tc>
        <w:tc>
          <w:tcPr>
            <w:tcW w:w="944"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8.08</w:t>
            </w:r>
          </w:p>
        </w:tc>
        <w:tc>
          <w:tcPr>
            <w:tcW w:w="661"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1.41</w:t>
            </w:r>
          </w:p>
        </w:tc>
      </w:tr>
      <w:tr w:rsidR="00381ABF" w:rsidRPr="00EF60B7" w:rsidTr="00D564CF">
        <w:trPr>
          <w:trHeight w:val="300"/>
        </w:trPr>
        <w:tc>
          <w:tcPr>
            <w:tcW w:w="372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1955"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Deliberativo</w:t>
            </w:r>
          </w:p>
        </w:tc>
        <w:tc>
          <w:tcPr>
            <w:tcW w:w="57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61</w:t>
            </w:r>
          </w:p>
        </w:tc>
        <w:tc>
          <w:tcPr>
            <w:tcW w:w="944"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7.53</w:t>
            </w:r>
          </w:p>
        </w:tc>
        <w:tc>
          <w:tcPr>
            <w:tcW w:w="661"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2.02</w:t>
            </w:r>
          </w:p>
        </w:tc>
      </w:tr>
      <w:tr w:rsidR="00381ABF" w:rsidRPr="00EF60B7" w:rsidTr="00D564CF">
        <w:trPr>
          <w:trHeight w:val="300"/>
        </w:trPr>
        <w:tc>
          <w:tcPr>
            <w:tcW w:w="372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1955"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57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944"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661"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r>
      <w:tr w:rsidR="00381ABF" w:rsidRPr="00EF60B7" w:rsidTr="00D564CF">
        <w:trPr>
          <w:trHeight w:val="300"/>
        </w:trPr>
        <w:tc>
          <w:tcPr>
            <w:tcW w:w="372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Triste</w:t>
            </w:r>
          </w:p>
        </w:tc>
        <w:tc>
          <w:tcPr>
            <w:tcW w:w="1955"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Paternalistico</w:t>
            </w:r>
          </w:p>
        </w:tc>
        <w:tc>
          <w:tcPr>
            <w:tcW w:w="57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64</w:t>
            </w:r>
          </w:p>
        </w:tc>
        <w:tc>
          <w:tcPr>
            <w:tcW w:w="944"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8.36</w:t>
            </w:r>
          </w:p>
        </w:tc>
        <w:tc>
          <w:tcPr>
            <w:tcW w:w="661"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1.09</w:t>
            </w:r>
          </w:p>
        </w:tc>
      </w:tr>
      <w:tr w:rsidR="00381ABF" w:rsidRPr="00EF60B7" w:rsidTr="00D564CF">
        <w:trPr>
          <w:trHeight w:val="300"/>
        </w:trPr>
        <w:tc>
          <w:tcPr>
            <w:tcW w:w="372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1955"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Deliberativo</w:t>
            </w:r>
          </w:p>
        </w:tc>
        <w:tc>
          <w:tcPr>
            <w:tcW w:w="57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61</w:t>
            </w:r>
          </w:p>
        </w:tc>
        <w:tc>
          <w:tcPr>
            <w:tcW w:w="944"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8.39</w:t>
            </w:r>
          </w:p>
        </w:tc>
        <w:tc>
          <w:tcPr>
            <w:tcW w:w="661"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1.37</w:t>
            </w:r>
          </w:p>
        </w:tc>
      </w:tr>
      <w:tr w:rsidR="00381ABF" w:rsidRPr="00EF60B7" w:rsidTr="00D564CF">
        <w:trPr>
          <w:trHeight w:val="300"/>
        </w:trPr>
        <w:tc>
          <w:tcPr>
            <w:tcW w:w="372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1955"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57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944"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661"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r>
      <w:tr w:rsidR="00381ABF" w:rsidRPr="00EF60B7" w:rsidTr="00D564CF">
        <w:trPr>
          <w:trHeight w:val="300"/>
        </w:trPr>
        <w:tc>
          <w:tcPr>
            <w:tcW w:w="372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Afflitto (</w:t>
            </w:r>
            <w:r w:rsidRPr="00EF60B7">
              <w:rPr>
                <w:rFonts w:ascii="Times New Roman" w:eastAsia="Times New Roman" w:hAnsi="Times New Roman" w:cs="Times New Roman"/>
                <w:i/>
                <w:iCs/>
                <w:color w:val="000000"/>
                <w:sz w:val="24"/>
                <w:szCs w:val="24"/>
                <w:lang w:eastAsia="it-IT"/>
              </w:rPr>
              <w:t>Distressed</w:t>
            </w:r>
            <w:r w:rsidRPr="00EF60B7">
              <w:rPr>
                <w:rFonts w:ascii="Times New Roman" w:eastAsia="Times New Roman" w:hAnsi="Times New Roman" w:cs="Times New Roman"/>
                <w:color w:val="000000"/>
                <w:sz w:val="24"/>
                <w:szCs w:val="24"/>
                <w:lang w:eastAsia="it-IT"/>
              </w:rPr>
              <w:t>)</w:t>
            </w:r>
          </w:p>
        </w:tc>
        <w:tc>
          <w:tcPr>
            <w:tcW w:w="1955"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Paternalistico</w:t>
            </w:r>
          </w:p>
        </w:tc>
        <w:tc>
          <w:tcPr>
            <w:tcW w:w="57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64</w:t>
            </w:r>
          </w:p>
        </w:tc>
        <w:tc>
          <w:tcPr>
            <w:tcW w:w="944"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7.66</w:t>
            </w:r>
          </w:p>
        </w:tc>
        <w:tc>
          <w:tcPr>
            <w:tcW w:w="661"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2.01</w:t>
            </w:r>
          </w:p>
        </w:tc>
      </w:tr>
      <w:tr w:rsidR="00381ABF" w:rsidRPr="00EF60B7" w:rsidTr="00D564CF">
        <w:trPr>
          <w:trHeight w:val="300"/>
        </w:trPr>
        <w:tc>
          <w:tcPr>
            <w:tcW w:w="372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1955"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Deliberativo</w:t>
            </w:r>
          </w:p>
        </w:tc>
        <w:tc>
          <w:tcPr>
            <w:tcW w:w="57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61</w:t>
            </w:r>
          </w:p>
        </w:tc>
        <w:tc>
          <w:tcPr>
            <w:tcW w:w="944"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7.30</w:t>
            </w:r>
          </w:p>
        </w:tc>
        <w:tc>
          <w:tcPr>
            <w:tcW w:w="661"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2.42</w:t>
            </w:r>
          </w:p>
        </w:tc>
      </w:tr>
      <w:tr w:rsidR="00381ABF" w:rsidRPr="00EF60B7" w:rsidTr="00D564CF">
        <w:trPr>
          <w:trHeight w:val="300"/>
        </w:trPr>
        <w:tc>
          <w:tcPr>
            <w:tcW w:w="372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1955"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57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944"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661"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r>
      <w:tr w:rsidR="00381ABF" w:rsidRPr="00EF60B7" w:rsidTr="00D564CF">
        <w:trPr>
          <w:trHeight w:val="300"/>
        </w:trPr>
        <w:tc>
          <w:tcPr>
            <w:tcW w:w="372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Preoccupato</w:t>
            </w:r>
          </w:p>
        </w:tc>
        <w:tc>
          <w:tcPr>
            <w:tcW w:w="1955"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Paternalistico</w:t>
            </w:r>
          </w:p>
        </w:tc>
        <w:tc>
          <w:tcPr>
            <w:tcW w:w="57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64</w:t>
            </w:r>
          </w:p>
        </w:tc>
        <w:tc>
          <w:tcPr>
            <w:tcW w:w="944"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7.28</w:t>
            </w:r>
          </w:p>
        </w:tc>
        <w:tc>
          <w:tcPr>
            <w:tcW w:w="661"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2.26</w:t>
            </w:r>
          </w:p>
        </w:tc>
      </w:tr>
      <w:tr w:rsidR="00381ABF" w:rsidRPr="00EF60B7" w:rsidTr="00D564CF">
        <w:trPr>
          <w:trHeight w:val="300"/>
        </w:trPr>
        <w:tc>
          <w:tcPr>
            <w:tcW w:w="372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1955"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Deliberativo</w:t>
            </w:r>
          </w:p>
        </w:tc>
        <w:tc>
          <w:tcPr>
            <w:tcW w:w="57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61</w:t>
            </w:r>
          </w:p>
        </w:tc>
        <w:tc>
          <w:tcPr>
            <w:tcW w:w="944"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7.28</w:t>
            </w:r>
          </w:p>
        </w:tc>
        <w:tc>
          <w:tcPr>
            <w:tcW w:w="661"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2.48</w:t>
            </w:r>
          </w:p>
        </w:tc>
      </w:tr>
      <w:tr w:rsidR="00381ABF" w:rsidRPr="00EF60B7" w:rsidTr="00D564CF">
        <w:trPr>
          <w:trHeight w:val="300"/>
        </w:trPr>
        <w:tc>
          <w:tcPr>
            <w:tcW w:w="372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1955"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57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944"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661"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r>
      <w:tr w:rsidR="00381ABF" w:rsidRPr="00EF60B7" w:rsidTr="00D564CF">
        <w:trPr>
          <w:trHeight w:val="300"/>
        </w:trPr>
        <w:tc>
          <w:tcPr>
            <w:tcW w:w="372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In colpa</w:t>
            </w:r>
          </w:p>
        </w:tc>
        <w:tc>
          <w:tcPr>
            <w:tcW w:w="1955"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Paternalistico</w:t>
            </w:r>
          </w:p>
        </w:tc>
        <w:tc>
          <w:tcPr>
            <w:tcW w:w="57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63</w:t>
            </w:r>
          </w:p>
        </w:tc>
        <w:tc>
          <w:tcPr>
            <w:tcW w:w="944"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5.25</w:t>
            </w:r>
          </w:p>
        </w:tc>
        <w:tc>
          <w:tcPr>
            <w:tcW w:w="661"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3.30</w:t>
            </w:r>
          </w:p>
        </w:tc>
      </w:tr>
      <w:tr w:rsidR="00381ABF" w:rsidRPr="00EF60B7" w:rsidTr="00D564CF">
        <w:trPr>
          <w:trHeight w:val="300"/>
        </w:trPr>
        <w:tc>
          <w:tcPr>
            <w:tcW w:w="372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1955"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Deliberativo</w:t>
            </w:r>
          </w:p>
        </w:tc>
        <w:tc>
          <w:tcPr>
            <w:tcW w:w="57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62</w:t>
            </w:r>
          </w:p>
        </w:tc>
        <w:tc>
          <w:tcPr>
            <w:tcW w:w="944"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4.68</w:t>
            </w:r>
          </w:p>
        </w:tc>
        <w:tc>
          <w:tcPr>
            <w:tcW w:w="661"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3.12</w:t>
            </w:r>
          </w:p>
        </w:tc>
      </w:tr>
      <w:tr w:rsidR="00381ABF" w:rsidRPr="00EF60B7" w:rsidTr="00D564CF">
        <w:trPr>
          <w:trHeight w:val="300"/>
        </w:trPr>
        <w:tc>
          <w:tcPr>
            <w:tcW w:w="372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1955"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57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944"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661"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r>
      <w:tr w:rsidR="00381ABF" w:rsidRPr="00EF60B7" w:rsidTr="00D564CF">
        <w:trPr>
          <w:trHeight w:val="300"/>
        </w:trPr>
        <w:tc>
          <w:tcPr>
            <w:tcW w:w="372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Indice Emozioni Negative</w:t>
            </w:r>
          </w:p>
        </w:tc>
        <w:tc>
          <w:tcPr>
            <w:tcW w:w="1955"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Paternalistico</w:t>
            </w:r>
          </w:p>
        </w:tc>
        <w:tc>
          <w:tcPr>
            <w:tcW w:w="57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64</w:t>
            </w:r>
          </w:p>
        </w:tc>
        <w:tc>
          <w:tcPr>
            <w:tcW w:w="944"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7.24</w:t>
            </w:r>
          </w:p>
        </w:tc>
        <w:tc>
          <w:tcPr>
            <w:tcW w:w="661"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1.45</w:t>
            </w:r>
          </w:p>
        </w:tc>
      </w:tr>
      <w:tr w:rsidR="00381ABF" w:rsidRPr="00EF60B7" w:rsidTr="00D564CF">
        <w:trPr>
          <w:trHeight w:val="300"/>
        </w:trPr>
        <w:tc>
          <w:tcPr>
            <w:tcW w:w="372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1955"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Deliberativo</w:t>
            </w:r>
          </w:p>
        </w:tc>
        <w:tc>
          <w:tcPr>
            <w:tcW w:w="57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61</w:t>
            </w:r>
          </w:p>
        </w:tc>
        <w:tc>
          <w:tcPr>
            <w:tcW w:w="944"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7.03</w:t>
            </w:r>
          </w:p>
        </w:tc>
        <w:tc>
          <w:tcPr>
            <w:tcW w:w="661"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1.60</w:t>
            </w:r>
          </w:p>
        </w:tc>
      </w:tr>
      <w:tr w:rsidR="00381ABF" w:rsidRPr="00EF60B7" w:rsidTr="00D564CF">
        <w:trPr>
          <w:trHeight w:val="300"/>
        </w:trPr>
        <w:tc>
          <w:tcPr>
            <w:tcW w:w="3727" w:type="dxa"/>
            <w:tcBorders>
              <w:top w:val="nil"/>
              <w:left w:val="nil"/>
              <w:bottom w:val="single" w:sz="4" w:space="0" w:color="auto"/>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Totale</w:t>
            </w:r>
          </w:p>
        </w:tc>
        <w:tc>
          <w:tcPr>
            <w:tcW w:w="1955" w:type="dxa"/>
            <w:tcBorders>
              <w:top w:val="nil"/>
              <w:left w:val="nil"/>
              <w:bottom w:val="single" w:sz="4" w:space="0" w:color="auto"/>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 </w:t>
            </w:r>
          </w:p>
        </w:tc>
        <w:tc>
          <w:tcPr>
            <w:tcW w:w="573" w:type="dxa"/>
            <w:tcBorders>
              <w:top w:val="nil"/>
              <w:left w:val="nil"/>
              <w:bottom w:val="single" w:sz="4" w:space="0" w:color="auto"/>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125</w:t>
            </w:r>
          </w:p>
        </w:tc>
        <w:tc>
          <w:tcPr>
            <w:tcW w:w="944" w:type="dxa"/>
            <w:tcBorders>
              <w:top w:val="nil"/>
              <w:left w:val="nil"/>
              <w:bottom w:val="single" w:sz="4" w:space="0" w:color="auto"/>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 </w:t>
            </w:r>
          </w:p>
        </w:tc>
        <w:tc>
          <w:tcPr>
            <w:tcW w:w="661" w:type="dxa"/>
            <w:tcBorders>
              <w:top w:val="nil"/>
              <w:left w:val="nil"/>
              <w:bottom w:val="single" w:sz="4" w:space="0" w:color="auto"/>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 </w:t>
            </w:r>
          </w:p>
        </w:tc>
      </w:tr>
      <w:tr w:rsidR="00381ABF" w:rsidRPr="00EF60B7" w:rsidTr="00D564CF">
        <w:trPr>
          <w:trHeight w:val="300"/>
        </w:trPr>
        <w:tc>
          <w:tcPr>
            <w:tcW w:w="3727"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r w:rsidRPr="00EF60B7">
              <w:rPr>
                <w:rFonts w:ascii="Times New Roman" w:eastAsia="Times New Roman" w:hAnsi="Times New Roman" w:cs="Times New Roman"/>
                <w:color w:val="000000"/>
                <w:sz w:val="24"/>
                <w:szCs w:val="24"/>
                <w:lang w:eastAsia="it-IT"/>
              </w:rPr>
              <w:t>Note: N = 125</w:t>
            </w:r>
          </w:p>
        </w:tc>
        <w:tc>
          <w:tcPr>
            <w:tcW w:w="1955"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573"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944"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c>
          <w:tcPr>
            <w:tcW w:w="661" w:type="dxa"/>
            <w:tcBorders>
              <w:top w:val="nil"/>
              <w:left w:val="nil"/>
              <w:bottom w:val="nil"/>
              <w:right w:val="nil"/>
            </w:tcBorders>
            <w:shd w:val="clear" w:color="auto" w:fill="auto"/>
            <w:noWrap/>
            <w:vAlign w:val="bottom"/>
            <w:hideMark/>
          </w:tcPr>
          <w:p w:rsidR="00381ABF" w:rsidRPr="00EF60B7" w:rsidRDefault="00381ABF" w:rsidP="008D2DF6">
            <w:pPr>
              <w:spacing w:line="360" w:lineRule="auto"/>
              <w:jc w:val="both"/>
              <w:rPr>
                <w:rFonts w:ascii="Times New Roman" w:eastAsia="Times New Roman" w:hAnsi="Times New Roman" w:cs="Times New Roman"/>
                <w:color w:val="000000"/>
                <w:sz w:val="24"/>
                <w:szCs w:val="24"/>
                <w:lang w:eastAsia="it-IT"/>
              </w:rPr>
            </w:pPr>
          </w:p>
        </w:tc>
      </w:tr>
    </w:tbl>
    <w:p w:rsidR="00381ABF" w:rsidRPr="00EF60B7" w:rsidRDefault="00381ABF" w:rsidP="008D2DF6">
      <w:pPr>
        <w:spacing w:line="360" w:lineRule="auto"/>
        <w:jc w:val="both"/>
        <w:rPr>
          <w:rFonts w:ascii="Times New Roman" w:hAnsi="Times New Roman" w:cs="Times New Roman"/>
          <w:sz w:val="24"/>
          <w:szCs w:val="24"/>
        </w:rPr>
      </w:pPr>
    </w:p>
    <w:p w:rsidR="00381ABF" w:rsidRPr="00EF60B7" w:rsidRDefault="00381ABF" w:rsidP="008D2DF6">
      <w:pPr>
        <w:spacing w:line="360" w:lineRule="auto"/>
        <w:jc w:val="both"/>
        <w:rPr>
          <w:rFonts w:ascii="Times New Roman" w:hAnsi="Times New Roman" w:cs="Times New Roman"/>
          <w:sz w:val="24"/>
          <w:szCs w:val="24"/>
        </w:rPr>
      </w:pPr>
    </w:p>
    <w:p w:rsidR="00381ABF" w:rsidRPr="00EF60B7" w:rsidRDefault="00381ABF" w:rsidP="008D2DF6">
      <w:pPr>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 xml:space="preserve">È interessante notare come su tutto il campione (125 soggetti tra genitori con figli nati a termine e genitori con figli nati pretermine) se viene adottato un modello relazionale paternalistico, contrariamente a quanto si verifica nel campione degli studenti universitari, i genitori dei pazienti in media esperiscono maggiori emozioni negative rispetto a quelle provate nel caso in cui il medico utilizza uno stile relazionale deliberativo o condiviso. Inoltre possiamo notare come le emozioni negative maggiormente esperite quando la decisione viene presa dal medico (modello paternalistico) sono: nervosismo, turbamento, </w:t>
      </w:r>
      <w:r w:rsidRPr="00EF60B7">
        <w:rPr>
          <w:rFonts w:ascii="Times New Roman" w:hAnsi="Times New Roman" w:cs="Times New Roman"/>
          <w:i/>
          <w:sz w:val="24"/>
          <w:szCs w:val="24"/>
        </w:rPr>
        <w:t xml:space="preserve">distress </w:t>
      </w:r>
      <w:r w:rsidRPr="00EF60B7">
        <w:rPr>
          <w:rFonts w:ascii="Times New Roman" w:hAnsi="Times New Roman" w:cs="Times New Roman"/>
          <w:sz w:val="24"/>
          <w:szCs w:val="24"/>
        </w:rPr>
        <w:t xml:space="preserve">(afflizione) e senso di colpa. Non sembrano essere presenti tristezza e preoccupazione. </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 xml:space="preserve">Relativamente alle correlazioni sul gruppo clinico di genitori con figli nati pretermine (vedi </w:t>
      </w:r>
      <w:r w:rsidRPr="00EF60B7">
        <w:rPr>
          <w:rFonts w:ascii="Times New Roman" w:hAnsi="Times New Roman" w:cs="Times New Roman"/>
          <w:b/>
          <w:sz w:val="24"/>
          <w:szCs w:val="24"/>
        </w:rPr>
        <w:t>tabella 10</w:t>
      </w:r>
      <w:r w:rsidRPr="00EF60B7">
        <w:rPr>
          <w:rFonts w:ascii="Times New Roman" w:hAnsi="Times New Roman" w:cs="Times New Roman"/>
          <w:sz w:val="24"/>
          <w:szCs w:val="24"/>
        </w:rPr>
        <w:t xml:space="preserve">) è stato trovato che le variabili “stile relazionale adottato”, “emozioni negative”, “livello di </w:t>
      </w:r>
      <w:r w:rsidRPr="00EF60B7">
        <w:rPr>
          <w:rFonts w:ascii="Times New Roman" w:hAnsi="Times New Roman" w:cs="Times New Roman"/>
          <w:i/>
          <w:sz w:val="24"/>
          <w:szCs w:val="24"/>
        </w:rPr>
        <w:t>confidence</w:t>
      </w:r>
      <w:r w:rsidRPr="00EF60B7">
        <w:rPr>
          <w:rFonts w:ascii="Times New Roman" w:hAnsi="Times New Roman" w:cs="Times New Roman"/>
          <w:sz w:val="24"/>
          <w:szCs w:val="24"/>
        </w:rPr>
        <w:t>” o “sicurezza nella decisione presa”, “decisione autonoma”, “genere” e “desiderio di controllo” correlano tra di loro nel campione clinico.</w:t>
      </w:r>
      <w:r w:rsidRPr="00EF60B7">
        <w:rPr>
          <w:rFonts w:ascii="Times New Roman" w:hAnsi="Times New Roman" w:cs="Times New Roman"/>
          <w:i/>
          <w:sz w:val="24"/>
          <w:szCs w:val="24"/>
        </w:rPr>
        <w:t xml:space="preserve"> </w:t>
      </w:r>
      <w:r w:rsidRPr="00EF60B7">
        <w:rPr>
          <w:rFonts w:ascii="Times New Roman" w:hAnsi="Times New Roman" w:cs="Times New Roman"/>
          <w:sz w:val="24"/>
          <w:szCs w:val="24"/>
        </w:rPr>
        <w:t>Dai risultati si evince che lo stile relazionale è correlato in maniera significativa e negativa con il desiderio di delegare ad altri decisioni in situazioni critiche  (</w:t>
      </w:r>
      <w:r w:rsidRPr="00EF60B7">
        <w:rPr>
          <w:rFonts w:ascii="Times New Roman" w:hAnsi="Times New Roman" w:cs="Times New Roman"/>
          <w:i/>
          <w:sz w:val="24"/>
          <w:szCs w:val="24"/>
        </w:rPr>
        <w:t>rho</w:t>
      </w:r>
      <w:r w:rsidRPr="00EF60B7">
        <w:rPr>
          <w:rFonts w:ascii="Times New Roman" w:hAnsi="Times New Roman" w:cs="Times New Roman"/>
          <w:sz w:val="24"/>
          <w:szCs w:val="24"/>
        </w:rPr>
        <w:t xml:space="preserve"> = -.584,  p &lt; .01), da ciò si evidenzia che all’aumentare della tendenza a delegare si tende verso il modello paternalistico ma non verso quello deliberativo. </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rPr>
      </w:pPr>
    </w:p>
    <w:p w:rsidR="00381ABF" w:rsidRPr="00EF60B7" w:rsidRDefault="00381ABF" w:rsidP="008D2DF6">
      <w:pPr>
        <w:autoSpaceDE w:val="0"/>
        <w:autoSpaceDN w:val="0"/>
        <w:adjustRightInd w:val="0"/>
        <w:spacing w:line="360" w:lineRule="auto"/>
        <w:jc w:val="both"/>
        <w:rPr>
          <w:rFonts w:ascii="Times New Roman" w:hAnsi="Times New Roman" w:cs="Times New Roman"/>
          <w:i/>
          <w:sz w:val="24"/>
          <w:szCs w:val="24"/>
        </w:rPr>
      </w:pPr>
      <w:r w:rsidRPr="00EF60B7">
        <w:rPr>
          <w:rFonts w:ascii="Times New Roman" w:hAnsi="Times New Roman" w:cs="Times New Roman"/>
          <w:noProof/>
          <w:sz w:val="24"/>
          <w:szCs w:val="24"/>
          <w:lang w:eastAsia="it-IT"/>
        </w:rPr>
        <w:drawing>
          <wp:inline distT="0" distB="0" distL="0" distR="0">
            <wp:extent cx="6101726" cy="1908000"/>
            <wp:effectExtent l="19050" t="0" r="0" b="0"/>
            <wp:docPr id="18"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srcRect/>
                    <a:stretch>
                      <a:fillRect/>
                    </a:stretch>
                  </pic:blipFill>
                  <pic:spPr bwMode="auto">
                    <a:xfrm>
                      <a:off x="0" y="0"/>
                      <a:ext cx="6101726" cy="1908000"/>
                    </a:xfrm>
                    <a:prstGeom prst="rect">
                      <a:avLst/>
                    </a:prstGeom>
                    <a:noFill/>
                    <a:ln w="9525">
                      <a:noFill/>
                      <a:miter lim="800000"/>
                      <a:headEnd/>
                      <a:tailEnd/>
                    </a:ln>
                  </pic:spPr>
                </pic:pic>
              </a:graphicData>
            </a:graphic>
          </wp:inline>
        </w:drawing>
      </w:r>
    </w:p>
    <w:p w:rsidR="00381ABF" w:rsidRPr="00EF60B7" w:rsidRDefault="00381ABF" w:rsidP="008D2DF6">
      <w:pPr>
        <w:spacing w:line="360" w:lineRule="auto"/>
        <w:jc w:val="both"/>
        <w:rPr>
          <w:rFonts w:ascii="Times New Roman" w:hAnsi="Times New Roman" w:cs="Times New Roman"/>
          <w:sz w:val="24"/>
          <w:szCs w:val="24"/>
        </w:rPr>
      </w:pPr>
    </w:p>
    <w:p w:rsidR="00381ABF" w:rsidRPr="00EF60B7" w:rsidRDefault="00381ABF" w:rsidP="008D2DF6">
      <w:pPr>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lastRenderedPageBreak/>
        <w:t xml:space="preserve">I risultati delle correlazioni mostrano inoltre come uno stile relazionale paternalistico, dove cioè è il medico da solo a decidere per il paziente, è maggiormente correlato con le emozioni negative rispetto a quando lo stile relazionale adottato dal medico è quello deliberativo, dove familiari del paziente e medico prendono la decisione insieme. Infatti, se osserviamo i dati sulla </w:t>
      </w:r>
      <w:r w:rsidRPr="00EF60B7">
        <w:rPr>
          <w:rFonts w:ascii="Times New Roman" w:hAnsi="Times New Roman" w:cs="Times New Roman"/>
          <w:i/>
          <w:sz w:val="24"/>
          <w:szCs w:val="24"/>
        </w:rPr>
        <w:t>tabella 10</w:t>
      </w:r>
      <w:r w:rsidRPr="00EF60B7">
        <w:rPr>
          <w:rFonts w:ascii="Times New Roman" w:hAnsi="Times New Roman" w:cs="Times New Roman"/>
          <w:sz w:val="24"/>
          <w:szCs w:val="24"/>
        </w:rPr>
        <w:t>, risultano significative in maniera negativa le correlazioni tra stile relazionale del medico e stato emotivo negativo “turbato” (</w:t>
      </w:r>
      <w:r w:rsidRPr="00EF60B7">
        <w:rPr>
          <w:rFonts w:ascii="Times New Roman" w:hAnsi="Times New Roman" w:cs="Times New Roman"/>
          <w:i/>
          <w:sz w:val="24"/>
          <w:szCs w:val="24"/>
        </w:rPr>
        <w:t>rho</w:t>
      </w:r>
      <w:r w:rsidRPr="00EF60B7">
        <w:rPr>
          <w:rFonts w:ascii="Times New Roman" w:hAnsi="Times New Roman" w:cs="Times New Roman"/>
          <w:sz w:val="24"/>
          <w:szCs w:val="24"/>
        </w:rPr>
        <w:t xml:space="preserve"> = -.310, p &lt; .05), “</w:t>
      </w:r>
      <w:r w:rsidRPr="00EF60B7">
        <w:rPr>
          <w:rFonts w:ascii="Times New Roman" w:hAnsi="Times New Roman" w:cs="Times New Roman"/>
          <w:i/>
          <w:sz w:val="24"/>
          <w:szCs w:val="24"/>
        </w:rPr>
        <w:t>distressed</w:t>
      </w:r>
      <w:r w:rsidRPr="00EF60B7">
        <w:rPr>
          <w:rFonts w:ascii="Times New Roman" w:hAnsi="Times New Roman" w:cs="Times New Roman"/>
          <w:sz w:val="24"/>
          <w:szCs w:val="24"/>
        </w:rPr>
        <w:t>” (</w:t>
      </w:r>
      <w:r w:rsidRPr="00EF60B7">
        <w:rPr>
          <w:rFonts w:ascii="Times New Roman" w:hAnsi="Times New Roman" w:cs="Times New Roman"/>
          <w:i/>
          <w:sz w:val="24"/>
          <w:szCs w:val="24"/>
        </w:rPr>
        <w:t>rho</w:t>
      </w:r>
      <w:r w:rsidRPr="00EF60B7">
        <w:rPr>
          <w:rFonts w:ascii="Times New Roman" w:hAnsi="Times New Roman" w:cs="Times New Roman"/>
          <w:sz w:val="24"/>
          <w:szCs w:val="24"/>
        </w:rPr>
        <w:t xml:space="preserve"> = -.258, p &lt; .05). Risultano infine correlati tra di loro in modo significativo gli stati emotivi “turbato” e “nervoso”    (</w:t>
      </w:r>
      <w:r w:rsidRPr="00EF60B7">
        <w:rPr>
          <w:rFonts w:ascii="Times New Roman" w:hAnsi="Times New Roman" w:cs="Times New Roman"/>
          <w:i/>
          <w:sz w:val="24"/>
          <w:szCs w:val="24"/>
        </w:rPr>
        <w:t>rho</w:t>
      </w:r>
      <w:r w:rsidRPr="00EF60B7">
        <w:rPr>
          <w:rFonts w:ascii="Times New Roman" w:hAnsi="Times New Roman" w:cs="Times New Roman"/>
          <w:sz w:val="24"/>
          <w:szCs w:val="24"/>
        </w:rPr>
        <w:t xml:space="preserve"> = .517, p &lt; .01), “nervoso” e “triste” (</w:t>
      </w:r>
      <w:r w:rsidRPr="00EF60B7">
        <w:rPr>
          <w:rFonts w:ascii="Times New Roman" w:hAnsi="Times New Roman" w:cs="Times New Roman"/>
          <w:i/>
          <w:sz w:val="24"/>
          <w:szCs w:val="24"/>
        </w:rPr>
        <w:t>rho = .</w:t>
      </w:r>
      <w:r w:rsidRPr="00EF60B7">
        <w:rPr>
          <w:rFonts w:ascii="Times New Roman" w:hAnsi="Times New Roman" w:cs="Times New Roman"/>
          <w:sz w:val="24"/>
          <w:szCs w:val="24"/>
        </w:rPr>
        <w:t>417, p &lt; .01)</w:t>
      </w:r>
      <w:r w:rsidRPr="00EF60B7">
        <w:rPr>
          <w:rFonts w:ascii="Times New Roman" w:hAnsi="Times New Roman" w:cs="Times New Roman"/>
          <w:i/>
          <w:sz w:val="24"/>
          <w:szCs w:val="24"/>
        </w:rPr>
        <w:t xml:space="preserve"> ,</w:t>
      </w:r>
      <w:r w:rsidRPr="00EF60B7">
        <w:rPr>
          <w:rFonts w:ascii="Times New Roman" w:hAnsi="Times New Roman" w:cs="Times New Roman"/>
          <w:sz w:val="24"/>
          <w:szCs w:val="24"/>
        </w:rPr>
        <w:t>“</w:t>
      </w:r>
      <w:r w:rsidRPr="00EF60B7">
        <w:rPr>
          <w:rFonts w:ascii="Times New Roman" w:hAnsi="Times New Roman" w:cs="Times New Roman"/>
          <w:i/>
          <w:sz w:val="24"/>
          <w:szCs w:val="24"/>
        </w:rPr>
        <w:t>distressed</w:t>
      </w:r>
      <w:r w:rsidRPr="00EF60B7">
        <w:rPr>
          <w:rFonts w:ascii="Times New Roman" w:hAnsi="Times New Roman" w:cs="Times New Roman"/>
          <w:sz w:val="24"/>
          <w:szCs w:val="24"/>
        </w:rPr>
        <w:t>” e “nervoso” (</w:t>
      </w:r>
      <w:r w:rsidRPr="00EF60B7">
        <w:rPr>
          <w:rFonts w:ascii="Times New Roman" w:hAnsi="Times New Roman" w:cs="Times New Roman"/>
          <w:i/>
          <w:sz w:val="24"/>
          <w:szCs w:val="24"/>
        </w:rPr>
        <w:t>rho</w:t>
      </w:r>
      <w:r w:rsidRPr="00EF60B7">
        <w:rPr>
          <w:rFonts w:ascii="Times New Roman" w:hAnsi="Times New Roman" w:cs="Times New Roman"/>
          <w:sz w:val="24"/>
          <w:szCs w:val="24"/>
        </w:rPr>
        <w:t xml:space="preserve"> = .535, p &lt; .01), “</w:t>
      </w:r>
      <w:r w:rsidRPr="00EF60B7">
        <w:rPr>
          <w:rFonts w:ascii="Times New Roman" w:hAnsi="Times New Roman" w:cs="Times New Roman"/>
          <w:i/>
          <w:sz w:val="24"/>
          <w:szCs w:val="24"/>
        </w:rPr>
        <w:t>distressed</w:t>
      </w:r>
      <w:r w:rsidRPr="00EF60B7">
        <w:rPr>
          <w:rFonts w:ascii="Times New Roman" w:hAnsi="Times New Roman" w:cs="Times New Roman"/>
          <w:sz w:val="24"/>
          <w:szCs w:val="24"/>
        </w:rPr>
        <w:t>” e “turbato” (</w:t>
      </w:r>
      <w:r w:rsidRPr="00EF60B7">
        <w:rPr>
          <w:rFonts w:ascii="Times New Roman" w:hAnsi="Times New Roman" w:cs="Times New Roman"/>
          <w:i/>
          <w:sz w:val="24"/>
          <w:szCs w:val="24"/>
        </w:rPr>
        <w:t>rho</w:t>
      </w:r>
      <w:r w:rsidRPr="00EF60B7">
        <w:rPr>
          <w:rFonts w:ascii="Times New Roman" w:hAnsi="Times New Roman" w:cs="Times New Roman"/>
          <w:sz w:val="24"/>
          <w:szCs w:val="24"/>
        </w:rPr>
        <w:t xml:space="preserve"> = .724, p &lt; .01), “</w:t>
      </w:r>
      <w:r w:rsidRPr="00EF60B7">
        <w:rPr>
          <w:rFonts w:ascii="Times New Roman" w:hAnsi="Times New Roman" w:cs="Times New Roman"/>
          <w:i/>
          <w:sz w:val="24"/>
          <w:szCs w:val="24"/>
        </w:rPr>
        <w:t>distressed</w:t>
      </w:r>
      <w:r w:rsidRPr="00EF60B7">
        <w:rPr>
          <w:rFonts w:ascii="Times New Roman" w:hAnsi="Times New Roman" w:cs="Times New Roman"/>
          <w:sz w:val="24"/>
          <w:szCs w:val="24"/>
        </w:rPr>
        <w:t>” e “triste” (</w:t>
      </w:r>
      <w:r w:rsidRPr="00EF60B7">
        <w:rPr>
          <w:rFonts w:ascii="Times New Roman" w:hAnsi="Times New Roman" w:cs="Times New Roman"/>
          <w:i/>
          <w:sz w:val="24"/>
          <w:szCs w:val="24"/>
        </w:rPr>
        <w:t>rho</w:t>
      </w:r>
      <w:r w:rsidRPr="00EF60B7">
        <w:rPr>
          <w:rFonts w:ascii="Times New Roman" w:hAnsi="Times New Roman" w:cs="Times New Roman"/>
          <w:sz w:val="24"/>
          <w:szCs w:val="24"/>
        </w:rPr>
        <w:t>= .650, p &lt; .01), “preoccupato” e tutti gli altri stati emotivi negativi “nervoso” (</w:t>
      </w:r>
      <w:r w:rsidRPr="00EF60B7">
        <w:rPr>
          <w:rFonts w:ascii="Times New Roman" w:hAnsi="Times New Roman" w:cs="Times New Roman"/>
          <w:i/>
          <w:sz w:val="24"/>
          <w:szCs w:val="24"/>
        </w:rPr>
        <w:t>rho</w:t>
      </w:r>
      <w:r w:rsidRPr="00EF60B7">
        <w:rPr>
          <w:rFonts w:ascii="Times New Roman" w:hAnsi="Times New Roman" w:cs="Times New Roman"/>
          <w:sz w:val="24"/>
          <w:szCs w:val="24"/>
        </w:rPr>
        <w:t xml:space="preserve"> = .634, p &lt; .01); “turbato” (</w:t>
      </w:r>
      <w:r w:rsidRPr="00EF60B7">
        <w:rPr>
          <w:rFonts w:ascii="Times New Roman" w:hAnsi="Times New Roman" w:cs="Times New Roman"/>
          <w:i/>
          <w:sz w:val="24"/>
          <w:szCs w:val="24"/>
        </w:rPr>
        <w:t>rho</w:t>
      </w:r>
      <w:r w:rsidRPr="00EF60B7">
        <w:rPr>
          <w:rFonts w:ascii="Times New Roman" w:hAnsi="Times New Roman" w:cs="Times New Roman"/>
          <w:sz w:val="24"/>
          <w:szCs w:val="24"/>
        </w:rPr>
        <w:t xml:space="preserve"> = .451, p &lt; .01); “triste”   (</w:t>
      </w:r>
      <w:r w:rsidRPr="00EF60B7">
        <w:rPr>
          <w:rFonts w:ascii="Times New Roman" w:hAnsi="Times New Roman" w:cs="Times New Roman"/>
          <w:i/>
          <w:sz w:val="24"/>
          <w:szCs w:val="24"/>
        </w:rPr>
        <w:t>rho</w:t>
      </w:r>
      <w:r w:rsidRPr="00EF60B7">
        <w:rPr>
          <w:rFonts w:ascii="Times New Roman" w:hAnsi="Times New Roman" w:cs="Times New Roman"/>
          <w:sz w:val="24"/>
          <w:szCs w:val="24"/>
        </w:rPr>
        <w:t xml:space="preserve"> = .390, p &lt; .01); “</w:t>
      </w:r>
      <w:r w:rsidRPr="00EF60B7">
        <w:rPr>
          <w:rFonts w:ascii="Times New Roman" w:hAnsi="Times New Roman" w:cs="Times New Roman"/>
          <w:i/>
          <w:sz w:val="24"/>
          <w:szCs w:val="24"/>
        </w:rPr>
        <w:t>distressed</w:t>
      </w:r>
      <w:r w:rsidRPr="00EF60B7">
        <w:rPr>
          <w:rFonts w:ascii="Times New Roman" w:hAnsi="Times New Roman" w:cs="Times New Roman"/>
          <w:sz w:val="24"/>
          <w:szCs w:val="24"/>
        </w:rPr>
        <w:t xml:space="preserve">”( </w:t>
      </w:r>
      <w:r w:rsidRPr="00EF60B7">
        <w:rPr>
          <w:rFonts w:ascii="Times New Roman" w:hAnsi="Times New Roman" w:cs="Times New Roman"/>
          <w:i/>
          <w:sz w:val="24"/>
          <w:szCs w:val="24"/>
        </w:rPr>
        <w:t>rho</w:t>
      </w:r>
      <w:r w:rsidRPr="00EF60B7">
        <w:rPr>
          <w:rFonts w:ascii="Times New Roman" w:hAnsi="Times New Roman" w:cs="Times New Roman"/>
          <w:sz w:val="24"/>
          <w:szCs w:val="24"/>
        </w:rPr>
        <w:t xml:space="preserve"> = .426, p &lt; .01); “in colpa” correla in maniera significativa con “nervoso” (</w:t>
      </w:r>
      <w:r w:rsidRPr="00EF60B7">
        <w:rPr>
          <w:rFonts w:ascii="Times New Roman" w:hAnsi="Times New Roman" w:cs="Times New Roman"/>
          <w:i/>
          <w:sz w:val="24"/>
          <w:szCs w:val="24"/>
        </w:rPr>
        <w:t>rho</w:t>
      </w:r>
      <w:r w:rsidRPr="00EF60B7">
        <w:rPr>
          <w:rFonts w:ascii="Times New Roman" w:hAnsi="Times New Roman" w:cs="Times New Roman"/>
          <w:sz w:val="24"/>
          <w:szCs w:val="24"/>
        </w:rPr>
        <w:t xml:space="preserve"> = .336, p &lt; .01), “turbato”</w:t>
      </w:r>
      <w:r w:rsidRPr="00EF60B7">
        <w:rPr>
          <w:rFonts w:ascii="Times New Roman" w:hAnsi="Times New Roman" w:cs="Times New Roman"/>
          <w:i/>
          <w:sz w:val="24"/>
          <w:szCs w:val="24"/>
        </w:rPr>
        <w:t xml:space="preserve"> (rho</w:t>
      </w:r>
      <w:r w:rsidRPr="00EF60B7">
        <w:rPr>
          <w:rFonts w:ascii="Times New Roman" w:hAnsi="Times New Roman" w:cs="Times New Roman"/>
          <w:sz w:val="24"/>
          <w:szCs w:val="24"/>
        </w:rPr>
        <w:t xml:space="preserve"> = .390, p &lt; .01), “</w:t>
      </w:r>
      <w:r w:rsidRPr="00EF60B7">
        <w:rPr>
          <w:rFonts w:ascii="Times New Roman" w:hAnsi="Times New Roman" w:cs="Times New Roman"/>
          <w:i/>
          <w:sz w:val="24"/>
          <w:szCs w:val="24"/>
        </w:rPr>
        <w:t>distressed</w:t>
      </w:r>
      <w:r w:rsidRPr="00EF60B7">
        <w:rPr>
          <w:rFonts w:ascii="Times New Roman" w:hAnsi="Times New Roman" w:cs="Times New Roman"/>
          <w:sz w:val="24"/>
          <w:szCs w:val="24"/>
        </w:rPr>
        <w:t>” (</w:t>
      </w:r>
      <w:r w:rsidRPr="00EF60B7">
        <w:rPr>
          <w:rFonts w:ascii="Times New Roman" w:hAnsi="Times New Roman" w:cs="Times New Roman"/>
          <w:i/>
          <w:sz w:val="24"/>
          <w:szCs w:val="24"/>
        </w:rPr>
        <w:t>rho</w:t>
      </w:r>
      <w:r w:rsidRPr="00EF60B7">
        <w:rPr>
          <w:rFonts w:ascii="Times New Roman" w:hAnsi="Times New Roman" w:cs="Times New Roman"/>
          <w:sz w:val="24"/>
          <w:szCs w:val="24"/>
        </w:rPr>
        <w:t xml:space="preserve"> = .387, p &lt; .01). Il genere è correlato in maniera significativa e negativa con il desiderio di controllo (</w:t>
      </w:r>
      <w:r w:rsidRPr="00EF60B7">
        <w:rPr>
          <w:rFonts w:ascii="Times New Roman" w:hAnsi="Times New Roman" w:cs="Times New Roman"/>
          <w:i/>
          <w:sz w:val="24"/>
          <w:szCs w:val="24"/>
        </w:rPr>
        <w:t>rho</w:t>
      </w:r>
      <w:r w:rsidRPr="00EF60B7">
        <w:rPr>
          <w:rFonts w:ascii="Times New Roman" w:hAnsi="Times New Roman" w:cs="Times New Roman"/>
          <w:sz w:val="24"/>
          <w:szCs w:val="24"/>
        </w:rPr>
        <w:t xml:space="preserve"> = -.253, p &lt; .01); più si ha la tendenza a controllare, più si tende verso il genere maschile. Il genere correla anche in maniera positiva con lo stato emotivo negativo “turbato” (</w:t>
      </w:r>
      <w:r w:rsidRPr="00EF60B7">
        <w:rPr>
          <w:rFonts w:ascii="Times New Roman" w:hAnsi="Times New Roman" w:cs="Times New Roman"/>
          <w:i/>
          <w:sz w:val="24"/>
          <w:szCs w:val="24"/>
        </w:rPr>
        <w:t>rho</w:t>
      </w:r>
      <w:r w:rsidRPr="00EF60B7">
        <w:rPr>
          <w:rFonts w:ascii="Times New Roman" w:hAnsi="Times New Roman" w:cs="Times New Roman"/>
          <w:sz w:val="24"/>
          <w:szCs w:val="24"/>
        </w:rPr>
        <w:t xml:space="preserve"> = .331, p &lt; .01), “triste” (</w:t>
      </w:r>
      <w:r w:rsidRPr="00EF60B7">
        <w:rPr>
          <w:rFonts w:ascii="Times New Roman" w:hAnsi="Times New Roman" w:cs="Times New Roman"/>
          <w:i/>
          <w:sz w:val="24"/>
          <w:szCs w:val="24"/>
        </w:rPr>
        <w:t>rho</w:t>
      </w:r>
      <w:r w:rsidRPr="00EF60B7">
        <w:rPr>
          <w:rFonts w:ascii="Times New Roman" w:hAnsi="Times New Roman" w:cs="Times New Roman"/>
          <w:sz w:val="24"/>
          <w:szCs w:val="24"/>
        </w:rPr>
        <w:t xml:space="preserve"> = .331, p &lt; .01), “</w:t>
      </w:r>
      <w:r w:rsidRPr="00EF60B7">
        <w:rPr>
          <w:rFonts w:ascii="Times New Roman" w:hAnsi="Times New Roman" w:cs="Times New Roman"/>
          <w:i/>
          <w:sz w:val="24"/>
          <w:szCs w:val="24"/>
        </w:rPr>
        <w:t>distressed</w:t>
      </w:r>
      <w:r w:rsidRPr="00EF60B7">
        <w:rPr>
          <w:rFonts w:ascii="Times New Roman" w:hAnsi="Times New Roman" w:cs="Times New Roman"/>
          <w:sz w:val="24"/>
          <w:szCs w:val="24"/>
        </w:rPr>
        <w:t>” (</w:t>
      </w:r>
      <w:r w:rsidRPr="00EF60B7">
        <w:rPr>
          <w:rFonts w:ascii="Times New Roman" w:hAnsi="Times New Roman" w:cs="Times New Roman"/>
          <w:i/>
          <w:sz w:val="24"/>
          <w:szCs w:val="24"/>
        </w:rPr>
        <w:t>rho</w:t>
      </w:r>
      <w:r w:rsidRPr="00EF60B7">
        <w:rPr>
          <w:rFonts w:ascii="Times New Roman" w:hAnsi="Times New Roman" w:cs="Times New Roman"/>
          <w:sz w:val="24"/>
          <w:szCs w:val="24"/>
        </w:rPr>
        <w:t xml:space="preserve"> = .351, p &lt; .01), “in colpa” (</w:t>
      </w:r>
      <w:r w:rsidRPr="00EF60B7">
        <w:rPr>
          <w:rFonts w:ascii="Times New Roman" w:hAnsi="Times New Roman" w:cs="Times New Roman"/>
          <w:i/>
          <w:sz w:val="24"/>
          <w:szCs w:val="24"/>
        </w:rPr>
        <w:t>rho</w:t>
      </w:r>
      <w:r w:rsidRPr="00EF60B7">
        <w:rPr>
          <w:rFonts w:ascii="Times New Roman" w:hAnsi="Times New Roman" w:cs="Times New Roman"/>
          <w:sz w:val="24"/>
          <w:szCs w:val="24"/>
        </w:rPr>
        <w:t xml:space="preserve"> = .306, p &lt; .01). Infine, si nota come la scelta autonoma è correlata in maniera significativa e  positiva con la sicurezza nella decisione presa o livello di “</w:t>
      </w:r>
      <w:r w:rsidRPr="00EF60B7">
        <w:rPr>
          <w:rFonts w:ascii="Times New Roman" w:hAnsi="Times New Roman" w:cs="Times New Roman"/>
          <w:i/>
          <w:sz w:val="24"/>
          <w:szCs w:val="24"/>
        </w:rPr>
        <w:t>confidence</w:t>
      </w:r>
      <w:r w:rsidRPr="00EF60B7">
        <w:rPr>
          <w:rFonts w:ascii="Times New Roman" w:hAnsi="Times New Roman" w:cs="Times New Roman"/>
          <w:sz w:val="24"/>
          <w:szCs w:val="24"/>
        </w:rPr>
        <w:t>” (</w:t>
      </w:r>
      <w:r w:rsidRPr="00EF60B7">
        <w:rPr>
          <w:rFonts w:ascii="Times New Roman" w:hAnsi="Times New Roman" w:cs="Times New Roman"/>
          <w:i/>
          <w:sz w:val="24"/>
          <w:szCs w:val="24"/>
        </w:rPr>
        <w:t>rho</w:t>
      </w:r>
      <w:r w:rsidRPr="00EF60B7">
        <w:rPr>
          <w:rFonts w:ascii="Times New Roman" w:hAnsi="Times New Roman" w:cs="Times New Roman"/>
          <w:sz w:val="24"/>
          <w:szCs w:val="24"/>
        </w:rPr>
        <w:t xml:space="preserve"> = .316, p &lt; .05) e il livello di “</w:t>
      </w:r>
      <w:r w:rsidRPr="00EF60B7">
        <w:rPr>
          <w:rFonts w:ascii="Times New Roman" w:hAnsi="Times New Roman" w:cs="Times New Roman"/>
          <w:i/>
          <w:sz w:val="24"/>
          <w:szCs w:val="24"/>
        </w:rPr>
        <w:t>confidence</w:t>
      </w:r>
      <w:r w:rsidRPr="00EF60B7">
        <w:rPr>
          <w:rFonts w:ascii="Times New Roman" w:hAnsi="Times New Roman" w:cs="Times New Roman"/>
          <w:sz w:val="24"/>
          <w:szCs w:val="24"/>
        </w:rPr>
        <w:t>” correla in maniera significativa ma negativa con lo stato emotivo “preoccupato”; vale a dire che maggiore è la sicurezza nella decisione presa, minore è il livello di preoccupazione.</w:t>
      </w:r>
    </w:p>
    <w:p w:rsidR="00381ABF" w:rsidRDefault="00381ABF" w:rsidP="005E716B">
      <w:pPr>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 xml:space="preserve">Mediante ANOVA (vedi </w:t>
      </w:r>
      <w:r w:rsidRPr="00EF60B7">
        <w:rPr>
          <w:rFonts w:ascii="Times New Roman" w:hAnsi="Times New Roman" w:cs="Times New Roman"/>
          <w:b/>
          <w:sz w:val="24"/>
          <w:szCs w:val="24"/>
        </w:rPr>
        <w:t>tabella 11</w:t>
      </w:r>
      <w:r w:rsidRPr="00EF60B7">
        <w:rPr>
          <w:rFonts w:ascii="Times New Roman" w:hAnsi="Times New Roman" w:cs="Times New Roman"/>
          <w:sz w:val="24"/>
          <w:szCs w:val="24"/>
        </w:rPr>
        <w:t xml:space="preserve">) sono stati confrontati i punteggi ottenuti per ciascuna emozione negativa tra il gruppo dei genitori non clinici (con figli nati a termine) e quello dei genitori clinici (con figli nati pretermine). I genitori clinici, cioè, quelli che hanno un figlio ricoverato in ospedale perché nato pretermine esperiscono in media maggiori emozioni negative dei genitori non clinici. Si ottengono punteggi più alti  nell’indice unico di risposta emozionale (F(1,124) = 7.75, p &lt; .01), nell’emozione “Nervoso” (F (1,123) = 18.05, p &lt; .001),   “Preoccupato” (F(1,123) = 20.70,     p &lt;.001). </w:t>
      </w:r>
    </w:p>
    <w:p w:rsidR="005E716B" w:rsidRPr="00EF60B7" w:rsidRDefault="005E716B" w:rsidP="005E716B">
      <w:pPr>
        <w:spacing w:line="360" w:lineRule="auto"/>
        <w:jc w:val="both"/>
        <w:rPr>
          <w:rFonts w:ascii="Times New Roman" w:hAnsi="Times New Roman" w:cs="Times New Roman"/>
          <w:sz w:val="24"/>
          <w:szCs w:val="24"/>
        </w:rPr>
      </w:pPr>
    </w:p>
    <w:p w:rsidR="00381ABF" w:rsidRPr="00EF60B7" w:rsidRDefault="00381ABF" w:rsidP="008D2DF6">
      <w:pPr>
        <w:pStyle w:val="NormaleWeb"/>
        <w:spacing w:after="0" w:line="360" w:lineRule="auto"/>
        <w:jc w:val="both"/>
      </w:pPr>
      <w:r w:rsidRPr="00EF60B7">
        <w:rPr>
          <w:noProof/>
        </w:rPr>
        <w:drawing>
          <wp:inline distT="0" distB="0" distL="0" distR="0">
            <wp:extent cx="5252085" cy="4081151"/>
            <wp:effectExtent l="19050" t="0" r="5715" b="0"/>
            <wp:docPr id="19"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srcRect/>
                    <a:stretch>
                      <a:fillRect/>
                    </a:stretch>
                  </pic:blipFill>
                  <pic:spPr bwMode="auto">
                    <a:xfrm>
                      <a:off x="0" y="0"/>
                      <a:ext cx="5252085" cy="4081151"/>
                    </a:xfrm>
                    <a:prstGeom prst="rect">
                      <a:avLst/>
                    </a:prstGeom>
                    <a:noFill/>
                    <a:ln w="9525">
                      <a:noFill/>
                      <a:miter lim="800000"/>
                      <a:headEnd/>
                      <a:tailEnd/>
                    </a:ln>
                  </pic:spPr>
                </pic:pic>
              </a:graphicData>
            </a:graphic>
          </wp:inline>
        </w:drawing>
      </w:r>
    </w:p>
    <w:p w:rsidR="00381ABF" w:rsidRPr="00EF60B7" w:rsidRDefault="00381ABF" w:rsidP="008D2DF6">
      <w:pPr>
        <w:spacing w:before="240" w:line="360" w:lineRule="auto"/>
        <w:jc w:val="both"/>
        <w:rPr>
          <w:rFonts w:ascii="Times New Roman" w:hAnsi="Times New Roman" w:cs="Times New Roman"/>
          <w:sz w:val="24"/>
          <w:szCs w:val="24"/>
        </w:rPr>
      </w:pPr>
      <w:r w:rsidRPr="00EF60B7">
        <w:rPr>
          <w:rFonts w:ascii="Times New Roman" w:hAnsi="Times New Roman" w:cs="Times New Roman"/>
          <w:sz w:val="24"/>
          <w:szCs w:val="24"/>
        </w:rPr>
        <w:t xml:space="preserve">Mediante il test di Mann-Whitney  sono stati confrontati i punteggi ottenuti per i due modelli relazionali (paternalistico </w:t>
      </w:r>
      <w:r w:rsidRPr="00EF60B7">
        <w:rPr>
          <w:rFonts w:ascii="Times New Roman" w:hAnsi="Times New Roman" w:cs="Times New Roman"/>
          <w:i/>
          <w:sz w:val="24"/>
          <w:szCs w:val="24"/>
        </w:rPr>
        <w:t>versus</w:t>
      </w:r>
      <w:r w:rsidRPr="00EF60B7">
        <w:rPr>
          <w:rFonts w:ascii="Times New Roman" w:hAnsi="Times New Roman" w:cs="Times New Roman"/>
          <w:sz w:val="24"/>
          <w:szCs w:val="24"/>
        </w:rPr>
        <w:t xml:space="preserve"> deliberativo) prima sul gruppo di genitori con bambini nati a termine (N = 62) e poi per il gruppo clinico di genitori con bambini nati pretermine (N = 63). Dall’analisi è emerso che nel gruppo non clinico di genitori non ci sono differenze significative quando si usa il modello paternalistico piuttosto che quello deliberativo rispetto alla presenza di emozioni negative quando occorre prendere una decisione difficile (Afflitto o </w:t>
      </w:r>
      <w:r w:rsidRPr="00EF60B7">
        <w:rPr>
          <w:rFonts w:ascii="Times New Roman" w:hAnsi="Times New Roman" w:cs="Times New Roman"/>
          <w:i/>
          <w:sz w:val="24"/>
          <w:szCs w:val="24"/>
        </w:rPr>
        <w:t>Distressed</w:t>
      </w:r>
      <w:r w:rsidRPr="00EF60B7">
        <w:rPr>
          <w:rFonts w:ascii="Times New Roman" w:hAnsi="Times New Roman" w:cs="Times New Roman"/>
          <w:sz w:val="24"/>
          <w:szCs w:val="24"/>
        </w:rPr>
        <w:t xml:space="preserve"> , U = 406, p = .260; Turbato, U = 413, p = .309) . Nel gruppo clinico di genitori con figli nati pretermine  invece si ottengono punteggi più elevati quando viene utilizzato il modello paternalistico per la dimensione “Turbato” (U = 323.5, p  &lt; .01) e per quella “</w:t>
      </w:r>
      <w:r w:rsidRPr="00EF60B7">
        <w:rPr>
          <w:rFonts w:ascii="Times New Roman" w:hAnsi="Times New Roman" w:cs="Times New Roman"/>
          <w:i/>
          <w:sz w:val="24"/>
          <w:szCs w:val="24"/>
        </w:rPr>
        <w:t>Distressed</w:t>
      </w:r>
      <w:r w:rsidRPr="00EF60B7">
        <w:rPr>
          <w:rFonts w:ascii="Times New Roman" w:hAnsi="Times New Roman" w:cs="Times New Roman"/>
          <w:sz w:val="24"/>
          <w:szCs w:val="24"/>
        </w:rPr>
        <w:t xml:space="preserve">” (U = 349.5, p &lt; .05),  tutte le altre dimensioni non risultano significative. È interessante notare come sul campione dei genitori italiani di bambini ricoverati in reparti di neonatologia infantile dell’Ospedale “Cervello” di Palermo, se viene adottato un modello relazionale paternalistico, i genitori dei pazienti in media esperiscono maggiori emozioni negative rispetto a </w:t>
      </w:r>
      <w:r w:rsidRPr="00EF60B7">
        <w:rPr>
          <w:rFonts w:ascii="Times New Roman" w:hAnsi="Times New Roman" w:cs="Times New Roman"/>
          <w:sz w:val="24"/>
          <w:szCs w:val="24"/>
        </w:rPr>
        <w:lastRenderedPageBreak/>
        <w:t>quelle provate nel caso in cui il medico utilizza uno stile relazionale deliberativo o condiviso.</w:t>
      </w:r>
    </w:p>
    <w:p w:rsidR="00381ABF" w:rsidRPr="00EF60B7" w:rsidRDefault="00381ABF" w:rsidP="008D2DF6">
      <w:pPr>
        <w:pStyle w:val="NormaleWeb"/>
        <w:spacing w:after="0" w:line="360" w:lineRule="auto"/>
        <w:jc w:val="both"/>
      </w:pPr>
      <w:r w:rsidRPr="00EF60B7">
        <w:t>Infine è stata utilizzata  l’ Analisi della Varianza Multivariata (Manova) per valutare le differenze tra il gruppo clinico dei genitori di bambini nati pretermine ricoverati nel reparto di neonatologia infantile dell’ospedale “Cervello” di Palermo (gruppo sperimentale)  e quello non clinico dei genitori di bambini nati a termine (gruppo di controllo) per le variabili “indice unico risposta emozionale negativa”, “stato emotivo nervoso”, “turbato”, “triste”, “</w:t>
      </w:r>
      <w:r w:rsidRPr="00EF60B7">
        <w:rPr>
          <w:i/>
        </w:rPr>
        <w:t>distressed</w:t>
      </w:r>
      <w:r w:rsidRPr="00EF60B7">
        <w:t xml:space="preserve">”, “preoccupato” e “in colpa” rispetto alla variabile criterio “modello relazionale” che assume i due livelli “paternalistico” e “deliberativo”. </w:t>
      </w:r>
    </w:p>
    <w:p w:rsidR="00381ABF" w:rsidRPr="00EF60B7" w:rsidRDefault="00381ABF" w:rsidP="008D2DF6">
      <w:pPr>
        <w:pStyle w:val="NormaleWeb"/>
        <w:spacing w:after="0" w:line="360" w:lineRule="auto"/>
        <w:jc w:val="both"/>
      </w:pPr>
      <w:r w:rsidRPr="00EF60B7">
        <w:rPr>
          <w:noProof/>
        </w:rPr>
        <w:drawing>
          <wp:inline distT="0" distB="0" distL="0" distR="0">
            <wp:extent cx="5252085" cy="3443990"/>
            <wp:effectExtent l="19050" t="0" r="0" b="0"/>
            <wp:docPr id="21"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a:srcRect/>
                    <a:stretch>
                      <a:fillRect/>
                    </a:stretch>
                  </pic:blipFill>
                  <pic:spPr bwMode="auto">
                    <a:xfrm>
                      <a:off x="0" y="0"/>
                      <a:ext cx="5252085" cy="3443990"/>
                    </a:xfrm>
                    <a:prstGeom prst="rect">
                      <a:avLst/>
                    </a:prstGeom>
                    <a:noFill/>
                    <a:ln w="9525">
                      <a:noFill/>
                      <a:miter lim="800000"/>
                      <a:headEnd/>
                      <a:tailEnd/>
                    </a:ln>
                  </pic:spPr>
                </pic:pic>
              </a:graphicData>
            </a:graphic>
          </wp:inline>
        </w:drawing>
      </w:r>
    </w:p>
    <w:p w:rsidR="00381ABF" w:rsidRPr="00EF60B7" w:rsidRDefault="00381ABF" w:rsidP="008D2DF6">
      <w:pPr>
        <w:spacing w:line="360" w:lineRule="auto"/>
        <w:jc w:val="both"/>
        <w:rPr>
          <w:rFonts w:ascii="Times New Roman" w:hAnsi="Times New Roman" w:cs="Times New Roman"/>
          <w:sz w:val="24"/>
          <w:szCs w:val="24"/>
          <w:lang w:eastAsia="it-IT"/>
        </w:rPr>
      </w:pPr>
    </w:p>
    <w:p w:rsidR="00381ABF" w:rsidRPr="00EF60B7" w:rsidRDefault="00381ABF" w:rsidP="008D2DF6">
      <w:pPr>
        <w:spacing w:line="360" w:lineRule="auto"/>
        <w:jc w:val="both"/>
        <w:rPr>
          <w:rFonts w:ascii="Times New Roman" w:hAnsi="Times New Roman" w:cs="Times New Roman"/>
          <w:sz w:val="24"/>
          <w:szCs w:val="24"/>
          <w:lang w:eastAsia="it-IT"/>
        </w:rPr>
      </w:pPr>
    </w:p>
    <w:p w:rsidR="00381ABF" w:rsidRPr="00EF60B7" w:rsidRDefault="00381ABF" w:rsidP="008D2DF6">
      <w:pPr>
        <w:spacing w:line="360" w:lineRule="auto"/>
        <w:jc w:val="both"/>
        <w:rPr>
          <w:rFonts w:ascii="Times New Roman" w:hAnsi="Times New Roman" w:cs="Times New Roman"/>
          <w:sz w:val="24"/>
          <w:szCs w:val="24"/>
          <w:lang w:eastAsia="it-IT"/>
        </w:rPr>
      </w:pPr>
    </w:p>
    <w:p w:rsidR="00381ABF" w:rsidRPr="00EF60B7" w:rsidRDefault="00381ABF" w:rsidP="008D2DF6">
      <w:pPr>
        <w:spacing w:line="360" w:lineRule="auto"/>
        <w:jc w:val="both"/>
        <w:rPr>
          <w:rFonts w:ascii="Times New Roman" w:hAnsi="Times New Roman" w:cs="Times New Roman"/>
          <w:sz w:val="24"/>
          <w:szCs w:val="24"/>
          <w:lang w:eastAsia="it-IT"/>
        </w:rPr>
      </w:pPr>
    </w:p>
    <w:p w:rsidR="00381ABF" w:rsidRPr="00EF60B7" w:rsidRDefault="00381ABF" w:rsidP="008D2DF6">
      <w:pPr>
        <w:spacing w:line="360" w:lineRule="auto"/>
        <w:jc w:val="both"/>
        <w:rPr>
          <w:rFonts w:ascii="Times New Roman" w:hAnsi="Times New Roman" w:cs="Times New Roman"/>
          <w:sz w:val="24"/>
          <w:szCs w:val="24"/>
          <w:lang w:eastAsia="it-IT"/>
        </w:rPr>
      </w:pPr>
    </w:p>
    <w:p w:rsidR="00381ABF" w:rsidRPr="00EF60B7" w:rsidRDefault="00381ABF" w:rsidP="008D2DF6">
      <w:pPr>
        <w:spacing w:line="360" w:lineRule="auto"/>
        <w:jc w:val="both"/>
        <w:rPr>
          <w:rFonts w:ascii="Times New Roman" w:hAnsi="Times New Roman" w:cs="Times New Roman"/>
          <w:sz w:val="24"/>
          <w:szCs w:val="24"/>
          <w:lang w:eastAsia="it-IT"/>
        </w:rPr>
      </w:pPr>
      <w:r w:rsidRPr="00EF60B7">
        <w:rPr>
          <w:rFonts w:ascii="Times New Roman" w:hAnsi="Times New Roman" w:cs="Times New Roman"/>
          <w:noProof/>
          <w:sz w:val="24"/>
          <w:szCs w:val="24"/>
          <w:lang w:eastAsia="it-IT"/>
        </w:rPr>
        <w:lastRenderedPageBreak/>
        <w:drawing>
          <wp:inline distT="0" distB="0" distL="0" distR="0">
            <wp:extent cx="5252085" cy="8408641"/>
            <wp:effectExtent l="19050" t="0" r="5715" b="0"/>
            <wp:docPr id="22"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a:srcRect/>
                    <a:stretch>
                      <a:fillRect/>
                    </a:stretch>
                  </pic:blipFill>
                  <pic:spPr bwMode="auto">
                    <a:xfrm>
                      <a:off x="0" y="0"/>
                      <a:ext cx="5252085" cy="8408641"/>
                    </a:xfrm>
                    <a:prstGeom prst="rect">
                      <a:avLst/>
                    </a:prstGeom>
                    <a:noFill/>
                    <a:ln w="9525">
                      <a:noFill/>
                      <a:miter lim="800000"/>
                      <a:headEnd/>
                      <a:tailEnd/>
                    </a:ln>
                  </pic:spPr>
                </pic:pic>
              </a:graphicData>
            </a:graphic>
          </wp:inline>
        </w:drawing>
      </w:r>
    </w:p>
    <w:p w:rsidR="00381ABF" w:rsidRPr="00EF60B7" w:rsidRDefault="00381ABF" w:rsidP="008D2DF6">
      <w:pPr>
        <w:pStyle w:val="NormaleWeb"/>
        <w:spacing w:after="0" w:line="360" w:lineRule="auto"/>
        <w:jc w:val="both"/>
      </w:pPr>
    </w:p>
    <w:p w:rsidR="00381ABF" w:rsidRPr="00EF60B7" w:rsidRDefault="00381ABF" w:rsidP="008D2DF6">
      <w:pPr>
        <w:pStyle w:val="NormaleWeb"/>
        <w:spacing w:after="0" w:line="360" w:lineRule="auto"/>
        <w:jc w:val="both"/>
      </w:pPr>
      <w:r w:rsidRPr="00EF60B7">
        <w:lastRenderedPageBreak/>
        <w:t xml:space="preserve">I risultati della MANOVA (vedi </w:t>
      </w:r>
      <w:r w:rsidRPr="00EF60B7">
        <w:rPr>
          <w:b/>
        </w:rPr>
        <w:t xml:space="preserve">tabella 12 </w:t>
      </w:r>
      <w:r w:rsidRPr="00EF60B7">
        <w:t xml:space="preserve">e </w:t>
      </w:r>
      <w:r w:rsidRPr="00EF60B7">
        <w:rPr>
          <w:b/>
        </w:rPr>
        <w:t>13</w:t>
      </w:r>
      <w:r w:rsidRPr="00EF60B7">
        <w:t>) sono relativi ai punteggi ottenuti per l’indice unico di risposta emozionale negativa e per ciascuna emozione negativa tra il modello paternalistico e quello deliberativo nel campione dei genitori (gruppo non clinico e gruppo clinico). È emerso che c’è una differenza significativa tra i due gruppi per quanto attiene l’indice unico di risposta emozionale (F = 6.63, p &lt; .05); in particolare, per quanto riguarda lo stato emotivo negativo “nervoso” (F = 17.12, p &lt; .001) e “preoccupato” ( F = 20.75, p &lt; .001). Inoltre, risultano differenze significative tra i due gruppi  quando si adotta uno stile relazionale piuttosto che un altro sulle emozioni negative tranne che per lo stato emotivo negativo “turbato” (F = 4.07, p &lt; .05); c’è invece una differenza significativa quando si osserva l’effetto di interazione tra “gruppo di genitore clinico o non clinico” e “modello relazionale utilizzato dal medico” sugli stati emotivi negativi:  “Turbato” F = 6.5, p &lt; .05; “Triste” F = 4.50, p &lt; .05; “Afflitto (</w:t>
      </w:r>
      <w:r w:rsidRPr="00EF60B7">
        <w:rPr>
          <w:i/>
        </w:rPr>
        <w:t>Distressed</w:t>
      </w:r>
      <w:r w:rsidRPr="00EF60B7">
        <w:t xml:space="preserve">)” F = 5.15, p &lt; .05). </w:t>
      </w:r>
    </w:p>
    <w:p w:rsidR="00381ABF" w:rsidRPr="00EF60B7" w:rsidRDefault="00381ABF" w:rsidP="008D2DF6">
      <w:pPr>
        <w:pStyle w:val="NormaleWeb"/>
        <w:spacing w:after="0" w:line="360" w:lineRule="auto"/>
        <w:jc w:val="both"/>
      </w:pPr>
      <w:r w:rsidRPr="00EF60B7">
        <w:t>Presi insieme, i risultati mettono in evidenza come nel gruppo clinico di genitori quando viene utilizzato un modello relazionale medico paziente paternalistico vengono esperite maggiori emozioni negative quando si deve prendere una decisione difficile. Al contrario, nel gruppo non clinico di genitori è il modello deliberativo a fare esperire maggiori emozioni negative quando si deve fare una scelta difficile.</w:t>
      </w:r>
    </w:p>
    <w:p w:rsidR="00381ABF" w:rsidRPr="00EF60B7" w:rsidRDefault="00381ABF" w:rsidP="008D2DF6">
      <w:pPr>
        <w:spacing w:line="360" w:lineRule="auto"/>
        <w:jc w:val="both"/>
        <w:rPr>
          <w:rFonts w:ascii="Times New Roman" w:eastAsia="Times New Roman" w:hAnsi="Times New Roman" w:cs="Times New Roman"/>
          <w:sz w:val="24"/>
          <w:szCs w:val="24"/>
          <w:lang w:eastAsia="it-IT"/>
        </w:rPr>
      </w:pPr>
    </w:p>
    <w:p w:rsidR="00381ABF" w:rsidRPr="00EF60B7" w:rsidRDefault="00381ABF" w:rsidP="008D2DF6">
      <w:pPr>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br w:type="page"/>
      </w:r>
    </w:p>
    <w:p w:rsidR="00381ABF" w:rsidRPr="00EF60B7" w:rsidRDefault="00381ABF" w:rsidP="008D2DF6">
      <w:pPr>
        <w:pStyle w:val="NormaleWeb"/>
        <w:spacing w:after="0" w:line="360" w:lineRule="auto"/>
        <w:jc w:val="both"/>
      </w:pPr>
    </w:p>
    <w:p w:rsidR="00381ABF" w:rsidRPr="00EF60B7" w:rsidRDefault="00381ABF" w:rsidP="008D2DF6">
      <w:pPr>
        <w:pStyle w:val="NormaleWeb"/>
        <w:numPr>
          <w:ilvl w:val="0"/>
          <w:numId w:val="2"/>
        </w:numPr>
        <w:spacing w:beforeAutospacing="0" w:after="0" w:line="360" w:lineRule="auto"/>
        <w:jc w:val="both"/>
        <w:rPr>
          <w:i/>
        </w:rPr>
      </w:pPr>
      <w:r w:rsidRPr="00EF60B7">
        <w:rPr>
          <w:i/>
        </w:rPr>
        <w:t>Discussione e Conclusioni</w:t>
      </w:r>
    </w:p>
    <w:p w:rsidR="00381ABF" w:rsidRPr="00EF60B7" w:rsidRDefault="00381ABF" w:rsidP="008D2DF6">
      <w:pPr>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La presente ricerca si proponeva tre specifici obiettivi:</w:t>
      </w:r>
    </w:p>
    <w:p w:rsidR="00381ABF" w:rsidRPr="00EF60B7" w:rsidRDefault="00381ABF" w:rsidP="008D2DF6">
      <w:pPr>
        <w:pStyle w:val="Paragrafoelenco"/>
        <w:numPr>
          <w:ilvl w:val="0"/>
          <w:numId w:val="7"/>
        </w:numPr>
        <w:spacing w:after="0" w:line="360" w:lineRule="auto"/>
        <w:jc w:val="both"/>
        <w:rPr>
          <w:rFonts w:ascii="Times New Roman" w:hAnsi="Times New Roman" w:cs="Times New Roman"/>
          <w:sz w:val="24"/>
          <w:szCs w:val="24"/>
          <w:lang w:val="it-IT"/>
        </w:rPr>
      </w:pPr>
      <w:r w:rsidRPr="00EF60B7">
        <w:rPr>
          <w:rFonts w:ascii="Times New Roman" w:hAnsi="Times New Roman" w:cs="Times New Roman"/>
          <w:sz w:val="24"/>
          <w:szCs w:val="24"/>
          <w:lang w:val="it-IT"/>
        </w:rPr>
        <w:t xml:space="preserve">Verificare se e in che misura dal confronto tra due diversi stili relazionali medico paziente (modello paternalistico </w:t>
      </w:r>
      <w:r w:rsidRPr="00EF60B7">
        <w:rPr>
          <w:rFonts w:ascii="Times New Roman" w:hAnsi="Times New Roman" w:cs="Times New Roman"/>
          <w:i/>
          <w:sz w:val="24"/>
          <w:szCs w:val="24"/>
          <w:lang w:val="it-IT"/>
        </w:rPr>
        <w:t>versus</w:t>
      </w:r>
      <w:r w:rsidRPr="00EF60B7">
        <w:rPr>
          <w:rFonts w:ascii="Times New Roman" w:hAnsi="Times New Roman" w:cs="Times New Roman"/>
          <w:sz w:val="24"/>
          <w:szCs w:val="24"/>
          <w:lang w:val="it-IT"/>
        </w:rPr>
        <w:t xml:space="preserve"> modello deliberativo) risultino differenze significative sul piano delle emozioni negative esperite dai familiari di pazienti, che si trovano in situazioni cliniche critiche, di fronte a scelte particolarmente difficili.</w:t>
      </w:r>
    </w:p>
    <w:p w:rsidR="00381ABF" w:rsidRPr="00EF60B7" w:rsidRDefault="00381ABF" w:rsidP="008D2DF6">
      <w:pPr>
        <w:numPr>
          <w:ilvl w:val="0"/>
          <w:numId w:val="7"/>
        </w:numPr>
        <w:spacing w:after="0" w:line="360" w:lineRule="auto"/>
        <w:ind w:left="0" w:firstLine="0"/>
        <w:jc w:val="both"/>
        <w:rPr>
          <w:rFonts w:ascii="Times New Roman" w:hAnsi="Times New Roman" w:cs="Times New Roman"/>
          <w:sz w:val="24"/>
          <w:szCs w:val="24"/>
        </w:rPr>
      </w:pPr>
      <w:r w:rsidRPr="00EF60B7">
        <w:rPr>
          <w:rFonts w:ascii="Times New Roman" w:hAnsi="Times New Roman" w:cs="Times New Roman"/>
          <w:sz w:val="24"/>
          <w:szCs w:val="24"/>
        </w:rPr>
        <w:t xml:space="preserve">Verificare se e in che misura dal confronto tra i due suddetti modelli risultino differenze significative per quanto attiene il desiderio di fare scelte autonome e il livello di </w:t>
      </w:r>
      <w:r w:rsidRPr="00EF60B7">
        <w:rPr>
          <w:rFonts w:ascii="Times New Roman" w:hAnsi="Times New Roman" w:cs="Times New Roman"/>
          <w:i/>
          <w:sz w:val="24"/>
          <w:szCs w:val="24"/>
        </w:rPr>
        <w:t>confidence</w:t>
      </w:r>
      <w:r w:rsidRPr="00EF60B7">
        <w:rPr>
          <w:rFonts w:ascii="Times New Roman" w:hAnsi="Times New Roman" w:cs="Times New Roman"/>
          <w:sz w:val="24"/>
          <w:szCs w:val="24"/>
        </w:rPr>
        <w:t xml:space="preserve"> in situazioni cliniche particolarmente critiche.</w:t>
      </w:r>
    </w:p>
    <w:p w:rsidR="00381ABF" w:rsidRPr="00EF60B7" w:rsidRDefault="00381ABF" w:rsidP="008D2DF6">
      <w:pPr>
        <w:numPr>
          <w:ilvl w:val="0"/>
          <w:numId w:val="7"/>
        </w:numPr>
        <w:spacing w:after="0" w:line="360" w:lineRule="auto"/>
        <w:ind w:left="0" w:firstLine="0"/>
        <w:jc w:val="both"/>
        <w:rPr>
          <w:rFonts w:ascii="Times New Roman" w:hAnsi="Times New Roman" w:cs="Times New Roman"/>
          <w:sz w:val="24"/>
          <w:szCs w:val="24"/>
        </w:rPr>
      </w:pPr>
      <w:r w:rsidRPr="00EF60B7">
        <w:rPr>
          <w:rFonts w:ascii="Times New Roman" w:hAnsi="Times New Roman" w:cs="Times New Roman"/>
          <w:sz w:val="24"/>
          <w:szCs w:val="24"/>
        </w:rPr>
        <w:t>Verificare se esiste una relazione significativa tra il desiderio di fare scelte autonome e il desiderio di controllo quando si deve prendere una decisione in condizioni particolarmente critiche.</w:t>
      </w:r>
    </w:p>
    <w:p w:rsidR="00381ABF" w:rsidRPr="00EF60B7" w:rsidRDefault="00381ABF" w:rsidP="008D2DF6">
      <w:pPr>
        <w:spacing w:line="360" w:lineRule="auto"/>
        <w:jc w:val="both"/>
        <w:rPr>
          <w:rFonts w:ascii="Times New Roman" w:hAnsi="Times New Roman" w:cs="Times New Roman"/>
          <w:sz w:val="24"/>
          <w:szCs w:val="24"/>
        </w:rPr>
      </w:pPr>
    </w:p>
    <w:p w:rsidR="00381ABF" w:rsidRPr="00EF60B7" w:rsidRDefault="00381ABF" w:rsidP="008D2DF6">
      <w:pPr>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In riferimento al primo obiettivo i risultati ottenuti nello studio 1 suggeriscono che non soltanto il modello autonomistico preso in esame nelle indagini precedenti, (Orfali, 2004; Orfali &amp; Gordon, 2004; Botti et al., 2009) dalle quali emergeva come esso comporti un maggiore livello di emozioni negative rispetto a quello paternalistico, ma anche il modello deliberativo, in situazioni cliniche che pongono di fronte a scelte tragiche, produce maggiori emozioni negative e minore desiderio di autonomia rispetto al modello paternalistico. In particolare, dal confronto tra i due modelli emergono differenze significative per quanto attiene gli stati emotivi negativi “nervoso”, “turbato”, “</w:t>
      </w:r>
      <w:r w:rsidRPr="00EF60B7">
        <w:rPr>
          <w:rFonts w:ascii="Times New Roman" w:hAnsi="Times New Roman" w:cs="Times New Roman"/>
          <w:i/>
          <w:sz w:val="24"/>
          <w:szCs w:val="24"/>
        </w:rPr>
        <w:t>distressed</w:t>
      </w:r>
      <w:r w:rsidRPr="00EF60B7">
        <w:rPr>
          <w:rFonts w:ascii="Times New Roman" w:hAnsi="Times New Roman" w:cs="Times New Roman"/>
          <w:sz w:val="24"/>
          <w:szCs w:val="24"/>
        </w:rPr>
        <w:t xml:space="preserve">” e “preoccupato” ma non per quanto riguarda gli stati emotivi negativi “triste” e “in colpa”. In riferimento al secondo obiettivo, dal confronto tra i due modelli presi in esame (paternalistico </w:t>
      </w:r>
      <w:r w:rsidRPr="00EF60B7">
        <w:rPr>
          <w:rFonts w:ascii="Times New Roman" w:hAnsi="Times New Roman" w:cs="Times New Roman"/>
          <w:i/>
          <w:sz w:val="24"/>
          <w:szCs w:val="24"/>
        </w:rPr>
        <w:t>versus</w:t>
      </w:r>
      <w:r w:rsidRPr="00EF60B7">
        <w:rPr>
          <w:rFonts w:ascii="Times New Roman" w:hAnsi="Times New Roman" w:cs="Times New Roman"/>
          <w:sz w:val="24"/>
          <w:szCs w:val="24"/>
        </w:rPr>
        <w:t xml:space="preserve"> deliberativo) risultano, nello studio 1, differenze significative per quanto attiene il desiderio di fare scelte autonome; infatti la tendenza a delegare la decisione risulta più accentuata quando viene adottato uno stile relazionale paternalistico. Emerge inoltre una correlazione significativa anche tra il desiderio di delegare la decisione e il livello di </w:t>
      </w:r>
      <w:r w:rsidRPr="00EF60B7">
        <w:rPr>
          <w:rFonts w:ascii="Times New Roman" w:hAnsi="Times New Roman" w:cs="Times New Roman"/>
          <w:i/>
          <w:sz w:val="24"/>
          <w:szCs w:val="24"/>
        </w:rPr>
        <w:t>confidence</w:t>
      </w:r>
      <w:r w:rsidRPr="00EF60B7">
        <w:rPr>
          <w:rFonts w:ascii="Times New Roman" w:hAnsi="Times New Roman" w:cs="Times New Roman"/>
          <w:sz w:val="24"/>
          <w:szCs w:val="24"/>
        </w:rPr>
        <w:t xml:space="preserve">  indipendentemente dallo stile relazionale adottato. In riferimento al terzo obiettivo </w:t>
      </w:r>
      <w:r w:rsidRPr="00EF60B7">
        <w:rPr>
          <w:rFonts w:ascii="Times New Roman" w:hAnsi="Times New Roman" w:cs="Times New Roman"/>
          <w:sz w:val="24"/>
          <w:szCs w:val="24"/>
        </w:rPr>
        <w:lastRenderedPageBreak/>
        <w:t xml:space="preserve">nello studio 1 non é stata rilevata alcuna correlazione significativa tra il desiderio di fare scelte autonome e il desiderio di controllo. In riferimento ai risultati ottenuti nello studio pilota (studio 1) emergono differenze significative nel confronto tra le due diverse realtà socio-culturali (Stati Uniti e Italia); infatti nel contesto statunitense risulta che il modello deliberativo produce maggiore </w:t>
      </w:r>
      <w:r w:rsidRPr="00EF60B7">
        <w:rPr>
          <w:rFonts w:ascii="Times New Roman" w:hAnsi="Times New Roman" w:cs="Times New Roman"/>
          <w:i/>
          <w:sz w:val="24"/>
          <w:szCs w:val="24"/>
        </w:rPr>
        <w:t>distress</w:t>
      </w:r>
      <w:r w:rsidRPr="00EF60B7">
        <w:rPr>
          <w:rFonts w:ascii="Times New Roman" w:hAnsi="Times New Roman" w:cs="Times New Roman"/>
          <w:sz w:val="24"/>
          <w:szCs w:val="24"/>
        </w:rPr>
        <w:t xml:space="preserve"> rispetto al modello paternalistico, mentre nel contesto italiano esso produce un più alto livello di nervosismo, turbamento e preoccupazione . Dal confronto tra le due diverse realtà socioculturali i risultati mostrano che non ci sono differenze significative tra il modello paternalistico e quello deliberativo per quanto riguarda il desiderio di fare una scelta autonoma.</w:t>
      </w:r>
    </w:p>
    <w:p w:rsidR="00381ABF" w:rsidRPr="00EF60B7" w:rsidRDefault="00381ABF" w:rsidP="008D2DF6">
      <w:pPr>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In riferimento al primo obiettivo, i risultati ottenuti nello studio 2, basato su un campione di genitori italiani, mostrano l’assenza di differenze significative tra modello paternalistico e modello deliberativo rispetto agli stati negativi “nervoso”, “triste”, “</w:t>
      </w:r>
      <w:r w:rsidRPr="00EF60B7">
        <w:rPr>
          <w:rFonts w:ascii="Times New Roman" w:hAnsi="Times New Roman" w:cs="Times New Roman"/>
          <w:i/>
          <w:sz w:val="24"/>
          <w:szCs w:val="24"/>
        </w:rPr>
        <w:t>distressed</w:t>
      </w:r>
      <w:r w:rsidRPr="00EF60B7">
        <w:rPr>
          <w:rFonts w:ascii="Times New Roman" w:hAnsi="Times New Roman" w:cs="Times New Roman"/>
          <w:sz w:val="24"/>
          <w:szCs w:val="24"/>
        </w:rPr>
        <w:t>”, “preoccupato”, “in colpa” ma non per quanto attiene lo stato emotivo negativo “turbato”. Infatti, il gruppo clinico di genitori appare maggiormente turbato quando viene adottato il modello paternalistico mentre il gruppo non clinico esperisce maggiore turbamento quando viene adottato uno stile relazionale medico paziente deliberativo.  Inoltre, emergono differenze significative dal confronto tra il gruppo non clinico di genitori e il gruppo clinico di genitori: infatti i soggetti del gruppo clinico ottengono punteggi più elevati quando viene utilizzato il modello paternalistico, piuttosto che quello deliberativo, per la dimensione “turbato” e per quella “</w:t>
      </w:r>
      <w:r w:rsidRPr="00EF60B7">
        <w:rPr>
          <w:rFonts w:ascii="Times New Roman" w:hAnsi="Times New Roman" w:cs="Times New Roman"/>
          <w:i/>
          <w:sz w:val="24"/>
          <w:szCs w:val="24"/>
        </w:rPr>
        <w:t>distressed</w:t>
      </w:r>
      <w:r w:rsidRPr="00EF60B7">
        <w:rPr>
          <w:rFonts w:ascii="Times New Roman" w:hAnsi="Times New Roman" w:cs="Times New Roman"/>
          <w:sz w:val="24"/>
          <w:szCs w:val="24"/>
        </w:rPr>
        <w:t xml:space="preserve">”  contrariamente a quanto é emerso nel gruppo non clinico di genitori i cui risultati sono in linea con lo studio 1 e con quelli delle ricerche precedenti (Orfali, 2004; Orfali &amp; Gordon, 2004; Botti et al., 2009). Inoltre, rispetto agli obiettivi 2 e 3 dello studio 2, non si rilevano differenze significative rispetto alla variabile criterio modello relazionale tra i due gruppi del campione italiano per quanto attiene il livello di </w:t>
      </w:r>
      <w:r w:rsidRPr="00EF60B7">
        <w:rPr>
          <w:rFonts w:ascii="Times New Roman" w:hAnsi="Times New Roman" w:cs="Times New Roman"/>
          <w:i/>
          <w:sz w:val="24"/>
          <w:szCs w:val="24"/>
        </w:rPr>
        <w:t>confidence</w:t>
      </w:r>
      <w:r w:rsidRPr="00EF60B7">
        <w:rPr>
          <w:rFonts w:ascii="Times New Roman" w:hAnsi="Times New Roman" w:cs="Times New Roman"/>
          <w:sz w:val="24"/>
          <w:szCs w:val="24"/>
        </w:rPr>
        <w:t xml:space="preserve"> e per quanto riguarda il desiderio di fare scelte autonome. Infine, nello studio 2 non si riscontra una  correlazione significativa tra il desiderio di fare scelte autonome e il desiderio di controllo.</w:t>
      </w:r>
    </w:p>
    <w:p w:rsidR="005E716B" w:rsidRDefault="005E716B" w:rsidP="008D2DF6">
      <w:pPr>
        <w:pStyle w:val="NormaleWeb"/>
        <w:spacing w:after="0" w:line="360" w:lineRule="auto"/>
        <w:jc w:val="both"/>
      </w:pPr>
    </w:p>
    <w:p w:rsidR="005E716B" w:rsidRDefault="005E716B" w:rsidP="008D2DF6">
      <w:pPr>
        <w:pStyle w:val="NormaleWeb"/>
        <w:spacing w:after="0" w:line="360" w:lineRule="auto"/>
        <w:jc w:val="both"/>
      </w:pPr>
    </w:p>
    <w:p w:rsidR="00381ABF" w:rsidRPr="00EF60B7" w:rsidRDefault="00381ABF" w:rsidP="008D2DF6">
      <w:pPr>
        <w:pStyle w:val="NormaleWeb"/>
        <w:spacing w:after="0" w:line="360" w:lineRule="auto"/>
        <w:jc w:val="both"/>
      </w:pPr>
      <w:r w:rsidRPr="00EF60B7">
        <w:lastRenderedPageBreak/>
        <w:t xml:space="preserve">In sintesi, possiamo evidenziare due risultati principali: </w:t>
      </w:r>
    </w:p>
    <w:p w:rsidR="00381ABF" w:rsidRPr="00EF60B7" w:rsidRDefault="00381ABF" w:rsidP="008D2DF6">
      <w:pPr>
        <w:pStyle w:val="NormaleWeb"/>
        <w:spacing w:beforeAutospacing="0" w:after="0" w:line="360" w:lineRule="auto"/>
        <w:ind w:left="360"/>
        <w:jc w:val="both"/>
      </w:pPr>
      <w:r w:rsidRPr="00EF60B7">
        <w:t xml:space="preserve">1. Dallo studio pilota (studio 1) emerge che l’adozione di uno stile relazionale deliberativo piuttosto che paternalistico produce maggiori emozioni negative quando ci si trova di fronte a scelte particolarmente difficili (nei soggetti americani maggiore </w:t>
      </w:r>
      <w:r w:rsidRPr="00EF60B7">
        <w:rPr>
          <w:i/>
        </w:rPr>
        <w:t>distress</w:t>
      </w:r>
      <w:r w:rsidRPr="00EF60B7">
        <w:t xml:space="preserve"> e nei soggetti italiani maggiore nervosismo, turbamento e preoccupazione).</w:t>
      </w:r>
    </w:p>
    <w:p w:rsidR="00381ABF" w:rsidRPr="00EF60B7" w:rsidRDefault="00381ABF" w:rsidP="008D2DF6">
      <w:pPr>
        <w:pStyle w:val="NormaleWeb"/>
        <w:spacing w:beforeAutospacing="0" w:after="0" w:line="360" w:lineRule="auto"/>
        <w:ind w:left="360"/>
        <w:jc w:val="both"/>
      </w:pPr>
      <w:r w:rsidRPr="00EF60B7">
        <w:t xml:space="preserve">2. Dallo studio 2 emerge che i genitori di bambini nati a termine (gruppo non clinico) posti di fronte a scelte particolarmente difficili manifestano un minore coinvolgimento emotivo rispetto ai genitori di neonati ricoverati in reparti di terapia intensiva neonatale (gruppo clinico). Inoltre risulta che i genitori di bambini nati a termine provano maggiori emozioni negative quando viene adottato il modello relazionale deliberativo; mentre il gruppo clinico di genitori sperimenta maggiori emozioni negative quando viene adottato uno stile relazionale paternalistico. </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 xml:space="preserve">Dallo studio pilota (studio 1) emerge che l’adozione di uno stile relazionale deliberativo piuttosto che paternalistico produce maggiori emozioni negative quando ci si trova di fronte a scelte particolarmente difficili (nel campione degli studenti americani maggiore </w:t>
      </w:r>
      <w:r w:rsidRPr="00EF60B7">
        <w:rPr>
          <w:rFonts w:ascii="Times New Roman" w:hAnsi="Times New Roman" w:cs="Times New Roman"/>
          <w:i/>
          <w:sz w:val="24"/>
          <w:szCs w:val="24"/>
        </w:rPr>
        <w:t>distress</w:t>
      </w:r>
      <w:r w:rsidRPr="00EF60B7">
        <w:rPr>
          <w:rFonts w:ascii="Times New Roman" w:hAnsi="Times New Roman" w:cs="Times New Roman"/>
          <w:sz w:val="24"/>
          <w:szCs w:val="24"/>
        </w:rPr>
        <w:t xml:space="preserve">, in quello degli studenti italiani maggiore nervosismo, turbamento e preoccupazione). Ciò è in linea con quanto dimostrato dalle precedenti ricerche focalizzate su questo specifico argomento (Orfali, 2004; Orfali &amp; Gordon, 2004; Botti et al., 2009). Dunque, non soltanto dal confronto tra modello autonomistico e modello paternalistico fatto da esse, ma anche dal confronto tra modello deliberativo e modello paternalistico posto dal nostro studio risulta che quest’ultimo attenua le emozioni negative. Tale conferma vale sia in relazione agli scenari proposti a studenti universitari e a due diversi contesti socio-culturali (quello americano, orientato verso l’autonomismo, e quello italiano, orientato verso il paternalismo) sia in relazione agli scenari proposti al gruppo non clinico di genitori nello studio 2. Inoltre, dallo studio 2 , condotto non solo con i genitori di bambini nati a termine (gruppo non clinico) ma anche con i genitori di neonati ricoverati in reparti di terapia intensiva (gruppo clinico) - intervistati in ambulatorio mentre attendevano il proprio turno per le visite di controllo sui loro bambini- risultano differenze significative nell’incidenza del modello relazionale </w:t>
      </w:r>
      <w:r w:rsidRPr="00EF60B7">
        <w:rPr>
          <w:rFonts w:ascii="Times New Roman" w:hAnsi="Times New Roman" w:cs="Times New Roman"/>
          <w:sz w:val="24"/>
          <w:szCs w:val="24"/>
        </w:rPr>
        <w:lastRenderedPageBreak/>
        <w:t>utilizzato sulle emozioni negative esaminate. Il dato sorprendente è che, analizzando le risposte ai questionari date dal gruppo clinico, risulta come, rispetto al modello deliberativo, il modello paternalistico produca più emozioni negative. Tale dato contrasta non solo con i risultati degli studi di laboratorio condotti su studenti universitari ma anche con i risultati dello studio qualitativo condotto da Botti, Orfali e Iyengar (2009) attraverso l’esame di un “</w:t>
      </w:r>
      <w:r w:rsidRPr="00EF60B7">
        <w:rPr>
          <w:rFonts w:ascii="Times New Roman" w:hAnsi="Times New Roman" w:cs="Times New Roman"/>
          <w:i/>
          <w:sz w:val="24"/>
          <w:szCs w:val="24"/>
        </w:rPr>
        <w:t xml:space="preserve">subset” </w:t>
      </w:r>
      <w:r w:rsidRPr="00EF60B7">
        <w:rPr>
          <w:rFonts w:ascii="Times New Roman" w:hAnsi="Times New Roman" w:cs="Times New Roman"/>
          <w:sz w:val="24"/>
          <w:szCs w:val="24"/>
        </w:rPr>
        <w:t xml:space="preserve">di interviste precedentemente fatte a madri di neonati ricoverati in Unità di Terapia Intensiva (Orfali, 2004; Orfali &amp; Gordon, 2004). La discordanza tra i risultati del gruppo di studenti universitari, del gruppo non clinico di genitori e del gruppo clinico di genitori si può spiegare considerando che nella prima indagine (Studio 1) abbiamo utilizzato un campione di studenti universitari come negli studi di laboratorio condotti da Botti et al. (2009), nel secondo ci siamo avvalsi da un lato di un campione reclutato in un contesto socio-culturale diverso da quello esaminato dai suddetti autori nello studio qualitativo e dall’altro di due differenti gruppi di genitori (clinico e non clinico). Infatti, la tendenza a provare più emozioni negative in relazione al modello paternalistico, che emerge nel gruppo clinico di genitori, non risulta nel gruppo non clinico di genitori probabilmente perché si tratta di soggetti non realmente coinvolti in una forte situazione emotiva.  Ponendo a confronto due diversi sistemi socio-culturali (Stati Uniti </w:t>
      </w:r>
      <w:r w:rsidRPr="00EF60B7">
        <w:rPr>
          <w:rFonts w:ascii="Times New Roman" w:hAnsi="Times New Roman" w:cs="Times New Roman"/>
          <w:i/>
          <w:sz w:val="24"/>
          <w:szCs w:val="24"/>
        </w:rPr>
        <w:t xml:space="preserve">versus </w:t>
      </w:r>
      <w:r w:rsidRPr="00EF60B7">
        <w:rPr>
          <w:rFonts w:ascii="Times New Roman" w:hAnsi="Times New Roman" w:cs="Times New Roman"/>
          <w:sz w:val="24"/>
          <w:szCs w:val="24"/>
        </w:rPr>
        <w:t>Francia) gli autori delle ricerche a cui facciamo riferimento hanno trovato che nel contesto orientato in senso paternalistico (quello francese) i genitori posti di fronte a scelte tragiche sperimentavano minori emozioni negative rispetto a quelle provate dai genitori in un contesto caratterizzato dal modello autonomistico (quello americano). Interpretando questo risultato, essi lo hanno spiegato come l’effetto psicologico di un clima caratterizzato da un rapporto empatico tra i medici e le madri dei pazienti; queste, pur se escluse dal processo decisionale provavano la sensazione di condividere con i medici la decisione a causa del considerevole “</w:t>
      </w:r>
      <w:r w:rsidRPr="00EF60B7">
        <w:rPr>
          <w:rFonts w:ascii="Times New Roman" w:hAnsi="Times New Roman" w:cs="Times New Roman"/>
          <w:i/>
          <w:sz w:val="24"/>
          <w:szCs w:val="24"/>
        </w:rPr>
        <w:t>sentimental work</w:t>
      </w:r>
      <w:r w:rsidRPr="00EF60B7">
        <w:rPr>
          <w:rFonts w:ascii="Times New Roman" w:hAnsi="Times New Roman" w:cs="Times New Roman"/>
          <w:sz w:val="24"/>
          <w:szCs w:val="24"/>
        </w:rPr>
        <w:t xml:space="preserve">” svolto dal </w:t>
      </w:r>
      <w:r w:rsidRPr="00EF60B7">
        <w:rPr>
          <w:rFonts w:ascii="Times New Roman" w:hAnsi="Times New Roman" w:cs="Times New Roman"/>
          <w:i/>
          <w:sz w:val="24"/>
          <w:szCs w:val="24"/>
        </w:rPr>
        <w:t>team</w:t>
      </w:r>
      <w:r w:rsidRPr="00EF60B7">
        <w:rPr>
          <w:rFonts w:ascii="Times New Roman" w:hAnsi="Times New Roman" w:cs="Times New Roman"/>
          <w:sz w:val="24"/>
          <w:szCs w:val="24"/>
        </w:rPr>
        <w:t xml:space="preserve"> nei loro confronti. La discordanza dei risultati del nostro studio rispetto a quelli di Orfali e Gordon (2004) circa gli effetti del modello paternalistico sulle emozioni negative delle madri di pazienti in condizioni particolarmente critiche pone un interrogativo: come mai nel contesto italiano da noi esaminato, orientato in senso paternalistico come quello francese, il paternalismo produce effetti diversi da quelli prodotti in Francia? Sarebbe gratuito ed arbitrario ritenere che il vantaggio osservato nel </w:t>
      </w:r>
      <w:r w:rsidRPr="00EF60B7">
        <w:rPr>
          <w:rFonts w:ascii="Times New Roman" w:hAnsi="Times New Roman" w:cs="Times New Roman"/>
          <w:sz w:val="24"/>
          <w:szCs w:val="24"/>
        </w:rPr>
        <w:lastRenderedPageBreak/>
        <w:t>contesto del paternalismo francese non si produce nel contesto del paternalismo italiano da noi osservato perché l’esclusione dei genitori dal processo decisionale non sarebbe compensata da un adeguato “</w:t>
      </w:r>
      <w:r w:rsidRPr="00EF60B7">
        <w:rPr>
          <w:rFonts w:ascii="Times New Roman" w:hAnsi="Times New Roman" w:cs="Times New Roman"/>
          <w:i/>
          <w:sz w:val="24"/>
          <w:szCs w:val="24"/>
        </w:rPr>
        <w:t>sentimental work</w:t>
      </w:r>
      <w:r w:rsidRPr="00EF60B7">
        <w:rPr>
          <w:rFonts w:ascii="Times New Roman" w:hAnsi="Times New Roman" w:cs="Times New Roman"/>
          <w:sz w:val="24"/>
          <w:szCs w:val="24"/>
        </w:rPr>
        <w:t xml:space="preserve">”. Nel tentativo di dare risposta all’interrogativo non è da escludere che il diverso effetto del modello paternalistico dipenda da una diversità delle condizioni ambientali in cui esso viene praticato (strutture sanitarie, organizzative, formazione professionale dei medici). Ma, soprattutto, non è da escludere che l’enfatizzazione dei più recenti casi di malasanità registrati in Italia la cui portata è stata eccessivamente amplificata dai </w:t>
      </w:r>
      <w:r w:rsidRPr="00EF60B7">
        <w:rPr>
          <w:rFonts w:ascii="Times New Roman" w:hAnsi="Times New Roman" w:cs="Times New Roman"/>
          <w:i/>
          <w:sz w:val="24"/>
          <w:szCs w:val="24"/>
        </w:rPr>
        <w:t>media</w:t>
      </w:r>
      <w:r w:rsidRPr="00EF60B7">
        <w:rPr>
          <w:rFonts w:ascii="Times New Roman" w:hAnsi="Times New Roman" w:cs="Times New Roman"/>
          <w:sz w:val="24"/>
          <w:szCs w:val="24"/>
        </w:rPr>
        <w:t xml:space="preserve"> abbia provocato negli utenti che si avvalgono dell’assistenza sanitaria una percezione negativa, una diffidenza pregiudiziale nei confronti dei medici che si rifletterebbe soprattutto nel livello di emozioni negative provate dai genitori al momento in cui le tragiche decisioni sulla sorte dei loro figli sono prese esclusivamente dai medici. In ogni caso, per non fermarci sul piano delle singole congetture è necessario andare oltre i limiti di questa ricerca che possono essere così riassunti: 1) limitata ampiezza numerica del campione clinico (63 soggetti); 2) difficoltà obiettiva di testare in ambito clinico l’impatto emotivo di situazioni estreme come quelle degli scenari proposti. </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Alla luce di quanto detto, ci proponiamo di validare ulteriormente il modello e gli scenari ripetendo la ricerca con un campione di soggetti più ampio e saggiando anche con interviste il punto di vista dei medici. Inoltre ci proponiamo di verificare mediante ulteriori ricerche i modi in cui viene concretamente applicato il modello paternalistico nei diversi contesti socio-culturali dove esso ha una lunga e radicata tradizione a cominciare dal confronto tra Italia e Francia. Ci proponiamo altresì di rilevare la diversa percezione della figura del medico nei contesti paternalistici che verrebbero posti a confronto nelle ricerche future.</w:t>
      </w:r>
    </w:p>
    <w:p w:rsidR="00381ABF" w:rsidRPr="00EF60B7" w:rsidRDefault="00381ABF" w:rsidP="008D2DF6">
      <w:pPr>
        <w:pStyle w:val="NormaleWeb"/>
        <w:spacing w:after="0" w:line="360" w:lineRule="auto"/>
        <w:jc w:val="both"/>
      </w:pPr>
    </w:p>
    <w:p w:rsidR="005E716B" w:rsidRDefault="005E716B" w:rsidP="008D2DF6">
      <w:pPr>
        <w:autoSpaceDE w:val="0"/>
        <w:autoSpaceDN w:val="0"/>
        <w:adjustRightInd w:val="0"/>
        <w:spacing w:line="360" w:lineRule="auto"/>
        <w:jc w:val="both"/>
        <w:rPr>
          <w:rFonts w:ascii="Times New Roman" w:hAnsi="Times New Roman" w:cs="Times New Roman"/>
          <w:b/>
          <w:i/>
          <w:color w:val="000000"/>
          <w:sz w:val="24"/>
          <w:szCs w:val="24"/>
        </w:rPr>
      </w:pPr>
    </w:p>
    <w:p w:rsidR="005E716B" w:rsidRDefault="005E716B" w:rsidP="008D2DF6">
      <w:pPr>
        <w:autoSpaceDE w:val="0"/>
        <w:autoSpaceDN w:val="0"/>
        <w:adjustRightInd w:val="0"/>
        <w:spacing w:line="360" w:lineRule="auto"/>
        <w:jc w:val="both"/>
        <w:rPr>
          <w:rFonts w:ascii="Times New Roman" w:hAnsi="Times New Roman" w:cs="Times New Roman"/>
          <w:b/>
          <w:i/>
          <w:color w:val="000000"/>
          <w:sz w:val="24"/>
          <w:szCs w:val="24"/>
        </w:rPr>
      </w:pPr>
    </w:p>
    <w:p w:rsidR="005E716B" w:rsidRDefault="005E716B" w:rsidP="008D2DF6">
      <w:pPr>
        <w:autoSpaceDE w:val="0"/>
        <w:autoSpaceDN w:val="0"/>
        <w:adjustRightInd w:val="0"/>
        <w:spacing w:line="360" w:lineRule="auto"/>
        <w:jc w:val="both"/>
        <w:rPr>
          <w:rFonts w:ascii="Times New Roman" w:hAnsi="Times New Roman" w:cs="Times New Roman"/>
          <w:b/>
          <w:i/>
          <w:color w:val="000000"/>
          <w:sz w:val="24"/>
          <w:szCs w:val="24"/>
        </w:rPr>
      </w:pPr>
    </w:p>
    <w:p w:rsidR="005E716B" w:rsidRDefault="005E716B" w:rsidP="008D2DF6">
      <w:pPr>
        <w:autoSpaceDE w:val="0"/>
        <w:autoSpaceDN w:val="0"/>
        <w:adjustRightInd w:val="0"/>
        <w:spacing w:line="360" w:lineRule="auto"/>
        <w:jc w:val="both"/>
        <w:rPr>
          <w:rFonts w:ascii="Times New Roman" w:hAnsi="Times New Roman" w:cs="Times New Roman"/>
          <w:b/>
          <w:i/>
          <w:color w:val="000000"/>
          <w:sz w:val="24"/>
          <w:szCs w:val="24"/>
        </w:rPr>
      </w:pPr>
    </w:p>
    <w:p w:rsidR="005E716B" w:rsidRDefault="005E716B" w:rsidP="008D2DF6">
      <w:pPr>
        <w:autoSpaceDE w:val="0"/>
        <w:autoSpaceDN w:val="0"/>
        <w:adjustRightInd w:val="0"/>
        <w:spacing w:line="360" w:lineRule="auto"/>
        <w:jc w:val="both"/>
        <w:rPr>
          <w:rFonts w:ascii="Times New Roman" w:hAnsi="Times New Roman" w:cs="Times New Roman"/>
          <w:b/>
          <w:i/>
          <w:color w:val="000000"/>
          <w:sz w:val="24"/>
          <w:szCs w:val="24"/>
        </w:rPr>
      </w:pPr>
    </w:p>
    <w:p w:rsidR="00381ABF" w:rsidRPr="00EF60B7" w:rsidRDefault="00381ABF" w:rsidP="008D2DF6">
      <w:pPr>
        <w:autoSpaceDE w:val="0"/>
        <w:autoSpaceDN w:val="0"/>
        <w:adjustRightInd w:val="0"/>
        <w:spacing w:line="360" w:lineRule="auto"/>
        <w:jc w:val="both"/>
        <w:rPr>
          <w:rFonts w:ascii="Times New Roman" w:hAnsi="Times New Roman" w:cs="Times New Roman"/>
          <w:b/>
          <w:i/>
          <w:color w:val="000000"/>
          <w:sz w:val="24"/>
          <w:szCs w:val="24"/>
        </w:rPr>
      </w:pPr>
      <w:r w:rsidRPr="00EF60B7">
        <w:rPr>
          <w:rFonts w:ascii="Times New Roman" w:hAnsi="Times New Roman" w:cs="Times New Roman"/>
          <w:b/>
          <w:i/>
          <w:color w:val="000000"/>
          <w:sz w:val="24"/>
          <w:szCs w:val="24"/>
        </w:rPr>
        <w:t>BIBLIOGRAFIA</w:t>
      </w:r>
    </w:p>
    <w:p w:rsidR="00381ABF" w:rsidRPr="00EF60B7" w:rsidRDefault="00381ABF" w:rsidP="008D2DF6">
      <w:pPr>
        <w:autoSpaceDE w:val="0"/>
        <w:autoSpaceDN w:val="0"/>
        <w:adjustRightInd w:val="0"/>
        <w:spacing w:line="360" w:lineRule="auto"/>
        <w:jc w:val="both"/>
        <w:rPr>
          <w:rFonts w:ascii="Times New Roman" w:hAnsi="Times New Roman" w:cs="Times New Roman"/>
          <w:color w:val="000000"/>
          <w:sz w:val="24"/>
          <w:szCs w:val="24"/>
        </w:rPr>
      </w:pPr>
    </w:p>
    <w:p w:rsidR="00381ABF" w:rsidRPr="00EF60B7" w:rsidRDefault="00381ABF" w:rsidP="008D2DF6">
      <w:pPr>
        <w:autoSpaceDE w:val="0"/>
        <w:autoSpaceDN w:val="0"/>
        <w:adjustRightInd w:val="0"/>
        <w:spacing w:line="360" w:lineRule="auto"/>
        <w:jc w:val="both"/>
        <w:rPr>
          <w:rFonts w:ascii="Times New Roman" w:hAnsi="Times New Roman" w:cs="Times New Roman"/>
          <w:color w:val="000000"/>
          <w:sz w:val="24"/>
          <w:szCs w:val="24"/>
          <w:lang w:val="en-US"/>
        </w:rPr>
      </w:pPr>
      <w:r w:rsidRPr="00EF60B7">
        <w:rPr>
          <w:rFonts w:ascii="Times New Roman" w:hAnsi="Times New Roman" w:cs="Times New Roman"/>
          <w:color w:val="000000"/>
          <w:sz w:val="24"/>
          <w:szCs w:val="24"/>
        </w:rPr>
        <w:t xml:space="preserve">Alderson, P., &amp; Montgomery, J. (1996). </w:t>
      </w:r>
      <w:r w:rsidRPr="00EF60B7">
        <w:rPr>
          <w:rFonts w:ascii="Times New Roman" w:hAnsi="Times New Roman" w:cs="Times New Roman"/>
          <w:i/>
          <w:color w:val="000000"/>
          <w:sz w:val="24"/>
          <w:szCs w:val="24"/>
          <w:lang w:val="en-US"/>
        </w:rPr>
        <w:t>Health care choices: making decisions with children</w:t>
      </w:r>
      <w:r w:rsidRPr="00EF60B7">
        <w:rPr>
          <w:rFonts w:ascii="Times New Roman" w:hAnsi="Times New Roman" w:cs="Times New Roman"/>
          <w:color w:val="000000"/>
          <w:sz w:val="24"/>
          <w:szCs w:val="24"/>
          <w:lang w:val="en-US"/>
        </w:rPr>
        <w:t>. London : Institute for Policy Research.</w:t>
      </w:r>
    </w:p>
    <w:p w:rsidR="00381ABF" w:rsidRPr="00EF60B7" w:rsidRDefault="00381ABF" w:rsidP="008D2DF6">
      <w:pPr>
        <w:autoSpaceDE w:val="0"/>
        <w:autoSpaceDN w:val="0"/>
        <w:adjustRightInd w:val="0"/>
        <w:spacing w:line="360" w:lineRule="auto"/>
        <w:jc w:val="both"/>
        <w:rPr>
          <w:rFonts w:ascii="Times New Roman" w:hAnsi="Times New Roman" w:cs="Times New Roman"/>
          <w:color w:val="000000"/>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color w:val="000000"/>
          <w:sz w:val="24"/>
          <w:szCs w:val="24"/>
          <w:lang w:val="en-US"/>
        </w:rPr>
      </w:pPr>
      <w:r w:rsidRPr="00EF60B7">
        <w:rPr>
          <w:rFonts w:ascii="Times New Roman" w:hAnsi="Times New Roman" w:cs="Times New Roman"/>
          <w:color w:val="000000"/>
          <w:sz w:val="24"/>
          <w:szCs w:val="24"/>
          <w:lang w:val="en-US"/>
        </w:rPr>
        <w:t xml:space="preserve">American Academy of Pediatrics Committee on Bioethics (1994). Guidelines on foregoing life-sustaining medical treatment. </w:t>
      </w:r>
      <w:r w:rsidRPr="00EF60B7">
        <w:rPr>
          <w:rFonts w:ascii="Times New Roman" w:hAnsi="Times New Roman" w:cs="Times New Roman"/>
          <w:i/>
          <w:color w:val="000000"/>
          <w:sz w:val="24"/>
          <w:szCs w:val="24"/>
          <w:lang w:val="en-US"/>
        </w:rPr>
        <w:t>Pediatrics</w:t>
      </w:r>
      <w:r w:rsidRPr="00EF60B7">
        <w:rPr>
          <w:rFonts w:ascii="Times New Roman" w:hAnsi="Times New Roman" w:cs="Times New Roman"/>
          <w:color w:val="000000"/>
          <w:sz w:val="24"/>
          <w:szCs w:val="24"/>
          <w:lang w:val="en-US"/>
        </w:rPr>
        <w:t>; 93: 532-536.</w:t>
      </w:r>
    </w:p>
    <w:p w:rsidR="00381ABF" w:rsidRPr="00EF60B7" w:rsidRDefault="00381ABF" w:rsidP="008D2DF6">
      <w:pPr>
        <w:autoSpaceDE w:val="0"/>
        <w:autoSpaceDN w:val="0"/>
        <w:adjustRightInd w:val="0"/>
        <w:spacing w:line="360" w:lineRule="auto"/>
        <w:jc w:val="both"/>
        <w:rPr>
          <w:rFonts w:ascii="Times New Roman" w:hAnsi="Times New Roman" w:cs="Times New Roman"/>
          <w:color w:val="000000"/>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Anspach, R. (1993). </w:t>
      </w:r>
      <w:r w:rsidRPr="00EF60B7">
        <w:rPr>
          <w:rFonts w:ascii="Times New Roman" w:hAnsi="Times New Roman" w:cs="Times New Roman"/>
          <w:i/>
          <w:sz w:val="24"/>
          <w:szCs w:val="24"/>
          <w:lang w:val="en-US"/>
        </w:rPr>
        <w:t>Deciding Who Lives: Fateful Choices in the Intensive Care Nursery</w:t>
      </w:r>
      <w:r w:rsidRPr="00EF60B7">
        <w:rPr>
          <w:rFonts w:ascii="Times New Roman" w:hAnsi="Times New Roman" w:cs="Times New Roman"/>
          <w:sz w:val="24"/>
          <w:szCs w:val="24"/>
          <w:lang w:val="en-US"/>
        </w:rPr>
        <w:t>. Chicago: University of Chicago Press.</w:t>
      </w:r>
      <w:r w:rsidRPr="00EF60B7">
        <w:rPr>
          <w:rFonts w:ascii="Times New Roman" w:hAnsi="Times New Roman" w:cs="Times New Roman"/>
          <w:sz w:val="24"/>
          <w:szCs w:val="24"/>
          <w:lang w:val="en-US"/>
        </w:rPr>
        <w:tab/>
      </w:r>
    </w:p>
    <w:p w:rsidR="00381ABF" w:rsidRPr="00EF60B7" w:rsidRDefault="00381ABF" w:rsidP="008D2DF6">
      <w:pPr>
        <w:autoSpaceDE w:val="0"/>
        <w:autoSpaceDN w:val="0"/>
        <w:adjustRightInd w:val="0"/>
        <w:spacing w:line="360" w:lineRule="auto"/>
        <w:jc w:val="both"/>
        <w:rPr>
          <w:rFonts w:ascii="Times New Roman" w:hAnsi="Times New Roman" w:cs="Times New Roman"/>
          <w:color w:val="000000"/>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color w:val="000000"/>
          <w:sz w:val="24"/>
          <w:szCs w:val="24"/>
          <w:lang w:val="en-US"/>
        </w:rPr>
        <w:t>Arbuthnott, A. &amp; Sharpe, D. (2009).</w:t>
      </w:r>
      <w:r w:rsidRPr="00EF60B7">
        <w:rPr>
          <w:rFonts w:ascii="Times New Roman" w:hAnsi="Times New Roman" w:cs="Times New Roman"/>
          <w:sz w:val="24"/>
          <w:szCs w:val="24"/>
          <w:lang w:val="en-US"/>
        </w:rPr>
        <w:t xml:space="preserve"> The effect of physician–patient collaboration on patient adherence in non-psychiatric medicine. </w:t>
      </w:r>
      <w:r w:rsidRPr="00EF60B7">
        <w:rPr>
          <w:rFonts w:ascii="Times New Roman" w:hAnsi="Times New Roman" w:cs="Times New Roman"/>
          <w:i/>
          <w:sz w:val="24"/>
          <w:szCs w:val="24"/>
          <w:lang w:val="en-US"/>
        </w:rPr>
        <w:t>Patient Education and Counseling</w:t>
      </w:r>
      <w:r w:rsidRPr="00EF60B7">
        <w:rPr>
          <w:rFonts w:ascii="Times New Roman" w:hAnsi="Times New Roman" w:cs="Times New Roman"/>
          <w:sz w:val="24"/>
          <w:szCs w:val="24"/>
          <w:lang w:val="en-US"/>
        </w:rPr>
        <w:t>; 77 (1): 60-7.</w:t>
      </w:r>
    </w:p>
    <w:p w:rsidR="00381ABF" w:rsidRPr="00EF60B7" w:rsidRDefault="00381ABF" w:rsidP="008D2DF6">
      <w:pPr>
        <w:tabs>
          <w:tab w:val="left" w:pos="6082"/>
        </w:tabs>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ab/>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Arntz, A., Rauner, M., &amp; Van den Hout, M. (1995). «If feel anxious, there must be danger»: Exconsequentia reasoning in inferring danger in anxiety disorder. </w:t>
      </w:r>
      <w:r w:rsidRPr="00EF60B7">
        <w:rPr>
          <w:rFonts w:ascii="Times New Roman" w:hAnsi="Times New Roman" w:cs="Times New Roman"/>
          <w:i/>
          <w:sz w:val="24"/>
          <w:szCs w:val="24"/>
          <w:lang w:val="en-US"/>
        </w:rPr>
        <w:t>Behaviour Research and Therapy</w:t>
      </w:r>
      <w:r w:rsidRPr="00EF60B7">
        <w:rPr>
          <w:rFonts w:ascii="Times New Roman" w:hAnsi="Times New Roman" w:cs="Times New Roman"/>
          <w:sz w:val="24"/>
          <w:szCs w:val="24"/>
          <w:lang w:val="en-US"/>
        </w:rPr>
        <w:t>, 33: 917-925.</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Arora, N. K., &amp; McHorney, C. A. (2000). Patient preferences for medical decision-making: Who really wants to participate? </w:t>
      </w:r>
      <w:r w:rsidRPr="00EF60B7">
        <w:rPr>
          <w:rFonts w:ascii="Times New Roman" w:hAnsi="Times New Roman" w:cs="Times New Roman"/>
          <w:i/>
          <w:sz w:val="24"/>
          <w:szCs w:val="24"/>
          <w:lang w:val="en-US"/>
        </w:rPr>
        <w:t>Medical Care</w:t>
      </w:r>
      <w:r w:rsidRPr="00EF60B7">
        <w:rPr>
          <w:rFonts w:ascii="Times New Roman" w:hAnsi="Times New Roman" w:cs="Times New Roman"/>
          <w:sz w:val="24"/>
          <w:szCs w:val="24"/>
          <w:lang w:val="en-US"/>
        </w:rPr>
        <w:t>, 38: 335-341.</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i/>
          <w:sz w:val="24"/>
          <w:szCs w:val="24"/>
        </w:rPr>
      </w:pPr>
      <w:r w:rsidRPr="00EF60B7">
        <w:rPr>
          <w:rFonts w:ascii="Times New Roman" w:hAnsi="Times New Roman" w:cs="Times New Roman"/>
          <w:sz w:val="24"/>
          <w:szCs w:val="24"/>
          <w:lang w:val="en-US"/>
        </w:rPr>
        <w:t xml:space="preserve">Association Of American Medical Colleges (October 1999). </w:t>
      </w:r>
      <w:r w:rsidRPr="00EF60B7">
        <w:rPr>
          <w:rFonts w:ascii="Times New Roman" w:hAnsi="Times New Roman" w:cs="Times New Roman"/>
          <w:i/>
          <w:sz w:val="24"/>
          <w:szCs w:val="24"/>
          <w:lang w:val="en-US"/>
        </w:rPr>
        <w:t>Contemporary issues in medicine: Communication in medicine</w:t>
      </w:r>
      <w:r w:rsidRPr="00EF60B7">
        <w:rPr>
          <w:rFonts w:ascii="Times New Roman" w:hAnsi="Times New Roman" w:cs="Times New Roman"/>
          <w:sz w:val="24"/>
          <w:szCs w:val="24"/>
          <w:lang w:val="en-US"/>
        </w:rPr>
        <w:t xml:space="preserve">. </w:t>
      </w:r>
      <w:r w:rsidRPr="00EF60B7">
        <w:rPr>
          <w:rFonts w:ascii="Times New Roman" w:hAnsi="Times New Roman" w:cs="Times New Roman"/>
          <w:sz w:val="24"/>
          <w:szCs w:val="24"/>
        </w:rPr>
        <w:t>Washington, DC: AAMC; October. Report No.: III.</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rPr>
        <w:t xml:space="preserve">Barbaranelli Claudio (2003). </w:t>
      </w:r>
      <w:r w:rsidRPr="00EF60B7">
        <w:rPr>
          <w:rFonts w:ascii="Times New Roman" w:hAnsi="Times New Roman" w:cs="Times New Roman"/>
          <w:i/>
          <w:sz w:val="24"/>
          <w:szCs w:val="24"/>
        </w:rPr>
        <w:t>Analisi dei dati. Tecniche multivariate per la ricerca psicologica e sociale</w:t>
      </w:r>
      <w:r w:rsidRPr="00EF60B7">
        <w:rPr>
          <w:rFonts w:ascii="Times New Roman" w:hAnsi="Times New Roman" w:cs="Times New Roman"/>
          <w:sz w:val="24"/>
          <w:szCs w:val="24"/>
        </w:rPr>
        <w:t xml:space="preserve">. </w:t>
      </w:r>
      <w:r w:rsidRPr="00EF60B7">
        <w:rPr>
          <w:rFonts w:ascii="Times New Roman" w:hAnsi="Times New Roman" w:cs="Times New Roman"/>
          <w:sz w:val="24"/>
          <w:szCs w:val="24"/>
          <w:lang w:val="en-US"/>
        </w:rPr>
        <w:t>LED. Milano</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Baum, F. (1982). Voluntary childlessness and contraception: problems and practices. </w:t>
      </w:r>
      <w:r w:rsidRPr="00EF60B7">
        <w:rPr>
          <w:rFonts w:ascii="Times New Roman" w:hAnsi="Times New Roman" w:cs="Times New Roman"/>
          <w:i/>
          <w:sz w:val="24"/>
          <w:szCs w:val="24"/>
          <w:lang w:val="en-US"/>
        </w:rPr>
        <w:t>Journal Biosocial Science</w:t>
      </w:r>
      <w:r w:rsidRPr="00EF60B7">
        <w:rPr>
          <w:rFonts w:ascii="Times New Roman" w:hAnsi="Times New Roman" w:cs="Times New Roman"/>
          <w:sz w:val="24"/>
          <w:szCs w:val="24"/>
          <w:lang w:val="en-US"/>
        </w:rPr>
        <w:t>, 14: 17–23.</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Beach, M. C., &amp; Inui, T., with the Relationship-Centered Care Research Network (2006). Relantionship-centered care: A constructive reframing. </w:t>
      </w:r>
      <w:r w:rsidRPr="00EF60B7">
        <w:rPr>
          <w:rFonts w:ascii="Times New Roman" w:hAnsi="Times New Roman" w:cs="Times New Roman"/>
          <w:i/>
          <w:sz w:val="24"/>
          <w:szCs w:val="24"/>
          <w:lang w:val="en-US"/>
        </w:rPr>
        <w:t>Journal of General Internal Medicine</w:t>
      </w:r>
      <w:r w:rsidRPr="00EF60B7">
        <w:rPr>
          <w:rFonts w:ascii="Times New Roman" w:hAnsi="Times New Roman" w:cs="Times New Roman"/>
          <w:sz w:val="24"/>
          <w:szCs w:val="24"/>
          <w:lang w:val="en-US"/>
        </w:rPr>
        <w:t>, 21 Suppl 1: S3-S8.</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Beach, , L. R., &amp; Mitchell, T. R. (1987a). Imagery theory: Principles, goals and plans in decision making. </w:t>
      </w:r>
      <w:r w:rsidRPr="00EF60B7">
        <w:rPr>
          <w:rFonts w:ascii="Times New Roman" w:hAnsi="Times New Roman" w:cs="Times New Roman"/>
          <w:i/>
          <w:sz w:val="24"/>
          <w:szCs w:val="24"/>
          <w:lang w:val="en-US"/>
        </w:rPr>
        <w:t>Acta Psychologica</w:t>
      </w:r>
      <w:r w:rsidRPr="00EF60B7">
        <w:rPr>
          <w:rFonts w:ascii="Times New Roman" w:hAnsi="Times New Roman" w:cs="Times New Roman"/>
          <w:sz w:val="24"/>
          <w:szCs w:val="24"/>
          <w:lang w:val="en-US"/>
        </w:rPr>
        <w:t>, 66: 201-220.</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Beach, , L. R., &amp; Mitchell, T. R. (1987b). More on image theory. </w:t>
      </w:r>
      <w:r w:rsidRPr="00EF60B7">
        <w:rPr>
          <w:rFonts w:ascii="Times New Roman" w:hAnsi="Times New Roman" w:cs="Times New Roman"/>
          <w:i/>
          <w:sz w:val="24"/>
          <w:szCs w:val="24"/>
          <w:lang w:val="en-US"/>
        </w:rPr>
        <w:t>Acta Psychologica</w:t>
      </w:r>
      <w:r w:rsidRPr="00EF60B7">
        <w:rPr>
          <w:rFonts w:ascii="Times New Roman" w:hAnsi="Times New Roman" w:cs="Times New Roman"/>
          <w:sz w:val="24"/>
          <w:szCs w:val="24"/>
          <w:lang w:val="en-US"/>
        </w:rPr>
        <w:t>, 66: 231-235.</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Beaufils, F. and Bourillon (1986). ‘‘L’élaboration d’une décision d’ordre éthique en reanimation pédiatrique.’’ Supplément special, ‘‘Ethique et réanimation du nouveau-né et de l’enfant.’’ </w:t>
      </w:r>
      <w:r w:rsidRPr="00EF60B7">
        <w:rPr>
          <w:rFonts w:ascii="Times New Roman" w:hAnsi="Times New Roman" w:cs="Times New Roman"/>
          <w:i/>
          <w:sz w:val="24"/>
          <w:szCs w:val="24"/>
          <w:lang w:val="en-US"/>
        </w:rPr>
        <w:t>Archives Françaises de Pédiatrie</w:t>
      </w:r>
      <w:r w:rsidRPr="00EF60B7">
        <w:rPr>
          <w:rFonts w:ascii="Times New Roman" w:hAnsi="Times New Roman" w:cs="Times New Roman"/>
          <w:sz w:val="24"/>
          <w:szCs w:val="24"/>
          <w:lang w:val="en-US"/>
        </w:rPr>
        <w:t xml:space="preserve"> 43: 571–574.</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Beck, R.S., Daughtridge, R., &amp; Sloane, P. D. (2002). Physician-patient communication in the primary care office: a systematic rewiew. </w:t>
      </w:r>
      <w:r w:rsidRPr="00EF60B7">
        <w:rPr>
          <w:rFonts w:ascii="Times New Roman" w:hAnsi="Times New Roman" w:cs="Times New Roman"/>
          <w:i/>
          <w:sz w:val="24"/>
          <w:szCs w:val="24"/>
          <w:lang w:val="en-US"/>
        </w:rPr>
        <w:t>Journal of American  Board Family Practice</w:t>
      </w:r>
      <w:r w:rsidRPr="00EF60B7">
        <w:rPr>
          <w:rFonts w:ascii="Times New Roman" w:hAnsi="Times New Roman" w:cs="Times New Roman"/>
          <w:sz w:val="24"/>
          <w:szCs w:val="24"/>
          <w:lang w:val="en-US"/>
        </w:rPr>
        <w:t>, 15: 25-38.</w:t>
      </w:r>
    </w:p>
    <w:p w:rsidR="00381ABF" w:rsidRPr="00EF60B7" w:rsidRDefault="00381ABF" w:rsidP="008D2DF6">
      <w:pPr>
        <w:autoSpaceDE w:val="0"/>
        <w:autoSpaceDN w:val="0"/>
        <w:adjustRightInd w:val="0"/>
        <w:spacing w:line="360" w:lineRule="auto"/>
        <w:jc w:val="both"/>
        <w:rPr>
          <w:rFonts w:ascii="Times New Roman" w:hAnsi="Times New Roman" w:cs="Times New Roman"/>
          <w:i/>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Becker,  M.H., &amp; Maiman, L.A (1975). Sociobehavioural determinants of compliance with health and medical care recommendations. </w:t>
      </w:r>
      <w:r w:rsidRPr="00EF60B7">
        <w:rPr>
          <w:rFonts w:ascii="Times New Roman" w:hAnsi="Times New Roman" w:cs="Times New Roman"/>
          <w:i/>
          <w:sz w:val="24"/>
          <w:szCs w:val="24"/>
          <w:lang w:val="en-US"/>
        </w:rPr>
        <w:t>Medical Care</w:t>
      </w:r>
      <w:r w:rsidRPr="00EF60B7">
        <w:rPr>
          <w:rFonts w:ascii="Times New Roman" w:hAnsi="Times New Roman" w:cs="Times New Roman"/>
          <w:sz w:val="24"/>
          <w:szCs w:val="24"/>
          <w:lang w:val="en-US"/>
        </w:rPr>
        <w:t>,13:10–24.</w:t>
      </w:r>
    </w:p>
    <w:p w:rsidR="00381ABF" w:rsidRPr="00EF60B7" w:rsidRDefault="00381ABF" w:rsidP="008D2DF6">
      <w:pPr>
        <w:tabs>
          <w:tab w:val="left" w:pos="5040"/>
        </w:tabs>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lastRenderedPageBreak/>
        <w:tab/>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Beckman, H. B., &amp; Frankel, R. M. (1984). The effect of physician behavior on the collection of data. </w:t>
      </w:r>
      <w:r w:rsidRPr="00EF60B7">
        <w:rPr>
          <w:rFonts w:ascii="Times New Roman" w:hAnsi="Times New Roman" w:cs="Times New Roman"/>
          <w:i/>
          <w:sz w:val="24"/>
          <w:szCs w:val="24"/>
          <w:lang w:val="en-US"/>
        </w:rPr>
        <w:t>Annals of Internal Medicine</w:t>
      </w:r>
      <w:r w:rsidRPr="00EF60B7">
        <w:rPr>
          <w:rFonts w:ascii="Times New Roman" w:hAnsi="Times New Roman" w:cs="Times New Roman"/>
          <w:sz w:val="24"/>
          <w:szCs w:val="24"/>
          <w:lang w:val="en-US"/>
        </w:rPr>
        <w:t>, 101: 692-696.</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Beisecker, A. E. (1988). Aging and the desire for information and input in medical decisions: patient consumerism in medical encounters. </w:t>
      </w:r>
      <w:r w:rsidRPr="00EF60B7">
        <w:rPr>
          <w:rFonts w:ascii="Times New Roman" w:hAnsi="Times New Roman" w:cs="Times New Roman"/>
          <w:i/>
          <w:sz w:val="24"/>
          <w:szCs w:val="24"/>
          <w:lang w:val="en-US"/>
        </w:rPr>
        <w:t>Gerontologist</w:t>
      </w:r>
      <w:r w:rsidRPr="00EF60B7">
        <w:rPr>
          <w:rFonts w:ascii="Times New Roman" w:hAnsi="Times New Roman" w:cs="Times New Roman"/>
          <w:sz w:val="24"/>
          <w:szCs w:val="24"/>
          <w:lang w:val="en-US"/>
        </w:rPr>
        <w:t>, 28: 330-5.</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rPr>
      </w:pPr>
      <w:r w:rsidRPr="00EF60B7">
        <w:rPr>
          <w:rFonts w:ascii="Times New Roman" w:hAnsi="Times New Roman" w:cs="Times New Roman"/>
          <w:sz w:val="24"/>
          <w:szCs w:val="24"/>
          <w:lang w:val="en-US"/>
        </w:rPr>
        <w:t xml:space="preserve">Bendapudi, N. M., et al. (2006). Patient’s perspectives on ideal physician behaviors. </w:t>
      </w:r>
      <w:r w:rsidRPr="00EF60B7">
        <w:rPr>
          <w:rFonts w:ascii="Times New Roman" w:hAnsi="Times New Roman" w:cs="Times New Roman"/>
          <w:i/>
          <w:sz w:val="24"/>
          <w:szCs w:val="24"/>
        </w:rPr>
        <w:t>Mayo Clinic Proceedings</w:t>
      </w:r>
      <w:r w:rsidRPr="00EF60B7">
        <w:rPr>
          <w:rFonts w:ascii="Times New Roman" w:hAnsi="Times New Roman" w:cs="Times New Roman"/>
          <w:sz w:val="24"/>
          <w:szCs w:val="24"/>
        </w:rPr>
        <w:t>, 81: 338-44.</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 xml:space="preserve">Bensi, L., &amp; Giusberti, F. (2005). L’ansia e lo stile «salto alle conclusioni». </w:t>
      </w:r>
      <w:r w:rsidRPr="00EF60B7">
        <w:rPr>
          <w:rFonts w:ascii="Times New Roman" w:hAnsi="Times New Roman" w:cs="Times New Roman"/>
          <w:i/>
          <w:sz w:val="24"/>
          <w:szCs w:val="24"/>
        </w:rPr>
        <w:t>Atti del Congresso AIP, Sezione di Psicologia Sperimentale</w:t>
      </w:r>
      <w:r w:rsidRPr="00EF60B7">
        <w:rPr>
          <w:rFonts w:ascii="Times New Roman" w:hAnsi="Times New Roman" w:cs="Times New Roman"/>
          <w:sz w:val="24"/>
          <w:szCs w:val="24"/>
        </w:rPr>
        <w:t>, Cagliari, 18-20 settembre.</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Berkeley, D., &amp; Humphreys, P. (1982). Structuring decision problems and the bias heuristic. </w:t>
      </w:r>
      <w:r w:rsidRPr="00EF60B7">
        <w:rPr>
          <w:rFonts w:ascii="Times New Roman" w:hAnsi="Times New Roman" w:cs="Times New Roman"/>
          <w:i/>
          <w:sz w:val="24"/>
          <w:szCs w:val="24"/>
          <w:lang w:val="en-US"/>
        </w:rPr>
        <w:t xml:space="preserve"> Acta  Psychological</w:t>
      </w:r>
      <w:r w:rsidRPr="00EF60B7">
        <w:rPr>
          <w:rFonts w:ascii="Times New Roman" w:hAnsi="Times New Roman" w:cs="Times New Roman"/>
          <w:sz w:val="24"/>
          <w:szCs w:val="24"/>
          <w:lang w:val="en-US"/>
        </w:rPr>
        <w:t>, 50: 201-252.</w:t>
      </w:r>
    </w:p>
    <w:p w:rsidR="00381ABF" w:rsidRPr="00EF60B7" w:rsidRDefault="00381ABF" w:rsidP="008D2DF6">
      <w:pPr>
        <w:tabs>
          <w:tab w:val="left" w:pos="2633"/>
        </w:tabs>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ab/>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Berman, R.S., Epstein, R.S., Lydick, E. (1997). Risk factors associated with women’s compliance with estrogen replacement therapy. </w:t>
      </w:r>
      <w:r w:rsidRPr="00EF60B7">
        <w:rPr>
          <w:rFonts w:ascii="Times New Roman" w:hAnsi="Times New Roman" w:cs="Times New Roman"/>
          <w:i/>
          <w:sz w:val="24"/>
          <w:szCs w:val="24"/>
          <w:lang w:val="en-US"/>
        </w:rPr>
        <w:t>Journal Women’s Health</w:t>
      </w:r>
      <w:r w:rsidRPr="00EF60B7">
        <w:rPr>
          <w:rFonts w:ascii="Times New Roman" w:hAnsi="Times New Roman" w:cs="Times New Roman"/>
          <w:sz w:val="24"/>
          <w:szCs w:val="24"/>
          <w:lang w:val="en-US"/>
        </w:rPr>
        <w:t>, 6:219–26.</w:t>
      </w:r>
    </w:p>
    <w:p w:rsidR="00381ABF" w:rsidRPr="00EF60B7" w:rsidRDefault="00381ABF" w:rsidP="008D2DF6">
      <w:pPr>
        <w:tabs>
          <w:tab w:val="left" w:pos="5835"/>
        </w:tabs>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ab/>
      </w:r>
    </w:p>
    <w:p w:rsidR="00381ABF" w:rsidRPr="00EF60B7" w:rsidRDefault="00381ABF" w:rsidP="008D2DF6">
      <w:pPr>
        <w:autoSpaceDE w:val="0"/>
        <w:autoSpaceDN w:val="0"/>
        <w:adjustRightInd w:val="0"/>
        <w:spacing w:line="360" w:lineRule="auto"/>
        <w:jc w:val="both"/>
        <w:rPr>
          <w:rFonts w:ascii="Times New Roman" w:hAnsi="Times New Roman" w:cs="Times New Roman"/>
          <w:i/>
          <w:sz w:val="24"/>
          <w:szCs w:val="24"/>
          <w:lang w:val="en-US"/>
        </w:rPr>
      </w:pPr>
      <w:r w:rsidRPr="00EF60B7">
        <w:rPr>
          <w:rFonts w:ascii="Times New Roman" w:hAnsi="Times New Roman" w:cs="Times New Roman"/>
          <w:sz w:val="24"/>
          <w:szCs w:val="24"/>
          <w:lang w:val="en-US"/>
        </w:rPr>
        <w:t xml:space="preserve">Berry, D.L., Ellis, W.J., Woods, N.F., Schwien, C., Mullen, K.H., &amp; Yang, C. (2003). Treatment decision-making by men with localized prostate cancer: the influence of personal factors. </w:t>
      </w:r>
      <w:r w:rsidRPr="00EF60B7">
        <w:rPr>
          <w:rFonts w:ascii="Times New Roman" w:hAnsi="Times New Roman" w:cs="Times New Roman"/>
          <w:i/>
          <w:sz w:val="24"/>
          <w:szCs w:val="24"/>
          <w:lang w:val="en-US"/>
        </w:rPr>
        <w:t>Urologic Oncology</w:t>
      </w:r>
      <w:r w:rsidRPr="00EF60B7">
        <w:rPr>
          <w:rFonts w:ascii="Times New Roman" w:hAnsi="Times New Roman" w:cs="Times New Roman"/>
          <w:sz w:val="24"/>
          <w:szCs w:val="24"/>
          <w:lang w:val="en-US"/>
        </w:rPr>
        <w:t>, 21: 93–100.</w:t>
      </w:r>
    </w:p>
    <w:p w:rsidR="00381ABF" w:rsidRPr="00EF60B7" w:rsidRDefault="00381ABF" w:rsidP="008D2DF6">
      <w:pPr>
        <w:tabs>
          <w:tab w:val="left" w:pos="2149"/>
        </w:tabs>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ab/>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lastRenderedPageBreak/>
        <w:t>Berry, D.L., Ellis, W.J., Russell, K.J., Blasko, J.C., Bush, N., Blumenstein, B., &amp; Lange, P.H. (2006). Factors that predict treatment choice and satisfaction with the decision in men with localized prostate cancer</w:t>
      </w:r>
      <w:r w:rsidRPr="00EF60B7">
        <w:rPr>
          <w:rFonts w:ascii="Times New Roman" w:hAnsi="Times New Roman" w:cs="Times New Roman"/>
          <w:i/>
          <w:sz w:val="24"/>
          <w:szCs w:val="24"/>
          <w:lang w:val="en-US"/>
        </w:rPr>
        <w:t>.</w:t>
      </w:r>
      <w:r w:rsidRPr="00EF60B7">
        <w:rPr>
          <w:rFonts w:ascii="Times New Roman" w:hAnsi="Times New Roman" w:cs="Times New Roman"/>
          <w:sz w:val="24"/>
          <w:szCs w:val="24"/>
          <w:lang w:val="en-US"/>
        </w:rPr>
        <w:t xml:space="preserve"> </w:t>
      </w:r>
      <w:r w:rsidRPr="00EF60B7">
        <w:rPr>
          <w:rFonts w:ascii="Times New Roman" w:hAnsi="Times New Roman" w:cs="Times New Roman"/>
          <w:i/>
          <w:sz w:val="24"/>
          <w:szCs w:val="24"/>
          <w:lang w:val="en-US"/>
        </w:rPr>
        <w:t>Clinical Genitourinary Cancer</w:t>
      </w:r>
      <w:r w:rsidRPr="00EF60B7">
        <w:rPr>
          <w:rFonts w:ascii="Times New Roman" w:hAnsi="Times New Roman" w:cs="Times New Roman"/>
          <w:sz w:val="24"/>
          <w:szCs w:val="24"/>
          <w:lang w:val="en-US"/>
        </w:rPr>
        <w:t>, 5:219–26.</w:t>
      </w:r>
    </w:p>
    <w:p w:rsidR="00381ABF" w:rsidRPr="00EF60B7" w:rsidRDefault="00381ABF" w:rsidP="008D2DF6">
      <w:pPr>
        <w:tabs>
          <w:tab w:val="left" w:pos="2440"/>
        </w:tabs>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ab/>
      </w:r>
    </w:p>
    <w:p w:rsidR="00381ABF" w:rsidRPr="00EF60B7" w:rsidRDefault="00381ABF" w:rsidP="008D2DF6">
      <w:pPr>
        <w:spacing w:line="360" w:lineRule="auto"/>
        <w:jc w:val="both"/>
        <w:rPr>
          <w:rFonts w:ascii="Times New Roman" w:eastAsia="Advocean-it" w:hAnsi="Times New Roman" w:cs="Times New Roman"/>
          <w:color w:val="231F20"/>
          <w:sz w:val="24"/>
          <w:szCs w:val="24"/>
          <w:lang w:val="en-US"/>
        </w:rPr>
      </w:pPr>
      <w:r w:rsidRPr="00EF60B7">
        <w:rPr>
          <w:rFonts w:ascii="Times New Roman" w:eastAsia="Advocean-it" w:hAnsi="Times New Roman" w:cs="Times New Roman"/>
          <w:color w:val="231F20"/>
          <w:sz w:val="24"/>
          <w:szCs w:val="24"/>
          <w:lang w:val="en-GB"/>
        </w:rPr>
        <w:t>Bhattacharyya T. (2005). Evidence-based approaches to minimizing malpractice risk in orthopedic surgery</w:t>
      </w:r>
      <w:r w:rsidRPr="00EF60B7">
        <w:rPr>
          <w:rFonts w:ascii="Times New Roman" w:eastAsia="Advocean-it" w:hAnsi="Times New Roman" w:cs="Times New Roman"/>
          <w:i/>
          <w:iCs/>
          <w:color w:val="231F20"/>
          <w:sz w:val="24"/>
          <w:szCs w:val="24"/>
          <w:lang w:val="en-GB"/>
        </w:rPr>
        <w:t>.</w:t>
      </w:r>
      <w:r w:rsidRPr="00EF60B7">
        <w:rPr>
          <w:rFonts w:ascii="Times New Roman" w:eastAsia="Advocean-it" w:hAnsi="Times New Roman" w:cs="Times New Roman"/>
          <w:color w:val="231F20"/>
          <w:sz w:val="24"/>
          <w:szCs w:val="24"/>
          <w:lang w:val="en-GB"/>
        </w:rPr>
        <w:t xml:space="preserve"> </w:t>
      </w:r>
      <w:r w:rsidRPr="00EF60B7">
        <w:rPr>
          <w:rFonts w:ascii="Times New Roman" w:eastAsia="Advocean-it" w:hAnsi="Times New Roman" w:cs="Times New Roman"/>
          <w:i/>
          <w:iCs/>
          <w:color w:val="231F20"/>
          <w:sz w:val="24"/>
          <w:szCs w:val="24"/>
          <w:lang w:val="en-US"/>
        </w:rPr>
        <w:t xml:space="preserve">Orthopedics </w:t>
      </w:r>
      <w:r w:rsidRPr="00EF60B7">
        <w:rPr>
          <w:rFonts w:ascii="Times New Roman" w:eastAsia="Advocean-it" w:hAnsi="Times New Roman" w:cs="Times New Roman"/>
          <w:color w:val="231F20"/>
          <w:sz w:val="24"/>
          <w:szCs w:val="24"/>
          <w:lang w:val="en-US"/>
        </w:rPr>
        <w:t>2005 Apr; 28 (4): 378-81.</w:t>
      </w:r>
    </w:p>
    <w:p w:rsidR="00381ABF" w:rsidRPr="00EF60B7" w:rsidRDefault="00381ABF" w:rsidP="008D2DF6">
      <w:pPr>
        <w:spacing w:line="360" w:lineRule="auto"/>
        <w:jc w:val="both"/>
        <w:rPr>
          <w:rFonts w:ascii="Times New Roman" w:eastAsia="Advocean-it" w:hAnsi="Times New Roman" w:cs="Times New Roman"/>
          <w:color w:val="231F20"/>
          <w:sz w:val="24"/>
          <w:szCs w:val="24"/>
          <w:lang w:val="en-US"/>
        </w:rPr>
      </w:pPr>
    </w:p>
    <w:p w:rsidR="00381ABF" w:rsidRPr="00EF60B7" w:rsidRDefault="00381ABF" w:rsidP="008D2DF6">
      <w:pPr>
        <w:spacing w:line="360" w:lineRule="auto"/>
        <w:jc w:val="both"/>
        <w:rPr>
          <w:rFonts w:ascii="Times New Roman" w:eastAsia="Advocean-it" w:hAnsi="Times New Roman" w:cs="Times New Roman"/>
          <w:color w:val="231F20"/>
          <w:sz w:val="24"/>
          <w:szCs w:val="24"/>
          <w:lang w:val="en-GB"/>
        </w:rPr>
      </w:pPr>
      <w:r w:rsidRPr="00EF60B7">
        <w:rPr>
          <w:rFonts w:ascii="Times New Roman" w:eastAsia="Advocean-it" w:hAnsi="Times New Roman" w:cs="Times New Roman"/>
          <w:color w:val="231F20"/>
          <w:sz w:val="24"/>
          <w:szCs w:val="24"/>
          <w:lang w:val="en-GB"/>
        </w:rPr>
        <w:t>Bhattacharyya T., Yeon , H &amp; Harris, M. B. (2005) . The medical-legal aspects of informed consent in orthopedic surgery</w:t>
      </w:r>
      <w:r w:rsidRPr="00EF60B7">
        <w:rPr>
          <w:rFonts w:ascii="Times New Roman" w:eastAsia="Advocean-it" w:hAnsi="Times New Roman" w:cs="Times New Roman"/>
          <w:i/>
          <w:iCs/>
          <w:color w:val="231F20"/>
          <w:sz w:val="24"/>
          <w:szCs w:val="24"/>
          <w:lang w:val="en-GB"/>
        </w:rPr>
        <w:t>.</w:t>
      </w:r>
      <w:r w:rsidRPr="00EF60B7">
        <w:rPr>
          <w:rFonts w:ascii="Times New Roman" w:eastAsia="Advocean-it" w:hAnsi="Times New Roman" w:cs="Times New Roman"/>
          <w:color w:val="231F20"/>
          <w:sz w:val="24"/>
          <w:szCs w:val="24"/>
          <w:lang w:val="en-GB"/>
        </w:rPr>
        <w:t xml:space="preserve"> </w:t>
      </w:r>
      <w:r w:rsidRPr="00EF60B7">
        <w:rPr>
          <w:rFonts w:ascii="Times New Roman" w:eastAsia="Advocean-it" w:hAnsi="Times New Roman" w:cs="Times New Roman"/>
          <w:i/>
          <w:iCs/>
          <w:color w:val="231F20"/>
          <w:sz w:val="24"/>
          <w:szCs w:val="24"/>
          <w:lang w:val="en-GB"/>
        </w:rPr>
        <w:t>Journal of  Bone Joint Surgery American.</w:t>
      </w:r>
      <w:r w:rsidRPr="00EF60B7">
        <w:rPr>
          <w:rFonts w:ascii="Times New Roman" w:eastAsia="Advocean-it" w:hAnsi="Times New Roman" w:cs="Times New Roman"/>
          <w:color w:val="231F20"/>
          <w:sz w:val="24"/>
          <w:szCs w:val="24"/>
          <w:lang w:val="en-GB"/>
        </w:rPr>
        <w:t xml:space="preserve"> Nov; 87 (11): 2395-400.</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GB"/>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Blasi,  Z., Harkness, E., Ernst, E., Georgiou, A., Kleijnen, J. (2001). Influence of</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context effects on health outcomes: a systematic review. </w:t>
      </w:r>
      <w:r w:rsidRPr="00EF60B7">
        <w:rPr>
          <w:rFonts w:ascii="Times New Roman" w:hAnsi="Times New Roman" w:cs="Times New Roman"/>
          <w:i/>
          <w:sz w:val="24"/>
          <w:szCs w:val="24"/>
          <w:lang w:val="en-US"/>
        </w:rPr>
        <w:t>Lancet</w:t>
      </w:r>
      <w:r w:rsidRPr="00EF60B7">
        <w:rPr>
          <w:rFonts w:ascii="Times New Roman" w:hAnsi="Times New Roman" w:cs="Times New Roman"/>
          <w:sz w:val="24"/>
          <w:szCs w:val="24"/>
          <w:lang w:val="en-US"/>
        </w:rPr>
        <w:t>, 357:757–62.</w:t>
      </w:r>
    </w:p>
    <w:p w:rsidR="00381ABF" w:rsidRPr="00EF60B7" w:rsidRDefault="00381ABF" w:rsidP="008D2DF6">
      <w:pPr>
        <w:tabs>
          <w:tab w:val="left" w:pos="5986"/>
        </w:tabs>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ab/>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rPr>
      </w:pPr>
      <w:r w:rsidRPr="00EF60B7">
        <w:rPr>
          <w:rFonts w:ascii="Times New Roman" w:hAnsi="Times New Roman" w:cs="Times New Roman"/>
          <w:sz w:val="24"/>
          <w:szCs w:val="24"/>
          <w:lang w:val="en-US"/>
        </w:rPr>
        <w:t xml:space="preserve">Blixen C.E., Singh  A. &amp; Thacker H.  (2006). Values and beliefs about obesity and weight reduction among African American and Caucasian women.  </w:t>
      </w:r>
      <w:r w:rsidRPr="00EF60B7">
        <w:rPr>
          <w:rFonts w:ascii="Times New Roman" w:hAnsi="Times New Roman" w:cs="Times New Roman"/>
          <w:i/>
          <w:sz w:val="24"/>
          <w:szCs w:val="24"/>
        </w:rPr>
        <w:t>Journal of  Transcultural Nursing</w:t>
      </w:r>
      <w:r w:rsidRPr="00EF60B7">
        <w:rPr>
          <w:rFonts w:ascii="Times New Roman" w:hAnsi="Times New Roman" w:cs="Times New Roman"/>
          <w:sz w:val="24"/>
          <w:szCs w:val="24"/>
        </w:rPr>
        <w:t>, 17: 290–7.</w:t>
      </w:r>
    </w:p>
    <w:p w:rsidR="00381ABF" w:rsidRPr="00EF60B7" w:rsidRDefault="00381ABF" w:rsidP="008D2DF6">
      <w:pPr>
        <w:tabs>
          <w:tab w:val="left" w:pos="6974"/>
        </w:tabs>
        <w:autoSpaceDE w:val="0"/>
        <w:autoSpaceDN w:val="0"/>
        <w:adjustRightInd w:val="0"/>
        <w:spacing w:line="360" w:lineRule="auto"/>
        <w:ind w:firstLine="720"/>
        <w:jc w:val="both"/>
        <w:rPr>
          <w:rFonts w:ascii="Times New Roman" w:hAnsi="Times New Roman" w:cs="Times New Roman"/>
          <w:sz w:val="24"/>
          <w:szCs w:val="24"/>
        </w:rPr>
      </w:pPr>
      <w:r w:rsidRPr="00EF60B7">
        <w:rPr>
          <w:rFonts w:ascii="Times New Roman" w:hAnsi="Times New Roman" w:cs="Times New Roman"/>
          <w:sz w:val="24"/>
          <w:szCs w:val="24"/>
        </w:rPr>
        <w:tab/>
      </w:r>
    </w:p>
    <w:p w:rsidR="00381ABF" w:rsidRPr="00EF60B7" w:rsidRDefault="00381ABF" w:rsidP="008D2DF6">
      <w:pPr>
        <w:spacing w:line="360" w:lineRule="auto"/>
        <w:jc w:val="both"/>
        <w:rPr>
          <w:rFonts w:ascii="Times New Roman" w:eastAsia="Advocean-it" w:hAnsi="Times New Roman" w:cs="Times New Roman"/>
          <w:color w:val="231F20"/>
          <w:sz w:val="24"/>
          <w:szCs w:val="24"/>
          <w:lang w:val="en-US"/>
        </w:rPr>
      </w:pPr>
      <w:r w:rsidRPr="00EF60B7">
        <w:rPr>
          <w:rFonts w:ascii="Times New Roman" w:eastAsia="Advocean-it" w:hAnsi="Times New Roman" w:cs="Times New Roman"/>
          <w:color w:val="231F20"/>
          <w:sz w:val="24"/>
          <w:szCs w:val="24"/>
        </w:rPr>
        <w:t xml:space="preserve">Borella, V. M. (1999). </w:t>
      </w:r>
      <w:r w:rsidRPr="00EF60B7">
        <w:rPr>
          <w:rFonts w:ascii="Times New Roman" w:eastAsia="Advocean-it" w:hAnsi="Times New Roman" w:cs="Times New Roman"/>
          <w:i/>
          <w:iCs/>
          <w:color w:val="231F20"/>
          <w:sz w:val="24"/>
          <w:szCs w:val="24"/>
        </w:rPr>
        <w:t>Il Rapporto Medico-Paziente. Tecniche e suggerimenti per un buon rapporto con i propri pazienti</w:t>
      </w:r>
      <w:r w:rsidRPr="00EF60B7">
        <w:rPr>
          <w:rFonts w:ascii="Times New Roman" w:eastAsia="Advocean-it" w:hAnsi="Times New Roman" w:cs="Times New Roman"/>
          <w:color w:val="231F20"/>
          <w:sz w:val="24"/>
          <w:szCs w:val="24"/>
        </w:rPr>
        <w:t xml:space="preserve">. </w:t>
      </w:r>
      <w:r w:rsidRPr="00EF60B7">
        <w:rPr>
          <w:rFonts w:ascii="Times New Roman" w:eastAsia="Advocean-it" w:hAnsi="Times New Roman" w:cs="Times New Roman"/>
          <w:color w:val="231F20"/>
          <w:sz w:val="24"/>
          <w:szCs w:val="24"/>
          <w:lang w:val="en-US"/>
        </w:rPr>
        <w:t>Franco Angeli, Milano.</w:t>
      </w:r>
    </w:p>
    <w:p w:rsidR="00381ABF" w:rsidRPr="00EF60B7" w:rsidRDefault="00381ABF" w:rsidP="008D2DF6">
      <w:pPr>
        <w:spacing w:line="360" w:lineRule="auto"/>
        <w:jc w:val="both"/>
        <w:rPr>
          <w:rFonts w:ascii="Times New Roman" w:eastAsia="Advocean-it" w:hAnsi="Times New Roman" w:cs="Times New Roman"/>
          <w:color w:val="231F20"/>
          <w:sz w:val="24"/>
          <w:szCs w:val="24"/>
          <w:lang w:val="en-GB"/>
        </w:rPr>
      </w:pPr>
    </w:p>
    <w:p w:rsidR="00381ABF" w:rsidRPr="00EF60B7" w:rsidRDefault="00381ABF" w:rsidP="008D2DF6">
      <w:pPr>
        <w:spacing w:line="360" w:lineRule="auto"/>
        <w:jc w:val="both"/>
        <w:rPr>
          <w:rFonts w:ascii="Times New Roman" w:eastAsia="Advocean-it" w:hAnsi="Times New Roman" w:cs="Times New Roman"/>
          <w:color w:val="231F20"/>
          <w:sz w:val="24"/>
          <w:szCs w:val="24"/>
          <w:lang w:val="en-GB"/>
        </w:rPr>
      </w:pPr>
      <w:r w:rsidRPr="00EF60B7">
        <w:rPr>
          <w:rFonts w:ascii="Times New Roman" w:eastAsia="Advocean-it" w:hAnsi="Times New Roman" w:cs="Times New Roman"/>
          <w:color w:val="231F20"/>
          <w:sz w:val="24"/>
          <w:szCs w:val="24"/>
          <w:lang w:val="en-GB"/>
        </w:rPr>
        <w:t xml:space="preserve">Borne, H. W. (1998). The patient from reicever of information to informed decision-maker. </w:t>
      </w:r>
      <w:r w:rsidRPr="00EF60B7">
        <w:rPr>
          <w:rFonts w:ascii="Times New Roman" w:eastAsia="Advocean-it" w:hAnsi="Times New Roman" w:cs="Times New Roman"/>
          <w:i/>
          <w:color w:val="231F20"/>
          <w:sz w:val="24"/>
          <w:szCs w:val="24"/>
          <w:lang w:val="en-GB"/>
        </w:rPr>
        <w:t>Patient Education and Counseling</w:t>
      </w:r>
      <w:r w:rsidRPr="00EF60B7">
        <w:rPr>
          <w:rFonts w:ascii="Times New Roman" w:eastAsia="Advocean-it" w:hAnsi="Times New Roman" w:cs="Times New Roman"/>
          <w:color w:val="231F20"/>
          <w:sz w:val="24"/>
          <w:szCs w:val="24"/>
          <w:lang w:val="en-GB"/>
        </w:rPr>
        <w:t>, 34: 89-102.</w:t>
      </w:r>
    </w:p>
    <w:p w:rsidR="00381ABF" w:rsidRPr="00EF60B7" w:rsidRDefault="00381ABF" w:rsidP="008D2DF6">
      <w:pPr>
        <w:spacing w:line="360" w:lineRule="auto"/>
        <w:jc w:val="both"/>
        <w:rPr>
          <w:rFonts w:ascii="Times New Roman" w:eastAsia="Advocean-it" w:hAnsi="Times New Roman" w:cs="Times New Roman"/>
          <w:color w:val="231F20"/>
          <w:sz w:val="24"/>
          <w:szCs w:val="24"/>
          <w:lang w:val="en-GB"/>
        </w:rPr>
      </w:pPr>
    </w:p>
    <w:p w:rsidR="00381ABF" w:rsidRPr="00EF60B7" w:rsidRDefault="00381ABF" w:rsidP="008D2DF6">
      <w:pPr>
        <w:spacing w:line="360" w:lineRule="auto"/>
        <w:jc w:val="both"/>
        <w:rPr>
          <w:rFonts w:ascii="Times New Roman" w:eastAsia="Advocean-it" w:hAnsi="Times New Roman" w:cs="Times New Roman"/>
          <w:color w:val="231F20"/>
          <w:sz w:val="24"/>
          <w:szCs w:val="24"/>
          <w:lang w:val="en-US"/>
        </w:rPr>
      </w:pPr>
      <w:r w:rsidRPr="00EF60B7">
        <w:rPr>
          <w:rFonts w:ascii="Times New Roman" w:eastAsia="Advocean-it" w:hAnsi="Times New Roman" w:cs="Times New Roman"/>
          <w:color w:val="231F20"/>
          <w:sz w:val="24"/>
          <w:szCs w:val="24"/>
          <w:lang w:val="en-US"/>
        </w:rPr>
        <w:lastRenderedPageBreak/>
        <w:t xml:space="preserve">Bonvicini, K. A., Perlin, M. J., Bylund, C. L., Carroll, G., Rouse, R. A., &amp; Goldestein, M. G. (2009). Impact of communication training on physician expression of emphaty in patient encounters. </w:t>
      </w:r>
      <w:r w:rsidRPr="00EF60B7">
        <w:rPr>
          <w:rFonts w:ascii="Times New Roman" w:eastAsia="Advocean-it" w:hAnsi="Times New Roman" w:cs="Times New Roman"/>
          <w:i/>
          <w:color w:val="231F20"/>
          <w:sz w:val="24"/>
          <w:szCs w:val="24"/>
          <w:lang w:val="en-US"/>
        </w:rPr>
        <w:t>Patient Education and Counseling</w:t>
      </w:r>
      <w:r w:rsidRPr="00EF60B7">
        <w:rPr>
          <w:rFonts w:ascii="Times New Roman" w:eastAsia="Advocean-it" w:hAnsi="Times New Roman" w:cs="Times New Roman"/>
          <w:color w:val="231F20"/>
          <w:sz w:val="24"/>
          <w:szCs w:val="24"/>
          <w:lang w:val="en-US"/>
        </w:rPr>
        <w:t>, 75: 3-10.</w:t>
      </w:r>
    </w:p>
    <w:p w:rsidR="00381ABF" w:rsidRPr="00EF60B7" w:rsidRDefault="00381ABF" w:rsidP="008D2DF6">
      <w:pPr>
        <w:spacing w:line="360" w:lineRule="auto"/>
        <w:jc w:val="both"/>
        <w:rPr>
          <w:rFonts w:ascii="Times New Roman" w:eastAsia="Advocean-it" w:hAnsi="Times New Roman" w:cs="Times New Roman"/>
          <w:color w:val="231F20"/>
          <w:sz w:val="24"/>
          <w:szCs w:val="24"/>
          <w:lang w:val="en-US"/>
        </w:rPr>
      </w:pPr>
    </w:p>
    <w:p w:rsidR="00381ABF" w:rsidRPr="00EF60B7" w:rsidRDefault="00381ABF" w:rsidP="008D2DF6">
      <w:pPr>
        <w:spacing w:line="360" w:lineRule="auto"/>
        <w:jc w:val="both"/>
        <w:rPr>
          <w:rFonts w:ascii="Times New Roman" w:eastAsia="Advocean-it" w:hAnsi="Times New Roman" w:cs="Times New Roman"/>
          <w:color w:val="231F20"/>
          <w:sz w:val="24"/>
          <w:szCs w:val="24"/>
          <w:lang w:val="en-US"/>
        </w:rPr>
      </w:pPr>
      <w:r w:rsidRPr="00EF60B7">
        <w:rPr>
          <w:rFonts w:ascii="Times New Roman" w:eastAsia="Advocean-it" w:hAnsi="Times New Roman" w:cs="Times New Roman"/>
          <w:color w:val="231F20"/>
          <w:sz w:val="24"/>
          <w:szCs w:val="24"/>
          <w:lang w:val="en-US"/>
        </w:rPr>
        <w:t xml:space="preserve">Botti, S., Orfali, K., &amp; Iyengar, S. S. (2009). Tragic Choices: Autonomy and Emotional Responses to Medical Decisions. </w:t>
      </w:r>
      <w:r w:rsidRPr="00EF60B7">
        <w:rPr>
          <w:rFonts w:ascii="Times New Roman" w:eastAsia="Advocean-it" w:hAnsi="Times New Roman" w:cs="Times New Roman"/>
          <w:i/>
          <w:color w:val="231F20"/>
          <w:sz w:val="24"/>
          <w:szCs w:val="24"/>
          <w:lang w:val="en-US"/>
        </w:rPr>
        <w:t>Journal of Consumer Research</w:t>
      </w:r>
      <w:r w:rsidRPr="00EF60B7">
        <w:rPr>
          <w:rFonts w:ascii="Times New Roman" w:eastAsia="Advocean-it" w:hAnsi="Times New Roman" w:cs="Times New Roman"/>
          <w:color w:val="231F20"/>
          <w:sz w:val="24"/>
          <w:szCs w:val="24"/>
          <w:lang w:val="en-US"/>
        </w:rPr>
        <w:t>, Vol. 36 October: 337-352.</w:t>
      </w:r>
    </w:p>
    <w:p w:rsidR="00381ABF" w:rsidRPr="00EF60B7" w:rsidRDefault="00381ABF" w:rsidP="008D2DF6">
      <w:pPr>
        <w:spacing w:line="360" w:lineRule="auto"/>
        <w:jc w:val="both"/>
        <w:rPr>
          <w:rFonts w:ascii="Times New Roman" w:eastAsia="Advocean-it" w:hAnsi="Times New Roman" w:cs="Times New Roman"/>
          <w:color w:val="231F20"/>
          <w:sz w:val="24"/>
          <w:szCs w:val="24"/>
          <w:lang w:val="en-US"/>
        </w:rPr>
      </w:pPr>
    </w:p>
    <w:p w:rsidR="00381ABF" w:rsidRPr="00EF60B7" w:rsidRDefault="00381ABF" w:rsidP="008D2DF6">
      <w:pPr>
        <w:spacing w:line="360" w:lineRule="auto"/>
        <w:jc w:val="both"/>
        <w:rPr>
          <w:rFonts w:ascii="Times New Roman" w:eastAsia="Advocean-it" w:hAnsi="Times New Roman" w:cs="Times New Roman"/>
          <w:color w:val="231F20"/>
          <w:sz w:val="24"/>
          <w:szCs w:val="24"/>
          <w:lang w:val="en-GB"/>
        </w:rPr>
      </w:pPr>
      <w:r w:rsidRPr="00EF60B7">
        <w:rPr>
          <w:rFonts w:ascii="Times New Roman" w:eastAsia="Advocean-it" w:hAnsi="Times New Roman" w:cs="Times New Roman"/>
          <w:color w:val="231F20"/>
          <w:sz w:val="24"/>
          <w:szCs w:val="24"/>
          <w:lang w:val="en-GB"/>
        </w:rPr>
        <w:t xml:space="preserve">Bower, G. H., &amp; Cohen, P. R. (1982). Emotional influences in memory and thinking: Data and theory, in </w:t>
      </w:r>
      <w:r w:rsidRPr="00EF60B7">
        <w:rPr>
          <w:rFonts w:ascii="Times New Roman" w:eastAsia="Advocean-it" w:hAnsi="Times New Roman" w:cs="Times New Roman"/>
          <w:i/>
          <w:color w:val="231F20"/>
          <w:sz w:val="24"/>
          <w:szCs w:val="24"/>
          <w:lang w:val="en-GB"/>
        </w:rPr>
        <w:t>Affect and Cognition: The 17</w:t>
      </w:r>
      <w:r w:rsidRPr="00EF60B7">
        <w:rPr>
          <w:rFonts w:ascii="Times New Roman" w:eastAsia="Advocean-it" w:hAnsi="Times New Roman" w:cs="Times New Roman"/>
          <w:i/>
          <w:color w:val="231F20"/>
          <w:sz w:val="24"/>
          <w:szCs w:val="24"/>
          <w:vertAlign w:val="superscript"/>
          <w:lang w:val="en-GB"/>
        </w:rPr>
        <w:t>th</w:t>
      </w:r>
      <w:r w:rsidRPr="00EF60B7">
        <w:rPr>
          <w:rFonts w:ascii="Times New Roman" w:eastAsia="Advocean-it" w:hAnsi="Times New Roman" w:cs="Times New Roman"/>
          <w:i/>
          <w:color w:val="231F20"/>
          <w:sz w:val="24"/>
          <w:szCs w:val="24"/>
          <w:lang w:val="en-GB"/>
        </w:rPr>
        <w:t xml:space="preserve"> Annual Carnegie Symposium on Cognition</w:t>
      </w:r>
      <w:r w:rsidRPr="00EF60B7">
        <w:rPr>
          <w:rFonts w:ascii="Times New Roman" w:eastAsia="Advocean-it" w:hAnsi="Times New Roman" w:cs="Times New Roman"/>
          <w:color w:val="231F20"/>
          <w:sz w:val="24"/>
          <w:szCs w:val="24"/>
          <w:lang w:val="en-GB"/>
        </w:rPr>
        <w:t>, a cura di Clark, M. S. &amp; Fiske, S. T., Hillsdale, N. J., Erlbaum.</w:t>
      </w:r>
    </w:p>
    <w:p w:rsidR="00381ABF" w:rsidRPr="00EF60B7" w:rsidRDefault="00381ABF" w:rsidP="008D2DF6">
      <w:pPr>
        <w:spacing w:line="360" w:lineRule="auto"/>
        <w:jc w:val="both"/>
        <w:rPr>
          <w:rFonts w:ascii="Times New Roman" w:eastAsia="Advocean-it" w:hAnsi="Times New Roman" w:cs="Times New Roman"/>
          <w:color w:val="231F20"/>
          <w:sz w:val="24"/>
          <w:szCs w:val="24"/>
          <w:lang w:val="en-GB"/>
        </w:rPr>
      </w:pPr>
    </w:p>
    <w:p w:rsidR="00381ABF" w:rsidRPr="00EF60B7" w:rsidRDefault="00381ABF" w:rsidP="008D2DF6">
      <w:pPr>
        <w:spacing w:line="360" w:lineRule="auto"/>
        <w:jc w:val="both"/>
        <w:rPr>
          <w:rFonts w:ascii="Times New Roman" w:eastAsia="Advocean-it" w:hAnsi="Times New Roman" w:cs="Times New Roman"/>
          <w:color w:val="231F20"/>
          <w:sz w:val="24"/>
          <w:szCs w:val="24"/>
          <w:lang w:val="en-GB"/>
        </w:rPr>
      </w:pPr>
      <w:r w:rsidRPr="00EF60B7">
        <w:rPr>
          <w:rFonts w:ascii="Times New Roman" w:eastAsia="Advocean-it" w:hAnsi="Times New Roman" w:cs="Times New Roman"/>
          <w:color w:val="231F20"/>
          <w:sz w:val="24"/>
          <w:szCs w:val="24"/>
          <w:lang w:val="en-GB"/>
        </w:rPr>
        <w:t xml:space="preserve">Branch, W. T., &amp; Malik, T. K. (1993). Using ‘windows of opportunities’ in brief interviews to understand patients’ concerns. </w:t>
      </w:r>
      <w:r w:rsidRPr="00EF60B7">
        <w:rPr>
          <w:rFonts w:ascii="Times New Roman" w:eastAsia="Advocean-it" w:hAnsi="Times New Roman" w:cs="Times New Roman"/>
          <w:i/>
          <w:color w:val="231F20"/>
          <w:sz w:val="24"/>
          <w:szCs w:val="24"/>
          <w:lang w:val="en-GB"/>
        </w:rPr>
        <w:t>Journal of American Medical Association</w:t>
      </w:r>
      <w:r w:rsidRPr="00EF60B7">
        <w:rPr>
          <w:rFonts w:ascii="Times New Roman" w:eastAsia="Advocean-it" w:hAnsi="Times New Roman" w:cs="Times New Roman"/>
          <w:color w:val="231F20"/>
          <w:sz w:val="24"/>
          <w:szCs w:val="24"/>
          <w:lang w:val="en-GB"/>
        </w:rPr>
        <w:t>, 269: 1667-8.</w:t>
      </w:r>
    </w:p>
    <w:p w:rsidR="00381ABF" w:rsidRPr="00EF60B7" w:rsidRDefault="00381ABF" w:rsidP="008D2DF6">
      <w:pPr>
        <w:spacing w:line="360" w:lineRule="auto"/>
        <w:jc w:val="both"/>
        <w:rPr>
          <w:rFonts w:ascii="Times New Roman" w:eastAsia="Advocean-it" w:hAnsi="Times New Roman" w:cs="Times New Roman"/>
          <w:color w:val="231F20"/>
          <w:sz w:val="24"/>
          <w:szCs w:val="24"/>
          <w:lang w:val="en-GB"/>
        </w:rPr>
      </w:pPr>
    </w:p>
    <w:p w:rsidR="00381ABF" w:rsidRPr="00EF60B7" w:rsidRDefault="00381ABF" w:rsidP="008D2DF6">
      <w:pPr>
        <w:spacing w:line="360" w:lineRule="auto"/>
        <w:jc w:val="both"/>
        <w:rPr>
          <w:rFonts w:ascii="Times New Roman" w:eastAsia="Advocean-it" w:hAnsi="Times New Roman" w:cs="Times New Roman"/>
          <w:color w:val="231F20"/>
          <w:sz w:val="24"/>
          <w:szCs w:val="24"/>
          <w:lang w:val="en-GB"/>
        </w:rPr>
      </w:pPr>
      <w:r w:rsidRPr="00EF60B7">
        <w:rPr>
          <w:rFonts w:ascii="Times New Roman" w:eastAsia="Advocean-it" w:hAnsi="Times New Roman" w:cs="Times New Roman"/>
          <w:color w:val="231F20"/>
          <w:sz w:val="24"/>
          <w:szCs w:val="24"/>
          <w:lang w:val="en-GB"/>
        </w:rPr>
        <w:t>Broch, D. W., &amp; Wartman, S. A. (1990). When competent patients make irrational choices</w:t>
      </w:r>
      <w:r w:rsidRPr="00EF60B7">
        <w:rPr>
          <w:rFonts w:ascii="Times New Roman" w:eastAsia="Advocean-it" w:hAnsi="Times New Roman" w:cs="Times New Roman"/>
          <w:i/>
          <w:color w:val="231F20"/>
          <w:sz w:val="24"/>
          <w:szCs w:val="24"/>
          <w:lang w:val="en-GB"/>
        </w:rPr>
        <w:t xml:space="preserve"> </w:t>
      </w:r>
      <w:r w:rsidRPr="00EF60B7">
        <w:rPr>
          <w:rFonts w:ascii="Times New Roman" w:eastAsia="Advocean-it" w:hAnsi="Times New Roman" w:cs="Times New Roman"/>
          <w:color w:val="231F20"/>
          <w:sz w:val="24"/>
          <w:szCs w:val="24"/>
          <w:lang w:val="en-GB"/>
        </w:rPr>
        <w:t xml:space="preserve">[see comments]. </w:t>
      </w:r>
      <w:r w:rsidRPr="00EF60B7">
        <w:rPr>
          <w:rFonts w:ascii="Times New Roman" w:eastAsia="Advocean-it" w:hAnsi="Times New Roman" w:cs="Times New Roman"/>
          <w:i/>
          <w:color w:val="231F20"/>
          <w:sz w:val="24"/>
          <w:szCs w:val="24"/>
          <w:lang w:val="en-GB"/>
        </w:rPr>
        <w:t>New England Journal of Medicine</w:t>
      </w:r>
      <w:r w:rsidRPr="00EF60B7">
        <w:rPr>
          <w:rFonts w:ascii="Times New Roman" w:eastAsia="Advocean-it" w:hAnsi="Times New Roman" w:cs="Times New Roman"/>
          <w:color w:val="231F20"/>
          <w:sz w:val="24"/>
          <w:szCs w:val="24"/>
          <w:lang w:val="en-GB"/>
        </w:rPr>
        <w:t>, 322: 1595-9.</w:t>
      </w:r>
    </w:p>
    <w:p w:rsidR="00381ABF" w:rsidRPr="00EF60B7" w:rsidRDefault="00381ABF" w:rsidP="008D2DF6">
      <w:pPr>
        <w:spacing w:line="360" w:lineRule="auto"/>
        <w:jc w:val="both"/>
        <w:rPr>
          <w:rFonts w:ascii="Times New Roman" w:eastAsia="Advocean-it" w:hAnsi="Times New Roman" w:cs="Times New Roman"/>
          <w:color w:val="231F20"/>
          <w:sz w:val="24"/>
          <w:szCs w:val="24"/>
          <w:lang w:val="en-GB"/>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Brody, H. (1980). The patient’s role in clinical decision-making. </w:t>
      </w:r>
      <w:r w:rsidRPr="00EF60B7">
        <w:rPr>
          <w:rFonts w:ascii="Times New Roman" w:hAnsi="Times New Roman" w:cs="Times New Roman"/>
          <w:i/>
          <w:sz w:val="24"/>
          <w:szCs w:val="24"/>
          <w:lang w:val="en-US"/>
        </w:rPr>
        <w:t>Annals of Internal Medicine</w:t>
      </w:r>
      <w:r w:rsidRPr="00EF60B7">
        <w:rPr>
          <w:rFonts w:ascii="Times New Roman" w:hAnsi="Times New Roman" w:cs="Times New Roman"/>
          <w:sz w:val="24"/>
          <w:szCs w:val="24"/>
          <w:lang w:val="en-US"/>
        </w:rPr>
        <w:t xml:space="preserve">, 93: 718-722. </w:t>
      </w:r>
    </w:p>
    <w:p w:rsidR="00381ABF" w:rsidRPr="00EF60B7" w:rsidRDefault="00381ABF" w:rsidP="008D2DF6">
      <w:pPr>
        <w:tabs>
          <w:tab w:val="left" w:pos="5663"/>
        </w:tabs>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tabs>
          <w:tab w:val="left" w:pos="5663"/>
        </w:tabs>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Burger, J. M. &amp; Cooper, H. M. (1979). The Desirability of Control. </w:t>
      </w:r>
      <w:r w:rsidRPr="00EF60B7">
        <w:rPr>
          <w:rFonts w:ascii="Times New Roman" w:hAnsi="Times New Roman" w:cs="Times New Roman"/>
          <w:i/>
          <w:sz w:val="24"/>
          <w:szCs w:val="24"/>
          <w:lang w:val="en-US"/>
        </w:rPr>
        <w:t>Motivation and Emotion</w:t>
      </w:r>
      <w:r w:rsidRPr="00EF60B7">
        <w:rPr>
          <w:rFonts w:ascii="Times New Roman" w:hAnsi="Times New Roman" w:cs="Times New Roman"/>
          <w:sz w:val="24"/>
          <w:szCs w:val="24"/>
          <w:lang w:val="en-US"/>
        </w:rPr>
        <w:t>, Vol. 3 n. 4: 381-393.</w:t>
      </w:r>
    </w:p>
    <w:p w:rsidR="00381ABF" w:rsidRPr="00EF60B7" w:rsidRDefault="00381ABF" w:rsidP="008D2DF6">
      <w:pPr>
        <w:tabs>
          <w:tab w:val="left" w:pos="5663"/>
        </w:tabs>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ab/>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lastRenderedPageBreak/>
        <w:t xml:space="preserve">Butow, P. N., et al. (2002). Oncologists’ reactions to cancer patients’ verbal cues. </w:t>
      </w:r>
      <w:r w:rsidRPr="00EF60B7">
        <w:rPr>
          <w:rFonts w:ascii="Times New Roman" w:hAnsi="Times New Roman" w:cs="Times New Roman"/>
          <w:i/>
          <w:sz w:val="24"/>
          <w:szCs w:val="24"/>
          <w:lang w:val="en-US"/>
        </w:rPr>
        <w:t>Psychooncology</w:t>
      </w:r>
      <w:r w:rsidRPr="00EF60B7">
        <w:rPr>
          <w:rFonts w:ascii="Times New Roman" w:hAnsi="Times New Roman" w:cs="Times New Roman"/>
          <w:sz w:val="24"/>
          <w:szCs w:val="24"/>
          <w:lang w:val="en-US"/>
        </w:rPr>
        <w:t>, 11: 47-58.</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Bylund, C. L., &amp; Makoul, G. (2005). Examining empathy in medical encounters: an observational study using the empathic communication coding system. </w:t>
      </w:r>
      <w:r w:rsidRPr="00EF60B7">
        <w:rPr>
          <w:rFonts w:ascii="Times New Roman" w:hAnsi="Times New Roman" w:cs="Times New Roman"/>
          <w:i/>
          <w:sz w:val="24"/>
          <w:szCs w:val="24"/>
          <w:lang w:val="en-US"/>
        </w:rPr>
        <w:t>Journal of</w:t>
      </w:r>
      <w:r w:rsidRPr="00EF60B7">
        <w:rPr>
          <w:rFonts w:ascii="Times New Roman" w:hAnsi="Times New Roman" w:cs="Times New Roman"/>
          <w:sz w:val="24"/>
          <w:szCs w:val="24"/>
          <w:lang w:val="en-US"/>
        </w:rPr>
        <w:t xml:space="preserve"> </w:t>
      </w:r>
      <w:r w:rsidRPr="00EF60B7">
        <w:rPr>
          <w:rFonts w:ascii="Times New Roman" w:hAnsi="Times New Roman" w:cs="Times New Roman"/>
          <w:i/>
          <w:sz w:val="24"/>
          <w:szCs w:val="24"/>
          <w:lang w:val="en-US"/>
        </w:rPr>
        <w:t>Health Communication</w:t>
      </w:r>
      <w:r w:rsidRPr="00EF60B7">
        <w:rPr>
          <w:rFonts w:ascii="Times New Roman" w:hAnsi="Times New Roman" w:cs="Times New Roman"/>
          <w:sz w:val="24"/>
          <w:szCs w:val="24"/>
          <w:lang w:val="en-US"/>
        </w:rPr>
        <w:t>, 18: 123-40.</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Cacioppo, J. T., &amp; Gardner, W. L. (1999). Emotion. </w:t>
      </w:r>
      <w:r w:rsidRPr="00EF60B7">
        <w:rPr>
          <w:rFonts w:ascii="Times New Roman" w:hAnsi="Times New Roman" w:cs="Times New Roman"/>
          <w:i/>
          <w:sz w:val="24"/>
          <w:szCs w:val="24"/>
          <w:lang w:val="en-US"/>
        </w:rPr>
        <w:t>Annual Review of Psychology</w:t>
      </w:r>
      <w:r w:rsidRPr="00EF60B7">
        <w:rPr>
          <w:rFonts w:ascii="Times New Roman" w:hAnsi="Times New Roman" w:cs="Times New Roman"/>
          <w:sz w:val="24"/>
          <w:szCs w:val="24"/>
          <w:lang w:val="en-US"/>
        </w:rPr>
        <w:t>, 50: 191-214.</w:t>
      </w:r>
    </w:p>
    <w:p w:rsidR="00381ABF" w:rsidRPr="00EF60B7" w:rsidRDefault="00381ABF" w:rsidP="008D2DF6">
      <w:pPr>
        <w:tabs>
          <w:tab w:val="left" w:pos="6351"/>
        </w:tabs>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ab/>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Callan, V. J. (1984). Voluntary childlessness: early articulator and postponing couples. </w:t>
      </w:r>
      <w:r w:rsidRPr="00EF60B7">
        <w:rPr>
          <w:rFonts w:ascii="Times New Roman" w:hAnsi="Times New Roman" w:cs="Times New Roman"/>
          <w:i/>
          <w:sz w:val="24"/>
          <w:szCs w:val="24"/>
          <w:lang w:val="en-US"/>
        </w:rPr>
        <w:t>Journal of  Biosocial Science</w:t>
      </w:r>
      <w:r w:rsidRPr="00EF60B7">
        <w:rPr>
          <w:rFonts w:ascii="Times New Roman" w:hAnsi="Times New Roman" w:cs="Times New Roman"/>
          <w:sz w:val="24"/>
          <w:szCs w:val="24"/>
          <w:lang w:val="en-US"/>
        </w:rPr>
        <w:t>, 16: 501–9.</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Cape, J. (2000). Patient-rated therapeutic relationship and outcome in general practioner treatment of psychological problems. </w:t>
      </w:r>
      <w:r w:rsidRPr="00EF60B7">
        <w:rPr>
          <w:rFonts w:ascii="Times New Roman" w:hAnsi="Times New Roman" w:cs="Times New Roman"/>
          <w:i/>
          <w:sz w:val="24"/>
          <w:szCs w:val="24"/>
          <w:lang w:val="en-US"/>
        </w:rPr>
        <w:t>British Journal of  Clinical  Psychology</w:t>
      </w:r>
      <w:r w:rsidRPr="00EF60B7">
        <w:rPr>
          <w:rFonts w:ascii="Times New Roman" w:hAnsi="Times New Roman" w:cs="Times New Roman"/>
          <w:sz w:val="24"/>
          <w:szCs w:val="24"/>
          <w:lang w:val="en-US"/>
        </w:rPr>
        <w:t>, 39 ( 4): 383-95.</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i/>
          <w:sz w:val="24"/>
          <w:szCs w:val="24"/>
          <w:lang w:val="en-US"/>
        </w:rPr>
      </w:pPr>
      <w:r w:rsidRPr="00EF60B7">
        <w:rPr>
          <w:rFonts w:ascii="Times New Roman" w:hAnsi="Times New Roman" w:cs="Times New Roman"/>
          <w:sz w:val="24"/>
          <w:szCs w:val="24"/>
          <w:lang w:val="en-US"/>
        </w:rPr>
        <w:t xml:space="preserve">Cegala, D., Marinelli, T., &amp; Post, D.(2000). The effects of patient communication skills training on compliance. </w:t>
      </w:r>
      <w:r w:rsidRPr="00EF60B7">
        <w:rPr>
          <w:rFonts w:ascii="Times New Roman" w:hAnsi="Times New Roman" w:cs="Times New Roman"/>
          <w:i/>
          <w:sz w:val="24"/>
          <w:szCs w:val="24"/>
          <w:lang w:val="en-US"/>
        </w:rPr>
        <w:t>Archives of  Family  Medicine</w:t>
      </w:r>
      <w:r w:rsidRPr="00EF60B7">
        <w:rPr>
          <w:rFonts w:ascii="Times New Roman" w:hAnsi="Times New Roman" w:cs="Times New Roman"/>
          <w:sz w:val="24"/>
          <w:szCs w:val="24"/>
          <w:lang w:val="en-US"/>
        </w:rPr>
        <w:t>, 9:57–64.</w:t>
      </w:r>
      <w:r w:rsidRPr="00EF60B7">
        <w:rPr>
          <w:rFonts w:ascii="Times New Roman" w:hAnsi="Times New Roman" w:cs="Times New Roman"/>
          <w:sz w:val="24"/>
          <w:szCs w:val="24"/>
          <w:lang w:val="en-US"/>
        </w:rPr>
        <w:tab/>
      </w:r>
    </w:p>
    <w:p w:rsidR="00381ABF" w:rsidRPr="00EF60B7" w:rsidRDefault="00381ABF" w:rsidP="008D2DF6">
      <w:pPr>
        <w:tabs>
          <w:tab w:val="left" w:pos="2920"/>
          <w:tab w:val="left" w:pos="5266"/>
        </w:tabs>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ab/>
      </w:r>
      <w:r w:rsidRPr="00EF60B7">
        <w:rPr>
          <w:rFonts w:ascii="Times New Roman" w:hAnsi="Times New Roman" w:cs="Times New Roman"/>
          <w:sz w:val="24"/>
          <w:szCs w:val="24"/>
          <w:lang w:val="en-US"/>
        </w:rPr>
        <w:tab/>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Cegala,  D. J. &amp; Post, D. M. (2009). The impact of patients’ participation on physicians’ patient-centered communication. </w:t>
      </w:r>
      <w:r w:rsidRPr="00EF60B7">
        <w:rPr>
          <w:rFonts w:ascii="Times New Roman" w:hAnsi="Times New Roman" w:cs="Times New Roman"/>
          <w:i/>
          <w:sz w:val="24"/>
          <w:szCs w:val="24"/>
          <w:lang w:val="en-US"/>
        </w:rPr>
        <w:t>Patient Education and Counseling</w:t>
      </w:r>
      <w:r w:rsidRPr="00EF60B7">
        <w:rPr>
          <w:rFonts w:ascii="Times New Roman" w:hAnsi="Times New Roman" w:cs="Times New Roman"/>
          <w:sz w:val="24"/>
          <w:szCs w:val="24"/>
          <w:lang w:val="en-US"/>
        </w:rPr>
        <w:t>, 77: 202–208.</w:t>
      </w:r>
    </w:p>
    <w:p w:rsidR="00381ABF" w:rsidRPr="00EF60B7" w:rsidRDefault="00381ABF" w:rsidP="008D2DF6">
      <w:pPr>
        <w:tabs>
          <w:tab w:val="left" w:pos="4868"/>
          <w:tab w:val="left" w:pos="6168"/>
        </w:tabs>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ab/>
      </w:r>
      <w:r w:rsidRPr="00EF60B7">
        <w:rPr>
          <w:rFonts w:ascii="Times New Roman" w:hAnsi="Times New Roman" w:cs="Times New Roman"/>
          <w:sz w:val="24"/>
          <w:szCs w:val="24"/>
          <w:lang w:val="en-US"/>
        </w:rPr>
        <w:tab/>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Chaiken, S., &amp; Trope, Y. (1999). </w:t>
      </w:r>
      <w:r w:rsidRPr="00EF60B7">
        <w:rPr>
          <w:rFonts w:ascii="Times New Roman" w:hAnsi="Times New Roman" w:cs="Times New Roman"/>
          <w:i/>
          <w:sz w:val="24"/>
          <w:szCs w:val="24"/>
          <w:lang w:val="en-US"/>
        </w:rPr>
        <w:t>Dual-process Theories in Social Psychology</w:t>
      </w:r>
      <w:r w:rsidRPr="00EF60B7">
        <w:rPr>
          <w:rFonts w:ascii="Times New Roman" w:hAnsi="Times New Roman" w:cs="Times New Roman"/>
          <w:sz w:val="24"/>
          <w:szCs w:val="24"/>
          <w:lang w:val="en-US"/>
        </w:rPr>
        <w:t>. New York, Guilford Press.</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Charles, C., Gafni, A., &amp; Whelan, T. (1997). Shared decision-making in the medical encounter: what does it mean? (or it takes at least two to tango</w:t>
      </w:r>
      <w:r w:rsidRPr="00EF60B7">
        <w:rPr>
          <w:rFonts w:ascii="Times New Roman" w:hAnsi="Times New Roman" w:cs="Times New Roman"/>
          <w:i/>
          <w:sz w:val="24"/>
          <w:szCs w:val="24"/>
          <w:lang w:val="en-US"/>
        </w:rPr>
        <w:t>)</w:t>
      </w:r>
      <w:r w:rsidRPr="00EF60B7">
        <w:rPr>
          <w:rFonts w:ascii="Times New Roman" w:hAnsi="Times New Roman" w:cs="Times New Roman"/>
          <w:sz w:val="24"/>
          <w:szCs w:val="24"/>
          <w:lang w:val="en-US"/>
        </w:rPr>
        <w:t xml:space="preserve">. </w:t>
      </w:r>
      <w:r w:rsidRPr="00EF60B7">
        <w:rPr>
          <w:rFonts w:ascii="Times New Roman" w:hAnsi="Times New Roman" w:cs="Times New Roman"/>
          <w:i/>
          <w:sz w:val="24"/>
          <w:szCs w:val="24"/>
          <w:lang w:val="en-US"/>
        </w:rPr>
        <w:t>Social Science &amp; Medicine</w:t>
      </w:r>
      <w:r w:rsidRPr="00EF60B7">
        <w:rPr>
          <w:rFonts w:ascii="Times New Roman" w:hAnsi="Times New Roman" w:cs="Times New Roman"/>
          <w:sz w:val="24"/>
          <w:szCs w:val="24"/>
          <w:lang w:val="en-US"/>
        </w:rPr>
        <w:t>, 44: 681-692.</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Charles, K., Gafni, A., &amp; Whelan, T. (1999). Decision-making in the physician-patient encounter: revisiting the shared treatment decision-making model. </w:t>
      </w:r>
      <w:r w:rsidRPr="00EF60B7">
        <w:rPr>
          <w:rFonts w:ascii="Times New Roman" w:hAnsi="Times New Roman" w:cs="Times New Roman"/>
          <w:i/>
          <w:sz w:val="24"/>
          <w:szCs w:val="24"/>
          <w:lang w:val="en-US"/>
        </w:rPr>
        <w:t>Social Science &amp; Medicine</w:t>
      </w:r>
      <w:r w:rsidRPr="00EF60B7">
        <w:rPr>
          <w:rFonts w:ascii="Times New Roman" w:hAnsi="Times New Roman" w:cs="Times New Roman"/>
          <w:sz w:val="24"/>
          <w:szCs w:val="24"/>
          <w:lang w:val="en-US"/>
        </w:rPr>
        <w:t>, 49: 651-661.</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Charles, K., Whelan, T., Gafni, A., Willan, A., &amp; Farrell, S. (2003). Shared treatment decision making: what does it mean to physicians? </w:t>
      </w:r>
      <w:r w:rsidRPr="00EF60B7">
        <w:rPr>
          <w:rFonts w:ascii="Times New Roman" w:hAnsi="Times New Roman" w:cs="Times New Roman"/>
          <w:i/>
          <w:sz w:val="24"/>
          <w:szCs w:val="24"/>
          <w:lang w:val="en-US"/>
        </w:rPr>
        <w:t>Journal of  Clinical Oncology</w:t>
      </w:r>
      <w:r w:rsidRPr="00EF60B7">
        <w:rPr>
          <w:rFonts w:ascii="Times New Roman" w:hAnsi="Times New Roman" w:cs="Times New Roman"/>
          <w:sz w:val="24"/>
          <w:szCs w:val="24"/>
          <w:lang w:val="en-US"/>
        </w:rPr>
        <w:t>, 21: 932-6.</w:t>
      </w:r>
    </w:p>
    <w:p w:rsidR="00381ABF" w:rsidRPr="00EF60B7" w:rsidRDefault="00381ABF" w:rsidP="008D2DF6">
      <w:pPr>
        <w:tabs>
          <w:tab w:val="left" w:pos="6845"/>
        </w:tabs>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ab/>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Christensensen, A. J. (2000). Patient-by-treatment context interaction in chronic disease: a conceptual framework for the study of patient adherence. </w:t>
      </w:r>
      <w:r w:rsidRPr="00EF60B7">
        <w:rPr>
          <w:rFonts w:ascii="Times New Roman" w:hAnsi="Times New Roman" w:cs="Times New Roman"/>
          <w:i/>
          <w:sz w:val="24"/>
          <w:szCs w:val="24"/>
          <w:lang w:val="en-US"/>
        </w:rPr>
        <w:t>Psychosomatic Medicine</w:t>
      </w:r>
      <w:r w:rsidRPr="00EF60B7">
        <w:rPr>
          <w:rFonts w:ascii="Times New Roman" w:hAnsi="Times New Roman" w:cs="Times New Roman"/>
          <w:sz w:val="24"/>
          <w:szCs w:val="24"/>
          <w:lang w:val="en-US"/>
        </w:rPr>
        <w:t>, 62:435-443.</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i/>
          <w:sz w:val="24"/>
          <w:szCs w:val="24"/>
          <w:lang w:val="en-US"/>
        </w:rPr>
      </w:pPr>
      <w:r w:rsidRPr="00EF60B7">
        <w:rPr>
          <w:rFonts w:ascii="Times New Roman" w:hAnsi="Times New Roman" w:cs="Times New Roman"/>
          <w:sz w:val="24"/>
          <w:szCs w:val="24"/>
          <w:lang w:val="en-US"/>
        </w:rPr>
        <w:t xml:space="preserve">Christenfeld, N., &amp; Gerin, W. (2000). Social support and cardiovascular reactivity. </w:t>
      </w:r>
      <w:r w:rsidRPr="00EF60B7">
        <w:rPr>
          <w:rFonts w:ascii="Times New Roman" w:hAnsi="Times New Roman" w:cs="Times New Roman"/>
          <w:i/>
          <w:sz w:val="24"/>
          <w:szCs w:val="24"/>
          <w:lang w:val="en-US"/>
        </w:rPr>
        <w:t>Biomedicine &amp;  Pharmacotherapy</w:t>
      </w:r>
      <w:r w:rsidRPr="00EF60B7">
        <w:rPr>
          <w:rFonts w:ascii="Times New Roman" w:hAnsi="Times New Roman" w:cs="Times New Roman"/>
          <w:sz w:val="24"/>
          <w:szCs w:val="24"/>
          <w:lang w:val="en-US"/>
        </w:rPr>
        <w:t>, 54: 251-7.</w:t>
      </w:r>
      <w:r w:rsidRPr="00EF60B7">
        <w:rPr>
          <w:rFonts w:ascii="Times New Roman" w:hAnsi="Times New Roman" w:cs="Times New Roman"/>
          <w:i/>
          <w:sz w:val="24"/>
          <w:szCs w:val="24"/>
          <w:lang w:val="en-US"/>
        </w:rPr>
        <w:t xml:space="preserve"> </w:t>
      </w:r>
    </w:p>
    <w:p w:rsidR="00381ABF" w:rsidRPr="00EF60B7" w:rsidRDefault="00381ABF" w:rsidP="008D2DF6">
      <w:pPr>
        <w:tabs>
          <w:tab w:val="left" w:pos="1752"/>
        </w:tabs>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ab/>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Clayman, M. L., Roter, D., Wissow, L. S., &amp; Bandeen-Roche, K. (2005). Autonomy-related behaviors of patient companions and their effect on decision-making activity in geriatric primary care visits. </w:t>
      </w:r>
      <w:r w:rsidRPr="00EF60B7">
        <w:rPr>
          <w:rFonts w:ascii="Times New Roman" w:hAnsi="Times New Roman" w:cs="Times New Roman"/>
          <w:i/>
          <w:sz w:val="24"/>
          <w:szCs w:val="24"/>
          <w:lang w:val="en-US"/>
        </w:rPr>
        <w:t>Social Science &amp; Medicine</w:t>
      </w:r>
      <w:r w:rsidRPr="00EF60B7">
        <w:rPr>
          <w:rFonts w:ascii="Times New Roman" w:hAnsi="Times New Roman" w:cs="Times New Roman"/>
          <w:sz w:val="24"/>
          <w:szCs w:val="24"/>
          <w:lang w:val="en-US"/>
        </w:rPr>
        <w:t>, 60: 1583–1591.</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i/>
          <w:sz w:val="24"/>
          <w:szCs w:val="24"/>
          <w:lang w:val="en-US"/>
        </w:rPr>
      </w:pPr>
      <w:r w:rsidRPr="00EF60B7">
        <w:rPr>
          <w:rFonts w:ascii="Times New Roman" w:hAnsi="Times New Roman" w:cs="Times New Roman"/>
          <w:sz w:val="24"/>
          <w:szCs w:val="24"/>
          <w:lang w:val="en-US"/>
        </w:rPr>
        <w:t xml:space="preserve">Coe, R. M., &amp; Prendergast, C. G. (1985). The formation of coalitions: interaction strategies in triads. </w:t>
      </w:r>
      <w:r w:rsidRPr="00EF60B7">
        <w:rPr>
          <w:rFonts w:ascii="Times New Roman" w:hAnsi="Times New Roman" w:cs="Times New Roman"/>
          <w:i/>
          <w:sz w:val="24"/>
          <w:szCs w:val="24"/>
          <w:lang w:val="en-US"/>
        </w:rPr>
        <w:t>Sociology of Health and Illness</w:t>
      </w:r>
      <w:r w:rsidRPr="00EF60B7">
        <w:rPr>
          <w:rFonts w:ascii="Times New Roman" w:hAnsi="Times New Roman" w:cs="Times New Roman"/>
          <w:sz w:val="24"/>
          <w:szCs w:val="24"/>
          <w:lang w:val="en-US"/>
        </w:rPr>
        <w:t>, 7: 236–247.</w:t>
      </w:r>
    </w:p>
    <w:p w:rsidR="00381ABF" w:rsidRPr="00EF60B7" w:rsidRDefault="00381ABF" w:rsidP="008D2DF6">
      <w:pPr>
        <w:autoSpaceDE w:val="0"/>
        <w:autoSpaceDN w:val="0"/>
        <w:adjustRightInd w:val="0"/>
        <w:spacing w:line="360" w:lineRule="auto"/>
        <w:jc w:val="both"/>
        <w:rPr>
          <w:rFonts w:ascii="Times New Roman" w:hAnsi="Times New Roman" w:cs="Times New Roman"/>
          <w:i/>
          <w:sz w:val="24"/>
          <w:szCs w:val="24"/>
          <w:lang w:val="en-US"/>
        </w:rPr>
      </w:pPr>
      <w:r w:rsidRPr="00EF60B7">
        <w:rPr>
          <w:rFonts w:ascii="Times New Roman" w:hAnsi="Times New Roman" w:cs="Times New Roman"/>
          <w:i/>
          <w:sz w:val="24"/>
          <w:szCs w:val="24"/>
          <w:lang w:val="en-US"/>
        </w:rPr>
        <w:lastRenderedPageBreak/>
        <w:tab/>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Colland, V. T. (1990). </w:t>
      </w:r>
      <w:r w:rsidRPr="00EF60B7">
        <w:rPr>
          <w:rFonts w:ascii="Times New Roman" w:hAnsi="Times New Roman" w:cs="Times New Roman"/>
          <w:i/>
          <w:sz w:val="24"/>
          <w:szCs w:val="24"/>
          <w:lang w:val="en-US"/>
        </w:rPr>
        <w:t>Coping with asthma: Intervention methods for children and parents</w:t>
      </w:r>
      <w:r w:rsidRPr="00EF60B7">
        <w:rPr>
          <w:rFonts w:ascii="Times New Roman" w:hAnsi="Times New Roman" w:cs="Times New Roman"/>
          <w:sz w:val="24"/>
          <w:szCs w:val="24"/>
          <w:lang w:val="en-US"/>
        </w:rPr>
        <w:t xml:space="preserve"> [Dissertetion]. Amsterdam: Thesisi Publishers.</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Colliver, J. A., et al. (1998).</w:t>
      </w:r>
      <w:r w:rsidRPr="00EF60B7">
        <w:rPr>
          <w:rFonts w:ascii="Times New Roman" w:hAnsi="Times New Roman" w:cs="Times New Roman"/>
          <w:i/>
          <w:sz w:val="24"/>
          <w:szCs w:val="24"/>
          <w:lang w:val="en-US"/>
        </w:rPr>
        <w:t xml:space="preserve"> </w:t>
      </w:r>
      <w:r w:rsidRPr="00EF60B7">
        <w:rPr>
          <w:rFonts w:ascii="Times New Roman" w:hAnsi="Times New Roman" w:cs="Times New Roman"/>
          <w:sz w:val="24"/>
          <w:szCs w:val="24"/>
          <w:lang w:val="en-US"/>
        </w:rPr>
        <w:t xml:space="preserve">Assessment of empathy in a standardized-patient examination. </w:t>
      </w:r>
      <w:r w:rsidRPr="00EF60B7">
        <w:rPr>
          <w:rFonts w:ascii="Times New Roman" w:hAnsi="Times New Roman" w:cs="Times New Roman"/>
          <w:i/>
          <w:sz w:val="24"/>
          <w:szCs w:val="24"/>
          <w:lang w:val="en-US"/>
        </w:rPr>
        <w:t>Teaching and  Learning in Medicine</w:t>
      </w:r>
      <w:r w:rsidRPr="00EF60B7">
        <w:rPr>
          <w:rFonts w:ascii="Times New Roman" w:hAnsi="Times New Roman" w:cs="Times New Roman"/>
          <w:sz w:val="24"/>
          <w:szCs w:val="24"/>
          <w:lang w:val="en-US"/>
        </w:rPr>
        <w:t>, 10: 8-11.</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Coulter, A. (1997). Partnership with patients: the pros and cons of shared decision making. </w:t>
      </w:r>
      <w:r w:rsidRPr="00EF60B7">
        <w:rPr>
          <w:rFonts w:ascii="Times New Roman" w:hAnsi="Times New Roman" w:cs="Times New Roman"/>
          <w:i/>
          <w:sz w:val="24"/>
          <w:szCs w:val="24"/>
          <w:lang w:val="en-US"/>
        </w:rPr>
        <w:t>Journal of Health Services Research and Policy</w:t>
      </w:r>
      <w:r w:rsidRPr="00EF60B7">
        <w:rPr>
          <w:rFonts w:ascii="Times New Roman" w:hAnsi="Times New Roman" w:cs="Times New Roman"/>
          <w:sz w:val="24"/>
          <w:szCs w:val="24"/>
          <w:lang w:val="en-US"/>
        </w:rPr>
        <w:t>, 2: 112-121.</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Degner, L. F., &amp; Sloan, J. A. (1992). Decision making during serious illness: what role do patients really want to play? </w:t>
      </w:r>
      <w:r w:rsidRPr="00EF60B7">
        <w:rPr>
          <w:rFonts w:ascii="Times New Roman" w:hAnsi="Times New Roman" w:cs="Times New Roman"/>
          <w:i/>
          <w:sz w:val="24"/>
          <w:szCs w:val="24"/>
          <w:lang w:val="en-US"/>
        </w:rPr>
        <w:t>Journal of Clinical Epidemiology</w:t>
      </w:r>
      <w:r w:rsidRPr="00EF60B7">
        <w:rPr>
          <w:rFonts w:ascii="Times New Roman" w:hAnsi="Times New Roman" w:cs="Times New Roman"/>
          <w:sz w:val="24"/>
          <w:szCs w:val="24"/>
          <w:lang w:val="en-US"/>
        </w:rPr>
        <w:t>, 45: 941-50.</w:t>
      </w:r>
    </w:p>
    <w:p w:rsidR="00381ABF" w:rsidRPr="00EF60B7" w:rsidRDefault="00381ABF" w:rsidP="008D2DF6">
      <w:pPr>
        <w:tabs>
          <w:tab w:val="left" w:pos="2977"/>
        </w:tabs>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ab/>
      </w:r>
    </w:p>
    <w:p w:rsidR="00381ABF" w:rsidRPr="00EF60B7" w:rsidRDefault="00381ABF" w:rsidP="008D2DF6">
      <w:pPr>
        <w:autoSpaceDE w:val="0"/>
        <w:autoSpaceDN w:val="0"/>
        <w:adjustRightInd w:val="0"/>
        <w:spacing w:line="360" w:lineRule="auto"/>
        <w:jc w:val="both"/>
        <w:rPr>
          <w:rFonts w:ascii="Times New Roman" w:hAnsi="Times New Roman" w:cs="Times New Roman"/>
          <w:i/>
          <w:sz w:val="24"/>
          <w:szCs w:val="24"/>
          <w:lang w:val="en-US"/>
        </w:rPr>
      </w:pPr>
      <w:r w:rsidRPr="00EF60B7">
        <w:rPr>
          <w:rFonts w:ascii="Times New Roman" w:hAnsi="Times New Roman" w:cs="Times New Roman"/>
          <w:sz w:val="24"/>
          <w:szCs w:val="24"/>
          <w:lang w:val="en-US"/>
        </w:rPr>
        <w:t xml:space="preserve">Denberg, T.D., Melhado, T.V., &amp; Steiner, J. F. (2006). Patient treatment preferences in localized prostate carcinoma: the influence of emotion, misconception, and anecdote. </w:t>
      </w:r>
      <w:r w:rsidRPr="00EF60B7">
        <w:rPr>
          <w:rFonts w:ascii="Times New Roman" w:hAnsi="Times New Roman" w:cs="Times New Roman"/>
          <w:i/>
          <w:sz w:val="24"/>
          <w:szCs w:val="24"/>
          <w:lang w:val="en-US"/>
        </w:rPr>
        <w:t>Cancer</w:t>
      </w:r>
      <w:r w:rsidRPr="00EF60B7">
        <w:rPr>
          <w:rFonts w:ascii="Times New Roman" w:hAnsi="Times New Roman" w:cs="Times New Roman"/>
          <w:sz w:val="24"/>
          <w:szCs w:val="24"/>
          <w:lang w:val="en-US"/>
        </w:rPr>
        <w:t>, 107:620–30.</w:t>
      </w:r>
    </w:p>
    <w:p w:rsidR="00381ABF" w:rsidRPr="00EF60B7" w:rsidRDefault="00381ABF" w:rsidP="008D2DF6">
      <w:pPr>
        <w:tabs>
          <w:tab w:val="left" w:pos="6265"/>
        </w:tabs>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ab/>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Di Blasi, Z., et al. (2001). Influence of context effects on health outcomes: a systematic review. </w:t>
      </w:r>
      <w:r w:rsidRPr="00EF60B7">
        <w:rPr>
          <w:rFonts w:ascii="Times New Roman" w:hAnsi="Times New Roman" w:cs="Times New Roman"/>
          <w:i/>
          <w:sz w:val="24"/>
          <w:szCs w:val="24"/>
          <w:lang w:val="en-US"/>
        </w:rPr>
        <w:t>Lancet</w:t>
      </w:r>
      <w:r w:rsidRPr="00EF60B7">
        <w:rPr>
          <w:rFonts w:ascii="Times New Roman" w:hAnsi="Times New Roman" w:cs="Times New Roman"/>
          <w:sz w:val="24"/>
          <w:szCs w:val="24"/>
          <w:lang w:val="en-US"/>
        </w:rPr>
        <w:t>, 357: 757-62.</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i/>
          <w:sz w:val="24"/>
          <w:szCs w:val="24"/>
          <w:lang w:val="en-US"/>
        </w:rPr>
      </w:pPr>
      <w:r w:rsidRPr="00EF60B7">
        <w:rPr>
          <w:rFonts w:ascii="Times New Roman" w:hAnsi="Times New Roman" w:cs="Times New Roman"/>
          <w:sz w:val="24"/>
          <w:szCs w:val="24"/>
          <w:lang w:val="en-US"/>
        </w:rPr>
        <w:t xml:space="preserve">Di Matteo, M. R., Di Nicola, D. D.(1982). </w:t>
      </w:r>
      <w:r w:rsidRPr="00EF60B7">
        <w:rPr>
          <w:rFonts w:ascii="Times New Roman" w:hAnsi="Times New Roman" w:cs="Times New Roman"/>
          <w:i/>
          <w:sz w:val="24"/>
          <w:szCs w:val="24"/>
          <w:lang w:val="en-US"/>
        </w:rPr>
        <w:t>Achieving patient compliance: The psychology of the medical practitioner’s role.</w:t>
      </w:r>
      <w:r w:rsidRPr="00EF60B7">
        <w:rPr>
          <w:rFonts w:ascii="Times New Roman" w:hAnsi="Times New Roman" w:cs="Times New Roman"/>
          <w:sz w:val="24"/>
          <w:szCs w:val="24"/>
          <w:lang w:val="en-US"/>
        </w:rPr>
        <w:t xml:space="preserve"> New York: Pergamon Press.</w:t>
      </w:r>
    </w:p>
    <w:p w:rsidR="00381ABF" w:rsidRPr="00EF60B7" w:rsidRDefault="00381ABF" w:rsidP="008D2DF6">
      <w:pPr>
        <w:autoSpaceDE w:val="0"/>
        <w:autoSpaceDN w:val="0"/>
        <w:adjustRightInd w:val="0"/>
        <w:spacing w:line="360" w:lineRule="auto"/>
        <w:ind w:firstLine="720"/>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Dindia, K., &amp; Allen, M. (1992). Sex differences in self-disclosure: A meta-analysis. </w:t>
      </w:r>
      <w:r w:rsidRPr="00EF60B7">
        <w:rPr>
          <w:rFonts w:ascii="Times New Roman" w:hAnsi="Times New Roman" w:cs="Times New Roman"/>
          <w:i/>
          <w:sz w:val="24"/>
          <w:szCs w:val="24"/>
          <w:lang w:val="en-US"/>
        </w:rPr>
        <w:t>Psychological  Bullettin</w:t>
      </w:r>
      <w:r w:rsidRPr="00EF60B7">
        <w:rPr>
          <w:rFonts w:ascii="Times New Roman" w:hAnsi="Times New Roman" w:cs="Times New Roman"/>
          <w:sz w:val="24"/>
          <w:szCs w:val="24"/>
          <w:lang w:val="en-US"/>
        </w:rPr>
        <w:t>, 112: 106-124.</w:t>
      </w:r>
    </w:p>
    <w:p w:rsidR="00381ABF" w:rsidRPr="00EF60B7" w:rsidRDefault="00381ABF" w:rsidP="008D2DF6">
      <w:pPr>
        <w:tabs>
          <w:tab w:val="left" w:pos="4750"/>
        </w:tabs>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lastRenderedPageBreak/>
        <w:tab/>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Driffield, T., &amp; Smith, P. C. (2007). A real options approach to watchful waiting: theory and an illustration. </w:t>
      </w:r>
      <w:r w:rsidRPr="00EF60B7">
        <w:rPr>
          <w:rFonts w:ascii="Times New Roman" w:hAnsi="Times New Roman" w:cs="Times New Roman"/>
          <w:i/>
          <w:sz w:val="24"/>
          <w:szCs w:val="24"/>
          <w:lang w:val="en-US"/>
        </w:rPr>
        <w:t>Medical Decision Making</w:t>
      </w:r>
      <w:r w:rsidRPr="00EF60B7">
        <w:rPr>
          <w:rFonts w:ascii="Times New Roman" w:hAnsi="Times New Roman" w:cs="Times New Roman"/>
          <w:sz w:val="24"/>
          <w:szCs w:val="24"/>
          <w:lang w:val="en-US"/>
        </w:rPr>
        <w:t>, 27: 178–88.</w:t>
      </w:r>
    </w:p>
    <w:p w:rsidR="00381ABF" w:rsidRPr="00EF60B7" w:rsidRDefault="00381ABF" w:rsidP="008D2DF6">
      <w:pPr>
        <w:autoSpaceDE w:val="0"/>
        <w:autoSpaceDN w:val="0"/>
        <w:adjustRightInd w:val="0"/>
        <w:spacing w:line="360" w:lineRule="auto"/>
        <w:jc w:val="both"/>
        <w:rPr>
          <w:rFonts w:ascii="Times New Roman" w:hAnsi="Times New Roman" w:cs="Times New Roman"/>
          <w:i/>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Duff, R.S., &amp; Campbell, A. G. M. (1973). Moral and Ethical Dilemmas in the Special Care Nursery. </w:t>
      </w:r>
      <w:r w:rsidRPr="00EF60B7">
        <w:rPr>
          <w:rFonts w:ascii="Times New Roman" w:hAnsi="Times New Roman" w:cs="Times New Roman"/>
          <w:i/>
          <w:sz w:val="24"/>
          <w:szCs w:val="24"/>
          <w:lang w:val="en-US"/>
        </w:rPr>
        <w:t>New England Journal of Medicine</w:t>
      </w:r>
      <w:r w:rsidRPr="00EF60B7">
        <w:rPr>
          <w:rFonts w:ascii="Times New Roman" w:hAnsi="Times New Roman" w:cs="Times New Roman"/>
          <w:sz w:val="24"/>
          <w:szCs w:val="24"/>
          <w:lang w:val="en-US"/>
        </w:rPr>
        <w:t xml:space="preserve"> 289: 890–894.</w:t>
      </w:r>
      <w:r w:rsidRPr="00EF60B7">
        <w:rPr>
          <w:rFonts w:ascii="Times New Roman" w:hAnsi="Times New Roman" w:cs="Times New Roman"/>
          <w:sz w:val="24"/>
          <w:szCs w:val="24"/>
          <w:lang w:val="en-US"/>
        </w:rPr>
        <w:tab/>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Eagly, A. H., &amp; Johnson, B. T. (1990). Gender and leadership style: A meta-analysis. </w:t>
      </w:r>
      <w:r w:rsidRPr="00EF60B7">
        <w:rPr>
          <w:rFonts w:ascii="Times New Roman" w:hAnsi="Times New Roman" w:cs="Times New Roman"/>
          <w:i/>
          <w:sz w:val="24"/>
          <w:szCs w:val="24"/>
          <w:lang w:val="en-US"/>
        </w:rPr>
        <w:t>Psychological Bullettin</w:t>
      </w:r>
      <w:r w:rsidRPr="00EF60B7">
        <w:rPr>
          <w:rFonts w:ascii="Times New Roman" w:hAnsi="Times New Roman" w:cs="Times New Roman"/>
          <w:sz w:val="24"/>
          <w:szCs w:val="24"/>
          <w:lang w:val="en-US"/>
        </w:rPr>
        <w:t>, 108: 233-256.</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Easter, D. W. &amp; Beach, W. (2004). Competent patient care is dependent upon attending to empathic opportunities presented during interview sessions. </w:t>
      </w:r>
      <w:r w:rsidRPr="00EF60B7">
        <w:rPr>
          <w:rFonts w:ascii="Times New Roman" w:hAnsi="Times New Roman" w:cs="Times New Roman"/>
          <w:i/>
          <w:sz w:val="24"/>
          <w:szCs w:val="24"/>
          <w:lang w:val="en-US"/>
        </w:rPr>
        <w:t>Current  Surgery</w:t>
      </w:r>
      <w:r w:rsidRPr="00EF60B7">
        <w:rPr>
          <w:rFonts w:ascii="Times New Roman" w:hAnsi="Times New Roman" w:cs="Times New Roman"/>
          <w:sz w:val="24"/>
          <w:szCs w:val="24"/>
          <w:lang w:val="en-US"/>
        </w:rPr>
        <w:t>, 61: 313-8.</w:t>
      </w:r>
    </w:p>
    <w:p w:rsidR="00381ABF" w:rsidRPr="00EF60B7" w:rsidRDefault="00381ABF" w:rsidP="008D2DF6">
      <w:pPr>
        <w:autoSpaceDE w:val="0"/>
        <w:autoSpaceDN w:val="0"/>
        <w:adjustRightInd w:val="0"/>
        <w:spacing w:line="360" w:lineRule="auto"/>
        <w:ind w:firstLine="720"/>
        <w:jc w:val="both"/>
        <w:rPr>
          <w:rFonts w:ascii="Times New Roman" w:hAnsi="Times New Roman" w:cs="Times New Roman"/>
          <w:sz w:val="24"/>
          <w:szCs w:val="24"/>
          <w:lang w:val="en-US"/>
        </w:rPr>
      </w:pPr>
    </w:p>
    <w:p w:rsidR="00381ABF" w:rsidRPr="00EF60B7" w:rsidRDefault="00381ABF" w:rsidP="008D2DF6">
      <w:pPr>
        <w:autoSpaceDE w:val="0"/>
        <w:spacing w:line="360" w:lineRule="auto"/>
        <w:jc w:val="both"/>
        <w:rPr>
          <w:rFonts w:ascii="Times New Roman" w:eastAsia="SimSun" w:hAnsi="Times New Roman" w:cs="Times New Roman"/>
          <w:bCs/>
          <w:color w:val="231F20"/>
          <w:sz w:val="24"/>
          <w:szCs w:val="24"/>
          <w:lang w:val="en-US"/>
        </w:rPr>
      </w:pPr>
      <w:r w:rsidRPr="00EF60B7">
        <w:rPr>
          <w:rFonts w:ascii="Times New Roman" w:eastAsia="SimSun" w:hAnsi="Times New Roman" w:cs="Times New Roman"/>
          <w:bCs/>
          <w:color w:val="231F20"/>
          <w:sz w:val="24"/>
          <w:szCs w:val="24"/>
          <w:lang w:val="en-US"/>
        </w:rPr>
        <w:t xml:space="preserve">Emanuel, E., Emanuel, L. (1992). Four models of the physician patient relationship. </w:t>
      </w:r>
      <w:r w:rsidRPr="00EF60B7">
        <w:rPr>
          <w:rFonts w:ascii="Times New Roman" w:eastAsia="SimSun" w:hAnsi="Times New Roman" w:cs="Times New Roman"/>
          <w:bCs/>
          <w:i/>
          <w:iCs/>
          <w:color w:val="231F20"/>
          <w:sz w:val="24"/>
          <w:szCs w:val="24"/>
          <w:lang w:val="en-US"/>
        </w:rPr>
        <w:t xml:space="preserve">Journal of American Medical Association, </w:t>
      </w:r>
      <w:r w:rsidRPr="00EF60B7">
        <w:rPr>
          <w:rFonts w:ascii="Times New Roman" w:eastAsia="SimSun" w:hAnsi="Times New Roman" w:cs="Times New Roman"/>
          <w:bCs/>
          <w:color w:val="231F20"/>
          <w:sz w:val="24"/>
          <w:szCs w:val="24"/>
          <w:lang w:val="en-US"/>
        </w:rPr>
        <w:t>267:2221 – 6.</w:t>
      </w:r>
    </w:p>
    <w:p w:rsidR="00381ABF" w:rsidRPr="00EF60B7" w:rsidRDefault="00381ABF" w:rsidP="008D2DF6">
      <w:pPr>
        <w:autoSpaceDE w:val="0"/>
        <w:spacing w:line="360" w:lineRule="auto"/>
        <w:jc w:val="both"/>
        <w:rPr>
          <w:rFonts w:ascii="Times New Roman" w:eastAsia="SimSun" w:hAnsi="Times New Roman" w:cs="Times New Roman"/>
          <w:bCs/>
          <w:color w:val="231F20"/>
          <w:sz w:val="24"/>
          <w:szCs w:val="24"/>
          <w:lang w:val="en-US"/>
        </w:rPr>
      </w:pPr>
    </w:p>
    <w:p w:rsidR="00381ABF" w:rsidRPr="00EF60B7" w:rsidRDefault="00381ABF" w:rsidP="008D2DF6">
      <w:pPr>
        <w:autoSpaceDE w:val="0"/>
        <w:spacing w:line="360" w:lineRule="auto"/>
        <w:jc w:val="both"/>
        <w:rPr>
          <w:rFonts w:ascii="Times New Roman" w:eastAsia="SimSun" w:hAnsi="Times New Roman" w:cs="Times New Roman"/>
          <w:bCs/>
          <w:color w:val="231F20"/>
          <w:sz w:val="24"/>
          <w:szCs w:val="24"/>
          <w:lang w:val="en-US"/>
        </w:rPr>
      </w:pPr>
      <w:r w:rsidRPr="00EF60B7">
        <w:rPr>
          <w:rFonts w:ascii="Times New Roman" w:eastAsia="SimSun" w:hAnsi="Times New Roman" w:cs="Times New Roman"/>
          <w:bCs/>
          <w:color w:val="231F20"/>
          <w:sz w:val="24"/>
          <w:szCs w:val="24"/>
          <w:lang w:val="en-US"/>
        </w:rPr>
        <w:t xml:space="preserve">Ende, J., Kazis, L., &amp; Moskowitz, M. A. (1990). Preferences for autonomy when patients are physicians. </w:t>
      </w:r>
      <w:r w:rsidRPr="00EF60B7">
        <w:rPr>
          <w:rFonts w:ascii="Times New Roman" w:eastAsia="SimSun" w:hAnsi="Times New Roman" w:cs="Times New Roman"/>
          <w:bCs/>
          <w:i/>
          <w:color w:val="231F20"/>
          <w:sz w:val="24"/>
          <w:szCs w:val="24"/>
          <w:lang w:val="en-US"/>
        </w:rPr>
        <w:t>Journal of General Internal Medicine</w:t>
      </w:r>
      <w:r w:rsidRPr="00EF60B7">
        <w:rPr>
          <w:rFonts w:ascii="Times New Roman" w:eastAsia="SimSun" w:hAnsi="Times New Roman" w:cs="Times New Roman"/>
          <w:bCs/>
          <w:color w:val="231F20"/>
          <w:sz w:val="24"/>
          <w:szCs w:val="24"/>
          <w:lang w:val="en-US"/>
        </w:rPr>
        <w:t xml:space="preserve">, 5: 506-509. </w:t>
      </w:r>
    </w:p>
    <w:p w:rsidR="00381ABF" w:rsidRPr="00EF60B7" w:rsidRDefault="00381ABF" w:rsidP="008D2DF6">
      <w:pPr>
        <w:autoSpaceDE w:val="0"/>
        <w:spacing w:line="360" w:lineRule="auto"/>
        <w:jc w:val="both"/>
        <w:rPr>
          <w:rFonts w:ascii="Times New Roman" w:eastAsia="SimSun" w:hAnsi="Times New Roman" w:cs="Times New Roman"/>
          <w:bCs/>
          <w:color w:val="231F20"/>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Englehardt, H. T. (1975). “Ethical Issues in Aiding the Death of Young Children”. In </w:t>
      </w:r>
      <w:r w:rsidRPr="00EF60B7">
        <w:rPr>
          <w:rFonts w:ascii="Times New Roman" w:hAnsi="Times New Roman" w:cs="Times New Roman"/>
          <w:i/>
          <w:sz w:val="24"/>
          <w:szCs w:val="24"/>
          <w:lang w:val="en-US"/>
        </w:rPr>
        <w:t>Beneficient Euthanasia</w:t>
      </w:r>
      <w:r w:rsidRPr="00EF60B7">
        <w:rPr>
          <w:rFonts w:ascii="Times New Roman" w:hAnsi="Times New Roman" w:cs="Times New Roman"/>
          <w:sz w:val="24"/>
          <w:szCs w:val="24"/>
          <w:lang w:val="en-US"/>
        </w:rPr>
        <w:t>. Edited by M. Kohl. 180-192, New York: Prometeus Books.</w:t>
      </w:r>
    </w:p>
    <w:p w:rsidR="00381ABF" w:rsidRPr="00EF60B7" w:rsidRDefault="00381ABF" w:rsidP="008D2DF6">
      <w:pPr>
        <w:autoSpaceDE w:val="0"/>
        <w:spacing w:line="360" w:lineRule="auto"/>
        <w:jc w:val="both"/>
        <w:rPr>
          <w:rFonts w:ascii="Times New Roman" w:eastAsia="SimSun" w:hAnsi="Times New Roman" w:cs="Times New Roman"/>
          <w:bCs/>
          <w:color w:val="231F20"/>
          <w:sz w:val="24"/>
          <w:szCs w:val="24"/>
          <w:lang w:val="en-US"/>
        </w:rPr>
      </w:pPr>
    </w:p>
    <w:p w:rsidR="00381ABF" w:rsidRPr="00EF60B7" w:rsidRDefault="00381ABF" w:rsidP="008D2DF6">
      <w:pPr>
        <w:autoSpaceDE w:val="0"/>
        <w:spacing w:line="360" w:lineRule="auto"/>
        <w:jc w:val="both"/>
        <w:rPr>
          <w:rFonts w:ascii="Times New Roman" w:eastAsia="SimSun" w:hAnsi="Times New Roman" w:cs="Times New Roman"/>
          <w:bCs/>
          <w:color w:val="231F20"/>
          <w:sz w:val="24"/>
          <w:szCs w:val="24"/>
          <w:lang w:val="en-US"/>
        </w:rPr>
      </w:pPr>
      <w:r w:rsidRPr="00EF60B7">
        <w:rPr>
          <w:rFonts w:ascii="Times New Roman" w:eastAsia="SimSun" w:hAnsi="Times New Roman" w:cs="Times New Roman"/>
          <w:bCs/>
          <w:color w:val="231F20"/>
          <w:sz w:val="24"/>
          <w:szCs w:val="24"/>
          <w:lang w:val="en-US"/>
        </w:rPr>
        <w:t>Engelhard, I. M.,  Macklin, M.,  McNally, R. J., Van den Hout, M. A.,  &amp; Arntz, A. (2003).</w:t>
      </w:r>
      <w:r w:rsidRPr="00EF60B7">
        <w:rPr>
          <w:rFonts w:ascii="Times New Roman" w:eastAsia="SimSun" w:hAnsi="Times New Roman" w:cs="Times New Roman"/>
          <w:bCs/>
          <w:i/>
          <w:color w:val="231F20"/>
          <w:sz w:val="24"/>
          <w:szCs w:val="24"/>
          <w:lang w:val="en-US"/>
        </w:rPr>
        <w:t xml:space="preserve"> </w:t>
      </w:r>
      <w:r w:rsidRPr="00EF60B7">
        <w:rPr>
          <w:rFonts w:ascii="Times New Roman" w:eastAsia="SimSun" w:hAnsi="Times New Roman" w:cs="Times New Roman"/>
          <w:bCs/>
          <w:color w:val="231F20"/>
          <w:sz w:val="24"/>
          <w:szCs w:val="24"/>
          <w:lang w:val="en-US"/>
        </w:rPr>
        <w:t xml:space="preserve">Emotion and intrusion-based reasoning in Vietnman veterans with and </w:t>
      </w:r>
      <w:r w:rsidRPr="00EF60B7">
        <w:rPr>
          <w:rFonts w:ascii="Times New Roman" w:eastAsia="SimSun" w:hAnsi="Times New Roman" w:cs="Times New Roman"/>
          <w:bCs/>
          <w:color w:val="231F20"/>
          <w:sz w:val="24"/>
          <w:szCs w:val="24"/>
          <w:lang w:val="en-US"/>
        </w:rPr>
        <w:lastRenderedPageBreak/>
        <w:t xml:space="preserve">without chronic posttraumatic stress disorder. </w:t>
      </w:r>
      <w:r w:rsidRPr="00EF60B7">
        <w:rPr>
          <w:rFonts w:ascii="Times New Roman" w:eastAsia="SimSun" w:hAnsi="Times New Roman" w:cs="Times New Roman"/>
          <w:bCs/>
          <w:i/>
          <w:color w:val="231F20"/>
          <w:sz w:val="24"/>
          <w:szCs w:val="24"/>
          <w:lang w:val="en-US"/>
        </w:rPr>
        <w:t>Behaviour Research and Therapy</w:t>
      </w:r>
      <w:r w:rsidRPr="00EF60B7">
        <w:rPr>
          <w:rFonts w:ascii="Times New Roman" w:eastAsia="SimSun" w:hAnsi="Times New Roman" w:cs="Times New Roman"/>
          <w:bCs/>
          <w:color w:val="231F20"/>
          <w:sz w:val="24"/>
          <w:szCs w:val="24"/>
          <w:lang w:val="en-US"/>
        </w:rPr>
        <w:t>, 39 (11): 1339-1348.</w:t>
      </w:r>
    </w:p>
    <w:p w:rsidR="00381ABF" w:rsidRPr="00EF60B7" w:rsidRDefault="00381ABF" w:rsidP="008D2DF6">
      <w:pPr>
        <w:autoSpaceDE w:val="0"/>
        <w:spacing w:line="360" w:lineRule="auto"/>
        <w:jc w:val="both"/>
        <w:rPr>
          <w:rFonts w:ascii="Times New Roman" w:eastAsia="SimSun" w:hAnsi="Times New Roman" w:cs="Times New Roman"/>
          <w:bCs/>
          <w:color w:val="231F20"/>
          <w:sz w:val="24"/>
          <w:szCs w:val="24"/>
          <w:lang w:val="en-US"/>
        </w:rPr>
      </w:pPr>
    </w:p>
    <w:p w:rsidR="00381ABF" w:rsidRPr="00EF60B7" w:rsidRDefault="00381ABF" w:rsidP="008D2DF6">
      <w:pPr>
        <w:autoSpaceDE w:val="0"/>
        <w:spacing w:line="360" w:lineRule="auto"/>
        <w:jc w:val="both"/>
        <w:rPr>
          <w:rFonts w:ascii="Times New Roman" w:eastAsia="SimSun" w:hAnsi="Times New Roman" w:cs="Times New Roman"/>
          <w:bCs/>
          <w:color w:val="231F20"/>
          <w:sz w:val="24"/>
          <w:szCs w:val="24"/>
          <w:lang w:val="en-US"/>
        </w:rPr>
      </w:pPr>
      <w:r w:rsidRPr="00EF60B7">
        <w:rPr>
          <w:rFonts w:ascii="Times New Roman" w:eastAsia="SimSun" w:hAnsi="Times New Roman" w:cs="Times New Roman"/>
          <w:bCs/>
          <w:color w:val="231F20"/>
          <w:sz w:val="24"/>
          <w:szCs w:val="24"/>
          <w:lang w:val="en-US"/>
        </w:rPr>
        <w:t xml:space="preserve">Engelhard, I. M., Van den Hout, M. A., &amp; Arntz, A. (2001). Posttraumatic stress disorder after pregnancy loss. </w:t>
      </w:r>
      <w:r w:rsidRPr="00EF60B7">
        <w:rPr>
          <w:rFonts w:ascii="Times New Roman" w:eastAsia="SimSun" w:hAnsi="Times New Roman" w:cs="Times New Roman"/>
          <w:bCs/>
          <w:i/>
          <w:color w:val="231F20"/>
          <w:sz w:val="24"/>
          <w:szCs w:val="24"/>
          <w:lang w:val="en-US"/>
        </w:rPr>
        <w:t>General Hospital Psychiatry</w:t>
      </w:r>
      <w:r w:rsidRPr="00EF60B7">
        <w:rPr>
          <w:rFonts w:ascii="Times New Roman" w:eastAsia="SimSun" w:hAnsi="Times New Roman" w:cs="Times New Roman"/>
          <w:bCs/>
          <w:color w:val="231F20"/>
          <w:sz w:val="24"/>
          <w:szCs w:val="24"/>
          <w:lang w:val="en-US"/>
        </w:rPr>
        <w:t>, 23 (2): 62-66.</w:t>
      </w:r>
    </w:p>
    <w:p w:rsidR="00381ABF" w:rsidRPr="00EF60B7" w:rsidRDefault="00381ABF" w:rsidP="008D2DF6">
      <w:pPr>
        <w:autoSpaceDE w:val="0"/>
        <w:spacing w:line="360" w:lineRule="auto"/>
        <w:jc w:val="both"/>
        <w:rPr>
          <w:rFonts w:ascii="Times New Roman" w:eastAsia="SimSun" w:hAnsi="Times New Roman" w:cs="Times New Roman"/>
          <w:bCs/>
          <w:color w:val="231F20"/>
          <w:sz w:val="24"/>
          <w:szCs w:val="24"/>
          <w:lang w:val="en-US"/>
        </w:rPr>
      </w:pPr>
    </w:p>
    <w:p w:rsidR="00381ABF" w:rsidRPr="00EF60B7" w:rsidRDefault="00381ABF" w:rsidP="008D2DF6">
      <w:pPr>
        <w:autoSpaceDE w:val="0"/>
        <w:spacing w:line="360" w:lineRule="auto"/>
        <w:jc w:val="both"/>
        <w:rPr>
          <w:rFonts w:ascii="Times New Roman" w:eastAsia="SimSun" w:hAnsi="Times New Roman" w:cs="Times New Roman"/>
          <w:bCs/>
          <w:color w:val="231F20"/>
          <w:sz w:val="24"/>
          <w:szCs w:val="24"/>
          <w:lang w:val="en-US"/>
        </w:rPr>
      </w:pPr>
      <w:r w:rsidRPr="00EF60B7">
        <w:rPr>
          <w:rFonts w:ascii="Times New Roman" w:eastAsia="SimSun" w:hAnsi="Times New Roman" w:cs="Times New Roman"/>
          <w:bCs/>
          <w:color w:val="231F20"/>
          <w:sz w:val="24"/>
          <w:szCs w:val="24"/>
          <w:lang w:val="en-US"/>
        </w:rPr>
        <w:t xml:space="preserve">Engelhard, I. M., Van den Hout, M. A.,  Arntz, A., &amp; McNally, R. J. (2002). A longitudinal study of «intrusion-based reasoning» and post-traumatic stress disorder after exposure to a train disaster. </w:t>
      </w:r>
      <w:r w:rsidRPr="00EF60B7">
        <w:rPr>
          <w:rFonts w:ascii="Times New Roman" w:eastAsia="SimSun" w:hAnsi="Times New Roman" w:cs="Times New Roman"/>
          <w:bCs/>
          <w:i/>
          <w:color w:val="231F20"/>
          <w:sz w:val="24"/>
          <w:szCs w:val="24"/>
          <w:lang w:val="en-US"/>
        </w:rPr>
        <w:t>Behaviour Research and Therapy</w:t>
      </w:r>
      <w:r w:rsidRPr="00EF60B7">
        <w:rPr>
          <w:rFonts w:ascii="Times New Roman" w:eastAsia="SimSun" w:hAnsi="Times New Roman" w:cs="Times New Roman"/>
          <w:bCs/>
          <w:color w:val="231F20"/>
          <w:sz w:val="24"/>
          <w:szCs w:val="24"/>
          <w:lang w:val="en-US"/>
        </w:rPr>
        <w:t>, 40 (12): 1415-1424.</w:t>
      </w:r>
    </w:p>
    <w:p w:rsidR="00381ABF" w:rsidRPr="00EF60B7" w:rsidRDefault="00381ABF" w:rsidP="008D2DF6">
      <w:pPr>
        <w:autoSpaceDE w:val="0"/>
        <w:spacing w:line="360" w:lineRule="auto"/>
        <w:jc w:val="both"/>
        <w:rPr>
          <w:rFonts w:ascii="Times New Roman" w:eastAsia="SimSun" w:hAnsi="Times New Roman" w:cs="Times New Roman"/>
          <w:bCs/>
          <w:color w:val="231F20"/>
          <w:sz w:val="24"/>
          <w:szCs w:val="24"/>
          <w:lang w:val="en-US"/>
        </w:rPr>
      </w:pPr>
    </w:p>
    <w:p w:rsidR="00381ABF" w:rsidRPr="00EF60B7" w:rsidRDefault="00381ABF" w:rsidP="008D2DF6">
      <w:pPr>
        <w:autoSpaceDE w:val="0"/>
        <w:spacing w:line="360" w:lineRule="auto"/>
        <w:jc w:val="both"/>
        <w:rPr>
          <w:rFonts w:ascii="Times New Roman" w:eastAsia="SimSun" w:hAnsi="Times New Roman" w:cs="Times New Roman"/>
          <w:bCs/>
          <w:color w:val="231F20"/>
          <w:sz w:val="24"/>
          <w:szCs w:val="24"/>
          <w:lang w:val="en-US"/>
        </w:rPr>
      </w:pPr>
      <w:r w:rsidRPr="00EF60B7">
        <w:rPr>
          <w:rFonts w:ascii="Times New Roman" w:eastAsia="SimSun" w:hAnsi="Times New Roman" w:cs="Times New Roman"/>
          <w:bCs/>
          <w:color w:val="231F20"/>
          <w:sz w:val="24"/>
          <w:szCs w:val="24"/>
          <w:lang w:val="en-US"/>
        </w:rPr>
        <w:t xml:space="preserve">Evans, W. G., Tulsky, J. A., Back, A. L., &amp; Arnold, R. M. (2006). Communication at Times of Transitions: How to Help Patients Cope with Loss and Re-Define Hope”. </w:t>
      </w:r>
      <w:r w:rsidRPr="00EF60B7">
        <w:rPr>
          <w:rFonts w:ascii="Times New Roman" w:eastAsia="SimSun" w:hAnsi="Times New Roman" w:cs="Times New Roman"/>
          <w:bCs/>
          <w:i/>
          <w:color w:val="231F20"/>
          <w:sz w:val="24"/>
          <w:szCs w:val="24"/>
          <w:lang w:val="en-US"/>
        </w:rPr>
        <w:t>Cancer J</w:t>
      </w:r>
      <w:r w:rsidRPr="00EF60B7">
        <w:rPr>
          <w:rFonts w:ascii="Times New Roman" w:eastAsia="SimSun" w:hAnsi="Times New Roman" w:cs="Times New Roman"/>
          <w:bCs/>
          <w:color w:val="231F20"/>
          <w:sz w:val="24"/>
          <w:szCs w:val="24"/>
          <w:lang w:val="en-US"/>
        </w:rPr>
        <w:t>., 12: 417-424.</w:t>
      </w:r>
    </w:p>
    <w:p w:rsidR="00381ABF" w:rsidRPr="00EF60B7" w:rsidRDefault="00381ABF" w:rsidP="008D2DF6">
      <w:pPr>
        <w:tabs>
          <w:tab w:val="left" w:pos="940"/>
        </w:tabs>
        <w:autoSpaceDE w:val="0"/>
        <w:spacing w:line="360" w:lineRule="auto"/>
        <w:jc w:val="both"/>
        <w:rPr>
          <w:rFonts w:ascii="Times New Roman" w:eastAsia="SimSun" w:hAnsi="Times New Roman" w:cs="Times New Roman"/>
          <w:bCs/>
          <w:color w:val="231F20"/>
          <w:sz w:val="24"/>
          <w:szCs w:val="24"/>
          <w:lang w:val="en-US"/>
        </w:rPr>
      </w:pPr>
      <w:r w:rsidRPr="00EF60B7">
        <w:rPr>
          <w:rFonts w:ascii="Times New Roman" w:eastAsia="SimSun" w:hAnsi="Times New Roman" w:cs="Times New Roman"/>
          <w:bCs/>
          <w:color w:val="231F20"/>
          <w:sz w:val="24"/>
          <w:szCs w:val="24"/>
          <w:lang w:val="en-US"/>
        </w:rPr>
        <w:tab/>
      </w:r>
    </w:p>
    <w:p w:rsidR="00381ABF" w:rsidRPr="00EF60B7" w:rsidRDefault="00381ABF" w:rsidP="008D2DF6">
      <w:pPr>
        <w:autoSpaceDE w:val="0"/>
        <w:spacing w:line="360" w:lineRule="auto"/>
        <w:jc w:val="both"/>
        <w:rPr>
          <w:rFonts w:ascii="Times New Roman" w:eastAsia="SimSun" w:hAnsi="Times New Roman" w:cs="Times New Roman"/>
          <w:bCs/>
          <w:color w:val="231F20"/>
          <w:sz w:val="24"/>
          <w:szCs w:val="24"/>
          <w:lang w:val="en-US"/>
        </w:rPr>
      </w:pPr>
      <w:r w:rsidRPr="00EF60B7">
        <w:rPr>
          <w:rFonts w:ascii="Times New Roman" w:eastAsia="SimSun" w:hAnsi="Times New Roman" w:cs="Times New Roman"/>
          <w:bCs/>
          <w:color w:val="231F20"/>
          <w:sz w:val="24"/>
          <w:szCs w:val="24"/>
          <w:lang w:val="en-US"/>
        </w:rPr>
        <w:t xml:space="preserve">Falkum, E. &amp; Forde, R. (2001). Paternalism, patient autonomy, and moral deliberation in the physician-patient relationship. Attitudes among Norwegian physicians. </w:t>
      </w:r>
      <w:r w:rsidRPr="00EF60B7">
        <w:rPr>
          <w:rFonts w:ascii="Times New Roman" w:eastAsia="SimSun" w:hAnsi="Times New Roman" w:cs="Times New Roman"/>
          <w:bCs/>
          <w:i/>
          <w:color w:val="231F20"/>
          <w:sz w:val="24"/>
          <w:szCs w:val="24"/>
          <w:lang w:val="en-US"/>
        </w:rPr>
        <w:t>Social Science and Medicine</w:t>
      </w:r>
      <w:r w:rsidRPr="00EF60B7">
        <w:rPr>
          <w:rFonts w:ascii="Times New Roman" w:eastAsia="SimSun" w:hAnsi="Times New Roman" w:cs="Times New Roman"/>
          <w:bCs/>
          <w:color w:val="231F20"/>
          <w:sz w:val="24"/>
          <w:szCs w:val="24"/>
          <w:lang w:val="en-US"/>
        </w:rPr>
        <w:t>, 52: 239-248.</w:t>
      </w:r>
    </w:p>
    <w:p w:rsidR="00381ABF" w:rsidRPr="00EF60B7" w:rsidRDefault="00381ABF" w:rsidP="008D2DF6">
      <w:pPr>
        <w:autoSpaceDE w:val="0"/>
        <w:spacing w:line="360" w:lineRule="auto"/>
        <w:jc w:val="both"/>
        <w:rPr>
          <w:rFonts w:ascii="Times New Roman" w:eastAsia="SimSun" w:hAnsi="Times New Roman" w:cs="Times New Roman"/>
          <w:bCs/>
          <w:color w:val="231F20"/>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Fagerlin, A., Lakhani, I., Lantz, P. M., Janz, N. K., Morrow, M., Schwartz, K., Deapen, D., Salem, B., Liu, L., &amp; Katz, S. J. (2006). An informed decision? Breast cancer patients and their knowledge about treatment. </w:t>
      </w:r>
      <w:r w:rsidRPr="00EF60B7">
        <w:rPr>
          <w:rFonts w:ascii="Times New Roman" w:hAnsi="Times New Roman" w:cs="Times New Roman"/>
          <w:i/>
          <w:sz w:val="24"/>
          <w:szCs w:val="24"/>
          <w:lang w:val="en-US"/>
        </w:rPr>
        <w:t>Patient Education and Counseling</w:t>
      </w:r>
      <w:r w:rsidRPr="00EF60B7">
        <w:rPr>
          <w:rFonts w:ascii="Times New Roman" w:hAnsi="Times New Roman" w:cs="Times New Roman"/>
          <w:sz w:val="24"/>
          <w:szCs w:val="24"/>
          <w:lang w:val="en-US"/>
        </w:rPr>
        <w:t>, 64: 303-312.</w:t>
      </w:r>
    </w:p>
    <w:p w:rsidR="00381ABF" w:rsidRPr="00EF60B7" w:rsidRDefault="00381ABF" w:rsidP="008D2DF6">
      <w:pPr>
        <w:tabs>
          <w:tab w:val="left" w:pos="2440"/>
          <w:tab w:val="left" w:pos="5900"/>
        </w:tabs>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ab/>
      </w:r>
      <w:r w:rsidRPr="00EF60B7">
        <w:rPr>
          <w:rFonts w:ascii="Times New Roman" w:hAnsi="Times New Roman" w:cs="Times New Roman"/>
          <w:sz w:val="24"/>
          <w:szCs w:val="24"/>
          <w:lang w:val="en-US"/>
        </w:rPr>
        <w:tab/>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Feldman-Stewart, D., Brundage, M.D., Hayter, C., Groome, P., Curtis Nickel, J., Downes, H., &amp; Mackillop, W.J. (2000). What</w:t>
      </w:r>
      <w:r w:rsidRPr="00EF60B7">
        <w:rPr>
          <w:rFonts w:ascii="Times New Roman" w:hAnsi="Times New Roman" w:cs="Times New Roman"/>
          <w:i/>
          <w:sz w:val="24"/>
          <w:szCs w:val="24"/>
          <w:lang w:val="en-US"/>
        </w:rPr>
        <w:t xml:space="preserve"> </w:t>
      </w:r>
      <w:r w:rsidRPr="00EF60B7">
        <w:rPr>
          <w:rFonts w:ascii="Times New Roman" w:hAnsi="Times New Roman" w:cs="Times New Roman"/>
          <w:sz w:val="24"/>
          <w:szCs w:val="24"/>
          <w:lang w:val="en-US"/>
        </w:rPr>
        <w:t xml:space="preserve">questions do patients with curable prostate cancer want answered? </w:t>
      </w:r>
      <w:r w:rsidRPr="00EF60B7">
        <w:rPr>
          <w:rFonts w:ascii="Times New Roman" w:hAnsi="Times New Roman" w:cs="Times New Roman"/>
          <w:i/>
          <w:sz w:val="24"/>
          <w:szCs w:val="24"/>
          <w:lang w:val="en-US"/>
        </w:rPr>
        <w:t>Medical Decision Making</w:t>
      </w:r>
      <w:r w:rsidRPr="00EF60B7">
        <w:rPr>
          <w:rFonts w:ascii="Times New Roman" w:hAnsi="Times New Roman" w:cs="Times New Roman"/>
          <w:sz w:val="24"/>
          <w:szCs w:val="24"/>
          <w:lang w:val="en-US"/>
        </w:rPr>
        <w:t>, 20: 7–19.</w:t>
      </w:r>
    </w:p>
    <w:p w:rsidR="00381ABF" w:rsidRPr="00EF60B7" w:rsidRDefault="00381ABF" w:rsidP="008D2DF6">
      <w:pPr>
        <w:tabs>
          <w:tab w:val="left" w:pos="5980"/>
        </w:tabs>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lastRenderedPageBreak/>
        <w:tab/>
      </w:r>
    </w:p>
    <w:p w:rsidR="00381ABF" w:rsidRPr="00EF60B7" w:rsidRDefault="00381ABF" w:rsidP="008D2DF6">
      <w:pPr>
        <w:autoSpaceDE w:val="0"/>
        <w:autoSpaceDN w:val="0"/>
        <w:adjustRightInd w:val="0"/>
        <w:spacing w:line="360" w:lineRule="auto"/>
        <w:jc w:val="both"/>
        <w:rPr>
          <w:rFonts w:ascii="Times New Roman" w:hAnsi="Times New Roman" w:cs="Times New Roman"/>
          <w:i/>
          <w:sz w:val="24"/>
          <w:szCs w:val="24"/>
          <w:lang w:val="en-US"/>
        </w:rPr>
      </w:pPr>
      <w:r w:rsidRPr="00EF60B7">
        <w:rPr>
          <w:rFonts w:ascii="Times New Roman" w:hAnsi="Times New Roman" w:cs="Times New Roman"/>
          <w:sz w:val="24"/>
          <w:szCs w:val="24"/>
          <w:lang w:val="en-US"/>
        </w:rPr>
        <w:t xml:space="preserve">Feldman-Stewart, D., Brundage, M.D., Nickel, J.C., &amp; Mackillop, W.J. (2001). The information required by patients with early-stage prostate cancer in choosing their treatment. </w:t>
      </w:r>
      <w:r w:rsidRPr="00EF60B7">
        <w:rPr>
          <w:rFonts w:ascii="Times New Roman" w:hAnsi="Times New Roman" w:cs="Times New Roman"/>
          <w:i/>
          <w:sz w:val="24"/>
          <w:szCs w:val="24"/>
          <w:lang w:val="en-US"/>
        </w:rPr>
        <w:t>British Journal of Urology International</w:t>
      </w:r>
      <w:r w:rsidRPr="00EF60B7">
        <w:rPr>
          <w:rFonts w:ascii="Times New Roman" w:hAnsi="Times New Roman" w:cs="Times New Roman"/>
          <w:sz w:val="24"/>
          <w:szCs w:val="24"/>
          <w:lang w:val="en-US"/>
        </w:rPr>
        <w:t>, 87:218–23.</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Feldman-Stewart,  D., Brundage, M.D., Van Manen, L., &amp; Svenson, O. (2004). Patient-focussed decision-making in early-stage prostate cancer: insights from a cognitively based decision aid. </w:t>
      </w:r>
      <w:r w:rsidRPr="00EF60B7">
        <w:rPr>
          <w:rFonts w:ascii="Times New Roman" w:hAnsi="Times New Roman" w:cs="Times New Roman"/>
          <w:i/>
          <w:sz w:val="24"/>
          <w:szCs w:val="24"/>
          <w:lang w:val="en-US"/>
        </w:rPr>
        <w:t>Health Expect</w:t>
      </w:r>
      <w:r w:rsidRPr="00EF60B7">
        <w:rPr>
          <w:rFonts w:ascii="Times New Roman" w:hAnsi="Times New Roman" w:cs="Times New Roman"/>
          <w:sz w:val="24"/>
          <w:szCs w:val="24"/>
          <w:lang w:val="en-US"/>
        </w:rPr>
        <w:t>, 7: 126–41.</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Fishburn, P. C. (1983). Transitive measurable utility. </w:t>
      </w:r>
      <w:r w:rsidRPr="00EF60B7">
        <w:rPr>
          <w:rFonts w:ascii="Times New Roman" w:hAnsi="Times New Roman" w:cs="Times New Roman"/>
          <w:i/>
          <w:sz w:val="24"/>
          <w:szCs w:val="24"/>
          <w:lang w:val="en-US"/>
        </w:rPr>
        <w:t>Journal of Economic Theory</w:t>
      </w:r>
      <w:r w:rsidRPr="00EF60B7">
        <w:rPr>
          <w:rFonts w:ascii="Times New Roman" w:hAnsi="Times New Roman" w:cs="Times New Roman"/>
          <w:sz w:val="24"/>
          <w:szCs w:val="24"/>
          <w:lang w:val="en-US"/>
        </w:rPr>
        <w:t>, 31: 293-317.</w:t>
      </w:r>
    </w:p>
    <w:p w:rsidR="00381ABF" w:rsidRPr="00EF60B7" w:rsidRDefault="00381ABF" w:rsidP="008D2DF6">
      <w:pPr>
        <w:tabs>
          <w:tab w:val="left" w:pos="6300"/>
        </w:tabs>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ab/>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Friedman, H. S., Hall, J. A., &amp; Hall, J. A., &amp; Harris, M. J. (1985). Type A behavior, non verbal expressive style, and health. </w:t>
      </w:r>
      <w:r w:rsidRPr="00EF60B7">
        <w:rPr>
          <w:rFonts w:ascii="Times New Roman" w:hAnsi="Times New Roman" w:cs="Times New Roman"/>
          <w:i/>
          <w:sz w:val="24"/>
          <w:szCs w:val="24"/>
          <w:lang w:val="en-US"/>
        </w:rPr>
        <w:t>Journal of Personality and Social Psychology</w:t>
      </w:r>
      <w:r w:rsidRPr="00EF60B7">
        <w:rPr>
          <w:rFonts w:ascii="Times New Roman" w:hAnsi="Times New Roman" w:cs="Times New Roman"/>
          <w:sz w:val="24"/>
          <w:szCs w:val="24"/>
          <w:lang w:val="en-US"/>
        </w:rPr>
        <w:t>, 48: 1299-1315.</w:t>
      </w:r>
    </w:p>
    <w:p w:rsidR="00381ABF" w:rsidRPr="00EF60B7" w:rsidRDefault="00381ABF" w:rsidP="008D2DF6">
      <w:pPr>
        <w:tabs>
          <w:tab w:val="left" w:pos="6350"/>
        </w:tabs>
        <w:autoSpaceDE w:val="0"/>
        <w:autoSpaceDN w:val="0"/>
        <w:adjustRightInd w:val="0"/>
        <w:spacing w:line="360" w:lineRule="auto"/>
        <w:ind w:firstLine="720"/>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ab/>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Gasper, K., &amp; Clore, G. L. (1998). The persistent use of negative affect by anxious individuals to estimate risk. </w:t>
      </w:r>
      <w:r w:rsidRPr="00EF60B7">
        <w:rPr>
          <w:rFonts w:ascii="Times New Roman" w:hAnsi="Times New Roman" w:cs="Times New Roman"/>
          <w:i/>
          <w:sz w:val="24"/>
          <w:szCs w:val="24"/>
          <w:lang w:val="en-US"/>
        </w:rPr>
        <w:t>Journal of Personality and Social Psychology</w:t>
      </w:r>
      <w:r w:rsidRPr="00EF60B7">
        <w:rPr>
          <w:rFonts w:ascii="Times New Roman" w:hAnsi="Times New Roman" w:cs="Times New Roman"/>
          <w:sz w:val="24"/>
          <w:szCs w:val="24"/>
          <w:lang w:val="en-US"/>
        </w:rPr>
        <w:t>, 74: 1350-1363.</w:t>
      </w:r>
    </w:p>
    <w:p w:rsidR="00381ABF" w:rsidRPr="00EF60B7" w:rsidRDefault="00381ABF" w:rsidP="008D2DF6">
      <w:pPr>
        <w:tabs>
          <w:tab w:val="left" w:pos="1830"/>
        </w:tabs>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ab/>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Giannini, A., Messeri, A., Aprile, A., Casalone, C., Jankovic, M., Scarani, R., &amp; Viafora, C. (2008). End-of-life decisions in pediatric intensive care. Recommendations of the Italian Society of Neonatal and Pediatric Anesthesia and Intensive Care (SARNePI)</w:t>
      </w:r>
      <w:r w:rsidRPr="00EF60B7">
        <w:rPr>
          <w:rFonts w:ascii="Times New Roman" w:hAnsi="Times New Roman" w:cs="Times New Roman"/>
          <w:i/>
          <w:sz w:val="24"/>
          <w:szCs w:val="24"/>
          <w:lang w:val="en-US"/>
        </w:rPr>
        <w:t>.</w:t>
      </w:r>
      <w:r w:rsidRPr="00EF60B7">
        <w:rPr>
          <w:rFonts w:ascii="Times New Roman" w:hAnsi="Times New Roman" w:cs="Times New Roman"/>
          <w:sz w:val="24"/>
          <w:szCs w:val="24"/>
          <w:lang w:val="en-US"/>
        </w:rPr>
        <w:t xml:space="preserve"> </w:t>
      </w:r>
      <w:r w:rsidRPr="00EF60B7">
        <w:rPr>
          <w:rFonts w:ascii="Times New Roman" w:hAnsi="Times New Roman" w:cs="Times New Roman"/>
          <w:i/>
          <w:sz w:val="24"/>
          <w:szCs w:val="24"/>
          <w:lang w:val="en-US"/>
        </w:rPr>
        <w:t>Pediatric Anesthesia</w:t>
      </w:r>
      <w:r w:rsidRPr="00EF60B7">
        <w:rPr>
          <w:rFonts w:ascii="Times New Roman" w:hAnsi="Times New Roman" w:cs="Times New Roman"/>
          <w:sz w:val="24"/>
          <w:szCs w:val="24"/>
          <w:lang w:val="en-US"/>
        </w:rPr>
        <w:t>, 18: 1089-95.</w:t>
      </w:r>
    </w:p>
    <w:p w:rsidR="00381ABF" w:rsidRPr="00EF60B7" w:rsidRDefault="00381ABF" w:rsidP="008D2DF6">
      <w:pPr>
        <w:tabs>
          <w:tab w:val="left" w:pos="1900"/>
        </w:tabs>
        <w:autoSpaceDE w:val="0"/>
        <w:autoSpaceDN w:val="0"/>
        <w:adjustRightInd w:val="0"/>
        <w:spacing w:line="360" w:lineRule="auto"/>
        <w:ind w:firstLine="720"/>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ab/>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lastRenderedPageBreak/>
        <w:t xml:space="preserve">Greene, M. G., Adelman, R. D., Charon, R., &amp; Hoffman, S. (1986). Ageism in the medical encounter: An exploratory study of the language and behavior of doctors with their old young patients. </w:t>
      </w:r>
      <w:r w:rsidRPr="00EF60B7">
        <w:rPr>
          <w:rFonts w:ascii="Times New Roman" w:hAnsi="Times New Roman" w:cs="Times New Roman"/>
          <w:i/>
          <w:sz w:val="24"/>
          <w:szCs w:val="24"/>
          <w:lang w:val="en-US"/>
        </w:rPr>
        <w:t>Language and Communication</w:t>
      </w:r>
      <w:r w:rsidRPr="00EF60B7">
        <w:rPr>
          <w:rFonts w:ascii="Times New Roman" w:hAnsi="Times New Roman" w:cs="Times New Roman"/>
          <w:sz w:val="24"/>
          <w:szCs w:val="24"/>
          <w:lang w:val="en-US"/>
        </w:rPr>
        <w:t>, 6: 113-124.</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Greene, M. G., Majerovitz, S. D., Adelman, R. D., &amp; Rizzo, C. (1994). The effects of the presence of a third person on the physician-older patient medical interview. </w:t>
      </w:r>
      <w:r w:rsidRPr="00EF60B7">
        <w:rPr>
          <w:rFonts w:ascii="Times New Roman" w:hAnsi="Times New Roman" w:cs="Times New Roman"/>
          <w:i/>
          <w:sz w:val="24"/>
          <w:szCs w:val="24"/>
          <w:lang w:val="en-US"/>
        </w:rPr>
        <w:t>Journal of the American Geriatric Society</w:t>
      </w:r>
      <w:r w:rsidRPr="00EF60B7">
        <w:rPr>
          <w:rFonts w:ascii="Times New Roman" w:hAnsi="Times New Roman" w:cs="Times New Roman"/>
          <w:sz w:val="24"/>
          <w:szCs w:val="24"/>
          <w:lang w:val="en-US"/>
        </w:rPr>
        <w:t>, 42: 413-419.</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Groves, J. E. (1978). Taking care of the hateful patient. </w:t>
      </w:r>
      <w:r w:rsidRPr="00EF60B7">
        <w:rPr>
          <w:rFonts w:ascii="Times New Roman" w:hAnsi="Times New Roman" w:cs="Times New Roman"/>
          <w:i/>
          <w:sz w:val="24"/>
          <w:szCs w:val="24"/>
          <w:lang w:val="en-US"/>
        </w:rPr>
        <w:t>New England Journal of Medicine</w:t>
      </w:r>
      <w:r w:rsidRPr="00EF60B7">
        <w:rPr>
          <w:rFonts w:ascii="Times New Roman" w:hAnsi="Times New Roman" w:cs="Times New Roman"/>
          <w:sz w:val="24"/>
          <w:szCs w:val="24"/>
          <w:lang w:val="en-US"/>
        </w:rPr>
        <w:t>, 298: 883-887.</w:t>
      </w:r>
    </w:p>
    <w:p w:rsidR="00381ABF" w:rsidRPr="00EF60B7" w:rsidRDefault="00381ABF" w:rsidP="008D2DF6">
      <w:pPr>
        <w:tabs>
          <w:tab w:val="left" w:pos="2290"/>
          <w:tab w:val="left" w:pos="2760"/>
        </w:tabs>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ab/>
      </w:r>
      <w:r w:rsidRPr="00EF60B7">
        <w:rPr>
          <w:rFonts w:ascii="Times New Roman" w:hAnsi="Times New Roman" w:cs="Times New Roman"/>
          <w:sz w:val="24"/>
          <w:szCs w:val="24"/>
          <w:lang w:val="en-US"/>
        </w:rPr>
        <w:tab/>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Guadagnoli, E., &amp; Ward, P. (1998). Patient participation in decision-making. </w:t>
      </w:r>
      <w:r w:rsidRPr="00EF60B7">
        <w:rPr>
          <w:rFonts w:ascii="Times New Roman" w:hAnsi="Times New Roman" w:cs="Times New Roman"/>
          <w:i/>
          <w:sz w:val="24"/>
          <w:szCs w:val="24"/>
          <w:lang w:val="en-US"/>
        </w:rPr>
        <w:t>Social Science &amp; Medicine</w:t>
      </w:r>
      <w:r w:rsidRPr="00EF60B7">
        <w:rPr>
          <w:rFonts w:ascii="Times New Roman" w:hAnsi="Times New Roman" w:cs="Times New Roman"/>
          <w:sz w:val="24"/>
          <w:szCs w:val="24"/>
          <w:lang w:val="en-US"/>
        </w:rPr>
        <w:t>, 47: 329-339.</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Guillemin, J.H., &amp; Holmstrom, L.L. (1986). </w:t>
      </w:r>
      <w:r w:rsidRPr="00EF60B7">
        <w:rPr>
          <w:rFonts w:ascii="Times New Roman" w:hAnsi="Times New Roman" w:cs="Times New Roman"/>
          <w:i/>
          <w:sz w:val="24"/>
          <w:szCs w:val="24"/>
          <w:lang w:val="en-US"/>
        </w:rPr>
        <w:t>Mixed Blessings: Intensive Care for Newborns</w:t>
      </w:r>
      <w:r w:rsidRPr="00EF60B7">
        <w:rPr>
          <w:rFonts w:ascii="Times New Roman" w:hAnsi="Times New Roman" w:cs="Times New Roman"/>
          <w:sz w:val="24"/>
          <w:szCs w:val="24"/>
          <w:lang w:val="en-US"/>
        </w:rPr>
        <w:t>. New York: Oxford University Press.</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ab/>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Gwede, C. K., Pow-Sang, J., Seigne, J., Heysek, R., Helal, M., Shade, K., Cantor, A., &amp; Jacobsen, P.B.(2005). Treatment decision-making strategies and influences in patients with localized prostate carcinoma. </w:t>
      </w:r>
      <w:r w:rsidRPr="00EF60B7">
        <w:rPr>
          <w:rFonts w:ascii="Times New Roman" w:hAnsi="Times New Roman" w:cs="Times New Roman"/>
          <w:i/>
          <w:sz w:val="24"/>
          <w:szCs w:val="24"/>
          <w:lang w:val="en-US"/>
        </w:rPr>
        <w:t>Cancer</w:t>
      </w:r>
      <w:r w:rsidRPr="00EF60B7">
        <w:rPr>
          <w:rFonts w:ascii="Times New Roman" w:hAnsi="Times New Roman" w:cs="Times New Roman"/>
          <w:sz w:val="24"/>
          <w:szCs w:val="24"/>
          <w:lang w:val="en-US"/>
        </w:rPr>
        <w:t>, 104: 1381–90.</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Hack, M., and Taylor, G. H. (2000). ‘‘Perinatal Injury in Preterm Infants and Later Neurobehavioral Function’’. </w:t>
      </w:r>
      <w:r w:rsidRPr="00EF60B7">
        <w:rPr>
          <w:rFonts w:ascii="Times New Roman" w:hAnsi="Times New Roman" w:cs="Times New Roman"/>
          <w:i/>
          <w:sz w:val="24"/>
          <w:szCs w:val="24"/>
          <w:lang w:val="en-US"/>
        </w:rPr>
        <w:t>Journal</w:t>
      </w:r>
      <w:r w:rsidRPr="00EF60B7">
        <w:rPr>
          <w:rFonts w:ascii="Times New Roman" w:hAnsi="Times New Roman" w:cs="Times New Roman"/>
          <w:sz w:val="24"/>
          <w:szCs w:val="24"/>
          <w:lang w:val="en-US"/>
        </w:rPr>
        <w:t xml:space="preserve"> </w:t>
      </w:r>
      <w:r w:rsidRPr="00EF60B7">
        <w:rPr>
          <w:rFonts w:ascii="Times New Roman" w:hAnsi="Times New Roman" w:cs="Times New Roman"/>
          <w:i/>
          <w:sz w:val="24"/>
          <w:szCs w:val="24"/>
          <w:lang w:val="en-US"/>
        </w:rPr>
        <w:t>of the American Medical Association</w:t>
      </w:r>
      <w:r w:rsidRPr="00EF60B7">
        <w:rPr>
          <w:rFonts w:ascii="Times New Roman" w:hAnsi="Times New Roman" w:cs="Times New Roman"/>
          <w:sz w:val="24"/>
          <w:szCs w:val="24"/>
          <w:lang w:val="en-US"/>
        </w:rPr>
        <w:t xml:space="preserve"> 2843: 1939–1947.</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Hall, J. A. (1984). </w:t>
      </w:r>
      <w:r w:rsidRPr="00EF60B7">
        <w:rPr>
          <w:rFonts w:ascii="Times New Roman" w:hAnsi="Times New Roman" w:cs="Times New Roman"/>
          <w:i/>
          <w:sz w:val="24"/>
          <w:szCs w:val="24"/>
          <w:lang w:val="en-US"/>
        </w:rPr>
        <w:t>Nonverbal sex differences: Communication accuracy and expressive style</w:t>
      </w:r>
      <w:r w:rsidRPr="00EF60B7">
        <w:rPr>
          <w:rFonts w:ascii="Times New Roman" w:hAnsi="Times New Roman" w:cs="Times New Roman"/>
          <w:sz w:val="24"/>
          <w:szCs w:val="24"/>
          <w:lang w:val="en-US"/>
        </w:rPr>
        <w:t>. Baltimore: Johns Hopkins University Press.</w:t>
      </w:r>
    </w:p>
    <w:p w:rsidR="00381ABF" w:rsidRPr="00EF60B7" w:rsidRDefault="00381ABF" w:rsidP="008D2DF6">
      <w:pPr>
        <w:tabs>
          <w:tab w:val="left" w:pos="1970"/>
        </w:tabs>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lastRenderedPageBreak/>
        <w:tab/>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Hall, J. A., Feldstein, M., Fretwell, M. D., Rowe, J. W., &amp; Epstein, A. M. (1990). Older patients’ health status and satisfaction with medical care in an HMO population. </w:t>
      </w:r>
      <w:r w:rsidRPr="00EF60B7">
        <w:rPr>
          <w:rFonts w:ascii="Times New Roman" w:hAnsi="Times New Roman" w:cs="Times New Roman"/>
          <w:i/>
          <w:sz w:val="24"/>
          <w:szCs w:val="24"/>
          <w:lang w:val="en-US"/>
        </w:rPr>
        <w:t>Medical Care</w:t>
      </w:r>
      <w:r w:rsidRPr="00EF60B7">
        <w:rPr>
          <w:rFonts w:ascii="Times New Roman" w:hAnsi="Times New Roman" w:cs="Times New Roman"/>
          <w:sz w:val="24"/>
          <w:szCs w:val="24"/>
          <w:lang w:val="en-US"/>
        </w:rPr>
        <w:t>, 28: 261-270.</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Hall, J. A., Horgan, T. G., Stein, T. S., &amp; Roter, D. L. (2002). Liking in the physician-patient relationship. </w:t>
      </w:r>
      <w:r w:rsidRPr="00EF60B7">
        <w:rPr>
          <w:rFonts w:ascii="Times New Roman" w:hAnsi="Times New Roman" w:cs="Times New Roman"/>
          <w:i/>
          <w:sz w:val="24"/>
          <w:szCs w:val="24"/>
          <w:lang w:val="en-US"/>
        </w:rPr>
        <w:t>Patient Education and Counseling</w:t>
      </w:r>
      <w:r w:rsidRPr="00EF60B7">
        <w:rPr>
          <w:rFonts w:ascii="Times New Roman" w:hAnsi="Times New Roman" w:cs="Times New Roman"/>
          <w:sz w:val="24"/>
          <w:szCs w:val="24"/>
          <w:lang w:val="en-US"/>
        </w:rPr>
        <w:t>, 48:69-77.</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Hall, J. A., Irish, J. T., Roter, D. L., Ehrlich, C. M., &amp; Miller, L. H. (1994). Satisfaction, gender, and communication in medical visits. </w:t>
      </w:r>
      <w:r w:rsidRPr="00EF60B7">
        <w:rPr>
          <w:rFonts w:ascii="Times New Roman" w:hAnsi="Times New Roman" w:cs="Times New Roman"/>
          <w:i/>
          <w:sz w:val="24"/>
          <w:szCs w:val="24"/>
          <w:lang w:val="en-US"/>
        </w:rPr>
        <w:t>Medical Care</w:t>
      </w:r>
      <w:r w:rsidRPr="00EF60B7">
        <w:rPr>
          <w:rFonts w:ascii="Times New Roman" w:hAnsi="Times New Roman" w:cs="Times New Roman"/>
          <w:sz w:val="24"/>
          <w:szCs w:val="24"/>
          <w:lang w:val="en-US"/>
        </w:rPr>
        <w:t>, 32: 1216-1231.</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Hall, J. A. &amp; Roter, D. L. (1995).</w:t>
      </w:r>
      <w:r w:rsidRPr="00EF60B7">
        <w:rPr>
          <w:rFonts w:ascii="Times New Roman" w:hAnsi="Times New Roman" w:cs="Times New Roman"/>
          <w:i/>
          <w:sz w:val="24"/>
          <w:szCs w:val="24"/>
          <w:lang w:val="en-US"/>
        </w:rPr>
        <w:t xml:space="preserve"> </w:t>
      </w:r>
      <w:r w:rsidRPr="00EF60B7">
        <w:rPr>
          <w:rFonts w:ascii="Times New Roman" w:hAnsi="Times New Roman" w:cs="Times New Roman"/>
          <w:sz w:val="24"/>
          <w:szCs w:val="24"/>
          <w:lang w:val="en-US"/>
        </w:rPr>
        <w:t xml:space="preserve">Patient gender and communication with physicians: Results of a community-based study. </w:t>
      </w:r>
      <w:r w:rsidRPr="00EF60B7">
        <w:rPr>
          <w:rFonts w:ascii="Times New Roman" w:hAnsi="Times New Roman" w:cs="Times New Roman"/>
          <w:i/>
          <w:sz w:val="24"/>
          <w:szCs w:val="24"/>
          <w:lang w:val="en-US"/>
        </w:rPr>
        <w:t>Women’s Health: Research on Gender, Behavior, and Policy</w:t>
      </w:r>
      <w:r w:rsidRPr="00EF60B7">
        <w:rPr>
          <w:rFonts w:ascii="Times New Roman" w:hAnsi="Times New Roman" w:cs="Times New Roman"/>
          <w:sz w:val="24"/>
          <w:szCs w:val="24"/>
          <w:lang w:val="en-US"/>
        </w:rPr>
        <w:t>, 1: 77-95.</w:t>
      </w:r>
    </w:p>
    <w:p w:rsidR="00381ABF" w:rsidRPr="00EF60B7" w:rsidRDefault="00381ABF" w:rsidP="008D2DF6">
      <w:pPr>
        <w:tabs>
          <w:tab w:val="left" w:pos="6990"/>
        </w:tabs>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ab/>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Hall, J. A., Roter, D. L., Milburn, M. A., &amp; Daltroy, L. H. (1996). Patients’ health as a predictor of physician and patient behavior in medical visits: A synthesis of four studies. </w:t>
      </w:r>
      <w:r w:rsidRPr="00EF60B7">
        <w:rPr>
          <w:rFonts w:ascii="Times New Roman" w:hAnsi="Times New Roman" w:cs="Times New Roman"/>
          <w:i/>
          <w:sz w:val="24"/>
          <w:szCs w:val="24"/>
          <w:lang w:val="en-US"/>
        </w:rPr>
        <w:t>Medical</w:t>
      </w:r>
      <w:r w:rsidRPr="00EF60B7">
        <w:rPr>
          <w:rFonts w:ascii="Times New Roman" w:hAnsi="Times New Roman" w:cs="Times New Roman"/>
          <w:sz w:val="24"/>
          <w:szCs w:val="24"/>
          <w:lang w:val="en-US"/>
        </w:rPr>
        <w:t xml:space="preserve"> </w:t>
      </w:r>
      <w:r w:rsidRPr="00EF60B7">
        <w:rPr>
          <w:rFonts w:ascii="Times New Roman" w:hAnsi="Times New Roman" w:cs="Times New Roman"/>
          <w:i/>
          <w:sz w:val="24"/>
          <w:szCs w:val="24"/>
          <w:lang w:val="en-US"/>
        </w:rPr>
        <w:t>Care</w:t>
      </w:r>
      <w:r w:rsidRPr="00EF60B7">
        <w:rPr>
          <w:rFonts w:ascii="Times New Roman" w:hAnsi="Times New Roman" w:cs="Times New Roman"/>
          <w:sz w:val="24"/>
          <w:szCs w:val="24"/>
          <w:lang w:val="en-US"/>
        </w:rPr>
        <w:t>, 34: 1205-1218.</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Hart, C., &amp; Chessor, R. (1998).</w:t>
      </w:r>
      <w:r w:rsidRPr="00EF60B7">
        <w:rPr>
          <w:rFonts w:ascii="Times New Roman" w:hAnsi="Times New Roman" w:cs="Times New Roman"/>
          <w:i/>
          <w:sz w:val="24"/>
          <w:szCs w:val="24"/>
          <w:lang w:val="en-US"/>
        </w:rPr>
        <w:t xml:space="preserve"> </w:t>
      </w:r>
      <w:r w:rsidRPr="00EF60B7">
        <w:rPr>
          <w:rFonts w:ascii="Times New Roman" w:hAnsi="Times New Roman" w:cs="Times New Roman"/>
          <w:sz w:val="24"/>
          <w:szCs w:val="24"/>
          <w:lang w:val="en-US"/>
        </w:rPr>
        <w:t xml:space="preserve">Children as consumers. </w:t>
      </w:r>
      <w:r w:rsidRPr="00EF60B7">
        <w:rPr>
          <w:rFonts w:ascii="Times New Roman" w:hAnsi="Times New Roman" w:cs="Times New Roman"/>
          <w:i/>
          <w:sz w:val="24"/>
          <w:szCs w:val="24"/>
          <w:lang w:val="en-US"/>
        </w:rPr>
        <w:t>British Medical Journal</w:t>
      </w:r>
      <w:r w:rsidRPr="00EF60B7">
        <w:rPr>
          <w:rFonts w:ascii="Times New Roman" w:hAnsi="Times New Roman" w:cs="Times New Roman"/>
          <w:sz w:val="24"/>
          <w:szCs w:val="24"/>
          <w:lang w:val="en-US"/>
        </w:rPr>
        <w:t>, 316: 1600-1603.</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Haug, M. R. (Ed.) (1981). Elderly patients and their doctors. </w:t>
      </w:r>
      <w:r w:rsidRPr="00EF60B7">
        <w:rPr>
          <w:rFonts w:ascii="Times New Roman" w:hAnsi="Times New Roman" w:cs="Times New Roman"/>
          <w:i/>
          <w:sz w:val="24"/>
          <w:szCs w:val="24"/>
          <w:lang w:val="en-US"/>
        </w:rPr>
        <w:t>New York: Springer Publishing Company</w:t>
      </w:r>
      <w:r w:rsidRPr="00EF60B7">
        <w:rPr>
          <w:rFonts w:ascii="Times New Roman" w:hAnsi="Times New Roman" w:cs="Times New Roman"/>
          <w:sz w:val="24"/>
          <w:szCs w:val="24"/>
          <w:lang w:val="en-US"/>
        </w:rPr>
        <w:t>.</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lastRenderedPageBreak/>
        <w:t xml:space="preserve">Hawley, S. T., Lantz, P. M., Janz, N. K., Salem, B., Morrow, M., Schwartz, K., Liu, L., Katz, S. J. (2007). Factors associated with patient involvement in surgical treatment decision making for breast cancer. </w:t>
      </w:r>
      <w:r w:rsidRPr="00EF60B7">
        <w:rPr>
          <w:rFonts w:ascii="Times New Roman" w:hAnsi="Times New Roman" w:cs="Times New Roman"/>
          <w:i/>
          <w:sz w:val="24"/>
          <w:szCs w:val="24"/>
          <w:lang w:val="en-US"/>
        </w:rPr>
        <w:t>Patient Education and Counseling</w:t>
      </w:r>
      <w:r w:rsidRPr="00EF60B7">
        <w:rPr>
          <w:rFonts w:ascii="Times New Roman" w:hAnsi="Times New Roman" w:cs="Times New Roman"/>
          <w:sz w:val="24"/>
          <w:szCs w:val="24"/>
          <w:lang w:val="en-US"/>
        </w:rPr>
        <w:t>, 65: 387-395.</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spacing w:line="360" w:lineRule="auto"/>
        <w:ind w:left="360" w:hanging="360"/>
        <w:jc w:val="both"/>
        <w:rPr>
          <w:rFonts w:ascii="Times New Roman" w:eastAsia="SimSun" w:hAnsi="Times New Roman" w:cs="Times New Roman"/>
          <w:color w:val="000000"/>
          <w:sz w:val="24"/>
          <w:szCs w:val="24"/>
          <w:lang w:val="en-US"/>
        </w:rPr>
      </w:pPr>
      <w:r w:rsidRPr="00EF60B7">
        <w:rPr>
          <w:rFonts w:ascii="Times New Roman" w:eastAsia="SimSun" w:hAnsi="Times New Roman" w:cs="Times New Roman"/>
          <w:color w:val="000000"/>
          <w:sz w:val="24"/>
          <w:szCs w:val="24"/>
          <w:lang w:val="en-US"/>
        </w:rPr>
        <w:t xml:space="preserve">Haynes, R.B.(1979). </w:t>
      </w:r>
      <w:r w:rsidRPr="00EF60B7">
        <w:rPr>
          <w:rFonts w:ascii="Times New Roman" w:eastAsia="SimSun" w:hAnsi="Times New Roman" w:cs="Times New Roman"/>
          <w:i/>
          <w:color w:val="000000"/>
          <w:sz w:val="24"/>
          <w:szCs w:val="24"/>
          <w:lang w:val="en-US"/>
        </w:rPr>
        <w:t>“Compliance in health care</w:t>
      </w:r>
      <w:r w:rsidRPr="00EF60B7">
        <w:rPr>
          <w:rFonts w:ascii="Times New Roman" w:eastAsia="SimSun" w:hAnsi="Times New Roman" w:cs="Times New Roman"/>
          <w:color w:val="000000"/>
          <w:sz w:val="24"/>
          <w:szCs w:val="24"/>
          <w:lang w:val="en-US"/>
        </w:rPr>
        <w:t xml:space="preserve">”, Baltimore, University Press, 49-62. </w:t>
      </w:r>
    </w:p>
    <w:p w:rsidR="00381ABF" w:rsidRPr="00EF60B7" w:rsidRDefault="00381ABF" w:rsidP="008D2DF6">
      <w:pPr>
        <w:spacing w:line="360" w:lineRule="auto"/>
        <w:ind w:left="360" w:hanging="360"/>
        <w:jc w:val="both"/>
        <w:rPr>
          <w:rFonts w:ascii="Times New Roman" w:eastAsia="SimSun" w:hAnsi="Times New Roman" w:cs="Times New Roman"/>
          <w:color w:val="000000"/>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i/>
          <w:sz w:val="24"/>
          <w:szCs w:val="24"/>
          <w:lang w:val="en-US"/>
        </w:rPr>
      </w:pPr>
      <w:r w:rsidRPr="00EF60B7">
        <w:rPr>
          <w:rFonts w:ascii="Times New Roman" w:hAnsi="Times New Roman" w:cs="Times New Roman"/>
          <w:sz w:val="24"/>
          <w:szCs w:val="24"/>
          <w:lang w:val="en-US"/>
        </w:rPr>
        <w:t xml:space="preserve">Heimer, C.A., &amp; Staffen, L. R. (1998). </w:t>
      </w:r>
      <w:r w:rsidRPr="00EF60B7">
        <w:rPr>
          <w:rFonts w:ascii="Times New Roman" w:hAnsi="Times New Roman" w:cs="Times New Roman"/>
          <w:i/>
          <w:sz w:val="24"/>
          <w:szCs w:val="24"/>
          <w:lang w:val="en-US"/>
        </w:rPr>
        <w:t>For the Sake of Children: The Social Organization of Responsibility in the Hospital and in the Home</w:t>
      </w:r>
      <w:r w:rsidRPr="00EF60B7">
        <w:rPr>
          <w:rFonts w:ascii="Times New Roman" w:hAnsi="Times New Roman" w:cs="Times New Roman"/>
          <w:sz w:val="24"/>
          <w:szCs w:val="24"/>
          <w:lang w:val="en-US"/>
        </w:rPr>
        <w:t>. Chicago: University of Chicago</w:t>
      </w:r>
      <w:r w:rsidRPr="00EF60B7">
        <w:rPr>
          <w:rFonts w:ascii="Times New Roman" w:hAnsi="Times New Roman" w:cs="Times New Roman"/>
          <w:i/>
          <w:sz w:val="24"/>
          <w:szCs w:val="24"/>
          <w:lang w:val="en-US"/>
        </w:rPr>
        <w:t xml:space="preserve"> </w:t>
      </w:r>
      <w:r w:rsidRPr="00EF60B7">
        <w:rPr>
          <w:rFonts w:ascii="Times New Roman" w:hAnsi="Times New Roman" w:cs="Times New Roman"/>
          <w:sz w:val="24"/>
          <w:szCs w:val="24"/>
          <w:lang w:val="en-US"/>
        </w:rPr>
        <w:t>Press.</w:t>
      </w:r>
      <w:r w:rsidRPr="00EF60B7">
        <w:rPr>
          <w:rFonts w:ascii="Times New Roman" w:hAnsi="Times New Roman" w:cs="Times New Roman"/>
          <w:sz w:val="24"/>
          <w:szCs w:val="24"/>
          <w:lang w:val="en-US"/>
        </w:rPr>
        <w:tab/>
      </w:r>
      <w:r w:rsidRPr="00EF60B7">
        <w:rPr>
          <w:rFonts w:ascii="Times New Roman" w:hAnsi="Times New Roman" w:cs="Times New Roman"/>
          <w:sz w:val="24"/>
          <w:szCs w:val="24"/>
          <w:lang w:val="en-US"/>
        </w:rPr>
        <w:tab/>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Henrikson, N. B., Ellis, W. J., &amp; Berry, D. L. (2009). “It’s not like I can change my mind later”: Reversibility and decision timing in prostate cancer treatment decision-making. </w:t>
      </w:r>
      <w:r w:rsidRPr="00EF60B7">
        <w:rPr>
          <w:rFonts w:ascii="Times New Roman" w:hAnsi="Times New Roman" w:cs="Times New Roman"/>
          <w:i/>
          <w:sz w:val="24"/>
          <w:szCs w:val="24"/>
          <w:lang w:val="en-US"/>
        </w:rPr>
        <w:t>Patient Education and Counseling</w:t>
      </w:r>
      <w:r w:rsidRPr="00EF60B7">
        <w:rPr>
          <w:rFonts w:ascii="Times New Roman" w:hAnsi="Times New Roman" w:cs="Times New Roman"/>
          <w:sz w:val="24"/>
          <w:szCs w:val="24"/>
          <w:lang w:val="en-US"/>
        </w:rPr>
        <w:t>, 77: 302-307.</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spacing w:line="360" w:lineRule="auto"/>
        <w:jc w:val="both"/>
        <w:rPr>
          <w:rFonts w:ascii="Times New Roman" w:eastAsia="SimSun" w:hAnsi="Times New Roman" w:cs="Times New Roman"/>
          <w:sz w:val="24"/>
          <w:szCs w:val="24"/>
          <w:lang w:val="en-GB"/>
        </w:rPr>
      </w:pPr>
      <w:r w:rsidRPr="00EF60B7">
        <w:rPr>
          <w:rFonts w:ascii="Times New Roman" w:eastAsia="SimSun" w:hAnsi="Times New Roman" w:cs="Times New Roman"/>
          <w:sz w:val="24"/>
          <w:szCs w:val="24"/>
          <w:lang w:val="en-US"/>
        </w:rPr>
        <w:t xml:space="preserve">Hinckley J., Craig, H., Anderson L. (1990 ). </w:t>
      </w:r>
      <w:r w:rsidRPr="00EF60B7">
        <w:rPr>
          <w:rFonts w:ascii="Times New Roman" w:eastAsia="SimSun" w:hAnsi="Times New Roman" w:cs="Times New Roman"/>
          <w:i/>
          <w:sz w:val="24"/>
          <w:szCs w:val="24"/>
          <w:lang w:val="en-US"/>
        </w:rPr>
        <w:t>Communication Characteristics of Provider-Patient Information Exchanges</w:t>
      </w:r>
      <w:r w:rsidRPr="00EF60B7">
        <w:rPr>
          <w:rFonts w:ascii="Times New Roman" w:eastAsia="SimSun" w:hAnsi="Times New Roman" w:cs="Times New Roman"/>
          <w:sz w:val="24"/>
          <w:szCs w:val="24"/>
          <w:lang w:val="en-US"/>
        </w:rPr>
        <w:t>,</w:t>
      </w:r>
      <w:r w:rsidRPr="00EF60B7">
        <w:rPr>
          <w:rFonts w:ascii="Times New Roman" w:eastAsia="SimSun" w:hAnsi="Times New Roman" w:cs="Times New Roman"/>
          <w:i/>
          <w:sz w:val="24"/>
          <w:szCs w:val="24"/>
          <w:lang w:val="en-US"/>
        </w:rPr>
        <w:t xml:space="preserve"> </w:t>
      </w:r>
      <w:r w:rsidRPr="00EF60B7">
        <w:rPr>
          <w:rFonts w:ascii="Times New Roman" w:eastAsia="SimSun" w:hAnsi="Times New Roman" w:cs="Times New Roman"/>
          <w:sz w:val="24"/>
          <w:szCs w:val="24"/>
          <w:lang w:val="en-US"/>
        </w:rPr>
        <w:t xml:space="preserve">in H. Giles, P. Robinson (eds.). </w:t>
      </w:r>
      <w:r w:rsidRPr="00EF60B7">
        <w:rPr>
          <w:rFonts w:ascii="Times New Roman" w:eastAsia="SimSun" w:hAnsi="Times New Roman" w:cs="Times New Roman"/>
          <w:sz w:val="24"/>
          <w:szCs w:val="24"/>
          <w:lang w:val="en-GB"/>
        </w:rPr>
        <w:t xml:space="preserve">Handbook of Language and </w:t>
      </w:r>
      <w:r w:rsidRPr="00EF60B7">
        <w:rPr>
          <w:rFonts w:ascii="Times New Roman" w:eastAsia="SimSun" w:hAnsi="Times New Roman" w:cs="Times New Roman"/>
          <w:sz w:val="24"/>
          <w:szCs w:val="24"/>
          <w:lang w:val="en-GB"/>
        </w:rPr>
        <w:tab/>
        <w:t>Social Psychology.  Wiley, New York.</w:t>
      </w:r>
    </w:p>
    <w:p w:rsidR="00381ABF" w:rsidRPr="00EF60B7" w:rsidRDefault="00381ABF" w:rsidP="008D2DF6">
      <w:pPr>
        <w:spacing w:line="360" w:lineRule="auto"/>
        <w:jc w:val="both"/>
        <w:rPr>
          <w:rFonts w:ascii="Times New Roman" w:eastAsia="SimSun" w:hAnsi="Times New Roman" w:cs="Times New Roman"/>
          <w:sz w:val="24"/>
          <w:szCs w:val="24"/>
          <w:lang w:val="en-GB"/>
        </w:rPr>
      </w:pPr>
    </w:p>
    <w:p w:rsidR="00381ABF" w:rsidRPr="00EF60B7" w:rsidRDefault="00381ABF" w:rsidP="008D2DF6">
      <w:pPr>
        <w:spacing w:line="360" w:lineRule="auto"/>
        <w:jc w:val="both"/>
        <w:rPr>
          <w:rFonts w:ascii="Times New Roman" w:eastAsia="SimSun" w:hAnsi="Times New Roman" w:cs="Times New Roman"/>
          <w:sz w:val="24"/>
          <w:szCs w:val="24"/>
          <w:lang w:val="en-GB"/>
        </w:rPr>
      </w:pPr>
      <w:r w:rsidRPr="00EF60B7">
        <w:rPr>
          <w:rFonts w:ascii="Times New Roman" w:eastAsia="SimSun" w:hAnsi="Times New Roman" w:cs="Times New Roman"/>
          <w:sz w:val="24"/>
          <w:szCs w:val="24"/>
          <w:lang w:val="en-GB"/>
        </w:rPr>
        <w:t>Hogarth, R. M., &amp; Makridakis, S. (1981). Forecasting and planning: An evaluation</w:t>
      </w:r>
      <w:r w:rsidRPr="00EF60B7">
        <w:rPr>
          <w:rFonts w:ascii="Times New Roman" w:eastAsia="SimSun" w:hAnsi="Times New Roman" w:cs="Times New Roman"/>
          <w:i/>
          <w:sz w:val="24"/>
          <w:szCs w:val="24"/>
          <w:lang w:val="en-GB"/>
        </w:rPr>
        <w:t>. Management Science</w:t>
      </w:r>
      <w:r w:rsidRPr="00EF60B7">
        <w:rPr>
          <w:rFonts w:ascii="Times New Roman" w:eastAsia="SimSun" w:hAnsi="Times New Roman" w:cs="Times New Roman"/>
          <w:sz w:val="24"/>
          <w:szCs w:val="24"/>
          <w:lang w:val="en-GB"/>
        </w:rPr>
        <w:t>, 27: 115-138.</w:t>
      </w:r>
    </w:p>
    <w:p w:rsidR="00381ABF" w:rsidRPr="00EF60B7" w:rsidRDefault="00381ABF" w:rsidP="008D2DF6">
      <w:pPr>
        <w:spacing w:line="360" w:lineRule="auto"/>
        <w:jc w:val="both"/>
        <w:rPr>
          <w:rFonts w:ascii="Times New Roman" w:eastAsia="SimSun" w:hAnsi="Times New Roman" w:cs="Times New Roman"/>
          <w:sz w:val="24"/>
          <w:szCs w:val="24"/>
          <w:lang w:val="en-GB"/>
        </w:rPr>
      </w:pPr>
    </w:p>
    <w:p w:rsidR="00381ABF" w:rsidRPr="00EF60B7" w:rsidRDefault="00381ABF" w:rsidP="008D2DF6">
      <w:pPr>
        <w:spacing w:line="360" w:lineRule="auto"/>
        <w:jc w:val="both"/>
        <w:rPr>
          <w:rFonts w:ascii="Times New Roman" w:eastAsia="SimSun" w:hAnsi="Times New Roman" w:cs="Times New Roman"/>
          <w:sz w:val="24"/>
          <w:szCs w:val="24"/>
          <w:lang w:val="en-GB"/>
        </w:rPr>
      </w:pPr>
      <w:r w:rsidRPr="00EF60B7">
        <w:rPr>
          <w:rFonts w:ascii="Times New Roman" w:eastAsia="SimSun" w:hAnsi="Times New Roman" w:cs="Times New Roman"/>
          <w:sz w:val="24"/>
          <w:szCs w:val="24"/>
          <w:lang w:val="en-GB"/>
        </w:rPr>
        <w:t xml:space="preserve">Holtzman, S. (1986). Intelligence in decision support, in Brehmer et al. (a cura di), </w:t>
      </w:r>
      <w:r w:rsidRPr="00EF60B7">
        <w:rPr>
          <w:rFonts w:ascii="Times New Roman" w:eastAsia="SimSun" w:hAnsi="Times New Roman" w:cs="Times New Roman"/>
          <w:i/>
          <w:sz w:val="24"/>
          <w:szCs w:val="24"/>
          <w:lang w:val="en-GB"/>
        </w:rPr>
        <w:t>New directions in research on decision making</w:t>
      </w:r>
      <w:r w:rsidRPr="00EF60B7">
        <w:rPr>
          <w:rFonts w:ascii="Times New Roman" w:eastAsia="SimSun" w:hAnsi="Times New Roman" w:cs="Times New Roman"/>
          <w:sz w:val="24"/>
          <w:szCs w:val="24"/>
          <w:lang w:val="en-GB"/>
        </w:rPr>
        <w:t>, Amstredam, North-Holland.</w:t>
      </w:r>
    </w:p>
    <w:p w:rsidR="00381ABF" w:rsidRPr="00EF60B7" w:rsidRDefault="00381ABF" w:rsidP="008D2DF6">
      <w:pPr>
        <w:spacing w:line="360" w:lineRule="auto"/>
        <w:jc w:val="both"/>
        <w:rPr>
          <w:rFonts w:ascii="Times New Roman" w:eastAsia="SimSun" w:hAnsi="Times New Roman" w:cs="Times New Roman"/>
          <w:sz w:val="24"/>
          <w:szCs w:val="24"/>
          <w:lang w:val="en-GB"/>
        </w:rPr>
      </w:pPr>
    </w:p>
    <w:p w:rsidR="00381ABF" w:rsidRPr="00EF60B7" w:rsidRDefault="00381ABF" w:rsidP="008D2DF6">
      <w:pPr>
        <w:spacing w:line="360" w:lineRule="auto"/>
        <w:jc w:val="both"/>
        <w:rPr>
          <w:rFonts w:ascii="Times New Roman" w:eastAsia="SimSun" w:hAnsi="Times New Roman" w:cs="Times New Roman"/>
          <w:sz w:val="24"/>
          <w:szCs w:val="24"/>
          <w:lang w:val="en-GB"/>
        </w:rPr>
      </w:pPr>
      <w:r w:rsidRPr="00EF60B7">
        <w:rPr>
          <w:rFonts w:ascii="Times New Roman" w:eastAsia="SimSun" w:hAnsi="Times New Roman" w:cs="Times New Roman"/>
          <w:sz w:val="24"/>
          <w:szCs w:val="24"/>
          <w:lang w:val="en-GB"/>
        </w:rPr>
        <w:lastRenderedPageBreak/>
        <w:t xml:space="preserve">Holztheimer, L., Mohay, H., &amp; Masters, I. B. (1998). Educating young children about asthma: comparing the effectiveness of developmentally appropriate asthma education video tape and picture book. </w:t>
      </w:r>
      <w:r w:rsidRPr="00EF60B7">
        <w:rPr>
          <w:rFonts w:ascii="Times New Roman" w:eastAsia="SimSun" w:hAnsi="Times New Roman" w:cs="Times New Roman"/>
          <w:i/>
          <w:sz w:val="24"/>
          <w:szCs w:val="24"/>
          <w:lang w:val="en-GB"/>
        </w:rPr>
        <w:t>Child: Care, Health and Development</w:t>
      </w:r>
      <w:r w:rsidRPr="00EF60B7">
        <w:rPr>
          <w:rFonts w:ascii="Times New Roman" w:eastAsia="SimSun" w:hAnsi="Times New Roman" w:cs="Times New Roman"/>
          <w:sz w:val="24"/>
          <w:szCs w:val="24"/>
          <w:lang w:val="en-GB"/>
        </w:rPr>
        <w:t>, 24: 85-99.</w:t>
      </w:r>
    </w:p>
    <w:p w:rsidR="00381ABF" w:rsidRPr="00EF60B7" w:rsidRDefault="00381ABF" w:rsidP="008D2DF6">
      <w:pPr>
        <w:spacing w:line="360" w:lineRule="auto"/>
        <w:jc w:val="both"/>
        <w:rPr>
          <w:rFonts w:ascii="Times New Roman" w:eastAsia="SimSun" w:hAnsi="Times New Roman" w:cs="Times New Roman"/>
          <w:sz w:val="24"/>
          <w:szCs w:val="24"/>
          <w:lang w:val="en-GB"/>
        </w:rPr>
      </w:pPr>
    </w:p>
    <w:p w:rsidR="00381ABF" w:rsidRPr="00EF60B7" w:rsidRDefault="00381ABF" w:rsidP="008D2DF6">
      <w:pPr>
        <w:spacing w:line="360" w:lineRule="auto"/>
        <w:jc w:val="both"/>
        <w:rPr>
          <w:rFonts w:ascii="Times New Roman" w:eastAsia="SimSun" w:hAnsi="Times New Roman" w:cs="Times New Roman"/>
          <w:sz w:val="24"/>
          <w:szCs w:val="24"/>
          <w:lang w:val="en-GB"/>
        </w:rPr>
      </w:pPr>
      <w:r w:rsidRPr="00EF60B7">
        <w:rPr>
          <w:rFonts w:ascii="Times New Roman" w:eastAsia="SimSun" w:hAnsi="Times New Roman" w:cs="Times New Roman"/>
          <w:sz w:val="24"/>
          <w:szCs w:val="24"/>
          <w:lang w:val="en-GB"/>
        </w:rPr>
        <w:t xml:space="preserve">Hooper, E. M., Comstock, L. M., Goodwin, J. M., &amp; Goodwin, J. S. (1982). Patient characteristics that influence physician behaviour. </w:t>
      </w:r>
      <w:r w:rsidRPr="00EF60B7">
        <w:rPr>
          <w:rFonts w:ascii="Times New Roman" w:eastAsia="SimSun" w:hAnsi="Times New Roman" w:cs="Times New Roman"/>
          <w:i/>
          <w:sz w:val="24"/>
          <w:szCs w:val="24"/>
          <w:lang w:val="en-GB"/>
        </w:rPr>
        <w:t>Medical Care</w:t>
      </w:r>
      <w:r w:rsidRPr="00EF60B7">
        <w:rPr>
          <w:rFonts w:ascii="Times New Roman" w:eastAsia="SimSun" w:hAnsi="Times New Roman" w:cs="Times New Roman"/>
          <w:sz w:val="24"/>
          <w:szCs w:val="24"/>
          <w:lang w:val="en-GB"/>
        </w:rPr>
        <w:t>, 20: 630-638.</w:t>
      </w:r>
    </w:p>
    <w:p w:rsidR="00381ABF" w:rsidRPr="00EF60B7" w:rsidRDefault="00381ABF" w:rsidP="008D2DF6">
      <w:pPr>
        <w:spacing w:line="360" w:lineRule="auto"/>
        <w:jc w:val="both"/>
        <w:rPr>
          <w:rFonts w:ascii="Times New Roman" w:eastAsia="SimSun" w:hAnsi="Times New Roman" w:cs="Times New Roman"/>
          <w:sz w:val="24"/>
          <w:szCs w:val="24"/>
          <w:lang w:val="en-GB"/>
        </w:rPr>
      </w:pPr>
    </w:p>
    <w:p w:rsidR="00381ABF" w:rsidRPr="00EF60B7" w:rsidRDefault="00381ABF" w:rsidP="008D2DF6">
      <w:pPr>
        <w:spacing w:line="360" w:lineRule="auto"/>
        <w:jc w:val="both"/>
        <w:rPr>
          <w:rFonts w:ascii="Times New Roman" w:eastAsia="SimSun" w:hAnsi="Times New Roman" w:cs="Times New Roman"/>
          <w:sz w:val="24"/>
          <w:szCs w:val="24"/>
          <w:lang w:val="en-GB"/>
        </w:rPr>
      </w:pPr>
      <w:r w:rsidRPr="00EF60B7">
        <w:rPr>
          <w:rFonts w:ascii="Times New Roman" w:eastAsia="SimSun" w:hAnsi="Times New Roman" w:cs="Times New Roman"/>
          <w:sz w:val="24"/>
          <w:szCs w:val="24"/>
          <w:lang w:val="en-GB"/>
        </w:rPr>
        <w:t xml:space="preserve">Hosli, E. J. (1998). </w:t>
      </w:r>
      <w:r w:rsidRPr="00EF60B7">
        <w:rPr>
          <w:rFonts w:ascii="Times New Roman" w:eastAsia="SimSun" w:hAnsi="Times New Roman" w:cs="Times New Roman"/>
          <w:i/>
          <w:sz w:val="24"/>
          <w:szCs w:val="24"/>
          <w:lang w:val="en-GB"/>
        </w:rPr>
        <w:t xml:space="preserve">Ziektebegripbij kinderen. De ontwikkeling van het denken over ziekte (Children’s thinking about illness) </w:t>
      </w:r>
      <w:r w:rsidRPr="00EF60B7">
        <w:rPr>
          <w:rFonts w:ascii="Times New Roman" w:eastAsia="SimSun" w:hAnsi="Times New Roman" w:cs="Times New Roman"/>
          <w:sz w:val="24"/>
          <w:szCs w:val="24"/>
          <w:lang w:val="en-GB"/>
        </w:rPr>
        <w:t>[Dissertation]. Amsterdam: Thesis Publishers.</w:t>
      </w:r>
    </w:p>
    <w:p w:rsidR="00381ABF" w:rsidRPr="00EF60B7" w:rsidRDefault="00381ABF" w:rsidP="008D2DF6">
      <w:pPr>
        <w:spacing w:line="360" w:lineRule="auto"/>
        <w:jc w:val="both"/>
        <w:rPr>
          <w:rFonts w:ascii="Times New Roman" w:eastAsia="SimSun" w:hAnsi="Times New Roman" w:cs="Times New Roman"/>
          <w:sz w:val="24"/>
          <w:szCs w:val="24"/>
          <w:lang w:val="en-GB"/>
        </w:rPr>
      </w:pPr>
    </w:p>
    <w:p w:rsidR="00381ABF" w:rsidRPr="00EF60B7" w:rsidRDefault="00381ABF" w:rsidP="008D2DF6">
      <w:pPr>
        <w:spacing w:line="360" w:lineRule="auto"/>
        <w:jc w:val="both"/>
        <w:rPr>
          <w:rFonts w:ascii="Times New Roman" w:eastAsia="SimSun" w:hAnsi="Times New Roman" w:cs="Times New Roman"/>
          <w:sz w:val="24"/>
          <w:szCs w:val="24"/>
          <w:lang w:val="en-GB"/>
        </w:rPr>
      </w:pPr>
      <w:r w:rsidRPr="00EF60B7">
        <w:rPr>
          <w:rFonts w:ascii="Times New Roman" w:eastAsia="SimSun" w:hAnsi="Times New Roman" w:cs="Times New Roman"/>
          <w:sz w:val="24"/>
          <w:szCs w:val="24"/>
          <w:lang w:val="en-GB"/>
        </w:rPr>
        <w:t xml:space="preserve">Janis, I. R., &amp; Mann, L. (1977). </w:t>
      </w:r>
      <w:r w:rsidRPr="00EF60B7">
        <w:rPr>
          <w:rFonts w:ascii="Times New Roman" w:eastAsia="SimSun" w:hAnsi="Times New Roman" w:cs="Times New Roman"/>
          <w:i/>
          <w:sz w:val="24"/>
          <w:szCs w:val="24"/>
          <w:lang w:val="en-GB"/>
        </w:rPr>
        <w:t>Decision making</w:t>
      </w:r>
      <w:r w:rsidRPr="00EF60B7">
        <w:rPr>
          <w:rFonts w:ascii="Times New Roman" w:eastAsia="SimSun" w:hAnsi="Times New Roman" w:cs="Times New Roman"/>
          <w:sz w:val="24"/>
          <w:szCs w:val="24"/>
          <w:lang w:val="en-GB"/>
        </w:rPr>
        <w:t>. New York, Free Press.</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Jecker, N. S. (1990). The role of intimate others in medical decision making. </w:t>
      </w:r>
      <w:r w:rsidRPr="00EF60B7">
        <w:rPr>
          <w:rFonts w:ascii="Times New Roman" w:hAnsi="Times New Roman" w:cs="Times New Roman"/>
          <w:i/>
          <w:sz w:val="24"/>
          <w:szCs w:val="24"/>
          <w:lang w:val="en-US"/>
        </w:rPr>
        <w:t>The Gerontologist</w:t>
      </w:r>
      <w:r w:rsidRPr="00EF60B7">
        <w:rPr>
          <w:rFonts w:ascii="Times New Roman" w:hAnsi="Times New Roman" w:cs="Times New Roman"/>
          <w:sz w:val="24"/>
          <w:szCs w:val="24"/>
          <w:lang w:val="en-US"/>
        </w:rPr>
        <w:t>, 30(1), 65–71.</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spacing w:line="360" w:lineRule="auto"/>
        <w:jc w:val="both"/>
        <w:rPr>
          <w:rFonts w:ascii="Times New Roman" w:eastAsia="SimSun" w:hAnsi="Times New Roman" w:cs="Times New Roman"/>
          <w:sz w:val="24"/>
          <w:szCs w:val="24"/>
          <w:lang w:val="en-GB"/>
        </w:rPr>
      </w:pPr>
      <w:r w:rsidRPr="00EF60B7">
        <w:rPr>
          <w:rFonts w:ascii="Times New Roman" w:eastAsia="SimSun" w:hAnsi="Times New Roman" w:cs="Times New Roman"/>
          <w:sz w:val="24"/>
          <w:szCs w:val="24"/>
          <w:lang w:val="en-GB"/>
        </w:rPr>
        <w:t xml:space="preserve">Kahneman, D., &amp; Tversky, A. (1972). Subjiective probability: A judgment of representativeness. </w:t>
      </w:r>
      <w:r w:rsidRPr="00EF60B7">
        <w:rPr>
          <w:rFonts w:ascii="Times New Roman" w:eastAsia="SimSun" w:hAnsi="Times New Roman" w:cs="Times New Roman"/>
          <w:i/>
          <w:sz w:val="24"/>
          <w:szCs w:val="24"/>
          <w:lang w:val="en-GB"/>
        </w:rPr>
        <w:t>Cognitive Psychology</w:t>
      </w:r>
      <w:r w:rsidRPr="00EF60B7">
        <w:rPr>
          <w:rFonts w:ascii="Times New Roman" w:eastAsia="SimSun" w:hAnsi="Times New Roman" w:cs="Times New Roman"/>
          <w:sz w:val="24"/>
          <w:szCs w:val="24"/>
          <w:lang w:val="en-GB"/>
        </w:rPr>
        <w:t>, 3: 430-454.</w:t>
      </w:r>
    </w:p>
    <w:p w:rsidR="00381ABF" w:rsidRPr="00EF60B7" w:rsidRDefault="00381ABF" w:rsidP="008D2DF6">
      <w:pPr>
        <w:spacing w:line="360" w:lineRule="auto"/>
        <w:jc w:val="both"/>
        <w:rPr>
          <w:rFonts w:ascii="Times New Roman" w:eastAsia="SimSun" w:hAnsi="Times New Roman" w:cs="Times New Roman"/>
          <w:sz w:val="24"/>
          <w:szCs w:val="24"/>
          <w:lang w:val="en-GB"/>
        </w:rPr>
      </w:pPr>
    </w:p>
    <w:p w:rsidR="00381ABF" w:rsidRPr="00EF60B7" w:rsidRDefault="00381ABF" w:rsidP="008D2DF6">
      <w:pPr>
        <w:spacing w:line="360" w:lineRule="auto"/>
        <w:jc w:val="both"/>
        <w:rPr>
          <w:rFonts w:ascii="Times New Roman" w:eastAsia="SimSun" w:hAnsi="Times New Roman" w:cs="Times New Roman"/>
          <w:sz w:val="24"/>
          <w:szCs w:val="24"/>
          <w:lang w:val="en-GB"/>
        </w:rPr>
      </w:pPr>
      <w:r w:rsidRPr="00EF60B7">
        <w:rPr>
          <w:rFonts w:ascii="Times New Roman" w:eastAsia="SimSun" w:hAnsi="Times New Roman" w:cs="Times New Roman"/>
          <w:sz w:val="24"/>
          <w:szCs w:val="24"/>
          <w:lang w:val="en-GB"/>
        </w:rPr>
        <w:t xml:space="preserve">Kahneman, D., &amp; Tversky, A. (1979). Prospect Theory: An analysis of decision under risk. </w:t>
      </w:r>
      <w:r w:rsidRPr="00EF60B7">
        <w:rPr>
          <w:rFonts w:ascii="Times New Roman" w:eastAsia="SimSun" w:hAnsi="Times New Roman" w:cs="Times New Roman"/>
          <w:i/>
          <w:sz w:val="24"/>
          <w:szCs w:val="24"/>
          <w:lang w:val="en-GB"/>
        </w:rPr>
        <w:t>Econometrica</w:t>
      </w:r>
      <w:r w:rsidRPr="00EF60B7">
        <w:rPr>
          <w:rFonts w:ascii="Times New Roman" w:eastAsia="SimSun" w:hAnsi="Times New Roman" w:cs="Times New Roman"/>
          <w:sz w:val="24"/>
          <w:szCs w:val="24"/>
          <w:lang w:val="en-GB"/>
        </w:rPr>
        <w:t>, 47: 111-132.</w:t>
      </w:r>
    </w:p>
    <w:p w:rsidR="00381ABF" w:rsidRPr="00EF60B7" w:rsidRDefault="00381ABF" w:rsidP="008D2DF6">
      <w:pPr>
        <w:tabs>
          <w:tab w:val="left" w:pos="2520"/>
        </w:tabs>
        <w:spacing w:line="360" w:lineRule="auto"/>
        <w:jc w:val="both"/>
        <w:rPr>
          <w:rFonts w:ascii="Times New Roman" w:eastAsia="SimSun" w:hAnsi="Times New Roman" w:cs="Times New Roman"/>
          <w:sz w:val="24"/>
          <w:szCs w:val="24"/>
          <w:lang w:val="en-GB"/>
        </w:rPr>
      </w:pPr>
      <w:r w:rsidRPr="00EF60B7">
        <w:rPr>
          <w:rFonts w:ascii="Times New Roman" w:eastAsia="SimSun" w:hAnsi="Times New Roman" w:cs="Times New Roman"/>
          <w:sz w:val="24"/>
          <w:szCs w:val="24"/>
          <w:lang w:val="en-GB"/>
        </w:rPr>
        <w:tab/>
      </w:r>
    </w:p>
    <w:p w:rsidR="00381ABF" w:rsidRPr="00EF60B7" w:rsidRDefault="00381ABF" w:rsidP="008D2DF6">
      <w:pPr>
        <w:spacing w:line="360" w:lineRule="auto"/>
        <w:jc w:val="both"/>
        <w:rPr>
          <w:rFonts w:ascii="Times New Roman" w:eastAsia="SimSun" w:hAnsi="Times New Roman" w:cs="Times New Roman"/>
          <w:sz w:val="24"/>
          <w:szCs w:val="24"/>
          <w:lang w:val="en-GB"/>
        </w:rPr>
      </w:pPr>
      <w:r w:rsidRPr="00EF60B7">
        <w:rPr>
          <w:rFonts w:ascii="Times New Roman" w:eastAsia="SimSun" w:hAnsi="Times New Roman" w:cs="Times New Roman"/>
          <w:sz w:val="24"/>
          <w:szCs w:val="24"/>
          <w:lang w:val="en-GB"/>
        </w:rPr>
        <w:t xml:space="preserve">Kahneman, D., &amp; Tversky, A. (1981). The framing of decisions and the psychology of choice. </w:t>
      </w:r>
      <w:r w:rsidRPr="00EF60B7">
        <w:rPr>
          <w:rFonts w:ascii="Times New Roman" w:eastAsia="SimSun" w:hAnsi="Times New Roman" w:cs="Times New Roman"/>
          <w:i/>
          <w:sz w:val="24"/>
          <w:szCs w:val="24"/>
          <w:lang w:val="en-GB"/>
        </w:rPr>
        <w:t>Science</w:t>
      </w:r>
      <w:r w:rsidRPr="00EF60B7">
        <w:rPr>
          <w:rFonts w:ascii="Times New Roman" w:eastAsia="SimSun" w:hAnsi="Times New Roman" w:cs="Times New Roman"/>
          <w:sz w:val="24"/>
          <w:szCs w:val="24"/>
          <w:lang w:val="en-GB"/>
        </w:rPr>
        <w:t>, 211: 453-458.</w:t>
      </w:r>
    </w:p>
    <w:p w:rsidR="00381ABF" w:rsidRPr="00EF60B7" w:rsidRDefault="00381ABF" w:rsidP="008D2DF6">
      <w:pPr>
        <w:tabs>
          <w:tab w:val="left" w:pos="5990"/>
        </w:tabs>
        <w:spacing w:line="360" w:lineRule="auto"/>
        <w:jc w:val="both"/>
        <w:rPr>
          <w:rFonts w:ascii="Times New Roman" w:eastAsia="SimSun" w:hAnsi="Times New Roman" w:cs="Times New Roman"/>
          <w:sz w:val="24"/>
          <w:szCs w:val="24"/>
          <w:lang w:val="en-GB"/>
        </w:rPr>
      </w:pPr>
      <w:r w:rsidRPr="00EF60B7">
        <w:rPr>
          <w:rFonts w:ascii="Times New Roman" w:eastAsia="SimSun" w:hAnsi="Times New Roman" w:cs="Times New Roman"/>
          <w:sz w:val="24"/>
          <w:szCs w:val="24"/>
          <w:lang w:val="en-GB"/>
        </w:rPr>
        <w:tab/>
      </w:r>
    </w:p>
    <w:p w:rsidR="00381ABF" w:rsidRPr="00EF60B7" w:rsidRDefault="00381ABF" w:rsidP="008D2DF6">
      <w:pPr>
        <w:spacing w:line="360" w:lineRule="auto"/>
        <w:jc w:val="both"/>
        <w:rPr>
          <w:rFonts w:ascii="Times New Roman" w:eastAsia="SimSun" w:hAnsi="Times New Roman" w:cs="Times New Roman"/>
          <w:sz w:val="24"/>
          <w:szCs w:val="24"/>
          <w:lang w:val="en-GB"/>
        </w:rPr>
      </w:pPr>
      <w:r w:rsidRPr="00EF60B7">
        <w:rPr>
          <w:rFonts w:ascii="Times New Roman" w:eastAsia="SimSun" w:hAnsi="Times New Roman" w:cs="Times New Roman"/>
          <w:sz w:val="24"/>
          <w:szCs w:val="24"/>
          <w:lang w:val="en-GB"/>
        </w:rPr>
        <w:lastRenderedPageBreak/>
        <w:t xml:space="preserve">Kaplan, S. H., Gandek, B., Greenfield, S., Rogers, W., &amp; Ware, J. E. (1995). Patient and visit characteristics related to physicians’ participatory decision-making style: Results from the Medical Outcomes Study. </w:t>
      </w:r>
      <w:r w:rsidRPr="00EF60B7">
        <w:rPr>
          <w:rFonts w:ascii="Times New Roman" w:eastAsia="SimSun" w:hAnsi="Times New Roman" w:cs="Times New Roman"/>
          <w:i/>
          <w:sz w:val="24"/>
          <w:szCs w:val="24"/>
          <w:lang w:val="en-GB"/>
        </w:rPr>
        <w:t>Medical Care</w:t>
      </w:r>
      <w:r w:rsidRPr="00EF60B7">
        <w:rPr>
          <w:rFonts w:ascii="Times New Roman" w:eastAsia="SimSun" w:hAnsi="Times New Roman" w:cs="Times New Roman"/>
          <w:sz w:val="24"/>
          <w:szCs w:val="24"/>
          <w:lang w:val="en-GB"/>
        </w:rPr>
        <w:t>, 33: 1176-1183.</w:t>
      </w:r>
    </w:p>
    <w:p w:rsidR="00381ABF" w:rsidRPr="00EF60B7" w:rsidRDefault="00381ABF" w:rsidP="008D2DF6">
      <w:pPr>
        <w:spacing w:line="360" w:lineRule="auto"/>
        <w:jc w:val="both"/>
        <w:rPr>
          <w:rFonts w:ascii="Times New Roman" w:eastAsia="SimSun" w:hAnsi="Times New Roman" w:cs="Times New Roman"/>
          <w:sz w:val="24"/>
          <w:szCs w:val="24"/>
          <w:lang w:val="en-GB"/>
        </w:rPr>
      </w:pPr>
    </w:p>
    <w:p w:rsidR="00381ABF" w:rsidRPr="00EF60B7" w:rsidRDefault="00381ABF" w:rsidP="008D2DF6">
      <w:pPr>
        <w:spacing w:line="360" w:lineRule="auto"/>
        <w:jc w:val="both"/>
        <w:rPr>
          <w:rFonts w:ascii="Times New Roman" w:eastAsia="SimSun" w:hAnsi="Times New Roman" w:cs="Times New Roman"/>
          <w:sz w:val="24"/>
          <w:szCs w:val="24"/>
          <w:lang w:val="en-GB"/>
        </w:rPr>
      </w:pPr>
      <w:r w:rsidRPr="00EF60B7">
        <w:rPr>
          <w:rFonts w:ascii="Times New Roman" w:eastAsia="SimSun" w:hAnsi="Times New Roman" w:cs="Times New Roman"/>
          <w:sz w:val="24"/>
          <w:szCs w:val="24"/>
          <w:lang w:val="en-GB"/>
        </w:rPr>
        <w:t xml:space="preserve">Kaplan, R. M., &amp; Simon, H. J. (1990). Compliance in medical care: reconsideration of self-predictions. </w:t>
      </w:r>
      <w:r w:rsidRPr="00EF60B7">
        <w:rPr>
          <w:rFonts w:ascii="Times New Roman" w:eastAsia="SimSun" w:hAnsi="Times New Roman" w:cs="Times New Roman"/>
          <w:i/>
          <w:sz w:val="24"/>
          <w:szCs w:val="24"/>
          <w:lang w:val="en-GB"/>
        </w:rPr>
        <w:t>Annals of Behavioral Medicine</w:t>
      </w:r>
      <w:r w:rsidRPr="00EF60B7">
        <w:rPr>
          <w:rFonts w:ascii="Times New Roman" w:eastAsia="SimSun" w:hAnsi="Times New Roman" w:cs="Times New Roman"/>
          <w:sz w:val="24"/>
          <w:szCs w:val="24"/>
          <w:lang w:val="en-GB"/>
        </w:rPr>
        <w:t>, 12: 66-71.</w:t>
      </w:r>
    </w:p>
    <w:p w:rsidR="00381ABF" w:rsidRPr="00EF60B7" w:rsidRDefault="00381ABF" w:rsidP="008D2DF6">
      <w:pPr>
        <w:spacing w:line="360" w:lineRule="auto"/>
        <w:jc w:val="both"/>
        <w:rPr>
          <w:rFonts w:ascii="Times New Roman" w:eastAsia="SimSun" w:hAnsi="Times New Roman" w:cs="Times New Roman"/>
          <w:sz w:val="24"/>
          <w:szCs w:val="24"/>
          <w:lang w:val="en-GB"/>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Kapp, M. B. (1992). Who’s the parent here? The family’s impact on the autonomy of older persons. </w:t>
      </w:r>
      <w:r w:rsidRPr="00EF60B7">
        <w:rPr>
          <w:rFonts w:ascii="Times New Roman" w:hAnsi="Times New Roman" w:cs="Times New Roman"/>
          <w:i/>
          <w:sz w:val="24"/>
          <w:szCs w:val="24"/>
          <w:lang w:val="en-US"/>
        </w:rPr>
        <w:t>Emory Law Journal</w:t>
      </w:r>
      <w:r w:rsidRPr="00EF60B7">
        <w:rPr>
          <w:rFonts w:ascii="Times New Roman" w:hAnsi="Times New Roman" w:cs="Times New Roman"/>
          <w:sz w:val="24"/>
          <w:szCs w:val="24"/>
          <w:lang w:val="en-US"/>
        </w:rPr>
        <w:t>, 41, 773–803.</w:t>
      </w:r>
      <w:r w:rsidRPr="00EF60B7">
        <w:rPr>
          <w:rFonts w:ascii="Times New Roman" w:hAnsi="Times New Roman" w:cs="Times New Roman"/>
          <w:sz w:val="24"/>
          <w:szCs w:val="24"/>
          <w:lang w:val="en-US"/>
        </w:rPr>
        <w:tab/>
      </w:r>
    </w:p>
    <w:p w:rsidR="00381ABF" w:rsidRPr="00EF60B7" w:rsidRDefault="00381ABF" w:rsidP="008D2DF6">
      <w:pPr>
        <w:autoSpaceDE w:val="0"/>
        <w:autoSpaceDN w:val="0"/>
        <w:adjustRightInd w:val="0"/>
        <w:spacing w:line="360" w:lineRule="auto"/>
        <w:jc w:val="both"/>
        <w:rPr>
          <w:rFonts w:ascii="Times New Roman" w:hAnsi="Times New Roman" w:cs="Times New Roman"/>
          <w:i/>
          <w:sz w:val="24"/>
          <w:szCs w:val="24"/>
          <w:lang w:val="en-US"/>
        </w:rPr>
      </w:pPr>
    </w:p>
    <w:p w:rsidR="00381ABF" w:rsidRPr="00EF60B7" w:rsidRDefault="00381ABF" w:rsidP="008D2DF6">
      <w:pPr>
        <w:spacing w:line="360" w:lineRule="auto"/>
        <w:jc w:val="both"/>
        <w:rPr>
          <w:rFonts w:ascii="Times New Roman" w:eastAsia="SimSun" w:hAnsi="Times New Roman" w:cs="Times New Roman"/>
          <w:sz w:val="24"/>
          <w:szCs w:val="24"/>
          <w:lang w:val="en-GB"/>
        </w:rPr>
      </w:pPr>
      <w:r w:rsidRPr="00EF60B7">
        <w:rPr>
          <w:rFonts w:ascii="Times New Roman" w:eastAsia="SimSun" w:hAnsi="Times New Roman" w:cs="Times New Roman"/>
          <w:sz w:val="24"/>
          <w:szCs w:val="24"/>
          <w:lang w:val="en-GB"/>
        </w:rPr>
        <w:t xml:space="preserve">Katon, W., &amp;  Kleinman, A. (1981). </w:t>
      </w:r>
      <w:r w:rsidRPr="00EF60B7">
        <w:rPr>
          <w:rFonts w:ascii="Times New Roman" w:eastAsia="SimSun" w:hAnsi="Times New Roman" w:cs="Times New Roman"/>
          <w:i/>
          <w:sz w:val="24"/>
          <w:szCs w:val="24"/>
          <w:lang w:val="en-GB"/>
        </w:rPr>
        <w:t>Doctor-patient negotiation and other social science strategies in patient care</w:t>
      </w:r>
      <w:r w:rsidRPr="00EF60B7">
        <w:rPr>
          <w:rFonts w:ascii="Times New Roman" w:eastAsia="SimSun" w:hAnsi="Times New Roman" w:cs="Times New Roman"/>
          <w:sz w:val="24"/>
          <w:szCs w:val="24"/>
          <w:lang w:val="en-GB"/>
        </w:rPr>
        <w:t xml:space="preserve">. In: Eisenberg, L., Kleinman, A. (Eds), </w:t>
      </w:r>
      <w:r w:rsidRPr="00EF60B7">
        <w:rPr>
          <w:rFonts w:ascii="Times New Roman" w:eastAsia="SimSun" w:hAnsi="Times New Roman" w:cs="Times New Roman"/>
          <w:i/>
          <w:sz w:val="24"/>
          <w:szCs w:val="24"/>
          <w:lang w:val="en-GB"/>
        </w:rPr>
        <w:t>The relevance of social science for medicine</w:t>
      </w:r>
      <w:r w:rsidRPr="00EF60B7">
        <w:rPr>
          <w:rFonts w:ascii="Times New Roman" w:eastAsia="SimSun" w:hAnsi="Times New Roman" w:cs="Times New Roman"/>
          <w:sz w:val="24"/>
          <w:szCs w:val="24"/>
          <w:lang w:val="en-GB"/>
        </w:rPr>
        <w:t>. D. Reidel Publishing Company, London, 253-279.</w:t>
      </w:r>
    </w:p>
    <w:p w:rsidR="00381ABF" w:rsidRPr="00EF60B7" w:rsidRDefault="00381ABF" w:rsidP="008D2DF6">
      <w:pPr>
        <w:spacing w:line="360" w:lineRule="auto"/>
        <w:jc w:val="both"/>
        <w:rPr>
          <w:rFonts w:ascii="Times New Roman" w:eastAsia="SimSun" w:hAnsi="Times New Roman" w:cs="Times New Roman"/>
          <w:sz w:val="24"/>
          <w:szCs w:val="24"/>
          <w:lang w:val="en-GB"/>
        </w:rPr>
      </w:pPr>
    </w:p>
    <w:p w:rsidR="00381ABF" w:rsidRPr="00EF60B7" w:rsidRDefault="00381ABF" w:rsidP="008D2DF6">
      <w:pPr>
        <w:spacing w:line="360" w:lineRule="auto"/>
        <w:jc w:val="both"/>
        <w:rPr>
          <w:rFonts w:ascii="Times New Roman" w:eastAsia="SimSun" w:hAnsi="Times New Roman" w:cs="Times New Roman"/>
          <w:sz w:val="24"/>
          <w:szCs w:val="24"/>
          <w:lang w:val="en-GB"/>
        </w:rPr>
      </w:pPr>
      <w:r w:rsidRPr="00EF60B7">
        <w:rPr>
          <w:rFonts w:ascii="Times New Roman" w:eastAsia="SimSun" w:hAnsi="Times New Roman" w:cs="Times New Roman"/>
          <w:sz w:val="24"/>
          <w:szCs w:val="24"/>
          <w:lang w:val="en-GB"/>
        </w:rPr>
        <w:t xml:space="preserve">Katz, J. (1984). </w:t>
      </w:r>
      <w:r w:rsidRPr="00EF60B7">
        <w:rPr>
          <w:rFonts w:ascii="Times New Roman" w:eastAsia="SimSun" w:hAnsi="Times New Roman" w:cs="Times New Roman"/>
          <w:i/>
          <w:sz w:val="24"/>
          <w:szCs w:val="24"/>
          <w:lang w:val="en-GB"/>
        </w:rPr>
        <w:t>The silent word of doctor and patient</w:t>
      </w:r>
      <w:r w:rsidRPr="00EF60B7">
        <w:rPr>
          <w:rFonts w:ascii="Times New Roman" w:eastAsia="SimSun" w:hAnsi="Times New Roman" w:cs="Times New Roman"/>
          <w:sz w:val="24"/>
          <w:szCs w:val="24"/>
          <w:lang w:val="en-GB"/>
        </w:rPr>
        <w:t>. New York: The Free Press.</w:t>
      </w:r>
    </w:p>
    <w:p w:rsidR="00381ABF" w:rsidRPr="00EF60B7" w:rsidRDefault="00381ABF" w:rsidP="008D2DF6">
      <w:pPr>
        <w:spacing w:line="360" w:lineRule="auto"/>
        <w:jc w:val="both"/>
        <w:rPr>
          <w:rFonts w:ascii="Times New Roman" w:eastAsia="SimSun" w:hAnsi="Times New Roman" w:cs="Times New Roman"/>
          <w:sz w:val="24"/>
          <w:szCs w:val="24"/>
          <w:lang w:val="en-GB"/>
        </w:rPr>
      </w:pPr>
    </w:p>
    <w:p w:rsidR="00381ABF" w:rsidRPr="00EF60B7" w:rsidRDefault="00381ABF" w:rsidP="008D2DF6">
      <w:pPr>
        <w:spacing w:line="360" w:lineRule="auto"/>
        <w:jc w:val="both"/>
        <w:rPr>
          <w:rFonts w:ascii="Times New Roman" w:eastAsia="SimSun" w:hAnsi="Times New Roman" w:cs="Times New Roman"/>
          <w:sz w:val="24"/>
          <w:szCs w:val="24"/>
          <w:lang w:val="en-GB"/>
        </w:rPr>
      </w:pPr>
      <w:r w:rsidRPr="00EF60B7">
        <w:rPr>
          <w:rFonts w:ascii="Times New Roman" w:eastAsia="SimSun" w:hAnsi="Times New Roman" w:cs="Times New Roman"/>
          <w:sz w:val="24"/>
          <w:szCs w:val="24"/>
          <w:lang w:val="en-GB"/>
        </w:rPr>
        <w:t xml:space="preserve">Kemdal, A. B., &amp; Montgomery, H. (1997). </w:t>
      </w:r>
      <w:r w:rsidRPr="00EF60B7">
        <w:rPr>
          <w:rFonts w:ascii="Times New Roman" w:eastAsia="SimSun" w:hAnsi="Times New Roman" w:cs="Times New Roman"/>
          <w:i/>
          <w:sz w:val="24"/>
          <w:szCs w:val="24"/>
          <w:lang w:val="en-GB"/>
        </w:rPr>
        <w:t>Perspectives and emotions in personal decision making</w:t>
      </w:r>
      <w:r w:rsidRPr="00EF60B7">
        <w:rPr>
          <w:rFonts w:ascii="Times New Roman" w:eastAsia="SimSun" w:hAnsi="Times New Roman" w:cs="Times New Roman"/>
          <w:sz w:val="24"/>
          <w:szCs w:val="24"/>
          <w:lang w:val="en-GB"/>
        </w:rPr>
        <w:t xml:space="preserve">, in Ranyard, R., Crozier, W. R., &amp; Svenson, O. (a cura di), </w:t>
      </w:r>
      <w:r w:rsidRPr="00EF60B7">
        <w:rPr>
          <w:rFonts w:ascii="Times New Roman" w:eastAsia="SimSun" w:hAnsi="Times New Roman" w:cs="Times New Roman"/>
          <w:i/>
          <w:sz w:val="24"/>
          <w:szCs w:val="24"/>
          <w:lang w:val="en-GB"/>
        </w:rPr>
        <w:t>Decision Making: Cognitive models and explanations</w:t>
      </w:r>
      <w:r w:rsidRPr="00EF60B7">
        <w:rPr>
          <w:rFonts w:ascii="Times New Roman" w:eastAsia="SimSun" w:hAnsi="Times New Roman" w:cs="Times New Roman"/>
          <w:sz w:val="24"/>
          <w:szCs w:val="24"/>
          <w:lang w:val="en-GB"/>
        </w:rPr>
        <w:t>, London, Routledge.</w:t>
      </w:r>
    </w:p>
    <w:p w:rsidR="00381ABF" w:rsidRPr="00EF60B7" w:rsidRDefault="00381ABF" w:rsidP="008D2DF6">
      <w:pPr>
        <w:spacing w:line="360" w:lineRule="auto"/>
        <w:jc w:val="both"/>
        <w:rPr>
          <w:rFonts w:ascii="Times New Roman" w:eastAsia="SimSun" w:hAnsi="Times New Roman" w:cs="Times New Roman"/>
          <w:sz w:val="24"/>
          <w:szCs w:val="24"/>
          <w:lang w:val="en-GB"/>
        </w:rPr>
      </w:pPr>
    </w:p>
    <w:p w:rsidR="00381ABF" w:rsidRPr="00EF60B7" w:rsidRDefault="00381ABF" w:rsidP="008D2DF6">
      <w:pPr>
        <w:spacing w:line="360" w:lineRule="auto"/>
        <w:jc w:val="both"/>
        <w:rPr>
          <w:rFonts w:ascii="Times New Roman" w:eastAsia="SimSun" w:hAnsi="Times New Roman" w:cs="Times New Roman"/>
          <w:i/>
          <w:sz w:val="24"/>
          <w:szCs w:val="24"/>
          <w:lang w:val="en-GB"/>
        </w:rPr>
      </w:pPr>
      <w:r w:rsidRPr="00EF60B7">
        <w:rPr>
          <w:rFonts w:ascii="Times New Roman" w:eastAsia="SimSun" w:hAnsi="Times New Roman" w:cs="Times New Roman"/>
          <w:sz w:val="24"/>
          <w:szCs w:val="24"/>
          <w:lang w:val="en-GB"/>
        </w:rPr>
        <w:t xml:space="preserve">Kim, S. S., Kaplowitz, S., &amp; Johnston, M. V. (2004). The effects of physician empathy on patient satisfaction and compliance. </w:t>
      </w:r>
      <w:r w:rsidRPr="00EF60B7">
        <w:rPr>
          <w:rFonts w:ascii="Times New Roman" w:eastAsia="SimSun" w:hAnsi="Times New Roman" w:cs="Times New Roman"/>
          <w:i/>
          <w:sz w:val="24"/>
          <w:szCs w:val="24"/>
          <w:lang w:val="en-GB"/>
        </w:rPr>
        <w:t>Evaluation &amp; the Health Professions</w:t>
      </w:r>
      <w:r w:rsidRPr="00EF60B7">
        <w:rPr>
          <w:rFonts w:ascii="Times New Roman" w:eastAsia="SimSun" w:hAnsi="Times New Roman" w:cs="Times New Roman"/>
          <w:sz w:val="24"/>
          <w:szCs w:val="24"/>
          <w:lang w:val="en-GB"/>
        </w:rPr>
        <w:t>, 27: 237-51.</w:t>
      </w:r>
      <w:r w:rsidRPr="00EF60B7">
        <w:rPr>
          <w:rFonts w:ascii="Times New Roman" w:eastAsia="SimSun" w:hAnsi="Times New Roman" w:cs="Times New Roman"/>
          <w:i/>
          <w:sz w:val="24"/>
          <w:szCs w:val="24"/>
          <w:lang w:val="en-GB"/>
        </w:rPr>
        <w:t xml:space="preserve"> </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lastRenderedPageBreak/>
        <w:t xml:space="preserve">Klitzman, R. (2006). Improving education on doctor-patient relationships and communication from doctors who become patients. </w:t>
      </w:r>
      <w:r w:rsidRPr="00EF60B7">
        <w:rPr>
          <w:rFonts w:ascii="Times New Roman" w:hAnsi="Times New Roman" w:cs="Times New Roman"/>
          <w:i/>
          <w:sz w:val="24"/>
          <w:szCs w:val="24"/>
          <w:lang w:val="en-US"/>
        </w:rPr>
        <w:t xml:space="preserve">Academic Medicine, </w:t>
      </w:r>
      <w:r w:rsidRPr="00EF60B7">
        <w:rPr>
          <w:rFonts w:ascii="Times New Roman" w:hAnsi="Times New Roman" w:cs="Times New Roman"/>
          <w:sz w:val="24"/>
          <w:szCs w:val="24"/>
          <w:lang w:val="en-US"/>
        </w:rPr>
        <w:t>81:415-8.</w:t>
      </w:r>
    </w:p>
    <w:p w:rsidR="00381ABF" w:rsidRPr="00EF60B7" w:rsidRDefault="00381ABF" w:rsidP="008D2DF6">
      <w:pPr>
        <w:autoSpaceDE w:val="0"/>
        <w:autoSpaceDN w:val="0"/>
        <w:adjustRightInd w:val="0"/>
        <w:spacing w:line="360" w:lineRule="auto"/>
        <w:jc w:val="both"/>
        <w:rPr>
          <w:rFonts w:ascii="Times New Roman" w:hAnsi="Times New Roman" w:cs="Times New Roman"/>
          <w:i/>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Kovats, R.S., Campbell-Lendrum, &amp; D., Matthies, F. (2005). Climate change and human health: estimating avoidable deaths and disease. </w:t>
      </w:r>
      <w:r w:rsidRPr="00EF60B7">
        <w:rPr>
          <w:rFonts w:ascii="Times New Roman" w:hAnsi="Times New Roman" w:cs="Times New Roman"/>
          <w:i/>
          <w:sz w:val="24"/>
          <w:szCs w:val="24"/>
          <w:lang w:val="en-US"/>
        </w:rPr>
        <w:t>Risk Analysis</w:t>
      </w:r>
      <w:r w:rsidRPr="00EF60B7">
        <w:rPr>
          <w:rFonts w:ascii="Times New Roman" w:hAnsi="Times New Roman" w:cs="Times New Roman"/>
          <w:sz w:val="24"/>
          <w:szCs w:val="24"/>
          <w:lang w:val="en-US"/>
        </w:rPr>
        <w:t>, 25: 1409–18.</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Kurtz, S., Silverman, J., Draper, J. (1998). </w:t>
      </w:r>
      <w:r w:rsidRPr="00EF60B7">
        <w:rPr>
          <w:rFonts w:ascii="Times New Roman" w:hAnsi="Times New Roman" w:cs="Times New Roman"/>
          <w:i/>
          <w:sz w:val="24"/>
          <w:szCs w:val="24"/>
          <w:lang w:val="en-US"/>
        </w:rPr>
        <w:t>Teaching and learning communication skills in medicine</w:t>
      </w:r>
      <w:r w:rsidRPr="00EF60B7">
        <w:rPr>
          <w:rFonts w:ascii="Times New Roman" w:hAnsi="Times New Roman" w:cs="Times New Roman"/>
          <w:sz w:val="24"/>
          <w:szCs w:val="24"/>
          <w:lang w:val="en-US"/>
        </w:rPr>
        <w:t xml:space="preserve"> . Abingdon, Oxon, UK: Radcliffe Medical Press.</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Labrecque, M. S., Blanchard, C. G., Ruckdeschel, J. C., &amp; Blanchard, E. B. (1991). The impact of family presence on the physician–cancer patient interaction. </w:t>
      </w:r>
      <w:r w:rsidRPr="00EF60B7">
        <w:rPr>
          <w:rFonts w:ascii="Times New Roman" w:hAnsi="Times New Roman" w:cs="Times New Roman"/>
          <w:i/>
          <w:sz w:val="24"/>
          <w:szCs w:val="24"/>
          <w:lang w:val="en-US"/>
        </w:rPr>
        <w:t>Social Science and Medicine</w:t>
      </w:r>
      <w:r w:rsidRPr="00EF60B7">
        <w:rPr>
          <w:rFonts w:ascii="Times New Roman" w:hAnsi="Times New Roman" w:cs="Times New Roman"/>
          <w:sz w:val="24"/>
          <w:szCs w:val="24"/>
          <w:lang w:val="en-US"/>
        </w:rPr>
        <w:t>, 33(11), 1253–1261.</w:t>
      </w:r>
      <w:r w:rsidRPr="00EF60B7">
        <w:rPr>
          <w:rFonts w:ascii="Times New Roman" w:hAnsi="Times New Roman" w:cs="Times New Roman"/>
          <w:sz w:val="24"/>
          <w:szCs w:val="24"/>
          <w:lang w:val="en-US"/>
        </w:rPr>
        <w:tab/>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spacing w:line="360" w:lineRule="auto"/>
        <w:jc w:val="both"/>
        <w:rPr>
          <w:rFonts w:ascii="Times New Roman" w:eastAsia="SimSun" w:hAnsi="Times New Roman" w:cs="Times New Roman"/>
          <w:color w:val="000000"/>
          <w:sz w:val="24"/>
          <w:szCs w:val="24"/>
          <w:lang w:val="en-GB"/>
        </w:rPr>
      </w:pPr>
      <w:r w:rsidRPr="00EF60B7">
        <w:rPr>
          <w:rFonts w:ascii="Times New Roman" w:eastAsia="SimSun" w:hAnsi="Times New Roman" w:cs="Times New Roman"/>
          <w:color w:val="000000"/>
          <w:sz w:val="24"/>
          <w:szCs w:val="24"/>
          <w:lang w:val="en-GB"/>
        </w:rPr>
        <w:t xml:space="preserve">Langewitz , W., Denz, M., Keller, A., Kiss, A., Ruttimann, S. &amp;  Wossmer, B. (2002). “Spontaneous talking time at start of consultation in outpatient clinic: cohort study”, </w:t>
      </w:r>
      <w:r w:rsidRPr="00EF60B7">
        <w:rPr>
          <w:rStyle w:val="Enfasicorsivo"/>
          <w:rFonts w:ascii="Times New Roman" w:eastAsia="SimSun" w:hAnsi="Times New Roman" w:cs="Times New Roman"/>
          <w:color w:val="000000"/>
          <w:sz w:val="24"/>
          <w:szCs w:val="24"/>
          <w:lang w:val="en-GB"/>
        </w:rPr>
        <w:t>British Medical Journal</w:t>
      </w:r>
      <w:r w:rsidRPr="00EF60B7">
        <w:rPr>
          <w:rFonts w:ascii="Times New Roman" w:eastAsia="SimSun" w:hAnsi="Times New Roman" w:cs="Times New Roman"/>
          <w:color w:val="000000"/>
          <w:sz w:val="24"/>
          <w:szCs w:val="24"/>
          <w:lang w:val="en-GB"/>
        </w:rPr>
        <w:t xml:space="preserve">, 28 September, 325 (7366): 682-3. </w:t>
      </w:r>
    </w:p>
    <w:p w:rsidR="00381ABF" w:rsidRPr="00EF60B7" w:rsidRDefault="00381ABF" w:rsidP="008D2DF6">
      <w:pPr>
        <w:spacing w:line="360" w:lineRule="auto"/>
        <w:jc w:val="both"/>
        <w:rPr>
          <w:rFonts w:ascii="Times New Roman" w:eastAsia="SimSun" w:hAnsi="Times New Roman" w:cs="Times New Roman"/>
          <w:color w:val="000000"/>
          <w:sz w:val="24"/>
          <w:szCs w:val="24"/>
          <w:lang w:val="en-GB"/>
        </w:rPr>
      </w:pPr>
    </w:p>
    <w:p w:rsidR="00381ABF" w:rsidRPr="00EF60B7" w:rsidRDefault="00381ABF" w:rsidP="008D2DF6">
      <w:pPr>
        <w:spacing w:line="360" w:lineRule="auto"/>
        <w:jc w:val="both"/>
        <w:rPr>
          <w:rFonts w:ascii="Times New Roman" w:eastAsia="SimSun" w:hAnsi="Times New Roman" w:cs="Times New Roman"/>
          <w:color w:val="000000"/>
          <w:sz w:val="24"/>
          <w:szCs w:val="24"/>
          <w:lang w:val="en-US"/>
        </w:rPr>
      </w:pPr>
      <w:r w:rsidRPr="00EF60B7">
        <w:rPr>
          <w:rFonts w:ascii="Times New Roman" w:eastAsia="SimSun" w:hAnsi="Times New Roman" w:cs="Times New Roman"/>
          <w:color w:val="000000"/>
          <w:sz w:val="24"/>
          <w:szCs w:val="24"/>
        </w:rPr>
        <w:t xml:space="preserve">Lasagna, L., Mosteller, F., von Feisinger, J. M., &amp; Beecher, H. K. (1954). </w:t>
      </w:r>
      <w:r w:rsidRPr="00EF60B7">
        <w:rPr>
          <w:rFonts w:ascii="Times New Roman" w:eastAsia="SimSun" w:hAnsi="Times New Roman" w:cs="Times New Roman"/>
          <w:color w:val="000000"/>
          <w:sz w:val="24"/>
          <w:szCs w:val="24"/>
          <w:lang w:val="en-US"/>
        </w:rPr>
        <w:t xml:space="preserve">A study of the placebo response. </w:t>
      </w:r>
      <w:r w:rsidRPr="00EF60B7">
        <w:rPr>
          <w:rFonts w:ascii="Times New Roman" w:eastAsia="SimSun" w:hAnsi="Times New Roman" w:cs="Times New Roman"/>
          <w:i/>
          <w:color w:val="000000"/>
          <w:sz w:val="24"/>
          <w:szCs w:val="24"/>
          <w:lang w:val="en-US"/>
        </w:rPr>
        <w:t>American Journal of Medicine</w:t>
      </w:r>
      <w:r w:rsidRPr="00EF60B7">
        <w:rPr>
          <w:rFonts w:ascii="Times New Roman" w:eastAsia="SimSun" w:hAnsi="Times New Roman" w:cs="Times New Roman"/>
          <w:color w:val="000000"/>
          <w:sz w:val="24"/>
          <w:szCs w:val="24"/>
          <w:lang w:val="en-US"/>
        </w:rPr>
        <w:t>, 37: 770-779.</w:t>
      </w:r>
    </w:p>
    <w:p w:rsidR="00381ABF" w:rsidRPr="00EF60B7" w:rsidRDefault="00381ABF" w:rsidP="008D2DF6">
      <w:pPr>
        <w:tabs>
          <w:tab w:val="left" w:pos="7190"/>
        </w:tabs>
        <w:spacing w:line="360" w:lineRule="auto"/>
        <w:jc w:val="both"/>
        <w:rPr>
          <w:rFonts w:ascii="Times New Roman" w:eastAsia="SimSun" w:hAnsi="Times New Roman" w:cs="Times New Roman"/>
          <w:color w:val="000000"/>
          <w:sz w:val="24"/>
          <w:szCs w:val="24"/>
          <w:lang w:val="en-US"/>
        </w:rPr>
      </w:pPr>
      <w:r w:rsidRPr="00EF60B7">
        <w:rPr>
          <w:rFonts w:ascii="Times New Roman" w:eastAsia="SimSun" w:hAnsi="Times New Roman" w:cs="Times New Roman"/>
          <w:color w:val="000000"/>
          <w:sz w:val="24"/>
          <w:szCs w:val="24"/>
          <w:lang w:val="en-US"/>
        </w:rPr>
        <w:tab/>
      </w:r>
    </w:p>
    <w:p w:rsidR="00381ABF" w:rsidRPr="00EF60B7" w:rsidRDefault="00381ABF" w:rsidP="008D2DF6">
      <w:pPr>
        <w:autoSpaceDE w:val="0"/>
        <w:autoSpaceDN w:val="0"/>
        <w:adjustRightInd w:val="0"/>
        <w:spacing w:line="360" w:lineRule="auto"/>
        <w:jc w:val="both"/>
        <w:rPr>
          <w:rFonts w:ascii="Times New Roman" w:hAnsi="Times New Roman" w:cs="Times New Roman"/>
          <w:i/>
          <w:sz w:val="24"/>
          <w:szCs w:val="24"/>
        </w:rPr>
      </w:pPr>
      <w:r w:rsidRPr="00EF60B7">
        <w:rPr>
          <w:rFonts w:ascii="Times New Roman" w:hAnsi="Times New Roman" w:cs="Times New Roman"/>
          <w:sz w:val="24"/>
          <w:szCs w:val="24"/>
          <w:lang w:val="en-US"/>
        </w:rPr>
        <w:t>Lasserre, P., Moatti, J.P., &amp; Soubeyran, A. (2006). Early initiation of highly active antiretroviral therapies for AIDS: dynamic choice with endogenous and exogenous learning</w:t>
      </w:r>
      <w:r w:rsidRPr="00EF60B7">
        <w:rPr>
          <w:rFonts w:ascii="Times New Roman" w:hAnsi="Times New Roman" w:cs="Times New Roman"/>
          <w:i/>
          <w:sz w:val="24"/>
          <w:szCs w:val="24"/>
          <w:lang w:val="en-US"/>
        </w:rPr>
        <w:t>.</w:t>
      </w:r>
      <w:r w:rsidRPr="00EF60B7">
        <w:rPr>
          <w:rFonts w:ascii="Times New Roman" w:hAnsi="Times New Roman" w:cs="Times New Roman"/>
          <w:sz w:val="24"/>
          <w:szCs w:val="24"/>
          <w:lang w:val="en-US"/>
        </w:rPr>
        <w:t xml:space="preserve"> </w:t>
      </w:r>
      <w:r w:rsidRPr="00EF60B7">
        <w:rPr>
          <w:rFonts w:ascii="Times New Roman" w:hAnsi="Times New Roman" w:cs="Times New Roman"/>
          <w:i/>
          <w:sz w:val="24"/>
          <w:szCs w:val="24"/>
        </w:rPr>
        <w:t>Journal of  Health Economics</w:t>
      </w:r>
      <w:r w:rsidRPr="00EF60B7">
        <w:rPr>
          <w:rFonts w:ascii="Times New Roman" w:hAnsi="Times New Roman" w:cs="Times New Roman"/>
          <w:sz w:val="24"/>
          <w:szCs w:val="24"/>
        </w:rPr>
        <w:t>, 25: 579–98.</w:t>
      </w:r>
    </w:p>
    <w:p w:rsidR="00381ABF" w:rsidRPr="00EF60B7" w:rsidRDefault="00381ABF" w:rsidP="008D2DF6">
      <w:pPr>
        <w:spacing w:line="360" w:lineRule="auto"/>
        <w:jc w:val="both"/>
        <w:rPr>
          <w:rFonts w:ascii="Times New Roman" w:eastAsia="SimSun" w:hAnsi="Times New Roman" w:cs="Times New Roman"/>
          <w:color w:val="000000"/>
          <w:sz w:val="24"/>
          <w:szCs w:val="24"/>
        </w:rPr>
      </w:pPr>
    </w:p>
    <w:p w:rsidR="00381ABF" w:rsidRPr="00EF60B7" w:rsidRDefault="00381ABF" w:rsidP="008D2DF6">
      <w:pPr>
        <w:spacing w:line="360" w:lineRule="auto"/>
        <w:jc w:val="both"/>
        <w:rPr>
          <w:rFonts w:ascii="Times New Roman" w:eastAsia="SimSun" w:hAnsi="Times New Roman" w:cs="Times New Roman"/>
          <w:sz w:val="24"/>
          <w:szCs w:val="24"/>
          <w:lang w:val="en-GB"/>
        </w:rPr>
      </w:pPr>
      <w:r w:rsidRPr="00EF60B7">
        <w:rPr>
          <w:rFonts w:ascii="Times New Roman" w:eastAsia="SimSun" w:hAnsi="Times New Roman" w:cs="Times New Roman"/>
          <w:sz w:val="24"/>
          <w:szCs w:val="24"/>
        </w:rPr>
        <w:lastRenderedPageBreak/>
        <w:t xml:space="preserve">Leotta, A.(2005). </w:t>
      </w:r>
      <w:r w:rsidRPr="00EF60B7">
        <w:rPr>
          <w:rFonts w:ascii="Times New Roman" w:eastAsia="SimSun" w:hAnsi="Times New Roman" w:cs="Times New Roman"/>
          <w:i/>
          <w:iCs/>
          <w:sz w:val="24"/>
          <w:szCs w:val="24"/>
        </w:rPr>
        <w:t xml:space="preserve">Aspetti psicologici nella relazione tra il medico e paziente. </w:t>
      </w:r>
      <w:r w:rsidRPr="00EF60B7">
        <w:rPr>
          <w:rFonts w:ascii="Times New Roman" w:eastAsia="SimSun" w:hAnsi="Times New Roman" w:cs="Times New Roman"/>
          <w:sz w:val="24"/>
          <w:szCs w:val="24"/>
          <w:lang w:val="en-GB"/>
        </w:rPr>
        <w:t>Rubettino Editore.</w:t>
      </w:r>
    </w:p>
    <w:p w:rsidR="00381ABF" w:rsidRPr="00EF60B7" w:rsidRDefault="00381ABF" w:rsidP="008D2DF6">
      <w:pPr>
        <w:spacing w:line="360" w:lineRule="auto"/>
        <w:jc w:val="both"/>
        <w:rPr>
          <w:rFonts w:ascii="Times New Roman" w:eastAsia="SimSun" w:hAnsi="Times New Roman" w:cs="Times New Roman"/>
          <w:sz w:val="24"/>
          <w:szCs w:val="24"/>
          <w:lang w:val="en-GB"/>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Lester, G., &amp; Smith, S. (1993). Listening and talking to patients. A remedy for malpractice suits? </w:t>
      </w:r>
      <w:r w:rsidRPr="00EF60B7">
        <w:rPr>
          <w:rFonts w:ascii="Times New Roman" w:hAnsi="Times New Roman" w:cs="Times New Roman"/>
          <w:i/>
          <w:sz w:val="24"/>
          <w:szCs w:val="24"/>
          <w:lang w:val="en-US"/>
        </w:rPr>
        <w:t>Western  Journal of Medicine</w:t>
      </w:r>
      <w:r w:rsidRPr="00EF60B7">
        <w:rPr>
          <w:rFonts w:ascii="Times New Roman" w:hAnsi="Times New Roman" w:cs="Times New Roman"/>
          <w:sz w:val="24"/>
          <w:szCs w:val="24"/>
          <w:lang w:val="en-US"/>
        </w:rPr>
        <w:t>, 158:268–72.</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Levin, B.W. (1990). ‘‘International Perspectives on Treatment Choice in Neonatal Intensive Care Units.’’ </w:t>
      </w:r>
      <w:r w:rsidRPr="00EF60B7">
        <w:rPr>
          <w:rFonts w:ascii="Times New Roman" w:hAnsi="Times New Roman" w:cs="Times New Roman"/>
          <w:i/>
          <w:sz w:val="24"/>
          <w:szCs w:val="24"/>
          <w:lang w:val="en-US"/>
        </w:rPr>
        <w:t>Social Science and Medicine</w:t>
      </w:r>
      <w:r w:rsidRPr="00EF60B7">
        <w:rPr>
          <w:rFonts w:ascii="Times New Roman" w:hAnsi="Times New Roman" w:cs="Times New Roman"/>
          <w:sz w:val="24"/>
          <w:szCs w:val="24"/>
          <w:lang w:val="en-US"/>
        </w:rPr>
        <w:t xml:space="preserve"> 30, no. 8: 901–912.</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spacing w:line="360" w:lineRule="auto"/>
        <w:jc w:val="both"/>
        <w:rPr>
          <w:rFonts w:ascii="Times New Roman" w:eastAsia="SimSun" w:hAnsi="Times New Roman" w:cs="Times New Roman"/>
          <w:color w:val="000000"/>
          <w:sz w:val="24"/>
          <w:szCs w:val="24"/>
          <w:lang w:val="en-US"/>
        </w:rPr>
      </w:pPr>
      <w:r w:rsidRPr="00EF60B7">
        <w:rPr>
          <w:rFonts w:ascii="Times New Roman" w:eastAsia="SimSun" w:hAnsi="Times New Roman" w:cs="Times New Roman"/>
          <w:color w:val="000000"/>
          <w:sz w:val="24"/>
          <w:szCs w:val="24"/>
          <w:lang w:val="en-US"/>
        </w:rPr>
        <w:t>Levinson, W. (1993). Mining for gold</w:t>
      </w:r>
      <w:r w:rsidRPr="00EF60B7">
        <w:rPr>
          <w:rFonts w:ascii="Times New Roman" w:eastAsia="SimSun" w:hAnsi="Times New Roman" w:cs="Times New Roman"/>
          <w:i/>
          <w:color w:val="000000"/>
          <w:sz w:val="24"/>
          <w:szCs w:val="24"/>
          <w:lang w:val="en-US"/>
        </w:rPr>
        <w:t>. Journal of General Internal Medicine</w:t>
      </w:r>
      <w:r w:rsidRPr="00EF60B7">
        <w:rPr>
          <w:rFonts w:ascii="Times New Roman" w:eastAsia="SimSun" w:hAnsi="Times New Roman" w:cs="Times New Roman"/>
          <w:color w:val="000000"/>
          <w:sz w:val="24"/>
          <w:szCs w:val="24"/>
          <w:lang w:val="en-US"/>
        </w:rPr>
        <w:t>, 8, 172-174.</w:t>
      </w:r>
    </w:p>
    <w:p w:rsidR="00381ABF" w:rsidRPr="00EF60B7" w:rsidRDefault="00381ABF" w:rsidP="008D2DF6">
      <w:pPr>
        <w:spacing w:line="360" w:lineRule="auto"/>
        <w:jc w:val="both"/>
        <w:rPr>
          <w:rFonts w:ascii="Times New Roman" w:eastAsia="SimSun" w:hAnsi="Times New Roman" w:cs="Times New Roman"/>
          <w:color w:val="000000"/>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Levinson, W. , Gorawara-Bhat, R., Lamb, J. (2000). A study of patients clues and physician responses in primary care and surgical settings. </w:t>
      </w:r>
      <w:r w:rsidRPr="00EF60B7">
        <w:rPr>
          <w:rFonts w:ascii="Times New Roman" w:hAnsi="Times New Roman" w:cs="Times New Roman"/>
          <w:i/>
          <w:sz w:val="24"/>
          <w:szCs w:val="24"/>
          <w:lang w:val="en-US"/>
        </w:rPr>
        <w:t>Journal of American Medical Association</w:t>
      </w:r>
      <w:r w:rsidRPr="00EF60B7">
        <w:rPr>
          <w:rFonts w:ascii="Times New Roman" w:hAnsi="Times New Roman" w:cs="Times New Roman"/>
          <w:sz w:val="24"/>
          <w:szCs w:val="24"/>
          <w:lang w:val="en-US"/>
        </w:rPr>
        <w:t>, 284: 1021-7.</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Levinson, W., Roter, D., Mullooly, J., Dull, V., Frankel, R. (1997). The relationship with malpractice claims among primary care physicians and surgeons. </w:t>
      </w:r>
      <w:r w:rsidRPr="00EF60B7">
        <w:rPr>
          <w:rFonts w:ascii="Times New Roman" w:hAnsi="Times New Roman" w:cs="Times New Roman"/>
          <w:i/>
          <w:sz w:val="24"/>
          <w:szCs w:val="24"/>
          <w:lang w:val="en-US"/>
        </w:rPr>
        <w:t>Journal of American Medical Association</w:t>
      </w:r>
      <w:r w:rsidRPr="00EF60B7">
        <w:rPr>
          <w:rFonts w:ascii="Times New Roman" w:hAnsi="Times New Roman" w:cs="Times New Roman"/>
          <w:sz w:val="24"/>
          <w:szCs w:val="24"/>
          <w:lang w:val="en-US"/>
        </w:rPr>
        <w:t xml:space="preserve"> , 277:553–9.</w:t>
      </w:r>
    </w:p>
    <w:p w:rsidR="00381ABF" w:rsidRPr="00EF60B7" w:rsidRDefault="00381ABF" w:rsidP="008D2DF6">
      <w:pPr>
        <w:spacing w:line="360" w:lineRule="auto"/>
        <w:jc w:val="both"/>
        <w:rPr>
          <w:rFonts w:ascii="Times New Roman" w:eastAsia="SimSun" w:hAnsi="Times New Roman" w:cs="Times New Roman"/>
          <w:color w:val="000000"/>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Lewis, C. E., Racheleefsky, G., Lewis, M. A., Sota de la, A., &amp; Kaplan, M. (1984). A randomized trial of A</w:t>
      </w:r>
      <w:r w:rsidRPr="00EF60B7">
        <w:rPr>
          <w:rFonts w:ascii="Times New Roman" w:hAnsi="Times New Roman" w:cs="Times New Roman"/>
          <w:b/>
          <w:sz w:val="24"/>
          <w:szCs w:val="24"/>
          <w:lang w:val="en-US"/>
        </w:rPr>
        <w:t xml:space="preserve">.C.T. </w:t>
      </w:r>
      <w:r w:rsidRPr="00EF60B7">
        <w:rPr>
          <w:rFonts w:ascii="Times New Roman" w:hAnsi="Times New Roman" w:cs="Times New Roman"/>
          <w:sz w:val="24"/>
          <w:szCs w:val="24"/>
          <w:lang w:val="en-US"/>
        </w:rPr>
        <w:t xml:space="preserve">(asthma care training) for kids. </w:t>
      </w:r>
      <w:r w:rsidRPr="00EF60B7">
        <w:rPr>
          <w:rFonts w:ascii="Times New Roman" w:hAnsi="Times New Roman" w:cs="Times New Roman"/>
          <w:i/>
          <w:sz w:val="24"/>
          <w:szCs w:val="24"/>
          <w:lang w:val="en-US"/>
        </w:rPr>
        <w:t>Pediatrics</w:t>
      </w:r>
      <w:r w:rsidRPr="00EF60B7">
        <w:rPr>
          <w:rFonts w:ascii="Times New Roman" w:hAnsi="Times New Roman" w:cs="Times New Roman"/>
          <w:sz w:val="24"/>
          <w:szCs w:val="24"/>
          <w:lang w:val="en-US"/>
        </w:rPr>
        <w:t>, 74: 478-486.</w:t>
      </w:r>
    </w:p>
    <w:p w:rsidR="00381ABF" w:rsidRPr="00EF60B7" w:rsidRDefault="00381ABF" w:rsidP="008D2DF6">
      <w:pPr>
        <w:autoSpaceDE w:val="0"/>
        <w:autoSpaceDN w:val="0"/>
        <w:adjustRightInd w:val="0"/>
        <w:spacing w:line="360" w:lineRule="auto"/>
        <w:jc w:val="both"/>
        <w:rPr>
          <w:rFonts w:ascii="Times New Roman" w:hAnsi="Times New Roman" w:cs="Times New Roman"/>
          <w:b/>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Lewin, S., Skea, Z., Entwistle, V., Zwarenstein,  M., Dick, J. (2003). </w:t>
      </w:r>
      <w:r w:rsidRPr="00EF60B7">
        <w:rPr>
          <w:rFonts w:ascii="Times New Roman" w:hAnsi="Times New Roman" w:cs="Times New Roman"/>
          <w:i/>
          <w:sz w:val="24"/>
          <w:szCs w:val="24"/>
          <w:lang w:val="en-US"/>
        </w:rPr>
        <w:t>Interventions for providers to promote a patient-centred approach in clinical consultation</w:t>
      </w:r>
      <w:r w:rsidRPr="00EF60B7">
        <w:rPr>
          <w:rFonts w:ascii="Times New Roman" w:hAnsi="Times New Roman" w:cs="Times New Roman"/>
          <w:sz w:val="24"/>
          <w:szCs w:val="24"/>
          <w:lang w:val="en-US"/>
        </w:rPr>
        <w:t>. (Cochrane Review). Cochrane Library, 1.</w:t>
      </w:r>
    </w:p>
    <w:p w:rsidR="00381ABF" w:rsidRPr="00EF60B7" w:rsidRDefault="00381ABF" w:rsidP="008D2DF6">
      <w:pPr>
        <w:autoSpaceDE w:val="0"/>
        <w:autoSpaceDN w:val="0"/>
        <w:adjustRightInd w:val="0"/>
        <w:spacing w:line="360" w:lineRule="auto"/>
        <w:jc w:val="both"/>
        <w:rPr>
          <w:rFonts w:ascii="Times New Roman" w:eastAsia="SimSun" w:hAnsi="Times New Roman" w:cs="Times New Roman"/>
          <w:color w:val="000000"/>
          <w:sz w:val="24"/>
          <w:szCs w:val="24"/>
          <w:lang w:val="en-US"/>
        </w:rPr>
      </w:pPr>
    </w:p>
    <w:p w:rsidR="00381ABF" w:rsidRPr="00EF60B7" w:rsidRDefault="00381ABF" w:rsidP="008D2DF6">
      <w:pPr>
        <w:autoSpaceDE w:val="0"/>
        <w:autoSpaceDN w:val="0"/>
        <w:adjustRightInd w:val="0"/>
        <w:spacing w:line="360" w:lineRule="auto"/>
        <w:jc w:val="both"/>
        <w:rPr>
          <w:rFonts w:ascii="Times New Roman" w:eastAsia="SimSun" w:hAnsi="Times New Roman" w:cs="Times New Roman"/>
          <w:color w:val="000000"/>
          <w:sz w:val="24"/>
          <w:szCs w:val="24"/>
          <w:lang w:val="en-US"/>
        </w:rPr>
      </w:pPr>
      <w:r w:rsidRPr="00EF60B7">
        <w:rPr>
          <w:rFonts w:ascii="Times New Roman" w:eastAsia="SimSun" w:hAnsi="Times New Roman" w:cs="Times New Roman"/>
          <w:color w:val="000000"/>
          <w:sz w:val="24"/>
          <w:szCs w:val="24"/>
          <w:lang w:val="en-US"/>
        </w:rPr>
        <w:t xml:space="preserve">Lewinsohn, S. &amp; Mano, H. (1993). Multi-attribute choice and affect: The influence of naturally occurring and manipulated moods on choice processes. </w:t>
      </w:r>
      <w:r w:rsidRPr="00EF60B7">
        <w:rPr>
          <w:rFonts w:ascii="Times New Roman" w:eastAsia="SimSun" w:hAnsi="Times New Roman" w:cs="Times New Roman"/>
          <w:i/>
          <w:color w:val="000000"/>
          <w:sz w:val="24"/>
          <w:szCs w:val="24"/>
          <w:lang w:val="en-US"/>
        </w:rPr>
        <w:t>Journal of Behavioral Decision Making</w:t>
      </w:r>
      <w:r w:rsidRPr="00EF60B7">
        <w:rPr>
          <w:rFonts w:ascii="Times New Roman" w:eastAsia="SimSun" w:hAnsi="Times New Roman" w:cs="Times New Roman"/>
          <w:color w:val="000000"/>
          <w:sz w:val="24"/>
          <w:szCs w:val="24"/>
          <w:lang w:val="en-US"/>
        </w:rPr>
        <w:t>, 6: 33-51.</w:t>
      </w:r>
    </w:p>
    <w:p w:rsidR="00381ABF" w:rsidRPr="00EF60B7" w:rsidRDefault="00381ABF" w:rsidP="008D2DF6">
      <w:pPr>
        <w:autoSpaceDE w:val="0"/>
        <w:autoSpaceDN w:val="0"/>
        <w:adjustRightInd w:val="0"/>
        <w:spacing w:line="360" w:lineRule="auto"/>
        <w:jc w:val="both"/>
        <w:rPr>
          <w:rFonts w:ascii="Times New Roman" w:eastAsia="SimSun" w:hAnsi="Times New Roman" w:cs="Times New Roman"/>
          <w:color w:val="000000"/>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Little, P., Everitt, H., Williamson, I., Warner, G., Moore, M., Gould, C., et al. (2001). Preferences of patients for patient centred approach to consultation in primary care: observational study.   </w:t>
      </w:r>
      <w:r w:rsidRPr="00EF60B7">
        <w:rPr>
          <w:rFonts w:ascii="Times New Roman" w:hAnsi="Times New Roman" w:cs="Times New Roman"/>
          <w:i/>
          <w:sz w:val="24"/>
          <w:szCs w:val="24"/>
          <w:lang w:val="en-US"/>
        </w:rPr>
        <w:t>British Medical Journal</w:t>
      </w:r>
      <w:r w:rsidRPr="00EF60B7">
        <w:rPr>
          <w:rFonts w:ascii="Times New Roman" w:hAnsi="Times New Roman" w:cs="Times New Roman"/>
          <w:sz w:val="24"/>
          <w:szCs w:val="24"/>
          <w:lang w:val="en-US"/>
        </w:rPr>
        <w:t xml:space="preserve"> , 322:468–72.</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Llewelyn-Thomas, H. A., McGreal, J. (1995). Cancer patients’ decision making and trial entry preferences: the effects of framing information about short-term toxicity and long-term survival</w:t>
      </w:r>
      <w:r w:rsidRPr="00EF60B7">
        <w:rPr>
          <w:rFonts w:ascii="Times New Roman" w:hAnsi="Times New Roman" w:cs="Times New Roman"/>
          <w:i/>
          <w:sz w:val="24"/>
          <w:szCs w:val="24"/>
          <w:lang w:val="en-US"/>
        </w:rPr>
        <w:t>.</w:t>
      </w:r>
      <w:r w:rsidRPr="00EF60B7">
        <w:rPr>
          <w:rFonts w:ascii="Times New Roman" w:hAnsi="Times New Roman" w:cs="Times New Roman"/>
          <w:sz w:val="24"/>
          <w:szCs w:val="24"/>
          <w:lang w:val="en-US"/>
        </w:rPr>
        <w:t xml:space="preserve"> </w:t>
      </w:r>
      <w:r w:rsidRPr="00EF60B7">
        <w:rPr>
          <w:rFonts w:ascii="Times New Roman" w:hAnsi="Times New Roman" w:cs="Times New Roman"/>
          <w:i/>
          <w:sz w:val="24"/>
          <w:szCs w:val="24"/>
          <w:lang w:val="en-US"/>
        </w:rPr>
        <w:t>Medical Decision Making</w:t>
      </w:r>
      <w:r w:rsidRPr="00EF60B7">
        <w:rPr>
          <w:rFonts w:ascii="Times New Roman" w:hAnsi="Times New Roman" w:cs="Times New Roman"/>
          <w:sz w:val="24"/>
          <w:szCs w:val="24"/>
          <w:lang w:val="en-US"/>
        </w:rPr>
        <w:t>, 15: 4-12.</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Luce, R. D., &amp; Narens, L. (1985). Classification of concatenation measurement structures according to scale type. </w:t>
      </w:r>
      <w:r w:rsidRPr="00EF60B7">
        <w:rPr>
          <w:rFonts w:ascii="Times New Roman" w:hAnsi="Times New Roman" w:cs="Times New Roman"/>
          <w:i/>
          <w:sz w:val="24"/>
          <w:szCs w:val="24"/>
          <w:lang w:val="en-US"/>
        </w:rPr>
        <w:t>Journal of Mathematical Psychology</w:t>
      </w:r>
      <w:r w:rsidRPr="00EF60B7">
        <w:rPr>
          <w:rFonts w:ascii="Times New Roman" w:hAnsi="Times New Roman" w:cs="Times New Roman"/>
          <w:sz w:val="24"/>
          <w:szCs w:val="24"/>
          <w:lang w:val="en-US"/>
        </w:rPr>
        <w:t>, 29: 1-72.</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rPr>
      </w:pPr>
      <w:r w:rsidRPr="00EF60B7">
        <w:rPr>
          <w:rFonts w:ascii="Times New Roman" w:hAnsi="Times New Roman" w:cs="Times New Roman"/>
          <w:sz w:val="24"/>
          <w:szCs w:val="24"/>
          <w:lang w:val="en-US"/>
        </w:rPr>
        <w:t xml:space="preserve">Machina, M. J. (1982). «Expected utility» analysis without the independence axiom. </w:t>
      </w:r>
      <w:r w:rsidRPr="00EF60B7">
        <w:rPr>
          <w:rFonts w:ascii="Times New Roman" w:hAnsi="Times New Roman" w:cs="Times New Roman"/>
          <w:i/>
          <w:sz w:val="24"/>
          <w:szCs w:val="24"/>
        </w:rPr>
        <w:t>Econometrica</w:t>
      </w:r>
      <w:r w:rsidRPr="00EF60B7">
        <w:rPr>
          <w:rFonts w:ascii="Times New Roman" w:hAnsi="Times New Roman" w:cs="Times New Roman"/>
          <w:sz w:val="24"/>
          <w:szCs w:val="24"/>
        </w:rPr>
        <w:t>, 50: 273-323.</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rPr>
      </w:pPr>
    </w:p>
    <w:p w:rsidR="00381ABF" w:rsidRPr="00EF60B7" w:rsidRDefault="00381ABF" w:rsidP="008D2DF6">
      <w:pPr>
        <w:spacing w:line="360" w:lineRule="auto"/>
        <w:jc w:val="both"/>
        <w:rPr>
          <w:rFonts w:ascii="Times New Roman" w:eastAsia="SimSun" w:hAnsi="Times New Roman" w:cs="Times New Roman"/>
          <w:sz w:val="24"/>
          <w:szCs w:val="24"/>
          <w:lang w:val="en-US"/>
        </w:rPr>
      </w:pPr>
      <w:r w:rsidRPr="00EF60B7">
        <w:rPr>
          <w:rFonts w:ascii="Times New Roman" w:eastAsia="SimSun" w:hAnsi="Times New Roman" w:cs="Times New Roman"/>
          <w:sz w:val="24"/>
          <w:szCs w:val="24"/>
        </w:rPr>
        <w:t xml:space="preserve">Majani G. ( 2001 ). </w:t>
      </w:r>
      <w:r w:rsidRPr="00EF60B7">
        <w:rPr>
          <w:rFonts w:ascii="Times New Roman" w:eastAsia="SimSun" w:hAnsi="Times New Roman" w:cs="Times New Roman"/>
          <w:i/>
          <w:sz w:val="24"/>
          <w:szCs w:val="24"/>
        </w:rPr>
        <w:t>Compliance, adesione, aderenza. I punti critici della relazione terapeutica</w:t>
      </w:r>
      <w:r w:rsidRPr="00EF60B7">
        <w:rPr>
          <w:rFonts w:ascii="Times New Roman" w:eastAsia="SimSun" w:hAnsi="Times New Roman" w:cs="Times New Roman"/>
          <w:sz w:val="24"/>
          <w:szCs w:val="24"/>
        </w:rPr>
        <w:t xml:space="preserve">. </w:t>
      </w:r>
      <w:r w:rsidRPr="00EF60B7">
        <w:rPr>
          <w:rFonts w:ascii="Times New Roman" w:eastAsia="SimSun" w:hAnsi="Times New Roman" w:cs="Times New Roman"/>
          <w:sz w:val="24"/>
          <w:szCs w:val="24"/>
        </w:rPr>
        <w:tab/>
      </w:r>
      <w:r w:rsidRPr="00EF60B7">
        <w:rPr>
          <w:rFonts w:ascii="Times New Roman" w:eastAsia="SimSun" w:hAnsi="Times New Roman" w:cs="Times New Roman"/>
          <w:sz w:val="24"/>
          <w:szCs w:val="24"/>
          <w:lang w:val="en-US"/>
        </w:rPr>
        <w:t>McGraw-Hill, Milano.</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Majone, G. (1984). A good decision is more than a right decision, in C. Vlek (a cura di), What constitutes “a good decision”?, </w:t>
      </w:r>
      <w:r w:rsidRPr="00EF60B7">
        <w:rPr>
          <w:rFonts w:ascii="Times New Roman" w:hAnsi="Times New Roman" w:cs="Times New Roman"/>
          <w:i/>
          <w:sz w:val="24"/>
          <w:szCs w:val="24"/>
          <w:lang w:val="en-US"/>
        </w:rPr>
        <w:t>Acta Psychologica</w:t>
      </w:r>
      <w:r w:rsidRPr="00EF60B7">
        <w:rPr>
          <w:rFonts w:ascii="Times New Roman" w:hAnsi="Times New Roman" w:cs="Times New Roman"/>
          <w:sz w:val="24"/>
          <w:szCs w:val="24"/>
          <w:lang w:val="en-US"/>
        </w:rPr>
        <w:t>, 56: 5-27.</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lastRenderedPageBreak/>
        <w:t xml:space="preserve">Makoul, G. (2001). Essential elements of communication in medical encounters: the Kalamazoo consensus statement. </w:t>
      </w:r>
      <w:r w:rsidRPr="00EF60B7">
        <w:rPr>
          <w:rFonts w:ascii="Times New Roman" w:hAnsi="Times New Roman" w:cs="Times New Roman"/>
          <w:i/>
          <w:sz w:val="24"/>
          <w:szCs w:val="24"/>
          <w:lang w:val="en-US"/>
        </w:rPr>
        <w:t>Academic Medicine</w:t>
      </w:r>
      <w:r w:rsidRPr="00EF60B7">
        <w:rPr>
          <w:rFonts w:ascii="Times New Roman" w:hAnsi="Times New Roman" w:cs="Times New Roman"/>
          <w:sz w:val="24"/>
          <w:szCs w:val="24"/>
          <w:lang w:val="en-US"/>
        </w:rPr>
        <w:t>, 76: 390-3.</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i/>
          <w:sz w:val="24"/>
          <w:szCs w:val="24"/>
          <w:lang w:val="en-US"/>
        </w:rPr>
      </w:pPr>
      <w:r w:rsidRPr="00EF60B7">
        <w:rPr>
          <w:rFonts w:ascii="Times New Roman" w:hAnsi="Times New Roman" w:cs="Times New Roman"/>
          <w:sz w:val="24"/>
          <w:szCs w:val="24"/>
          <w:lang w:val="en-US"/>
        </w:rPr>
        <w:t>Marvel,  M., Epstein, R., Flowers, K., Beckman, H. (1999).  Soliciting the patient’s agenda. Have we improved?</w:t>
      </w:r>
      <w:r w:rsidRPr="00EF60B7">
        <w:rPr>
          <w:rFonts w:ascii="Times New Roman" w:hAnsi="Times New Roman" w:cs="Times New Roman"/>
          <w:i/>
          <w:sz w:val="24"/>
          <w:szCs w:val="24"/>
          <w:lang w:val="en-US"/>
        </w:rPr>
        <w:t xml:space="preserve"> Journal of  American Medical Association</w:t>
      </w:r>
      <w:r w:rsidRPr="00EF60B7">
        <w:rPr>
          <w:rFonts w:ascii="Times New Roman" w:hAnsi="Times New Roman" w:cs="Times New Roman"/>
          <w:sz w:val="24"/>
          <w:szCs w:val="24"/>
          <w:lang w:val="en-US"/>
        </w:rPr>
        <w:t>, 281:283–7.</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spacing w:line="360" w:lineRule="auto"/>
        <w:jc w:val="both"/>
        <w:rPr>
          <w:rFonts w:ascii="Times New Roman" w:eastAsia="SimSun" w:hAnsi="Times New Roman" w:cs="Times New Roman"/>
          <w:sz w:val="24"/>
          <w:szCs w:val="24"/>
          <w:lang w:val="en-US"/>
        </w:rPr>
      </w:pPr>
      <w:r w:rsidRPr="00EF60B7">
        <w:rPr>
          <w:rFonts w:ascii="Times New Roman" w:eastAsia="SimSun" w:hAnsi="Times New Roman" w:cs="Times New Roman"/>
          <w:sz w:val="24"/>
          <w:szCs w:val="24"/>
          <w:lang w:val="en-US"/>
        </w:rPr>
        <w:t xml:space="preserve">Mastaglia, B., &amp; Kristjanson, L. J. (2001). Factors influencing women’s decisions for choice of surgery  for Stage I and Stage II breast cancer in Western Australia. </w:t>
      </w:r>
      <w:r w:rsidRPr="00EF60B7">
        <w:rPr>
          <w:rFonts w:ascii="Times New Roman" w:eastAsia="SimSun" w:hAnsi="Times New Roman" w:cs="Times New Roman"/>
          <w:i/>
          <w:sz w:val="24"/>
          <w:szCs w:val="24"/>
          <w:lang w:val="en-US"/>
        </w:rPr>
        <w:t>Journal of  Advanced Nursing</w:t>
      </w:r>
      <w:r w:rsidRPr="00EF60B7">
        <w:rPr>
          <w:rFonts w:ascii="Times New Roman" w:eastAsia="SimSun" w:hAnsi="Times New Roman" w:cs="Times New Roman"/>
          <w:sz w:val="24"/>
          <w:szCs w:val="24"/>
          <w:lang w:val="en-US"/>
        </w:rPr>
        <w:t>, 35: 836-47.</w:t>
      </w:r>
    </w:p>
    <w:p w:rsidR="00381ABF" w:rsidRPr="00EF60B7" w:rsidRDefault="00381ABF" w:rsidP="008D2DF6">
      <w:pPr>
        <w:spacing w:line="360" w:lineRule="auto"/>
        <w:jc w:val="both"/>
        <w:rPr>
          <w:rFonts w:ascii="Times New Roman" w:eastAsia="SimSun" w:hAnsi="Times New Roman" w:cs="Times New Roman"/>
          <w:sz w:val="24"/>
          <w:szCs w:val="24"/>
          <w:lang w:val="en-US"/>
        </w:rPr>
      </w:pPr>
    </w:p>
    <w:p w:rsidR="00381ABF" w:rsidRPr="00EF60B7" w:rsidRDefault="00381ABF" w:rsidP="008D2DF6">
      <w:pPr>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Mauri, A. &amp; Tinti, C. (2002). </w:t>
      </w:r>
      <w:r w:rsidRPr="00EF60B7">
        <w:rPr>
          <w:rFonts w:ascii="Times New Roman" w:hAnsi="Times New Roman" w:cs="Times New Roman"/>
          <w:i/>
          <w:iCs/>
          <w:sz w:val="24"/>
          <w:szCs w:val="24"/>
          <w:lang w:val="en-US"/>
        </w:rPr>
        <w:t>Formare alla Comunicazione</w:t>
      </w:r>
      <w:r w:rsidRPr="00EF60B7">
        <w:rPr>
          <w:rFonts w:ascii="Times New Roman" w:hAnsi="Times New Roman" w:cs="Times New Roman"/>
          <w:sz w:val="24"/>
          <w:szCs w:val="24"/>
          <w:lang w:val="en-US"/>
        </w:rPr>
        <w:t>. Erickson. Trento</w:t>
      </w:r>
    </w:p>
    <w:p w:rsidR="00381ABF" w:rsidRPr="00EF60B7" w:rsidRDefault="00381ABF" w:rsidP="008D2DF6">
      <w:pPr>
        <w:spacing w:line="360" w:lineRule="auto"/>
        <w:jc w:val="both"/>
        <w:rPr>
          <w:rFonts w:ascii="Times New Roman" w:eastAsia="SimSu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Mazur, D.J., &amp; Hickam, D.H. (1996). Patient preferences for management of localized prostate cancer. </w:t>
      </w:r>
      <w:r w:rsidRPr="00EF60B7">
        <w:rPr>
          <w:rFonts w:ascii="Times New Roman" w:hAnsi="Times New Roman" w:cs="Times New Roman"/>
          <w:i/>
          <w:sz w:val="24"/>
          <w:szCs w:val="24"/>
          <w:lang w:val="en-US"/>
        </w:rPr>
        <w:t>Western Journal of Medicine</w:t>
      </w:r>
      <w:r w:rsidRPr="00EF60B7">
        <w:rPr>
          <w:rFonts w:ascii="Times New Roman" w:hAnsi="Times New Roman" w:cs="Times New Roman"/>
          <w:sz w:val="24"/>
          <w:szCs w:val="24"/>
          <w:lang w:val="en-US"/>
        </w:rPr>
        <w:t>, 165: 26–30.</w:t>
      </w:r>
    </w:p>
    <w:p w:rsidR="00381ABF" w:rsidRPr="00EF60B7" w:rsidRDefault="00381ABF" w:rsidP="008D2DF6">
      <w:pPr>
        <w:spacing w:line="360" w:lineRule="auto"/>
        <w:jc w:val="both"/>
        <w:rPr>
          <w:rFonts w:ascii="Times New Roman" w:eastAsia="SimSu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McWhinney,  I. (1996). The importance of being different. </w:t>
      </w:r>
      <w:r w:rsidRPr="00EF60B7">
        <w:rPr>
          <w:rFonts w:ascii="Times New Roman" w:hAnsi="Times New Roman" w:cs="Times New Roman"/>
          <w:i/>
          <w:sz w:val="24"/>
          <w:szCs w:val="24"/>
          <w:lang w:val="en-US"/>
        </w:rPr>
        <w:t>British Journal of General Practice</w:t>
      </w:r>
      <w:r w:rsidRPr="00EF60B7">
        <w:rPr>
          <w:rFonts w:ascii="Times New Roman" w:hAnsi="Times New Roman" w:cs="Times New Roman"/>
          <w:sz w:val="24"/>
          <w:szCs w:val="24"/>
          <w:lang w:val="en-US"/>
        </w:rPr>
        <w:t>, 46:433–6.</w:t>
      </w:r>
    </w:p>
    <w:p w:rsidR="00381ABF" w:rsidRPr="00EF60B7" w:rsidRDefault="00381ABF" w:rsidP="008D2DF6">
      <w:pPr>
        <w:spacing w:line="360" w:lineRule="auto"/>
        <w:jc w:val="both"/>
        <w:rPr>
          <w:rFonts w:ascii="Times New Roman" w:eastAsia="SimSun" w:hAnsi="Times New Roman" w:cs="Times New Roman"/>
          <w:sz w:val="24"/>
          <w:szCs w:val="24"/>
          <w:lang w:val="en-US"/>
        </w:rPr>
      </w:pPr>
    </w:p>
    <w:p w:rsidR="00381ABF" w:rsidRPr="00EF60B7" w:rsidRDefault="00381ABF" w:rsidP="008D2DF6">
      <w:pPr>
        <w:spacing w:line="360" w:lineRule="auto"/>
        <w:jc w:val="both"/>
        <w:rPr>
          <w:rFonts w:ascii="Times New Roman" w:eastAsia="SimSun" w:hAnsi="Times New Roman" w:cs="Times New Roman"/>
          <w:sz w:val="24"/>
          <w:szCs w:val="24"/>
          <w:lang w:val="en-US"/>
        </w:rPr>
      </w:pPr>
      <w:r w:rsidRPr="00EF60B7">
        <w:rPr>
          <w:rFonts w:ascii="Times New Roman" w:eastAsia="SimSun" w:hAnsi="Times New Roman" w:cs="Times New Roman"/>
          <w:sz w:val="24"/>
          <w:szCs w:val="24"/>
          <w:lang w:val="en-US"/>
        </w:rPr>
        <w:t xml:space="preserve">Mechanic, D., McAlpine, D. D., &amp; Rosenthal, M. (2001). Are patients’ office visits with physicians getting shorter? </w:t>
      </w:r>
      <w:r w:rsidRPr="00EF60B7">
        <w:rPr>
          <w:rFonts w:ascii="Times New Roman" w:eastAsia="SimSun" w:hAnsi="Times New Roman" w:cs="Times New Roman"/>
          <w:i/>
          <w:sz w:val="24"/>
          <w:szCs w:val="24"/>
          <w:lang w:val="en-US"/>
        </w:rPr>
        <w:t>New England Journal of Medicine</w:t>
      </w:r>
      <w:r w:rsidRPr="00EF60B7">
        <w:rPr>
          <w:rFonts w:ascii="Times New Roman" w:eastAsia="SimSun" w:hAnsi="Times New Roman" w:cs="Times New Roman"/>
          <w:sz w:val="24"/>
          <w:szCs w:val="24"/>
          <w:lang w:val="en-US"/>
        </w:rPr>
        <w:t>, 344: 198-204.</w:t>
      </w:r>
    </w:p>
    <w:p w:rsidR="00381ABF" w:rsidRPr="00EF60B7" w:rsidRDefault="00381ABF" w:rsidP="008D2DF6">
      <w:pPr>
        <w:spacing w:line="360" w:lineRule="auto"/>
        <w:jc w:val="both"/>
        <w:rPr>
          <w:rFonts w:ascii="Times New Roman" w:eastAsia="SimSun" w:hAnsi="Times New Roman" w:cs="Times New Roman"/>
          <w:sz w:val="24"/>
          <w:szCs w:val="24"/>
          <w:lang w:val="en-US"/>
        </w:rPr>
      </w:pPr>
    </w:p>
    <w:p w:rsidR="00381ABF" w:rsidRPr="00EF60B7" w:rsidRDefault="00381ABF" w:rsidP="008D2DF6">
      <w:pPr>
        <w:spacing w:line="360" w:lineRule="auto"/>
        <w:jc w:val="both"/>
        <w:rPr>
          <w:rFonts w:ascii="Times New Roman" w:eastAsia="SimSun" w:hAnsi="Times New Roman" w:cs="Times New Roman"/>
          <w:sz w:val="24"/>
          <w:szCs w:val="24"/>
          <w:lang w:val="en-US"/>
        </w:rPr>
      </w:pPr>
      <w:r w:rsidRPr="00EF60B7">
        <w:rPr>
          <w:rFonts w:ascii="Times New Roman" w:eastAsia="SimSun" w:hAnsi="Times New Roman" w:cs="Times New Roman"/>
          <w:sz w:val="24"/>
          <w:szCs w:val="24"/>
          <w:lang w:val="en-US"/>
        </w:rPr>
        <w:t xml:space="preserve">Mercer, S. W., &amp; Reynolds, W. (2002). Empathy and quality of care. </w:t>
      </w:r>
      <w:r w:rsidRPr="00EF60B7">
        <w:rPr>
          <w:rFonts w:ascii="Times New Roman" w:eastAsia="SimSun" w:hAnsi="Times New Roman" w:cs="Times New Roman"/>
          <w:i/>
          <w:sz w:val="24"/>
          <w:szCs w:val="24"/>
          <w:lang w:val="en-US"/>
        </w:rPr>
        <w:t>British Journal of  General Psychiatry</w:t>
      </w:r>
      <w:r w:rsidRPr="00EF60B7">
        <w:rPr>
          <w:rFonts w:ascii="Times New Roman" w:eastAsia="SimSun" w:hAnsi="Times New Roman" w:cs="Times New Roman"/>
          <w:sz w:val="24"/>
          <w:szCs w:val="24"/>
          <w:lang w:val="en-US"/>
        </w:rPr>
        <w:t>, 52 (Suppl):S9-12.</w:t>
      </w:r>
    </w:p>
    <w:p w:rsidR="00381ABF" w:rsidRPr="00EF60B7" w:rsidRDefault="00381ABF" w:rsidP="008D2DF6">
      <w:pPr>
        <w:spacing w:line="360" w:lineRule="auto"/>
        <w:jc w:val="both"/>
        <w:rPr>
          <w:rFonts w:ascii="Times New Roman" w:eastAsia="SimSun" w:hAnsi="Times New Roman" w:cs="Times New Roman"/>
          <w:sz w:val="24"/>
          <w:szCs w:val="24"/>
          <w:lang w:val="en-US"/>
        </w:rPr>
      </w:pPr>
    </w:p>
    <w:p w:rsidR="00381ABF" w:rsidRPr="00EF60B7" w:rsidRDefault="00381ABF" w:rsidP="008D2DF6">
      <w:pPr>
        <w:spacing w:line="360" w:lineRule="auto"/>
        <w:jc w:val="both"/>
        <w:rPr>
          <w:rFonts w:ascii="Times New Roman" w:eastAsia="SimSun" w:hAnsi="Times New Roman" w:cs="Times New Roman"/>
          <w:sz w:val="24"/>
          <w:szCs w:val="24"/>
        </w:rPr>
      </w:pPr>
      <w:r w:rsidRPr="00EF60B7">
        <w:rPr>
          <w:rFonts w:ascii="Times New Roman" w:eastAsia="SimSun" w:hAnsi="Times New Roman" w:cs="Times New Roman"/>
          <w:sz w:val="24"/>
          <w:szCs w:val="24"/>
          <w:lang w:val="en-US"/>
        </w:rPr>
        <w:lastRenderedPageBreak/>
        <w:t xml:space="preserve">Misuraca, R., Fasolo, B., &amp; Cardaci, M. (2007). </w:t>
      </w:r>
      <w:r w:rsidRPr="00EF60B7">
        <w:rPr>
          <w:rFonts w:ascii="Times New Roman" w:eastAsia="SimSun" w:hAnsi="Times New Roman" w:cs="Times New Roman"/>
          <w:i/>
          <w:sz w:val="24"/>
          <w:szCs w:val="24"/>
        </w:rPr>
        <w:t>I processi decisionali</w:t>
      </w:r>
      <w:r w:rsidRPr="00EF60B7">
        <w:rPr>
          <w:rFonts w:ascii="Times New Roman" w:eastAsia="SimSun" w:hAnsi="Times New Roman" w:cs="Times New Roman"/>
          <w:sz w:val="24"/>
          <w:szCs w:val="24"/>
        </w:rPr>
        <w:t>. Il Mulino, Bologna.</w:t>
      </w:r>
    </w:p>
    <w:p w:rsidR="00381ABF" w:rsidRPr="00EF60B7" w:rsidRDefault="00381ABF" w:rsidP="008D2DF6">
      <w:pPr>
        <w:spacing w:line="360" w:lineRule="auto"/>
        <w:jc w:val="both"/>
        <w:rPr>
          <w:rFonts w:ascii="Times New Roman" w:eastAsia="SimSun" w:hAnsi="Times New Roman" w:cs="Times New Roman"/>
          <w:sz w:val="24"/>
          <w:szCs w:val="24"/>
        </w:rPr>
      </w:pPr>
    </w:p>
    <w:p w:rsidR="00381ABF" w:rsidRPr="00EF60B7" w:rsidRDefault="00381ABF" w:rsidP="008D2DF6">
      <w:pPr>
        <w:spacing w:line="360" w:lineRule="auto"/>
        <w:jc w:val="both"/>
        <w:rPr>
          <w:rFonts w:ascii="Times New Roman" w:eastAsia="SimSun" w:hAnsi="Times New Roman" w:cs="Times New Roman"/>
          <w:sz w:val="24"/>
          <w:szCs w:val="24"/>
        </w:rPr>
      </w:pPr>
      <w:r w:rsidRPr="00EF60B7">
        <w:rPr>
          <w:rFonts w:ascii="Times New Roman" w:eastAsia="SimSun" w:hAnsi="Times New Roman" w:cs="Times New Roman"/>
          <w:sz w:val="24"/>
          <w:szCs w:val="24"/>
        </w:rPr>
        <w:t xml:space="preserve">Moja, E. A., Vegni, E. (2000). </w:t>
      </w:r>
      <w:r w:rsidRPr="00EF60B7">
        <w:rPr>
          <w:rFonts w:ascii="Times New Roman" w:eastAsia="SimSun" w:hAnsi="Times New Roman" w:cs="Times New Roman"/>
          <w:i/>
          <w:sz w:val="24"/>
          <w:szCs w:val="24"/>
        </w:rPr>
        <w:t>La visita medica centrata sul paziente</w:t>
      </w:r>
      <w:r w:rsidRPr="00EF60B7">
        <w:rPr>
          <w:rFonts w:ascii="Times New Roman" w:eastAsia="SimSun" w:hAnsi="Times New Roman" w:cs="Times New Roman"/>
          <w:sz w:val="24"/>
          <w:szCs w:val="24"/>
        </w:rPr>
        <w:t>. Milano: Raffaello Cortina Editore.</w:t>
      </w:r>
    </w:p>
    <w:p w:rsidR="00381ABF" w:rsidRPr="00EF60B7" w:rsidRDefault="00381ABF" w:rsidP="008D2DF6">
      <w:pPr>
        <w:spacing w:line="360" w:lineRule="auto"/>
        <w:jc w:val="both"/>
        <w:rPr>
          <w:rFonts w:ascii="Times New Roman" w:eastAsia="SimSun" w:hAnsi="Times New Roman" w:cs="Times New Roman"/>
          <w:sz w:val="24"/>
          <w:szCs w:val="24"/>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rPr>
        <w:t xml:space="preserve">Muñoz Alamo, M., Ruiz Moral, R., Perula de Torres, L. (2002). </w:t>
      </w:r>
      <w:r w:rsidRPr="00EF60B7">
        <w:rPr>
          <w:rFonts w:ascii="Times New Roman" w:hAnsi="Times New Roman" w:cs="Times New Roman"/>
          <w:sz w:val="24"/>
          <w:szCs w:val="24"/>
          <w:lang w:val="en-US"/>
        </w:rPr>
        <w:t xml:space="preserve">Evaluation of a patient-centred approach in generalized musculoskeletal chronic pain/fibromyalgia patients in primary care.  </w:t>
      </w:r>
      <w:r w:rsidRPr="00EF60B7">
        <w:rPr>
          <w:rFonts w:ascii="Times New Roman" w:hAnsi="Times New Roman" w:cs="Times New Roman"/>
          <w:i/>
          <w:sz w:val="24"/>
          <w:szCs w:val="24"/>
          <w:lang w:val="en-US"/>
        </w:rPr>
        <w:t>Patient  Education and Counseling</w:t>
      </w:r>
      <w:r w:rsidRPr="00EF60B7">
        <w:rPr>
          <w:rFonts w:ascii="Times New Roman" w:hAnsi="Times New Roman" w:cs="Times New Roman"/>
          <w:sz w:val="24"/>
          <w:szCs w:val="24"/>
          <w:lang w:val="en-US"/>
        </w:rPr>
        <w:t>, 48:23–31.</w:t>
      </w:r>
    </w:p>
    <w:p w:rsidR="00381ABF" w:rsidRPr="00EF60B7" w:rsidRDefault="00381ABF" w:rsidP="008D2DF6">
      <w:pPr>
        <w:tabs>
          <w:tab w:val="left" w:pos="1483"/>
          <w:tab w:val="left" w:pos="5180"/>
        </w:tabs>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ab/>
      </w:r>
      <w:r w:rsidRPr="00EF60B7">
        <w:rPr>
          <w:rFonts w:ascii="Times New Roman" w:hAnsi="Times New Roman" w:cs="Times New Roman"/>
          <w:sz w:val="24"/>
          <w:szCs w:val="24"/>
          <w:lang w:val="en-US"/>
        </w:rPr>
        <w:tab/>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Myers, L. B., &amp; Midence, K. (1998). </w:t>
      </w:r>
      <w:r w:rsidRPr="00EF60B7">
        <w:rPr>
          <w:rFonts w:ascii="Times New Roman" w:hAnsi="Times New Roman" w:cs="Times New Roman"/>
          <w:i/>
          <w:sz w:val="24"/>
          <w:szCs w:val="24"/>
          <w:lang w:val="en-US"/>
        </w:rPr>
        <w:t>Concepts and issues in adherence</w:t>
      </w:r>
      <w:r w:rsidRPr="00EF60B7">
        <w:rPr>
          <w:rFonts w:ascii="Times New Roman" w:hAnsi="Times New Roman" w:cs="Times New Roman"/>
          <w:sz w:val="24"/>
          <w:szCs w:val="24"/>
          <w:lang w:val="en-US"/>
        </w:rPr>
        <w:t xml:space="preserve">. In L. B. Myers e K. Midence (Eds.), </w:t>
      </w:r>
      <w:r w:rsidRPr="00EF60B7">
        <w:rPr>
          <w:rFonts w:ascii="Times New Roman" w:hAnsi="Times New Roman" w:cs="Times New Roman"/>
          <w:i/>
          <w:sz w:val="24"/>
          <w:szCs w:val="24"/>
          <w:lang w:val="en-US"/>
        </w:rPr>
        <w:t>Adherence to treatment in medical conditions</w:t>
      </w:r>
      <w:r w:rsidRPr="00EF60B7">
        <w:rPr>
          <w:rFonts w:ascii="Times New Roman" w:hAnsi="Times New Roman" w:cs="Times New Roman"/>
          <w:sz w:val="24"/>
          <w:szCs w:val="24"/>
          <w:lang w:val="en-US"/>
        </w:rPr>
        <w:t>. Amsterdam: Harwood Academic Publishers.</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Nordholm, L. A. (1980). Beautiful patients are good patients: Evidence for the physical attractiveness stereotype in first impressions of patients. </w:t>
      </w:r>
      <w:r w:rsidRPr="00EF60B7">
        <w:rPr>
          <w:rFonts w:ascii="Times New Roman" w:hAnsi="Times New Roman" w:cs="Times New Roman"/>
          <w:i/>
          <w:sz w:val="24"/>
          <w:szCs w:val="24"/>
          <w:lang w:val="en-US"/>
        </w:rPr>
        <w:t>Social Science &amp; Medicine</w:t>
      </w:r>
      <w:r w:rsidRPr="00EF60B7">
        <w:rPr>
          <w:rFonts w:ascii="Times New Roman" w:hAnsi="Times New Roman" w:cs="Times New Roman"/>
          <w:sz w:val="24"/>
          <w:szCs w:val="24"/>
          <w:lang w:val="en-US"/>
        </w:rPr>
        <w:t>, 14A: 81-83.</w:t>
      </w:r>
    </w:p>
    <w:p w:rsidR="00381ABF" w:rsidRPr="00EF60B7" w:rsidRDefault="00381ABF" w:rsidP="008D2DF6">
      <w:pPr>
        <w:tabs>
          <w:tab w:val="left" w:pos="6308"/>
          <w:tab w:val="left" w:pos="7157"/>
        </w:tabs>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ab/>
      </w:r>
      <w:r w:rsidRPr="00EF60B7">
        <w:rPr>
          <w:rFonts w:ascii="Times New Roman" w:hAnsi="Times New Roman" w:cs="Times New Roman"/>
          <w:sz w:val="24"/>
          <w:szCs w:val="24"/>
          <w:lang w:val="en-US"/>
        </w:rPr>
        <w:tab/>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Orfali, K. (2004). Parental role in medical decision-making: fact or fiction? A comparative study of ethical dilemmas in French and American neonatal intensive care units. </w:t>
      </w:r>
      <w:r w:rsidRPr="00EF60B7">
        <w:rPr>
          <w:rFonts w:ascii="Times New Roman" w:hAnsi="Times New Roman" w:cs="Times New Roman"/>
          <w:i/>
          <w:sz w:val="24"/>
          <w:szCs w:val="24"/>
          <w:lang w:val="en-US"/>
        </w:rPr>
        <w:t>Social Science &amp; Medicine</w:t>
      </w:r>
      <w:r w:rsidRPr="00EF60B7">
        <w:rPr>
          <w:rFonts w:ascii="Times New Roman" w:hAnsi="Times New Roman" w:cs="Times New Roman"/>
          <w:sz w:val="24"/>
          <w:szCs w:val="24"/>
          <w:lang w:val="en-US"/>
        </w:rPr>
        <w:t>, 58: 2009-2022.</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Orfali, K. &amp; Gordon, J. E. (2004). Autonomy gone awry: A cross-cultural study of parent’s experiences in neonatal intensive care units. </w:t>
      </w:r>
      <w:r w:rsidRPr="00EF60B7">
        <w:rPr>
          <w:rFonts w:ascii="Times New Roman" w:hAnsi="Times New Roman" w:cs="Times New Roman"/>
          <w:i/>
          <w:sz w:val="24"/>
          <w:szCs w:val="24"/>
          <w:lang w:val="en-US"/>
        </w:rPr>
        <w:t>Theoretical Medicine</w:t>
      </w:r>
      <w:r w:rsidRPr="00EF60B7">
        <w:rPr>
          <w:rFonts w:ascii="Times New Roman" w:hAnsi="Times New Roman" w:cs="Times New Roman"/>
          <w:sz w:val="24"/>
          <w:szCs w:val="24"/>
          <w:lang w:val="en-US"/>
        </w:rPr>
        <w:t>, 25: 329-365.</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lastRenderedPageBreak/>
        <w:t xml:space="preserve">Pinquart, M. &amp; Duberstein, P. R. (2004). Information needs and decision-making processes in older cancer patients. </w:t>
      </w:r>
      <w:r w:rsidRPr="00EF60B7">
        <w:rPr>
          <w:rFonts w:ascii="Times New Roman" w:hAnsi="Times New Roman" w:cs="Times New Roman"/>
          <w:i/>
          <w:sz w:val="24"/>
          <w:szCs w:val="24"/>
          <w:lang w:val="en-US"/>
        </w:rPr>
        <w:t>Critical Reviews in Oncology/Hematology</w:t>
      </w:r>
      <w:r w:rsidRPr="00EF60B7">
        <w:rPr>
          <w:rFonts w:ascii="Times New Roman" w:hAnsi="Times New Roman" w:cs="Times New Roman"/>
          <w:sz w:val="24"/>
          <w:szCs w:val="24"/>
          <w:lang w:val="en-US"/>
        </w:rPr>
        <w:t>, 51: 69-80.</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Price, J. H., Desmond, S. M., Snyder, F. F., &amp; Kimmel, S. R. (1988). Perceptions of family practice residents regarding health care and poor patients. </w:t>
      </w:r>
      <w:r w:rsidRPr="00EF60B7">
        <w:rPr>
          <w:rFonts w:ascii="Times New Roman" w:hAnsi="Times New Roman" w:cs="Times New Roman"/>
          <w:i/>
          <w:sz w:val="24"/>
          <w:szCs w:val="24"/>
          <w:lang w:val="en-US"/>
        </w:rPr>
        <w:t>Journal of Family Practice</w:t>
      </w:r>
      <w:r w:rsidRPr="00EF60B7">
        <w:rPr>
          <w:rFonts w:ascii="Times New Roman" w:hAnsi="Times New Roman" w:cs="Times New Roman"/>
          <w:sz w:val="24"/>
          <w:szCs w:val="24"/>
          <w:lang w:val="en-US"/>
        </w:rPr>
        <w:t>, 27: 615-621.</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Prohaska, T. R., &amp; Glasser, M. (1996). Patients’ views of family involvement in medical care decisions and encounters. </w:t>
      </w:r>
      <w:r w:rsidRPr="00EF60B7">
        <w:rPr>
          <w:rFonts w:ascii="Times New Roman" w:hAnsi="Times New Roman" w:cs="Times New Roman"/>
          <w:i/>
          <w:sz w:val="24"/>
          <w:szCs w:val="24"/>
          <w:lang w:val="en-US"/>
        </w:rPr>
        <w:t>Research on Aging</w:t>
      </w:r>
      <w:r w:rsidRPr="00EF60B7">
        <w:rPr>
          <w:rFonts w:ascii="Times New Roman" w:hAnsi="Times New Roman" w:cs="Times New Roman"/>
          <w:sz w:val="24"/>
          <w:szCs w:val="24"/>
          <w:lang w:val="en-US"/>
        </w:rPr>
        <w:t>, 18(1), 52–69.</w:t>
      </w:r>
    </w:p>
    <w:p w:rsidR="00381ABF" w:rsidRPr="00EF60B7" w:rsidRDefault="00381ABF" w:rsidP="008D2DF6">
      <w:pPr>
        <w:autoSpaceDE w:val="0"/>
        <w:autoSpaceDN w:val="0"/>
        <w:adjustRightInd w:val="0"/>
        <w:spacing w:line="360" w:lineRule="auto"/>
        <w:jc w:val="both"/>
        <w:rPr>
          <w:rFonts w:ascii="Times New Roman" w:hAnsi="Times New Roman" w:cs="Times New Roman"/>
          <w:i/>
          <w:sz w:val="24"/>
          <w:szCs w:val="24"/>
          <w:lang w:val="en-US"/>
        </w:rPr>
      </w:pPr>
    </w:p>
    <w:p w:rsidR="00381ABF" w:rsidRPr="00EF60B7" w:rsidRDefault="00381ABF" w:rsidP="008D2DF6">
      <w:pPr>
        <w:spacing w:line="360" w:lineRule="auto"/>
        <w:jc w:val="both"/>
        <w:rPr>
          <w:rFonts w:ascii="Times New Roman" w:eastAsia="SimSun" w:hAnsi="Times New Roman" w:cs="Times New Roman"/>
          <w:sz w:val="24"/>
          <w:szCs w:val="24"/>
          <w:lang w:val="en-US"/>
        </w:rPr>
      </w:pPr>
      <w:r w:rsidRPr="00EF60B7">
        <w:rPr>
          <w:rFonts w:ascii="Times New Roman" w:eastAsia="SimSun" w:hAnsi="Times New Roman" w:cs="Times New Roman"/>
          <w:sz w:val="24"/>
          <w:szCs w:val="24"/>
          <w:lang w:val="en-US"/>
        </w:rPr>
        <w:t>Quill, T. E. (1983). Partnerships</w:t>
      </w:r>
      <w:r w:rsidRPr="00EF60B7">
        <w:rPr>
          <w:rFonts w:ascii="Times New Roman" w:eastAsia="SimSun" w:hAnsi="Times New Roman" w:cs="Times New Roman"/>
          <w:i/>
          <w:sz w:val="24"/>
          <w:szCs w:val="24"/>
          <w:lang w:val="en-US"/>
        </w:rPr>
        <w:t xml:space="preserve"> </w:t>
      </w:r>
      <w:r w:rsidRPr="00EF60B7">
        <w:rPr>
          <w:rFonts w:ascii="Times New Roman" w:eastAsia="SimSun" w:hAnsi="Times New Roman" w:cs="Times New Roman"/>
          <w:sz w:val="24"/>
          <w:szCs w:val="24"/>
          <w:lang w:val="en-US"/>
        </w:rPr>
        <w:t xml:space="preserve">in patient care: a contractual approach. </w:t>
      </w:r>
      <w:r w:rsidRPr="00EF60B7">
        <w:rPr>
          <w:rFonts w:ascii="Times New Roman" w:eastAsia="SimSun" w:hAnsi="Times New Roman" w:cs="Times New Roman"/>
          <w:i/>
          <w:sz w:val="24"/>
          <w:szCs w:val="24"/>
          <w:lang w:val="en-US"/>
        </w:rPr>
        <w:t>Annals of Internal Medicine</w:t>
      </w:r>
      <w:r w:rsidRPr="00EF60B7">
        <w:rPr>
          <w:rFonts w:ascii="Times New Roman" w:eastAsia="SimSun" w:hAnsi="Times New Roman" w:cs="Times New Roman"/>
          <w:sz w:val="24"/>
          <w:szCs w:val="24"/>
          <w:lang w:val="en-US"/>
        </w:rPr>
        <w:t xml:space="preserve">, 98: 228-34. </w:t>
      </w:r>
    </w:p>
    <w:p w:rsidR="00381ABF" w:rsidRPr="00EF60B7" w:rsidRDefault="00381ABF" w:rsidP="008D2DF6">
      <w:pPr>
        <w:spacing w:line="360" w:lineRule="auto"/>
        <w:jc w:val="both"/>
        <w:rPr>
          <w:rFonts w:ascii="Times New Roman" w:eastAsia="SimSun" w:hAnsi="Times New Roman" w:cs="Times New Roman"/>
          <w:sz w:val="24"/>
          <w:szCs w:val="24"/>
          <w:lang w:val="en-US"/>
        </w:rPr>
      </w:pPr>
    </w:p>
    <w:p w:rsidR="00381ABF" w:rsidRPr="00EF60B7" w:rsidRDefault="00381ABF" w:rsidP="008D2DF6">
      <w:pPr>
        <w:spacing w:line="360" w:lineRule="auto"/>
        <w:jc w:val="both"/>
        <w:rPr>
          <w:rFonts w:ascii="Times New Roman" w:eastAsia="SimSun" w:hAnsi="Times New Roman" w:cs="Times New Roman"/>
          <w:sz w:val="24"/>
          <w:szCs w:val="24"/>
        </w:rPr>
      </w:pPr>
      <w:r w:rsidRPr="00EF60B7">
        <w:rPr>
          <w:rFonts w:ascii="Times New Roman" w:eastAsia="SimSun" w:hAnsi="Times New Roman" w:cs="Times New Roman"/>
          <w:sz w:val="24"/>
          <w:szCs w:val="24"/>
          <w:lang w:val="en-US"/>
        </w:rPr>
        <w:t xml:space="preserve">Quill, T., &amp; Brody, H. (1996). Physician recommendations and patient autonomy: finding a balance between physician  power and patient choice. </w:t>
      </w:r>
      <w:r w:rsidRPr="00EF60B7">
        <w:rPr>
          <w:rFonts w:ascii="Times New Roman" w:eastAsia="SimSun" w:hAnsi="Times New Roman" w:cs="Times New Roman"/>
          <w:i/>
          <w:sz w:val="24"/>
          <w:szCs w:val="24"/>
        </w:rPr>
        <w:t>Annals of Internal Medicine</w:t>
      </w:r>
      <w:r w:rsidRPr="00EF60B7">
        <w:rPr>
          <w:rFonts w:ascii="Times New Roman" w:eastAsia="SimSun" w:hAnsi="Times New Roman" w:cs="Times New Roman"/>
          <w:sz w:val="24"/>
          <w:szCs w:val="24"/>
        </w:rPr>
        <w:t>, 125:763-769.</w:t>
      </w:r>
    </w:p>
    <w:p w:rsidR="00381ABF" w:rsidRPr="00EF60B7" w:rsidRDefault="00381ABF" w:rsidP="008D2DF6">
      <w:pPr>
        <w:spacing w:line="360" w:lineRule="auto"/>
        <w:jc w:val="both"/>
        <w:rPr>
          <w:rFonts w:ascii="Times New Roman" w:eastAsia="SimSun" w:hAnsi="Times New Roman" w:cs="Times New Roman"/>
          <w:sz w:val="24"/>
          <w:szCs w:val="24"/>
        </w:rPr>
      </w:pPr>
    </w:p>
    <w:p w:rsidR="00381ABF" w:rsidRPr="00EF60B7" w:rsidRDefault="00381ABF" w:rsidP="008D2DF6">
      <w:pPr>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 xml:space="preserve">Roberti  A., Belotti C. &amp; Caterino L. (2006). </w:t>
      </w:r>
      <w:r w:rsidRPr="00EF60B7">
        <w:rPr>
          <w:rFonts w:ascii="Times New Roman" w:hAnsi="Times New Roman" w:cs="Times New Roman"/>
          <w:i/>
          <w:iCs/>
          <w:sz w:val="24"/>
          <w:szCs w:val="24"/>
        </w:rPr>
        <w:t>Le basi della Comunicazione Medico-Paziente</w:t>
      </w:r>
      <w:r w:rsidRPr="00EF60B7">
        <w:rPr>
          <w:rFonts w:ascii="Times New Roman" w:hAnsi="Times New Roman" w:cs="Times New Roman"/>
          <w:sz w:val="24"/>
          <w:szCs w:val="24"/>
        </w:rPr>
        <w:t xml:space="preserve">. </w:t>
      </w:r>
      <w:r w:rsidRPr="00EF60B7">
        <w:rPr>
          <w:rFonts w:ascii="Times New Roman" w:hAnsi="Times New Roman" w:cs="Times New Roman"/>
          <w:i/>
          <w:iCs/>
          <w:sz w:val="24"/>
          <w:szCs w:val="24"/>
        </w:rPr>
        <w:t>Strumenti per costruire e rinforzare l'alleanza terapeutica</w:t>
      </w:r>
      <w:r w:rsidRPr="00EF60B7">
        <w:rPr>
          <w:rFonts w:ascii="Times New Roman" w:hAnsi="Times New Roman" w:cs="Times New Roman"/>
          <w:sz w:val="24"/>
          <w:szCs w:val="24"/>
        </w:rPr>
        <w:t>. NLP Italy.</w:t>
      </w:r>
    </w:p>
    <w:p w:rsidR="00381ABF" w:rsidRPr="00EF60B7" w:rsidRDefault="00381ABF" w:rsidP="008D2DF6">
      <w:pPr>
        <w:spacing w:line="360" w:lineRule="auto"/>
        <w:jc w:val="both"/>
        <w:rPr>
          <w:rFonts w:ascii="Times New Roman" w:hAnsi="Times New Roman" w:cs="Times New Roman"/>
          <w:sz w:val="24"/>
          <w:szCs w:val="24"/>
        </w:rPr>
      </w:pPr>
    </w:p>
    <w:p w:rsidR="00381ABF" w:rsidRPr="00EF60B7" w:rsidRDefault="00381ABF" w:rsidP="008D2DF6">
      <w:pPr>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rPr>
        <w:t xml:space="preserve">Rosenberg,  E. L., Ekman, P., Jiang, W., Babyak, M., Coleman, R. E., Hanson, M., O’ Connor, C., et al. </w:t>
      </w:r>
      <w:r w:rsidRPr="00EF60B7">
        <w:rPr>
          <w:rFonts w:ascii="Times New Roman" w:hAnsi="Times New Roman" w:cs="Times New Roman"/>
          <w:sz w:val="24"/>
          <w:szCs w:val="24"/>
          <w:lang w:val="en-US"/>
        </w:rPr>
        <w:t>(2001). Linkages between facial expressions of anger and transient myocardial ischemia in men with coronary artery disease</w:t>
      </w:r>
      <w:r w:rsidRPr="00EF60B7">
        <w:rPr>
          <w:rFonts w:ascii="Times New Roman" w:hAnsi="Times New Roman" w:cs="Times New Roman"/>
          <w:i/>
          <w:sz w:val="24"/>
          <w:szCs w:val="24"/>
          <w:lang w:val="en-US"/>
        </w:rPr>
        <w:t>.</w:t>
      </w:r>
      <w:r w:rsidRPr="00EF60B7">
        <w:rPr>
          <w:rFonts w:ascii="Times New Roman" w:hAnsi="Times New Roman" w:cs="Times New Roman"/>
          <w:sz w:val="24"/>
          <w:szCs w:val="24"/>
          <w:lang w:val="en-US"/>
        </w:rPr>
        <w:t xml:space="preserve"> </w:t>
      </w:r>
      <w:r w:rsidRPr="00EF60B7">
        <w:rPr>
          <w:rFonts w:ascii="Times New Roman" w:hAnsi="Times New Roman" w:cs="Times New Roman"/>
          <w:i/>
          <w:sz w:val="24"/>
          <w:szCs w:val="24"/>
          <w:lang w:val="en-US"/>
        </w:rPr>
        <w:t>Emotion</w:t>
      </w:r>
      <w:r w:rsidRPr="00EF60B7">
        <w:rPr>
          <w:rFonts w:ascii="Times New Roman" w:hAnsi="Times New Roman" w:cs="Times New Roman"/>
          <w:sz w:val="24"/>
          <w:szCs w:val="24"/>
          <w:lang w:val="en-US"/>
        </w:rPr>
        <w:t>, 1: 107-115.</w:t>
      </w:r>
    </w:p>
    <w:p w:rsidR="00381ABF" w:rsidRPr="00EF60B7" w:rsidRDefault="00381ABF" w:rsidP="008D2DF6">
      <w:pPr>
        <w:spacing w:line="360" w:lineRule="auto"/>
        <w:jc w:val="both"/>
        <w:rPr>
          <w:rFonts w:ascii="Times New Roman" w:hAnsi="Times New Roman" w:cs="Times New Roman"/>
          <w:sz w:val="24"/>
          <w:szCs w:val="24"/>
          <w:lang w:val="en-US"/>
        </w:rPr>
      </w:pPr>
    </w:p>
    <w:p w:rsidR="00381ABF" w:rsidRPr="00EF60B7" w:rsidRDefault="00381ABF" w:rsidP="008D2DF6">
      <w:pPr>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lastRenderedPageBreak/>
        <w:t xml:space="preserve">Roter,  D. L. &amp; Hall,  J. A. (2006). </w:t>
      </w:r>
      <w:r w:rsidRPr="00EF60B7">
        <w:rPr>
          <w:rFonts w:ascii="Times New Roman" w:hAnsi="Times New Roman" w:cs="Times New Roman"/>
          <w:i/>
          <w:sz w:val="24"/>
          <w:szCs w:val="24"/>
          <w:lang w:val="en-US"/>
        </w:rPr>
        <w:t>Doctors Talking with Patients/Patients Talking with Doctors</w:t>
      </w:r>
      <w:r w:rsidRPr="00EF60B7">
        <w:rPr>
          <w:rFonts w:ascii="Times New Roman" w:hAnsi="Times New Roman" w:cs="Times New Roman"/>
          <w:sz w:val="24"/>
          <w:szCs w:val="24"/>
          <w:lang w:val="en-US"/>
        </w:rPr>
        <w:t>. (2</w:t>
      </w:r>
      <w:r w:rsidRPr="00EF60B7">
        <w:rPr>
          <w:rFonts w:ascii="Times New Roman" w:hAnsi="Times New Roman" w:cs="Times New Roman"/>
          <w:sz w:val="24"/>
          <w:szCs w:val="24"/>
          <w:vertAlign w:val="superscript"/>
          <w:lang w:val="en-US"/>
        </w:rPr>
        <w:t>nd</w:t>
      </w:r>
      <w:r w:rsidRPr="00EF60B7">
        <w:rPr>
          <w:rFonts w:ascii="Times New Roman" w:hAnsi="Times New Roman" w:cs="Times New Roman"/>
          <w:sz w:val="24"/>
          <w:szCs w:val="24"/>
          <w:lang w:val="en-US"/>
        </w:rPr>
        <w:t xml:space="preserve"> Edition). Praeger Publishers London.</w:t>
      </w:r>
    </w:p>
    <w:p w:rsidR="00381ABF" w:rsidRPr="00EF60B7" w:rsidRDefault="00381ABF" w:rsidP="008D2DF6">
      <w:pPr>
        <w:spacing w:line="360" w:lineRule="auto"/>
        <w:jc w:val="both"/>
        <w:rPr>
          <w:rFonts w:ascii="Times New Roman" w:hAnsi="Times New Roman" w:cs="Times New Roman"/>
          <w:sz w:val="24"/>
          <w:szCs w:val="24"/>
          <w:lang w:val="en-US"/>
        </w:rPr>
      </w:pPr>
    </w:p>
    <w:p w:rsidR="00381ABF" w:rsidRPr="00EF60B7" w:rsidRDefault="00381ABF" w:rsidP="008D2DF6">
      <w:pPr>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Roter, D. L., Larson, S., Fischer, C. S., Arnold, R. M. &amp; Tulsky, J. A. (2000). Experts practice what they preach: A descriptive study of best and normative practices in end of life discussions. </w:t>
      </w:r>
      <w:r w:rsidRPr="00EF60B7">
        <w:rPr>
          <w:rFonts w:ascii="Times New Roman" w:hAnsi="Times New Roman" w:cs="Times New Roman"/>
          <w:i/>
          <w:sz w:val="24"/>
          <w:szCs w:val="24"/>
          <w:lang w:val="en-US"/>
        </w:rPr>
        <w:t>Archives of Internal Medicine</w:t>
      </w:r>
      <w:r w:rsidRPr="00EF60B7">
        <w:rPr>
          <w:rFonts w:ascii="Times New Roman" w:hAnsi="Times New Roman" w:cs="Times New Roman"/>
          <w:sz w:val="24"/>
          <w:szCs w:val="24"/>
          <w:lang w:val="en-US"/>
        </w:rPr>
        <w:t>, 160: 3477-3485.</w:t>
      </w:r>
    </w:p>
    <w:p w:rsidR="00381ABF" w:rsidRPr="00EF60B7" w:rsidRDefault="00381ABF" w:rsidP="008D2DF6">
      <w:pPr>
        <w:spacing w:line="360" w:lineRule="auto"/>
        <w:jc w:val="both"/>
        <w:rPr>
          <w:rFonts w:ascii="Times New Roman" w:hAnsi="Times New Roman" w:cs="Times New Roman"/>
          <w:sz w:val="24"/>
          <w:szCs w:val="24"/>
          <w:lang w:val="en-US"/>
        </w:rPr>
      </w:pPr>
    </w:p>
    <w:p w:rsidR="00381ABF" w:rsidRPr="00EF60B7" w:rsidRDefault="00381ABF" w:rsidP="008D2DF6">
      <w:pPr>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Royal College of Pediatrics and Child Health (2004). </w:t>
      </w:r>
      <w:r w:rsidRPr="00EF60B7">
        <w:rPr>
          <w:rFonts w:ascii="Times New Roman" w:hAnsi="Times New Roman" w:cs="Times New Roman"/>
          <w:i/>
          <w:sz w:val="24"/>
          <w:szCs w:val="24"/>
          <w:lang w:val="en-US"/>
        </w:rPr>
        <w:t>Withholding or with-drawing life sustaining treatment in children. A framework for practice</w:t>
      </w:r>
      <w:r w:rsidRPr="00EF60B7">
        <w:rPr>
          <w:rFonts w:ascii="Times New Roman" w:hAnsi="Times New Roman" w:cs="Times New Roman"/>
          <w:sz w:val="24"/>
          <w:szCs w:val="24"/>
          <w:lang w:val="en-US"/>
        </w:rPr>
        <w:t>. 2</w:t>
      </w:r>
      <w:r w:rsidRPr="00EF60B7">
        <w:rPr>
          <w:rFonts w:ascii="Times New Roman" w:hAnsi="Times New Roman" w:cs="Times New Roman"/>
          <w:sz w:val="24"/>
          <w:szCs w:val="24"/>
          <w:vertAlign w:val="superscript"/>
          <w:lang w:val="en-US"/>
        </w:rPr>
        <w:t>nd</w:t>
      </w:r>
      <w:r w:rsidRPr="00EF60B7">
        <w:rPr>
          <w:rFonts w:ascii="Times New Roman" w:hAnsi="Times New Roman" w:cs="Times New Roman"/>
          <w:sz w:val="24"/>
          <w:szCs w:val="24"/>
          <w:lang w:val="en-US"/>
        </w:rPr>
        <w:t xml:space="preserve"> Edition, May 2004.</w:t>
      </w:r>
    </w:p>
    <w:p w:rsidR="00381ABF" w:rsidRPr="00EF60B7" w:rsidRDefault="00381ABF" w:rsidP="008D2DF6">
      <w:pPr>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Ruiz Moral R. (2004). </w:t>
      </w:r>
      <w:r w:rsidRPr="00EF60B7">
        <w:rPr>
          <w:rFonts w:ascii="Times New Roman" w:hAnsi="Times New Roman" w:cs="Times New Roman"/>
          <w:i/>
          <w:sz w:val="24"/>
          <w:szCs w:val="24"/>
        </w:rPr>
        <w:t>Relacion Clınica. Guıa para aprender, ensenar e investigar</w:t>
      </w:r>
      <w:r w:rsidRPr="00EF60B7">
        <w:rPr>
          <w:rFonts w:ascii="Times New Roman" w:hAnsi="Times New Roman" w:cs="Times New Roman"/>
          <w:sz w:val="24"/>
          <w:szCs w:val="24"/>
        </w:rPr>
        <w:t xml:space="preserve">. </w:t>
      </w:r>
      <w:r w:rsidRPr="00EF60B7">
        <w:rPr>
          <w:rFonts w:ascii="Times New Roman" w:hAnsi="Times New Roman" w:cs="Times New Roman"/>
          <w:sz w:val="24"/>
          <w:szCs w:val="24"/>
          <w:lang w:val="en-US"/>
        </w:rPr>
        <w:t>(</w:t>
      </w:r>
      <w:r w:rsidRPr="00EF60B7">
        <w:rPr>
          <w:rFonts w:ascii="Times New Roman" w:hAnsi="Times New Roman" w:cs="Times New Roman"/>
          <w:i/>
          <w:sz w:val="24"/>
          <w:szCs w:val="24"/>
          <w:lang w:val="en-US"/>
        </w:rPr>
        <w:t>Clinical relationship. A guide for learning, teaching and researching</w:t>
      </w:r>
      <w:r w:rsidRPr="00EF60B7">
        <w:rPr>
          <w:rFonts w:ascii="Times New Roman" w:hAnsi="Times New Roman" w:cs="Times New Roman"/>
          <w:sz w:val="24"/>
          <w:szCs w:val="24"/>
          <w:lang w:val="en-US"/>
        </w:rPr>
        <w:t>) Barcelona: semFYC-Ediciones.</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rPr>
      </w:pPr>
      <w:r w:rsidRPr="00EF60B7">
        <w:rPr>
          <w:rFonts w:ascii="Times New Roman" w:hAnsi="Times New Roman" w:cs="Times New Roman"/>
          <w:sz w:val="24"/>
          <w:szCs w:val="24"/>
          <w:lang w:val="en-US"/>
        </w:rPr>
        <w:t>Ruiz Moral, R., Rodrıguez, J., Epstein, R. (2003). Que´ estilo de consulta deberıa emplear con mis pacientes?: Reflexiones practicas sobre la relacion medico-paciente (What communicational style should I use with mypatients?: Practical considerations about physician–patient relationship)</w:t>
      </w:r>
      <w:r w:rsidRPr="00EF60B7">
        <w:rPr>
          <w:rFonts w:ascii="Times New Roman" w:hAnsi="Times New Roman" w:cs="Times New Roman"/>
          <w:i/>
          <w:sz w:val="24"/>
          <w:szCs w:val="24"/>
          <w:lang w:val="en-US"/>
        </w:rPr>
        <w:t xml:space="preserve">. </w:t>
      </w:r>
      <w:r w:rsidRPr="00EF60B7">
        <w:rPr>
          <w:rFonts w:ascii="Times New Roman" w:hAnsi="Times New Roman" w:cs="Times New Roman"/>
          <w:i/>
          <w:sz w:val="24"/>
          <w:szCs w:val="24"/>
        </w:rPr>
        <w:t>Aten Primaria</w:t>
      </w:r>
      <w:r w:rsidRPr="00EF60B7">
        <w:rPr>
          <w:rFonts w:ascii="Times New Roman" w:hAnsi="Times New Roman" w:cs="Times New Roman"/>
          <w:sz w:val="24"/>
          <w:szCs w:val="24"/>
        </w:rPr>
        <w:t>, 32:594–602.</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rPr>
      </w:pPr>
    </w:p>
    <w:p w:rsidR="00381ABF" w:rsidRPr="00EF60B7" w:rsidRDefault="00381ABF" w:rsidP="008D2DF6">
      <w:pPr>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 xml:space="preserve">Ruiz Moral, R., Rodriguez, E. P., Perula de Torres, L. A., Janvier de la Torre (2006). </w:t>
      </w:r>
      <w:r w:rsidRPr="00EF60B7">
        <w:rPr>
          <w:rFonts w:ascii="Times New Roman" w:hAnsi="Times New Roman" w:cs="Times New Roman"/>
          <w:sz w:val="24"/>
          <w:szCs w:val="24"/>
          <w:lang w:val="en-US"/>
        </w:rPr>
        <w:t xml:space="preserve">Physician–patient communication: A study on the observed behaviours of specialty physicians and the ways their patients perceive them. </w:t>
      </w:r>
      <w:r w:rsidRPr="00EF60B7">
        <w:rPr>
          <w:rFonts w:ascii="Times New Roman" w:hAnsi="Times New Roman" w:cs="Times New Roman"/>
          <w:i/>
          <w:sz w:val="24"/>
          <w:szCs w:val="24"/>
        </w:rPr>
        <w:t>Patient Education and Counseling</w:t>
      </w:r>
      <w:r w:rsidRPr="00EF60B7">
        <w:rPr>
          <w:rFonts w:ascii="Times New Roman" w:hAnsi="Times New Roman" w:cs="Times New Roman"/>
          <w:sz w:val="24"/>
          <w:szCs w:val="24"/>
        </w:rPr>
        <w:t>, 64: 242–248.</w:t>
      </w:r>
    </w:p>
    <w:p w:rsidR="00381ABF" w:rsidRPr="00EF60B7" w:rsidRDefault="00381ABF" w:rsidP="008D2DF6">
      <w:pPr>
        <w:spacing w:line="360" w:lineRule="auto"/>
        <w:jc w:val="both"/>
        <w:rPr>
          <w:rFonts w:ascii="Times New Roman" w:hAnsi="Times New Roman" w:cs="Times New Roman"/>
          <w:sz w:val="24"/>
          <w:szCs w:val="24"/>
        </w:rPr>
      </w:pPr>
    </w:p>
    <w:p w:rsidR="00381ABF" w:rsidRPr="00EF60B7" w:rsidRDefault="00381ABF" w:rsidP="008D2DF6">
      <w:pPr>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 xml:space="preserve">Rumiati, R., &amp; Bonini, N. (2001). </w:t>
      </w:r>
      <w:r w:rsidRPr="00EF60B7">
        <w:rPr>
          <w:rFonts w:ascii="Times New Roman" w:hAnsi="Times New Roman" w:cs="Times New Roman"/>
          <w:i/>
          <w:sz w:val="24"/>
          <w:szCs w:val="24"/>
        </w:rPr>
        <w:t>Psicologia della decisione</w:t>
      </w:r>
      <w:r w:rsidRPr="00EF60B7">
        <w:rPr>
          <w:rFonts w:ascii="Times New Roman" w:hAnsi="Times New Roman" w:cs="Times New Roman"/>
          <w:sz w:val="24"/>
          <w:szCs w:val="24"/>
        </w:rPr>
        <w:t>. Il Mulino, Bologna.</w:t>
      </w:r>
    </w:p>
    <w:p w:rsidR="00381ABF" w:rsidRPr="00EF60B7" w:rsidRDefault="00381ABF" w:rsidP="008D2DF6">
      <w:pPr>
        <w:spacing w:line="360" w:lineRule="auto"/>
        <w:jc w:val="both"/>
        <w:rPr>
          <w:rFonts w:ascii="Times New Roman" w:hAnsi="Times New Roman" w:cs="Times New Roman"/>
          <w:sz w:val="24"/>
          <w:szCs w:val="24"/>
        </w:rPr>
      </w:pPr>
    </w:p>
    <w:p w:rsidR="00381ABF" w:rsidRPr="00EF60B7" w:rsidRDefault="00381ABF" w:rsidP="008D2DF6">
      <w:pPr>
        <w:spacing w:line="360" w:lineRule="auto"/>
        <w:jc w:val="both"/>
        <w:rPr>
          <w:rFonts w:ascii="Times New Roman" w:hAnsi="Times New Roman" w:cs="Times New Roman"/>
          <w:sz w:val="24"/>
          <w:szCs w:val="24"/>
          <w:lang w:val="en-US"/>
        </w:rPr>
      </w:pPr>
      <w:r w:rsidRPr="00EF60B7">
        <w:rPr>
          <w:rFonts w:ascii="Times New Roman" w:eastAsia="SimSun" w:hAnsi="Times New Roman" w:cs="Times New Roman"/>
          <w:sz w:val="24"/>
          <w:szCs w:val="24"/>
          <w:lang w:val="en-US"/>
        </w:rPr>
        <w:t xml:space="preserve">Rylance, G. (1996). Making decisions with children. </w:t>
      </w:r>
      <w:r w:rsidRPr="00EF60B7">
        <w:rPr>
          <w:rFonts w:ascii="Times New Roman" w:eastAsia="SimSun" w:hAnsi="Times New Roman" w:cs="Times New Roman"/>
          <w:i/>
          <w:sz w:val="24"/>
          <w:szCs w:val="24"/>
          <w:lang w:val="en-US"/>
        </w:rPr>
        <w:t>British Medical Journal</w:t>
      </w:r>
      <w:r w:rsidRPr="00EF60B7">
        <w:rPr>
          <w:rFonts w:ascii="Times New Roman" w:eastAsia="SimSun" w:hAnsi="Times New Roman" w:cs="Times New Roman"/>
          <w:sz w:val="24"/>
          <w:szCs w:val="24"/>
          <w:lang w:val="en-US"/>
        </w:rPr>
        <w:t>, 312: 794.</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Sackett D.L. &amp; Snow J.C. (1979). </w:t>
      </w:r>
      <w:r w:rsidRPr="00EF60B7">
        <w:rPr>
          <w:rFonts w:ascii="Times New Roman" w:hAnsi="Times New Roman" w:cs="Times New Roman"/>
          <w:i/>
          <w:sz w:val="24"/>
          <w:szCs w:val="24"/>
          <w:lang w:val="en-US"/>
        </w:rPr>
        <w:t>The magnitude of compliance and non compliance. In</w:t>
      </w:r>
      <w:r w:rsidRPr="00EF60B7">
        <w:rPr>
          <w:rFonts w:ascii="Times New Roman" w:hAnsi="Times New Roman" w:cs="Times New Roman"/>
          <w:sz w:val="24"/>
          <w:szCs w:val="24"/>
          <w:lang w:val="en-US"/>
        </w:rPr>
        <w:t>: Haynes R.B., Taylor D.W. &amp; Sackett D.L., editors</w:t>
      </w:r>
      <w:r w:rsidRPr="00EF60B7">
        <w:rPr>
          <w:rFonts w:ascii="Times New Roman" w:hAnsi="Times New Roman" w:cs="Times New Roman"/>
          <w:i/>
          <w:sz w:val="24"/>
          <w:szCs w:val="24"/>
          <w:lang w:val="en-US"/>
        </w:rPr>
        <w:t>. Compliance in Health Care.Baltimore</w:t>
      </w:r>
      <w:r w:rsidRPr="00EF60B7">
        <w:rPr>
          <w:rFonts w:ascii="Times New Roman" w:hAnsi="Times New Roman" w:cs="Times New Roman"/>
          <w:sz w:val="24"/>
          <w:szCs w:val="24"/>
          <w:lang w:val="en-US"/>
        </w:rPr>
        <w:t>. Johns Hopkins University Press; p. 11–22.</w:t>
      </w:r>
    </w:p>
    <w:p w:rsidR="00381ABF" w:rsidRPr="00EF60B7" w:rsidRDefault="00381ABF" w:rsidP="008D2DF6">
      <w:pPr>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rPr>
      </w:pPr>
      <w:r w:rsidRPr="00EF60B7">
        <w:rPr>
          <w:rFonts w:ascii="Times New Roman" w:hAnsi="Times New Roman" w:cs="Times New Roman"/>
          <w:sz w:val="24"/>
          <w:szCs w:val="24"/>
          <w:lang w:val="en-US"/>
        </w:rPr>
        <w:t xml:space="preserve">Saigal, S.,  Stoskopf, B., Feeny, D., Furlong, W., Burrows, E., Rosenbaum, P., &amp; Hoult, L. (1999). ‘‘Differences in Preferences for Neonatal Outcomes Among Health Care Professionals, Parents and Adolesecents’’. </w:t>
      </w:r>
      <w:r w:rsidRPr="00EF60B7">
        <w:rPr>
          <w:rFonts w:ascii="Times New Roman" w:hAnsi="Times New Roman" w:cs="Times New Roman"/>
          <w:i/>
          <w:sz w:val="24"/>
          <w:szCs w:val="24"/>
        </w:rPr>
        <w:t>The Journal of the American Medical Association</w:t>
      </w:r>
      <w:r w:rsidRPr="00EF60B7">
        <w:rPr>
          <w:rFonts w:ascii="Times New Roman" w:hAnsi="Times New Roman" w:cs="Times New Roman"/>
          <w:sz w:val="24"/>
          <w:szCs w:val="24"/>
        </w:rPr>
        <w:t xml:space="preserve"> 281: 1991–1997.</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rPr>
      </w:pPr>
      <w:r w:rsidRPr="00EF60B7">
        <w:rPr>
          <w:rFonts w:ascii="Times New Roman" w:eastAsia="SimSun" w:hAnsi="Times New Roman" w:cs="Times New Roman"/>
          <w:sz w:val="24"/>
          <w:szCs w:val="24"/>
        </w:rPr>
        <w:t xml:space="preserve">Santuosso, A.(1996). </w:t>
      </w:r>
      <w:r w:rsidRPr="00EF60B7">
        <w:rPr>
          <w:rFonts w:ascii="Times New Roman" w:eastAsia="SimSun" w:hAnsi="Times New Roman" w:cs="Times New Roman"/>
          <w:i/>
          <w:iCs/>
          <w:sz w:val="24"/>
          <w:szCs w:val="24"/>
        </w:rPr>
        <w:t xml:space="preserve">Il consenso informato, </w:t>
      </w:r>
      <w:r w:rsidRPr="00EF60B7">
        <w:rPr>
          <w:rFonts w:ascii="Times New Roman" w:eastAsia="SimSun" w:hAnsi="Times New Roman" w:cs="Times New Roman"/>
          <w:sz w:val="24"/>
          <w:szCs w:val="24"/>
        </w:rPr>
        <w:t>Milano: Raffaello Cortina Editore</w:t>
      </w:r>
      <w:r w:rsidRPr="00EF60B7">
        <w:rPr>
          <w:rFonts w:ascii="Times New Roman" w:hAnsi="Times New Roman" w:cs="Times New Roman"/>
          <w:sz w:val="24"/>
          <w:szCs w:val="24"/>
        </w:rPr>
        <w:t xml:space="preserve"> . </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Schilling, L. M., Scatena, L., Steiner, J. F., Albertson, G. A., Lin, C. T., Cyran, L., Ware, L., &amp; Anderson, R. J. (2002). The third person in the room: frequency, role, and influence of companions during primary care medical encounters. </w:t>
      </w:r>
      <w:r w:rsidRPr="00EF60B7">
        <w:rPr>
          <w:rFonts w:ascii="Times New Roman" w:hAnsi="Times New Roman" w:cs="Times New Roman"/>
          <w:i/>
          <w:sz w:val="24"/>
          <w:szCs w:val="24"/>
          <w:lang w:val="en-US"/>
        </w:rPr>
        <w:t>Journal of</w:t>
      </w:r>
      <w:r w:rsidRPr="00EF60B7">
        <w:rPr>
          <w:rFonts w:ascii="Times New Roman" w:hAnsi="Times New Roman" w:cs="Times New Roman"/>
          <w:sz w:val="24"/>
          <w:szCs w:val="24"/>
          <w:lang w:val="en-US"/>
        </w:rPr>
        <w:t xml:space="preserve"> </w:t>
      </w:r>
      <w:r w:rsidRPr="00EF60B7">
        <w:rPr>
          <w:rFonts w:ascii="Times New Roman" w:hAnsi="Times New Roman" w:cs="Times New Roman"/>
          <w:i/>
          <w:sz w:val="24"/>
          <w:szCs w:val="24"/>
          <w:lang w:val="en-US"/>
        </w:rPr>
        <w:t>Family Practice</w:t>
      </w:r>
      <w:r w:rsidRPr="00EF60B7">
        <w:rPr>
          <w:rFonts w:ascii="Times New Roman" w:hAnsi="Times New Roman" w:cs="Times New Roman"/>
          <w:sz w:val="24"/>
          <w:szCs w:val="24"/>
          <w:lang w:val="en-US"/>
        </w:rPr>
        <w:t>, 51(8), 685–690.</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Schneider, C. E. (1998). </w:t>
      </w:r>
      <w:r w:rsidRPr="00EF60B7">
        <w:rPr>
          <w:rFonts w:ascii="Times New Roman" w:hAnsi="Times New Roman" w:cs="Times New Roman"/>
          <w:i/>
          <w:sz w:val="24"/>
          <w:szCs w:val="24"/>
          <w:lang w:val="en-US"/>
        </w:rPr>
        <w:t>The practice of autonomy: Patients, doctors, and medical decisions</w:t>
      </w:r>
      <w:r w:rsidRPr="00EF60B7">
        <w:rPr>
          <w:rFonts w:ascii="Times New Roman" w:hAnsi="Times New Roman" w:cs="Times New Roman"/>
          <w:sz w:val="24"/>
          <w:szCs w:val="24"/>
          <w:lang w:val="en-US"/>
        </w:rPr>
        <w:t>. New York: Oxford University Press.</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Schou, I., Ekeberg, Ø., Ruland, C. M., &amp; Kåresen, R. (2002). Do women newly diagnosed with breast cancer and counsulting surgeon assess decision-making equally? </w:t>
      </w:r>
      <w:r w:rsidRPr="00EF60B7">
        <w:rPr>
          <w:rFonts w:ascii="Times New Roman" w:hAnsi="Times New Roman" w:cs="Times New Roman"/>
          <w:i/>
          <w:sz w:val="24"/>
          <w:szCs w:val="24"/>
          <w:lang w:val="en-US"/>
        </w:rPr>
        <w:t>The Breast</w:t>
      </w:r>
      <w:r w:rsidRPr="00EF60B7">
        <w:rPr>
          <w:rFonts w:ascii="Times New Roman" w:hAnsi="Times New Roman" w:cs="Times New Roman"/>
          <w:sz w:val="24"/>
          <w:szCs w:val="24"/>
          <w:lang w:val="en-US"/>
        </w:rPr>
        <w:t>, 11: 434-441.</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lastRenderedPageBreak/>
        <w:t xml:space="preserve">Schwarz, N., &amp; Clore, G. L. (1996). </w:t>
      </w:r>
      <w:r w:rsidRPr="00EF60B7">
        <w:rPr>
          <w:rFonts w:ascii="Times New Roman" w:hAnsi="Times New Roman" w:cs="Times New Roman"/>
          <w:i/>
          <w:sz w:val="24"/>
          <w:szCs w:val="24"/>
          <w:lang w:val="en-US"/>
        </w:rPr>
        <w:t>Feelings and phenomenal experiences</w:t>
      </w:r>
      <w:r w:rsidRPr="00EF60B7">
        <w:rPr>
          <w:rFonts w:ascii="Times New Roman" w:hAnsi="Times New Roman" w:cs="Times New Roman"/>
          <w:sz w:val="24"/>
          <w:szCs w:val="24"/>
          <w:lang w:val="en-US"/>
        </w:rPr>
        <w:t xml:space="preserve">. </w:t>
      </w:r>
      <w:r w:rsidRPr="00EF60B7">
        <w:rPr>
          <w:rFonts w:ascii="Times New Roman" w:hAnsi="Times New Roman" w:cs="Times New Roman"/>
          <w:i/>
          <w:sz w:val="24"/>
          <w:szCs w:val="24"/>
          <w:lang w:val="en-US"/>
        </w:rPr>
        <w:t>Social Psychology: A Handbook of Basic Principles</w:t>
      </w:r>
      <w:r w:rsidRPr="00EF60B7">
        <w:rPr>
          <w:rFonts w:ascii="Times New Roman" w:hAnsi="Times New Roman" w:cs="Times New Roman"/>
          <w:sz w:val="24"/>
          <w:szCs w:val="24"/>
          <w:lang w:val="en-US"/>
        </w:rPr>
        <w:t>, a cura di Higgins, E. T. &amp; Krunglanski, A. New York, Guilford Press, 433-465.</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Scott, W. D., &amp; Cervone, D. (2002). The impact of negative affect on performance standards: Evidence for an effect-as-information mechanism. </w:t>
      </w:r>
      <w:r w:rsidRPr="00EF60B7">
        <w:rPr>
          <w:rFonts w:ascii="Times New Roman" w:hAnsi="Times New Roman" w:cs="Times New Roman"/>
          <w:i/>
          <w:sz w:val="24"/>
          <w:szCs w:val="24"/>
          <w:lang w:val="en-US"/>
        </w:rPr>
        <w:t>Cognitive Therapy and Research</w:t>
      </w:r>
      <w:r w:rsidRPr="00EF60B7">
        <w:rPr>
          <w:rFonts w:ascii="Times New Roman" w:hAnsi="Times New Roman" w:cs="Times New Roman"/>
          <w:sz w:val="24"/>
          <w:szCs w:val="24"/>
          <w:lang w:val="en-US"/>
        </w:rPr>
        <w:t>, 26: 19-37.</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Silverman,  J., Kurtz, S., Draper, J. (1998).  </w:t>
      </w:r>
      <w:r w:rsidRPr="00EF60B7">
        <w:rPr>
          <w:rFonts w:ascii="Times New Roman" w:hAnsi="Times New Roman" w:cs="Times New Roman"/>
          <w:i/>
          <w:sz w:val="24"/>
          <w:szCs w:val="24"/>
          <w:lang w:val="en-US"/>
        </w:rPr>
        <w:t>Skills for communicating with patients</w:t>
      </w:r>
      <w:r w:rsidRPr="00EF60B7">
        <w:rPr>
          <w:rFonts w:ascii="Times New Roman" w:hAnsi="Times New Roman" w:cs="Times New Roman"/>
          <w:sz w:val="24"/>
          <w:szCs w:val="24"/>
          <w:lang w:val="en-US"/>
        </w:rPr>
        <w:t>. Abingdon, Oxon, UK: Radcliffe Medical Press.</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Sloman, S. A. (1996). The</w:t>
      </w:r>
      <w:r w:rsidRPr="00EF60B7">
        <w:rPr>
          <w:rFonts w:ascii="Times New Roman" w:hAnsi="Times New Roman" w:cs="Times New Roman"/>
          <w:i/>
          <w:sz w:val="24"/>
          <w:szCs w:val="24"/>
          <w:lang w:val="en-US"/>
        </w:rPr>
        <w:t xml:space="preserve"> </w:t>
      </w:r>
      <w:r w:rsidRPr="00EF60B7">
        <w:rPr>
          <w:rFonts w:ascii="Times New Roman" w:hAnsi="Times New Roman" w:cs="Times New Roman"/>
          <w:sz w:val="24"/>
          <w:szCs w:val="24"/>
          <w:lang w:val="en-US"/>
        </w:rPr>
        <w:t xml:space="preserve">empirical case for two systems of reasoning. </w:t>
      </w:r>
      <w:r w:rsidRPr="00EF60B7">
        <w:rPr>
          <w:rFonts w:ascii="Times New Roman" w:hAnsi="Times New Roman" w:cs="Times New Roman"/>
          <w:i/>
          <w:sz w:val="24"/>
          <w:szCs w:val="24"/>
          <w:lang w:val="en-US"/>
        </w:rPr>
        <w:t>Psychological Bulletin</w:t>
      </w:r>
      <w:r w:rsidRPr="00EF60B7">
        <w:rPr>
          <w:rFonts w:ascii="Times New Roman" w:hAnsi="Times New Roman" w:cs="Times New Roman"/>
          <w:sz w:val="24"/>
          <w:szCs w:val="24"/>
          <w:lang w:val="en-US"/>
        </w:rPr>
        <w:t>, 119: 3-22.</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Speedling, E. J., &amp; Rose, D. N. (1985). Building an effective doctor-patient relationship: From patient satisfaction to patient participation. </w:t>
      </w:r>
      <w:r w:rsidRPr="00EF60B7">
        <w:rPr>
          <w:rFonts w:ascii="Times New Roman" w:hAnsi="Times New Roman" w:cs="Times New Roman"/>
          <w:i/>
          <w:sz w:val="24"/>
          <w:szCs w:val="24"/>
          <w:lang w:val="en-US"/>
        </w:rPr>
        <w:t>Social Science &amp; Medicine</w:t>
      </w:r>
      <w:r w:rsidRPr="00EF60B7">
        <w:rPr>
          <w:rFonts w:ascii="Times New Roman" w:hAnsi="Times New Roman" w:cs="Times New Roman"/>
          <w:sz w:val="24"/>
          <w:szCs w:val="24"/>
          <w:lang w:val="en-US"/>
        </w:rPr>
        <w:t>, 21: 115-120.</w:t>
      </w:r>
    </w:p>
    <w:p w:rsidR="00381ABF" w:rsidRPr="00EF60B7" w:rsidRDefault="00381ABF" w:rsidP="008D2DF6">
      <w:pPr>
        <w:tabs>
          <w:tab w:val="left" w:pos="7157"/>
        </w:tabs>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ab/>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Steginga, S. K., Occhipinti, S., Gardiner, R. A., Yaxley, J., &amp; Heathcote, P.(2002). Making decisions about treatment for localized prostate cancer. </w:t>
      </w:r>
      <w:r w:rsidRPr="00EF60B7">
        <w:rPr>
          <w:rFonts w:ascii="Times New Roman" w:hAnsi="Times New Roman" w:cs="Times New Roman"/>
          <w:i/>
          <w:sz w:val="24"/>
          <w:szCs w:val="24"/>
          <w:lang w:val="en-US"/>
        </w:rPr>
        <w:t>British Journal of Urology International</w:t>
      </w:r>
      <w:r w:rsidRPr="00EF60B7">
        <w:rPr>
          <w:rFonts w:ascii="Times New Roman" w:hAnsi="Times New Roman" w:cs="Times New Roman"/>
          <w:sz w:val="24"/>
          <w:szCs w:val="24"/>
          <w:lang w:val="en-US"/>
        </w:rPr>
        <w:t>, 89: 255–60.</w:t>
      </w:r>
    </w:p>
    <w:p w:rsidR="00381ABF" w:rsidRPr="00EF60B7" w:rsidRDefault="00381ABF" w:rsidP="008D2DF6">
      <w:pPr>
        <w:tabs>
          <w:tab w:val="left" w:pos="7211"/>
        </w:tabs>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ab/>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Steiner, J. F. &amp; Earnest, M. A. (2000).  Lingua medica: The language of medication taking. </w:t>
      </w:r>
      <w:r w:rsidRPr="00EF60B7">
        <w:rPr>
          <w:rFonts w:ascii="Times New Roman" w:hAnsi="Times New Roman" w:cs="Times New Roman"/>
          <w:i/>
          <w:sz w:val="24"/>
          <w:szCs w:val="24"/>
          <w:lang w:val="en-US"/>
        </w:rPr>
        <w:t>Annales of  Internal Medicine</w:t>
      </w:r>
      <w:r w:rsidRPr="00EF60B7">
        <w:rPr>
          <w:rFonts w:ascii="Times New Roman" w:hAnsi="Times New Roman" w:cs="Times New Roman"/>
          <w:sz w:val="24"/>
          <w:szCs w:val="24"/>
          <w:lang w:val="en-US"/>
        </w:rPr>
        <w:t>, 132:926–30.</w:t>
      </w:r>
    </w:p>
    <w:p w:rsidR="00381ABF" w:rsidRPr="00EF60B7" w:rsidRDefault="00381ABF" w:rsidP="008D2DF6">
      <w:pPr>
        <w:tabs>
          <w:tab w:val="left" w:pos="3299"/>
        </w:tabs>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ab/>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lastRenderedPageBreak/>
        <w:t xml:space="preserve">Stevenson, F. A., Barry, C. A., Britten, N., Barber, N., &amp; Bradley, C. P. (2000). Doctor-patient communication about drugs: the evidence for shared decision making. </w:t>
      </w:r>
      <w:r w:rsidRPr="00EF60B7">
        <w:rPr>
          <w:rFonts w:ascii="Times New Roman" w:hAnsi="Times New Roman" w:cs="Times New Roman"/>
          <w:i/>
          <w:sz w:val="24"/>
          <w:szCs w:val="24"/>
          <w:lang w:val="en-US"/>
        </w:rPr>
        <w:t>Social Science &amp; Medicine</w:t>
      </w:r>
      <w:r w:rsidRPr="00EF60B7">
        <w:rPr>
          <w:rFonts w:ascii="Times New Roman" w:hAnsi="Times New Roman" w:cs="Times New Roman"/>
          <w:sz w:val="24"/>
          <w:szCs w:val="24"/>
          <w:lang w:val="en-US"/>
        </w:rPr>
        <w:t>, 50: 829-840.</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Stewart, M. A., Brown, B. J., Weston, W. W., Mc Whinney, I., McWilliam, C. L., &amp; Freeman, T. R. (Eds). (1995). </w:t>
      </w:r>
      <w:r w:rsidRPr="00EF60B7">
        <w:rPr>
          <w:rFonts w:ascii="Times New Roman" w:hAnsi="Times New Roman" w:cs="Times New Roman"/>
          <w:i/>
          <w:sz w:val="24"/>
          <w:szCs w:val="24"/>
          <w:lang w:val="en-US"/>
        </w:rPr>
        <w:t>Patient-cendered medicine: Trasforming the clinical method</w:t>
      </w:r>
      <w:r w:rsidRPr="00EF60B7">
        <w:rPr>
          <w:rFonts w:ascii="Times New Roman" w:hAnsi="Times New Roman" w:cs="Times New Roman"/>
          <w:sz w:val="24"/>
          <w:szCs w:val="24"/>
          <w:lang w:val="en-US"/>
        </w:rPr>
        <w:t>. Thousand Oaks, CA: Sage.</w:t>
      </w:r>
    </w:p>
    <w:p w:rsidR="00381ABF" w:rsidRPr="00EF60B7" w:rsidRDefault="00381ABF" w:rsidP="008D2DF6">
      <w:pPr>
        <w:tabs>
          <w:tab w:val="left" w:pos="2901"/>
        </w:tabs>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ab/>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Stewart, M., Brown, J., Donner, A., McWhinney, I., Oates, J., Weston, W., et al. (2000). The impact of patient-centered care on outcomes. </w:t>
      </w:r>
      <w:r w:rsidRPr="00EF60B7">
        <w:rPr>
          <w:rFonts w:ascii="Times New Roman" w:hAnsi="Times New Roman" w:cs="Times New Roman"/>
          <w:i/>
          <w:sz w:val="24"/>
          <w:szCs w:val="24"/>
          <w:lang w:val="en-US"/>
        </w:rPr>
        <w:t>Journal of  Family  Practice</w:t>
      </w:r>
      <w:r w:rsidRPr="00EF60B7">
        <w:rPr>
          <w:rFonts w:ascii="Times New Roman" w:hAnsi="Times New Roman" w:cs="Times New Roman"/>
          <w:sz w:val="24"/>
          <w:szCs w:val="24"/>
          <w:lang w:val="en-US"/>
        </w:rPr>
        <w:t>, 49: 796–804.</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Stewart, M., Brown, J., Galajda, J., Meredith, L., Sangster, M. (1999). Evidence on patient-doctor communication. </w:t>
      </w:r>
      <w:r w:rsidRPr="00EF60B7">
        <w:rPr>
          <w:rFonts w:ascii="Times New Roman" w:hAnsi="Times New Roman" w:cs="Times New Roman"/>
          <w:i/>
          <w:sz w:val="24"/>
          <w:szCs w:val="24"/>
          <w:lang w:val="en-US"/>
        </w:rPr>
        <w:t>Cancer Prevention and Control</w:t>
      </w:r>
      <w:r w:rsidRPr="00EF60B7">
        <w:rPr>
          <w:rFonts w:ascii="Times New Roman" w:hAnsi="Times New Roman" w:cs="Times New Roman"/>
          <w:sz w:val="24"/>
          <w:szCs w:val="24"/>
          <w:lang w:val="en-US"/>
        </w:rPr>
        <w:t>, 3:25–30.</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Street, R. L., Voigt, B., Geyer, C., Manning, T., &amp; Swanson, G. P. (1995). Increasing patient involvement in choosing treatment for early breast cancer. </w:t>
      </w:r>
      <w:r w:rsidRPr="00EF60B7">
        <w:rPr>
          <w:rFonts w:ascii="Times New Roman" w:hAnsi="Times New Roman" w:cs="Times New Roman"/>
          <w:i/>
          <w:sz w:val="24"/>
          <w:szCs w:val="24"/>
          <w:lang w:val="en-US"/>
        </w:rPr>
        <w:t>Cancer</w:t>
      </w:r>
      <w:r w:rsidRPr="00EF60B7">
        <w:rPr>
          <w:rFonts w:ascii="Times New Roman" w:hAnsi="Times New Roman" w:cs="Times New Roman"/>
          <w:sz w:val="24"/>
          <w:szCs w:val="24"/>
          <w:lang w:val="en-US"/>
        </w:rPr>
        <w:t>, 76: 2275-85.</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Street, Jr R. L., et al. (2005). Patient participation in medical consultations: why some patients are more involved than others. </w:t>
      </w:r>
      <w:r w:rsidRPr="00EF60B7">
        <w:rPr>
          <w:rFonts w:ascii="Times New Roman" w:hAnsi="Times New Roman" w:cs="Times New Roman"/>
          <w:i/>
          <w:sz w:val="24"/>
          <w:szCs w:val="24"/>
          <w:lang w:val="en-US"/>
        </w:rPr>
        <w:t>Medical Care</w:t>
      </w:r>
      <w:r w:rsidRPr="00EF60B7">
        <w:rPr>
          <w:rFonts w:ascii="Times New Roman" w:hAnsi="Times New Roman" w:cs="Times New Roman"/>
          <w:sz w:val="24"/>
          <w:szCs w:val="24"/>
          <w:lang w:val="en-US"/>
        </w:rPr>
        <w:t>, 43: 960-9.</w:t>
      </w:r>
    </w:p>
    <w:p w:rsidR="00381ABF" w:rsidRPr="00EF60B7" w:rsidRDefault="00381ABF" w:rsidP="008D2DF6">
      <w:pPr>
        <w:tabs>
          <w:tab w:val="left" w:pos="2891"/>
        </w:tabs>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ab/>
      </w:r>
    </w:p>
    <w:p w:rsidR="00381ABF" w:rsidRPr="00EF60B7" w:rsidRDefault="00381ABF" w:rsidP="008D2DF6">
      <w:pPr>
        <w:tabs>
          <w:tab w:val="left" w:pos="7007"/>
        </w:tabs>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Suchman, A. L., et al. (1997). A model of empathic communication in the medical interview. </w:t>
      </w:r>
      <w:r w:rsidRPr="00EF60B7">
        <w:rPr>
          <w:rFonts w:ascii="Times New Roman" w:hAnsi="Times New Roman" w:cs="Times New Roman"/>
          <w:i/>
          <w:sz w:val="24"/>
          <w:szCs w:val="24"/>
          <w:lang w:val="en-US"/>
        </w:rPr>
        <w:t>Journal of American Medical Association</w:t>
      </w:r>
      <w:r w:rsidRPr="00EF60B7">
        <w:rPr>
          <w:rFonts w:ascii="Times New Roman" w:hAnsi="Times New Roman" w:cs="Times New Roman"/>
          <w:sz w:val="24"/>
          <w:szCs w:val="24"/>
          <w:lang w:val="en-US"/>
        </w:rPr>
        <w:t>, 277: 678-82.</w:t>
      </w:r>
    </w:p>
    <w:p w:rsidR="00381ABF" w:rsidRPr="00EF60B7" w:rsidRDefault="00381ABF" w:rsidP="008D2DF6">
      <w:pPr>
        <w:tabs>
          <w:tab w:val="left" w:pos="7007"/>
        </w:tabs>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tabs>
          <w:tab w:val="left" w:pos="7007"/>
        </w:tabs>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lastRenderedPageBreak/>
        <w:t xml:space="preserve">Svenson, O. (1983). </w:t>
      </w:r>
      <w:r w:rsidRPr="00EF60B7">
        <w:rPr>
          <w:rFonts w:ascii="Times New Roman" w:hAnsi="Times New Roman" w:cs="Times New Roman"/>
          <w:i/>
          <w:sz w:val="24"/>
          <w:szCs w:val="24"/>
          <w:lang w:val="en-US"/>
        </w:rPr>
        <w:t>Decision rules and information processing in decision making</w:t>
      </w:r>
      <w:r w:rsidRPr="00EF60B7">
        <w:rPr>
          <w:rFonts w:ascii="Times New Roman" w:hAnsi="Times New Roman" w:cs="Times New Roman"/>
          <w:sz w:val="24"/>
          <w:szCs w:val="24"/>
          <w:lang w:val="en-US"/>
        </w:rPr>
        <w:t>,</w:t>
      </w:r>
      <w:r w:rsidRPr="00EF60B7">
        <w:rPr>
          <w:rFonts w:ascii="Times New Roman" w:hAnsi="Times New Roman" w:cs="Times New Roman"/>
          <w:i/>
          <w:sz w:val="24"/>
          <w:szCs w:val="24"/>
          <w:lang w:val="en-US"/>
        </w:rPr>
        <w:t xml:space="preserve"> </w:t>
      </w:r>
      <w:r w:rsidRPr="00EF60B7">
        <w:rPr>
          <w:rFonts w:ascii="Times New Roman" w:hAnsi="Times New Roman" w:cs="Times New Roman"/>
          <w:sz w:val="24"/>
          <w:szCs w:val="24"/>
          <w:lang w:val="en-US"/>
        </w:rPr>
        <w:t xml:space="preserve">in Sjoberg, L., Tyszka, T., &amp; Wise, J. A., (a cura di), </w:t>
      </w:r>
      <w:r w:rsidRPr="00EF60B7">
        <w:rPr>
          <w:rFonts w:ascii="Times New Roman" w:hAnsi="Times New Roman" w:cs="Times New Roman"/>
          <w:i/>
          <w:sz w:val="24"/>
          <w:szCs w:val="24"/>
          <w:lang w:val="en-US"/>
        </w:rPr>
        <w:t>Human decision making</w:t>
      </w:r>
      <w:r w:rsidRPr="00EF60B7">
        <w:rPr>
          <w:rFonts w:ascii="Times New Roman" w:hAnsi="Times New Roman" w:cs="Times New Roman"/>
          <w:sz w:val="24"/>
          <w:szCs w:val="24"/>
          <w:lang w:val="en-US"/>
        </w:rPr>
        <w:t>, Göteborg, Doxa.</w:t>
      </w:r>
    </w:p>
    <w:p w:rsidR="00381ABF" w:rsidRPr="00EF60B7" w:rsidRDefault="00381ABF" w:rsidP="008D2DF6">
      <w:pPr>
        <w:tabs>
          <w:tab w:val="left" w:pos="7007"/>
        </w:tabs>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 </w:t>
      </w:r>
      <w:r w:rsidRPr="00EF60B7">
        <w:rPr>
          <w:rFonts w:ascii="Times New Roman" w:hAnsi="Times New Roman" w:cs="Times New Roman"/>
          <w:sz w:val="24"/>
          <w:szCs w:val="24"/>
          <w:lang w:val="en-US"/>
        </w:rPr>
        <w:tab/>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Tayler  M. &amp;  Ogden  J. (2005).  Doctors use of euphemisms and their impact on patients beliefs about their illness. </w:t>
      </w:r>
      <w:r w:rsidRPr="00EF60B7">
        <w:rPr>
          <w:rFonts w:ascii="Times New Roman" w:hAnsi="Times New Roman" w:cs="Times New Roman"/>
          <w:i/>
          <w:sz w:val="24"/>
          <w:szCs w:val="24"/>
          <w:lang w:val="en-US"/>
        </w:rPr>
        <w:t>Patient Education  and Counseling</w:t>
      </w:r>
      <w:r w:rsidRPr="00EF60B7">
        <w:rPr>
          <w:rFonts w:ascii="Times New Roman" w:hAnsi="Times New Roman" w:cs="Times New Roman"/>
          <w:sz w:val="24"/>
          <w:szCs w:val="24"/>
          <w:lang w:val="en-US"/>
        </w:rPr>
        <w:t>, 57:321–6.</w:t>
      </w:r>
    </w:p>
    <w:p w:rsidR="00381ABF" w:rsidRPr="00EF60B7" w:rsidRDefault="00381ABF" w:rsidP="008D2DF6">
      <w:pPr>
        <w:tabs>
          <w:tab w:val="left" w:pos="2890"/>
        </w:tabs>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ab/>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Tailor  A. &amp; Ogden J. (2009).  </w:t>
      </w:r>
      <w:r w:rsidRPr="00EF60B7">
        <w:rPr>
          <w:rFonts w:ascii="Times New Roman" w:hAnsi="Times New Roman" w:cs="Times New Roman"/>
          <w:color w:val="000000"/>
          <w:sz w:val="24"/>
          <w:szCs w:val="24"/>
          <w:lang w:val="en-US"/>
        </w:rPr>
        <w:t xml:space="preserve">Avoiding the term ‘obesity’: An experimental study of the impact of doctors’ language on patients’ beliefs. </w:t>
      </w:r>
      <w:r w:rsidRPr="00EF60B7">
        <w:rPr>
          <w:rFonts w:ascii="Times New Roman" w:hAnsi="Times New Roman" w:cs="Times New Roman"/>
          <w:i/>
          <w:sz w:val="24"/>
          <w:szCs w:val="24"/>
          <w:lang w:val="en-US"/>
        </w:rPr>
        <w:t>Patient Education and Counseling</w:t>
      </w:r>
      <w:r w:rsidRPr="00EF60B7">
        <w:rPr>
          <w:rFonts w:ascii="Times New Roman" w:hAnsi="Times New Roman" w:cs="Times New Roman"/>
          <w:sz w:val="24"/>
          <w:szCs w:val="24"/>
          <w:lang w:val="en-US"/>
        </w:rPr>
        <w:t>, 76: 260–264.</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Tates, K., &amp; Meeuwesen, L. (2001). Doctor-parent-child communication. A (re)view of the literature. </w:t>
      </w:r>
      <w:r w:rsidRPr="00EF60B7">
        <w:rPr>
          <w:rFonts w:ascii="Times New Roman" w:hAnsi="Times New Roman" w:cs="Times New Roman"/>
          <w:i/>
          <w:sz w:val="24"/>
          <w:szCs w:val="24"/>
          <w:lang w:val="en-US"/>
        </w:rPr>
        <w:t>Social Science and Medicine</w:t>
      </w:r>
      <w:r w:rsidRPr="00EF60B7">
        <w:rPr>
          <w:rFonts w:ascii="Times New Roman" w:hAnsi="Times New Roman" w:cs="Times New Roman"/>
          <w:sz w:val="24"/>
          <w:szCs w:val="24"/>
          <w:lang w:val="en-US"/>
        </w:rPr>
        <w:t>, 52: 839-851.</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Tates, K., Elbers, E., Meeuwesen, L., &amp; Bensing, J. (2002). Doctor-parent-child relationships: a ‘pas de trois”. </w:t>
      </w:r>
      <w:r w:rsidRPr="00EF60B7">
        <w:rPr>
          <w:rFonts w:ascii="Times New Roman" w:hAnsi="Times New Roman" w:cs="Times New Roman"/>
          <w:i/>
          <w:sz w:val="24"/>
          <w:szCs w:val="24"/>
          <w:lang w:val="en-US"/>
        </w:rPr>
        <w:t>Patient Education and Counseling</w:t>
      </w:r>
      <w:r w:rsidRPr="00EF60B7">
        <w:rPr>
          <w:rFonts w:ascii="Times New Roman" w:hAnsi="Times New Roman" w:cs="Times New Roman"/>
          <w:sz w:val="24"/>
          <w:szCs w:val="24"/>
          <w:lang w:val="en-US"/>
        </w:rPr>
        <w:t>, 48: 5-14.</w:t>
      </w:r>
    </w:p>
    <w:p w:rsidR="00381ABF" w:rsidRPr="00EF60B7" w:rsidRDefault="00381ABF" w:rsidP="008D2DF6">
      <w:pPr>
        <w:tabs>
          <w:tab w:val="left" w:pos="6405"/>
        </w:tabs>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ab/>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Tresolini, C. P., and the Pew-Fetzer Task Force on Advancing Psychosocial Health Education (1994). </w:t>
      </w:r>
      <w:r w:rsidRPr="00EF60B7">
        <w:rPr>
          <w:rFonts w:ascii="Times New Roman" w:hAnsi="Times New Roman" w:cs="Times New Roman"/>
          <w:i/>
          <w:sz w:val="24"/>
          <w:szCs w:val="24"/>
          <w:lang w:val="en-US"/>
        </w:rPr>
        <w:t>Health professions education and relationship-centered care</w:t>
      </w:r>
      <w:r w:rsidRPr="00EF60B7">
        <w:rPr>
          <w:rFonts w:ascii="Times New Roman" w:hAnsi="Times New Roman" w:cs="Times New Roman"/>
          <w:sz w:val="24"/>
          <w:szCs w:val="24"/>
          <w:lang w:val="en-US"/>
        </w:rPr>
        <w:t>. San Francisco: Pew Health Professions Commission.</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r w:rsidRPr="00EF60B7">
        <w:rPr>
          <w:rFonts w:ascii="Times New Roman" w:hAnsi="Times New Roman" w:cs="Times New Roman"/>
          <w:sz w:val="24"/>
          <w:szCs w:val="24"/>
          <w:lang w:val="en-US"/>
        </w:rPr>
        <w:t xml:space="preserve">Truant, T., &amp; Bottorff, J. L. (1999). Decision making related to complementary therapies: a process of regaining control. </w:t>
      </w:r>
      <w:r w:rsidRPr="00EF60B7">
        <w:rPr>
          <w:rFonts w:ascii="Times New Roman" w:hAnsi="Times New Roman" w:cs="Times New Roman"/>
          <w:i/>
          <w:sz w:val="24"/>
          <w:szCs w:val="24"/>
          <w:lang w:val="en-US"/>
        </w:rPr>
        <w:t>Patient Education and Counseling</w:t>
      </w:r>
      <w:r w:rsidRPr="00EF60B7">
        <w:rPr>
          <w:rFonts w:ascii="Times New Roman" w:hAnsi="Times New Roman" w:cs="Times New Roman"/>
          <w:sz w:val="24"/>
          <w:szCs w:val="24"/>
          <w:lang w:val="en-US"/>
        </w:rPr>
        <w:t>, 38: 131-42.</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color w:val="000000"/>
          <w:sz w:val="24"/>
          <w:szCs w:val="24"/>
          <w:lang w:val="en-US"/>
        </w:rPr>
      </w:pPr>
      <w:r w:rsidRPr="00EF60B7">
        <w:rPr>
          <w:rFonts w:ascii="Times New Roman" w:hAnsi="Times New Roman" w:cs="Times New Roman"/>
          <w:color w:val="000000"/>
          <w:sz w:val="24"/>
          <w:szCs w:val="24"/>
          <w:lang w:val="en-US"/>
        </w:rPr>
        <w:lastRenderedPageBreak/>
        <w:t xml:space="preserve">Tsevat, J., Weeks, J. C., Guadagnoli, E. Et al. (1994). Using health-related quality-of-life information: clinical encounters, clinical trials, and health policy. </w:t>
      </w:r>
      <w:r w:rsidRPr="00EF60B7">
        <w:rPr>
          <w:rFonts w:ascii="Times New Roman" w:hAnsi="Times New Roman" w:cs="Times New Roman"/>
          <w:i/>
          <w:color w:val="000000"/>
          <w:sz w:val="24"/>
          <w:szCs w:val="24"/>
          <w:lang w:val="en-US"/>
        </w:rPr>
        <w:t xml:space="preserve">Journal of </w:t>
      </w:r>
      <w:r w:rsidRPr="00EF60B7">
        <w:rPr>
          <w:rFonts w:ascii="Times New Roman" w:hAnsi="Times New Roman" w:cs="Times New Roman"/>
          <w:color w:val="000000"/>
          <w:sz w:val="24"/>
          <w:szCs w:val="24"/>
          <w:lang w:val="en-US"/>
        </w:rPr>
        <w:t xml:space="preserve"> </w:t>
      </w:r>
      <w:r w:rsidRPr="00EF60B7">
        <w:rPr>
          <w:rFonts w:ascii="Times New Roman" w:hAnsi="Times New Roman" w:cs="Times New Roman"/>
          <w:i/>
          <w:color w:val="000000"/>
          <w:sz w:val="24"/>
          <w:szCs w:val="24"/>
          <w:lang w:val="en-US"/>
        </w:rPr>
        <w:t>General  Internal Medicine</w:t>
      </w:r>
      <w:r w:rsidRPr="00EF60B7">
        <w:rPr>
          <w:rFonts w:ascii="Times New Roman" w:hAnsi="Times New Roman" w:cs="Times New Roman"/>
          <w:color w:val="000000"/>
          <w:sz w:val="24"/>
          <w:szCs w:val="24"/>
          <w:lang w:val="en-US"/>
        </w:rPr>
        <w:t>, 9: 576-82.</w:t>
      </w:r>
    </w:p>
    <w:p w:rsidR="00381ABF" w:rsidRPr="00EF60B7" w:rsidRDefault="00381ABF" w:rsidP="008D2DF6">
      <w:pPr>
        <w:autoSpaceDE w:val="0"/>
        <w:autoSpaceDN w:val="0"/>
        <w:adjustRightInd w:val="0"/>
        <w:spacing w:line="360" w:lineRule="auto"/>
        <w:jc w:val="both"/>
        <w:rPr>
          <w:rFonts w:ascii="Times New Roman" w:hAnsi="Times New Roman" w:cs="Times New Roman"/>
          <w:color w:val="000000"/>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color w:val="000000"/>
          <w:sz w:val="24"/>
          <w:szCs w:val="24"/>
          <w:lang w:val="en-US"/>
        </w:rPr>
      </w:pPr>
      <w:r w:rsidRPr="00EF60B7">
        <w:rPr>
          <w:rFonts w:ascii="Times New Roman" w:hAnsi="Times New Roman" w:cs="Times New Roman"/>
          <w:color w:val="000000"/>
          <w:sz w:val="24"/>
          <w:szCs w:val="24"/>
          <w:lang w:val="en-US"/>
        </w:rPr>
        <w:t xml:space="preserve">Tuckett, D., Boulton, M., Olson, C., &amp; William, A. (1985). </w:t>
      </w:r>
      <w:r w:rsidRPr="00EF60B7">
        <w:rPr>
          <w:rFonts w:ascii="Times New Roman" w:hAnsi="Times New Roman" w:cs="Times New Roman"/>
          <w:i/>
          <w:color w:val="000000"/>
          <w:sz w:val="24"/>
          <w:szCs w:val="24"/>
          <w:lang w:val="en-US"/>
        </w:rPr>
        <w:t>Meetings Between Experts</w:t>
      </w:r>
      <w:r w:rsidRPr="00EF60B7">
        <w:rPr>
          <w:rFonts w:ascii="Times New Roman" w:hAnsi="Times New Roman" w:cs="Times New Roman"/>
          <w:color w:val="000000"/>
          <w:sz w:val="24"/>
          <w:szCs w:val="24"/>
          <w:lang w:val="en-US"/>
        </w:rPr>
        <w:t>. Tavistock, London.</w:t>
      </w:r>
    </w:p>
    <w:p w:rsidR="00381ABF" w:rsidRPr="00EF60B7" w:rsidRDefault="00381ABF" w:rsidP="008D2DF6">
      <w:pPr>
        <w:autoSpaceDE w:val="0"/>
        <w:autoSpaceDN w:val="0"/>
        <w:adjustRightInd w:val="0"/>
        <w:spacing w:line="360" w:lineRule="auto"/>
        <w:jc w:val="both"/>
        <w:rPr>
          <w:rFonts w:ascii="Times New Roman" w:hAnsi="Times New Roman" w:cs="Times New Roman"/>
          <w:color w:val="000000"/>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color w:val="000000"/>
          <w:sz w:val="24"/>
          <w:szCs w:val="24"/>
          <w:lang w:val="en-US"/>
        </w:rPr>
      </w:pPr>
      <w:r w:rsidRPr="00EF60B7">
        <w:rPr>
          <w:rFonts w:ascii="Times New Roman" w:hAnsi="Times New Roman" w:cs="Times New Roman"/>
          <w:color w:val="000000"/>
          <w:sz w:val="24"/>
          <w:szCs w:val="24"/>
          <w:lang w:val="en-US"/>
        </w:rPr>
        <w:t xml:space="preserve">Tulsky, J. A. (2005). Interventions to enhance communication among patients, providers, and families. </w:t>
      </w:r>
      <w:r w:rsidRPr="00EF60B7">
        <w:rPr>
          <w:rFonts w:ascii="Times New Roman" w:hAnsi="Times New Roman" w:cs="Times New Roman"/>
          <w:i/>
          <w:color w:val="000000"/>
          <w:sz w:val="24"/>
          <w:szCs w:val="24"/>
          <w:lang w:val="en-US"/>
        </w:rPr>
        <w:t>Journal of  Palliative Medicine</w:t>
      </w:r>
      <w:r w:rsidRPr="00EF60B7">
        <w:rPr>
          <w:rFonts w:ascii="Times New Roman" w:hAnsi="Times New Roman" w:cs="Times New Roman"/>
          <w:color w:val="000000"/>
          <w:sz w:val="24"/>
          <w:szCs w:val="24"/>
          <w:lang w:val="en-US"/>
        </w:rPr>
        <w:t>, 8 (Suppl 1): S95-102.</w:t>
      </w:r>
    </w:p>
    <w:p w:rsidR="00381ABF" w:rsidRPr="00EF60B7" w:rsidRDefault="00381ABF" w:rsidP="008D2DF6">
      <w:pPr>
        <w:autoSpaceDE w:val="0"/>
        <w:autoSpaceDN w:val="0"/>
        <w:adjustRightInd w:val="0"/>
        <w:spacing w:line="360" w:lineRule="auto"/>
        <w:jc w:val="both"/>
        <w:rPr>
          <w:rFonts w:ascii="Times New Roman" w:hAnsi="Times New Roman" w:cs="Times New Roman"/>
          <w:color w:val="000000"/>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color w:val="000000"/>
          <w:sz w:val="24"/>
          <w:szCs w:val="24"/>
          <w:lang w:val="en-US"/>
        </w:rPr>
      </w:pPr>
      <w:r w:rsidRPr="00EF60B7">
        <w:rPr>
          <w:rFonts w:ascii="Times New Roman" w:hAnsi="Times New Roman" w:cs="Times New Roman"/>
          <w:color w:val="000000"/>
          <w:sz w:val="24"/>
          <w:szCs w:val="24"/>
          <w:lang w:val="en-US"/>
        </w:rPr>
        <w:t xml:space="preserve">Tversky, A., &amp; Kahneman, D. (1986). Rational choice and the fraiming of decisions. </w:t>
      </w:r>
      <w:r w:rsidRPr="00EF60B7">
        <w:rPr>
          <w:rFonts w:ascii="Times New Roman" w:hAnsi="Times New Roman" w:cs="Times New Roman"/>
          <w:i/>
          <w:color w:val="000000"/>
          <w:sz w:val="24"/>
          <w:szCs w:val="24"/>
          <w:lang w:val="en-US"/>
        </w:rPr>
        <w:t>Journal of business</w:t>
      </w:r>
      <w:r w:rsidRPr="00EF60B7">
        <w:rPr>
          <w:rFonts w:ascii="Times New Roman" w:hAnsi="Times New Roman" w:cs="Times New Roman"/>
          <w:color w:val="000000"/>
          <w:sz w:val="24"/>
          <w:szCs w:val="24"/>
          <w:lang w:val="en-US"/>
        </w:rPr>
        <w:t>, 59: 251-278.</w:t>
      </w:r>
    </w:p>
    <w:p w:rsidR="00381ABF" w:rsidRPr="00EF60B7" w:rsidRDefault="00381ABF" w:rsidP="008D2DF6">
      <w:pPr>
        <w:autoSpaceDE w:val="0"/>
        <w:autoSpaceDN w:val="0"/>
        <w:adjustRightInd w:val="0"/>
        <w:spacing w:line="360" w:lineRule="auto"/>
        <w:jc w:val="both"/>
        <w:rPr>
          <w:rFonts w:ascii="Times New Roman" w:hAnsi="Times New Roman" w:cs="Times New Roman"/>
          <w:color w:val="000000"/>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color w:val="000000"/>
          <w:sz w:val="24"/>
          <w:szCs w:val="24"/>
          <w:lang w:val="en-US"/>
        </w:rPr>
      </w:pPr>
      <w:r w:rsidRPr="00EF60B7">
        <w:rPr>
          <w:rFonts w:ascii="Times New Roman" w:hAnsi="Times New Roman" w:cs="Times New Roman"/>
          <w:color w:val="000000"/>
          <w:sz w:val="24"/>
          <w:szCs w:val="24"/>
          <w:lang w:val="en-US"/>
        </w:rPr>
        <w:t xml:space="preserve">Tversky, A., &amp; Shafir, E. (1992). The disjunction effect in choice under uncertainty. </w:t>
      </w:r>
      <w:r w:rsidRPr="00EF60B7">
        <w:rPr>
          <w:rFonts w:ascii="Times New Roman" w:hAnsi="Times New Roman" w:cs="Times New Roman"/>
          <w:i/>
          <w:color w:val="000000"/>
          <w:sz w:val="24"/>
          <w:szCs w:val="24"/>
          <w:lang w:val="en-US"/>
        </w:rPr>
        <w:t>Psychological Science</w:t>
      </w:r>
      <w:r w:rsidRPr="00EF60B7">
        <w:rPr>
          <w:rFonts w:ascii="Times New Roman" w:hAnsi="Times New Roman" w:cs="Times New Roman"/>
          <w:color w:val="000000"/>
          <w:sz w:val="24"/>
          <w:szCs w:val="24"/>
          <w:lang w:val="en-US"/>
        </w:rPr>
        <w:t>, 3 (5): 305-309.</w:t>
      </w:r>
    </w:p>
    <w:p w:rsidR="00381ABF" w:rsidRPr="00EF60B7" w:rsidRDefault="00381ABF" w:rsidP="008D2DF6">
      <w:pPr>
        <w:tabs>
          <w:tab w:val="left" w:pos="6716"/>
        </w:tabs>
        <w:autoSpaceDE w:val="0"/>
        <w:autoSpaceDN w:val="0"/>
        <w:adjustRightInd w:val="0"/>
        <w:spacing w:line="360" w:lineRule="auto"/>
        <w:jc w:val="both"/>
        <w:rPr>
          <w:rFonts w:ascii="Times New Roman" w:hAnsi="Times New Roman" w:cs="Times New Roman"/>
          <w:color w:val="000000"/>
          <w:sz w:val="24"/>
          <w:szCs w:val="24"/>
          <w:lang w:val="en-US"/>
        </w:rPr>
      </w:pPr>
      <w:r w:rsidRPr="00EF60B7">
        <w:rPr>
          <w:rFonts w:ascii="Times New Roman" w:hAnsi="Times New Roman" w:cs="Times New Roman"/>
          <w:color w:val="000000"/>
          <w:sz w:val="24"/>
          <w:szCs w:val="24"/>
          <w:lang w:val="en-US"/>
        </w:rPr>
        <w:tab/>
      </w:r>
    </w:p>
    <w:p w:rsidR="00381ABF" w:rsidRPr="00EF60B7" w:rsidRDefault="00381ABF" w:rsidP="008D2DF6">
      <w:pPr>
        <w:autoSpaceDE w:val="0"/>
        <w:autoSpaceDN w:val="0"/>
        <w:adjustRightInd w:val="0"/>
        <w:spacing w:line="360" w:lineRule="auto"/>
        <w:jc w:val="both"/>
        <w:rPr>
          <w:rFonts w:ascii="Times New Roman" w:hAnsi="Times New Roman" w:cs="Times New Roman"/>
          <w:color w:val="000000"/>
          <w:sz w:val="24"/>
          <w:szCs w:val="24"/>
          <w:lang w:val="en-US"/>
        </w:rPr>
      </w:pPr>
      <w:r w:rsidRPr="00EF60B7">
        <w:rPr>
          <w:rFonts w:ascii="Times New Roman" w:hAnsi="Times New Roman" w:cs="Times New Roman"/>
          <w:color w:val="000000"/>
          <w:sz w:val="24"/>
          <w:szCs w:val="24"/>
          <w:lang w:val="en-US"/>
        </w:rPr>
        <w:t xml:space="preserve">Verhaak, C. M., Kraaimaat, F. W., Staps, A. C. J., &amp; Van Daal, W. A. J. (2000). Informed consent in palliative radiotherapy: participation of patients and proxies in treatment decisions. </w:t>
      </w:r>
      <w:r w:rsidRPr="00EF60B7">
        <w:rPr>
          <w:rFonts w:ascii="Times New Roman" w:hAnsi="Times New Roman" w:cs="Times New Roman"/>
          <w:i/>
          <w:color w:val="000000"/>
          <w:sz w:val="24"/>
          <w:szCs w:val="24"/>
          <w:lang w:val="en-US"/>
        </w:rPr>
        <w:t>Patient Education and Counseling</w:t>
      </w:r>
      <w:r w:rsidRPr="00EF60B7">
        <w:rPr>
          <w:rFonts w:ascii="Times New Roman" w:hAnsi="Times New Roman" w:cs="Times New Roman"/>
          <w:color w:val="000000"/>
          <w:sz w:val="24"/>
          <w:szCs w:val="24"/>
          <w:lang w:val="en-US"/>
        </w:rPr>
        <w:t>, 41: 63-71.</w:t>
      </w:r>
    </w:p>
    <w:p w:rsidR="00381ABF" w:rsidRPr="00EF60B7" w:rsidRDefault="00381ABF" w:rsidP="008D2DF6">
      <w:pPr>
        <w:autoSpaceDE w:val="0"/>
        <w:autoSpaceDN w:val="0"/>
        <w:adjustRightInd w:val="0"/>
        <w:spacing w:line="360" w:lineRule="auto"/>
        <w:jc w:val="both"/>
        <w:rPr>
          <w:rFonts w:ascii="Times New Roman" w:hAnsi="Times New Roman" w:cs="Times New Roman"/>
          <w:color w:val="000000"/>
          <w:sz w:val="24"/>
          <w:szCs w:val="24"/>
          <w:lang w:val="en-US"/>
        </w:rPr>
      </w:pPr>
      <w:r w:rsidRPr="00EF60B7">
        <w:rPr>
          <w:rFonts w:ascii="Times New Roman" w:hAnsi="Times New Roman" w:cs="Times New Roman"/>
          <w:color w:val="000000"/>
          <w:sz w:val="24"/>
          <w:szCs w:val="24"/>
          <w:lang w:val="en-US"/>
        </w:rPr>
        <w:t xml:space="preserve"> </w:t>
      </w:r>
    </w:p>
    <w:p w:rsidR="00381ABF" w:rsidRPr="00EF60B7" w:rsidRDefault="00381ABF" w:rsidP="008D2DF6">
      <w:pPr>
        <w:autoSpaceDE w:val="0"/>
        <w:autoSpaceDN w:val="0"/>
        <w:adjustRightInd w:val="0"/>
        <w:spacing w:line="360" w:lineRule="auto"/>
        <w:jc w:val="both"/>
        <w:rPr>
          <w:rFonts w:ascii="Times New Roman" w:hAnsi="Times New Roman" w:cs="Times New Roman"/>
          <w:color w:val="000000"/>
          <w:sz w:val="24"/>
          <w:szCs w:val="24"/>
          <w:lang w:val="en-US"/>
        </w:rPr>
      </w:pPr>
      <w:r w:rsidRPr="00EF60B7">
        <w:rPr>
          <w:rFonts w:ascii="Times New Roman" w:hAnsi="Times New Roman" w:cs="Times New Roman"/>
          <w:color w:val="000000"/>
          <w:sz w:val="24"/>
          <w:szCs w:val="24"/>
          <w:lang w:val="en-US"/>
        </w:rPr>
        <w:t xml:space="preserve">Waitzkin, H. (1985). Information-giving in medical care. </w:t>
      </w:r>
      <w:r w:rsidRPr="00EF60B7">
        <w:rPr>
          <w:rFonts w:ascii="Times New Roman" w:hAnsi="Times New Roman" w:cs="Times New Roman"/>
          <w:i/>
          <w:color w:val="000000"/>
          <w:sz w:val="24"/>
          <w:szCs w:val="24"/>
          <w:lang w:val="en-US"/>
        </w:rPr>
        <w:t>Journal of Health and Social Behavior</w:t>
      </w:r>
      <w:r w:rsidRPr="00EF60B7">
        <w:rPr>
          <w:rFonts w:ascii="Times New Roman" w:hAnsi="Times New Roman" w:cs="Times New Roman"/>
          <w:color w:val="000000"/>
          <w:sz w:val="24"/>
          <w:szCs w:val="24"/>
          <w:lang w:val="en-US"/>
        </w:rPr>
        <w:t>, 26: 81-101.</w:t>
      </w:r>
    </w:p>
    <w:p w:rsidR="00381ABF" w:rsidRPr="00EF60B7" w:rsidRDefault="00381ABF" w:rsidP="008D2DF6">
      <w:pPr>
        <w:autoSpaceDE w:val="0"/>
        <w:autoSpaceDN w:val="0"/>
        <w:adjustRightInd w:val="0"/>
        <w:spacing w:line="360" w:lineRule="auto"/>
        <w:jc w:val="both"/>
        <w:rPr>
          <w:rFonts w:ascii="Times New Roman" w:hAnsi="Times New Roman" w:cs="Times New Roman"/>
          <w:color w:val="000000"/>
          <w:sz w:val="24"/>
          <w:szCs w:val="24"/>
          <w:lang w:val="en-US"/>
        </w:rPr>
      </w:pPr>
    </w:p>
    <w:p w:rsidR="00381ABF" w:rsidRPr="00EF60B7" w:rsidRDefault="00381ABF" w:rsidP="008D2DF6">
      <w:pPr>
        <w:autoSpaceDE w:val="0"/>
        <w:autoSpaceDN w:val="0"/>
        <w:adjustRightInd w:val="0"/>
        <w:spacing w:line="360" w:lineRule="auto"/>
        <w:jc w:val="both"/>
        <w:rPr>
          <w:rFonts w:ascii="Times New Roman" w:hAnsi="Times New Roman" w:cs="Times New Roman"/>
          <w:color w:val="000000"/>
          <w:sz w:val="24"/>
          <w:szCs w:val="24"/>
          <w:lang w:val="en-US"/>
        </w:rPr>
      </w:pPr>
      <w:r w:rsidRPr="00EF60B7">
        <w:rPr>
          <w:rFonts w:ascii="Times New Roman" w:hAnsi="Times New Roman" w:cs="Times New Roman"/>
          <w:color w:val="000000"/>
          <w:sz w:val="24"/>
          <w:szCs w:val="24"/>
          <w:lang w:val="en-US"/>
        </w:rPr>
        <w:t xml:space="preserve">Wallen, J., Waitzkin, H., &amp; Stoeckle, J. D. (1979). Physician stereotypes about female health and illness. </w:t>
      </w:r>
      <w:r w:rsidRPr="00EF60B7">
        <w:rPr>
          <w:rFonts w:ascii="Times New Roman" w:hAnsi="Times New Roman" w:cs="Times New Roman"/>
          <w:i/>
          <w:color w:val="000000"/>
          <w:sz w:val="24"/>
          <w:szCs w:val="24"/>
          <w:lang w:val="en-US"/>
        </w:rPr>
        <w:t>Women &amp; Health</w:t>
      </w:r>
      <w:r w:rsidRPr="00EF60B7">
        <w:rPr>
          <w:rFonts w:ascii="Times New Roman" w:hAnsi="Times New Roman" w:cs="Times New Roman"/>
          <w:color w:val="000000"/>
          <w:sz w:val="24"/>
          <w:szCs w:val="24"/>
          <w:lang w:val="en-US"/>
        </w:rPr>
        <w:t>, 4: 135-146.</w:t>
      </w:r>
    </w:p>
    <w:p w:rsidR="00381ABF" w:rsidRPr="00EF60B7" w:rsidRDefault="00381ABF" w:rsidP="008D2DF6">
      <w:pPr>
        <w:tabs>
          <w:tab w:val="left" w:pos="6931"/>
        </w:tabs>
        <w:autoSpaceDE w:val="0"/>
        <w:autoSpaceDN w:val="0"/>
        <w:adjustRightInd w:val="0"/>
        <w:spacing w:line="360" w:lineRule="auto"/>
        <w:jc w:val="both"/>
        <w:rPr>
          <w:rFonts w:ascii="Times New Roman" w:hAnsi="Times New Roman" w:cs="Times New Roman"/>
          <w:color w:val="000000"/>
          <w:sz w:val="24"/>
          <w:szCs w:val="24"/>
          <w:lang w:val="en-US"/>
        </w:rPr>
      </w:pPr>
      <w:r w:rsidRPr="00EF60B7">
        <w:rPr>
          <w:rFonts w:ascii="Times New Roman" w:hAnsi="Times New Roman" w:cs="Times New Roman"/>
          <w:color w:val="000000"/>
          <w:sz w:val="24"/>
          <w:szCs w:val="24"/>
          <w:lang w:val="en-US"/>
        </w:rPr>
        <w:tab/>
      </w:r>
    </w:p>
    <w:p w:rsidR="00381ABF" w:rsidRPr="00EF60B7" w:rsidRDefault="00381ABF" w:rsidP="008D2DF6">
      <w:pPr>
        <w:autoSpaceDE w:val="0"/>
        <w:autoSpaceDN w:val="0"/>
        <w:adjustRightInd w:val="0"/>
        <w:spacing w:line="360" w:lineRule="auto"/>
        <w:jc w:val="both"/>
        <w:rPr>
          <w:rFonts w:ascii="Times New Roman" w:hAnsi="Times New Roman" w:cs="Times New Roman"/>
          <w:color w:val="000000"/>
          <w:sz w:val="24"/>
          <w:szCs w:val="24"/>
          <w:lang w:val="en-US"/>
        </w:rPr>
      </w:pPr>
      <w:r w:rsidRPr="00EF60B7">
        <w:rPr>
          <w:rFonts w:ascii="Times New Roman" w:hAnsi="Times New Roman" w:cs="Times New Roman"/>
          <w:color w:val="000000"/>
          <w:sz w:val="24"/>
          <w:szCs w:val="24"/>
          <w:lang w:val="en-US"/>
        </w:rPr>
        <w:lastRenderedPageBreak/>
        <w:t xml:space="preserve">Wills, C. E., &amp; Holmes-Rovner, M. (2003). Patient comprehension of information for shared treatment decision making: state of the art and future directions. </w:t>
      </w:r>
      <w:r w:rsidRPr="00EF60B7">
        <w:rPr>
          <w:rFonts w:ascii="Times New Roman" w:hAnsi="Times New Roman" w:cs="Times New Roman"/>
          <w:i/>
          <w:color w:val="000000"/>
          <w:sz w:val="24"/>
          <w:szCs w:val="24"/>
          <w:lang w:val="en-US"/>
        </w:rPr>
        <w:t>Patient Education and Counseling</w:t>
      </w:r>
      <w:r w:rsidRPr="00EF60B7">
        <w:rPr>
          <w:rFonts w:ascii="Times New Roman" w:hAnsi="Times New Roman" w:cs="Times New Roman"/>
          <w:color w:val="000000"/>
          <w:sz w:val="24"/>
          <w:szCs w:val="24"/>
          <w:lang w:val="en-US"/>
        </w:rPr>
        <w:t>, 50: 285-290.</w:t>
      </w:r>
    </w:p>
    <w:p w:rsidR="00381ABF" w:rsidRPr="00EF60B7" w:rsidRDefault="00381ABF" w:rsidP="008D2DF6">
      <w:pPr>
        <w:tabs>
          <w:tab w:val="left" w:pos="5878"/>
          <w:tab w:val="right" w:pos="7920"/>
        </w:tabs>
        <w:autoSpaceDE w:val="0"/>
        <w:autoSpaceDN w:val="0"/>
        <w:adjustRightInd w:val="0"/>
        <w:spacing w:line="360" w:lineRule="auto"/>
        <w:jc w:val="both"/>
        <w:rPr>
          <w:rFonts w:ascii="Times New Roman" w:hAnsi="Times New Roman" w:cs="Times New Roman"/>
          <w:color w:val="000000"/>
          <w:sz w:val="24"/>
          <w:szCs w:val="24"/>
          <w:lang w:val="en-US"/>
        </w:rPr>
      </w:pPr>
      <w:r w:rsidRPr="00EF60B7">
        <w:rPr>
          <w:rFonts w:ascii="Times New Roman" w:hAnsi="Times New Roman" w:cs="Times New Roman"/>
          <w:color w:val="000000"/>
          <w:sz w:val="24"/>
          <w:szCs w:val="24"/>
          <w:lang w:val="en-US"/>
        </w:rPr>
        <w:tab/>
      </w:r>
      <w:r w:rsidRPr="00EF60B7">
        <w:rPr>
          <w:rFonts w:ascii="Times New Roman" w:hAnsi="Times New Roman" w:cs="Times New Roman"/>
          <w:color w:val="000000"/>
          <w:sz w:val="24"/>
          <w:szCs w:val="24"/>
          <w:lang w:val="en-US"/>
        </w:rPr>
        <w:tab/>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rPr>
      </w:pPr>
      <w:r w:rsidRPr="00EF60B7">
        <w:rPr>
          <w:rFonts w:ascii="Times New Roman" w:hAnsi="Times New Roman" w:cs="Times New Roman"/>
          <w:sz w:val="24"/>
          <w:szCs w:val="24"/>
          <w:lang w:val="en-US"/>
        </w:rPr>
        <w:t>Wissow, L. S., Roter, D., Bauman, L. J., Crain, E., Kercsmar, C., Weiss, K. et al. (1998).</w:t>
      </w:r>
      <w:r w:rsidRPr="00EF60B7">
        <w:rPr>
          <w:rFonts w:ascii="Times New Roman" w:hAnsi="Times New Roman" w:cs="Times New Roman"/>
          <w:i/>
          <w:sz w:val="24"/>
          <w:szCs w:val="24"/>
          <w:lang w:val="en-US"/>
        </w:rPr>
        <w:t xml:space="preserve"> </w:t>
      </w:r>
      <w:r w:rsidRPr="00EF60B7">
        <w:rPr>
          <w:rFonts w:ascii="Times New Roman" w:hAnsi="Times New Roman" w:cs="Times New Roman"/>
          <w:sz w:val="24"/>
          <w:szCs w:val="24"/>
          <w:lang w:val="en-US"/>
        </w:rPr>
        <w:t xml:space="preserve">Patient-provider communication during the emergency department care of children with asthma. </w:t>
      </w:r>
      <w:r w:rsidRPr="00EF60B7">
        <w:rPr>
          <w:rFonts w:ascii="Times New Roman" w:hAnsi="Times New Roman" w:cs="Times New Roman"/>
          <w:i/>
          <w:sz w:val="24"/>
          <w:szCs w:val="24"/>
        </w:rPr>
        <w:t>Medical Care</w:t>
      </w:r>
      <w:r w:rsidRPr="00EF60B7">
        <w:rPr>
          <w:rFonts w:ascii="Times New Roman" w:hAnsi="Times New Roman" w:cs="Times New Roman"/>
          <w:sz w:val="24"/>
          <w:szCs w:val="24"/>
        </w:rPr>
        <w:t>, 36: 1439-50.</w:t>
      </w: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rPr>
      </w:pPr>
    </w:p>
    <w:p w:rsidR="00381ABF" w:rsidRPr="00EF60B7" w:rsidRDefault="00381ABF" w:rsidP="008D2DF6">
      <w:pPr>
        <w:spacing w:line="360" w:lineRule="auto"/>
        <w:jc w:val="both"/>
        <w:rPr>
          <w:rFonts w:ascii="Times New Roman" w:eastAsia="SimSun" w:hAnsi="Times New Roman" w:cs="Times New Roman"/>
          <w:sz w:val="24"/>
          <w:szCs w:val="24"/>
        </w:rPr>
      </w:pPr>
      <w:r w:rsidRPr="00EF60B7">
        <w:rPr>
          <w:rFonts w:ascii="Times New Roman" w:eastAsia="SimSun" w:hAnsi="Times New Roman" w:cs="Times New Roman"/>
          <w:sz w:val="24"/>
          <w:szCs w:val="24"/>
        </w:rPr>
        <w:t xml:space="preserve">Zani B., (2000) . </w:t>
      </w:r>
      <w:r w:rsidRPr="00EF60B7">
        <w:rPr>
          <w:rFonts w:ascii="Times New Roman" w:eastAsia="SimSun" w:hAnsi="Times New Roman" w:cs="Times New Roman"/>
          <w:i/>
          <w:sz w:val="24"/>
          <w:szCs w:val="24"/>
        </w:rPr>
        <w:t>La comunicazione medico-paziente</w:t>
      </w:r>
      <w:r w:rsidRPr="00EF60B7">
        <w:rPr>
          <w:rFonts w:ascii="Times New Roman" w:eastAsia="SimSun" w:hAnsi="Times New Roman" w:cs="Times New Roman"/>
          <w:sz w:val="24"/>
          <w:szCs w:val="24"/>
        </w:rPr>
        <w:t xml:space="preserve">, in Zani B., Selleri P., &amp; David D. (2000). </w:t>
      </w:r>
      <w:r w:rsidRPr="00EF60B7">
        <w:rPr>
          <w:rFonts w:ascii="Times New Roman" w:eastAsia="SimSun" w:hAnsi="Times New Roman" w:cs="Times New Roman"/>
          <w:i/>
          <w:sz w:val="24"/>
          <w:szCs w:val="24"/>
        </w:rPr>
        <w:t>La comunicazione</w:t>
      </w:r>
      <w:r w:rsidRPr="00EF60B7">
        <w:rPr>
          <w:rFonts w:ascii="Times New Roman" w:eastAsia="SimSun" w:hAnsi="Times New Roman" w:cs="Times New Roman"/>
          <w:sz w:val="24"/>
          <w:szCs w:val="24"/>
        </w:rPr>
        <w:t xml:space="preserve"> . Carocci.</w:t>
      </w:r>
    </w:p>
    <w:p w:rsidR="00381ABF" w:rsidRPr="00EF60B7" w:rsidRDefault="00381ABF" w:rsidP="008D2DF6">
      <w:pPr>
        <w:spacing w:line="360" w:lineRule="auto"/>
        <w:ind w:firstLine="360"/>
        <w:jc w:val="both"/>
        <w:rPr>
          <w:rFonts w:ascii="Times New Roman" w:eastAsia="SimSun" w:hAnsi="Times New Roman" w:cs="Times New Roman"/>
          <w:sz w:val="24"/>
          <w:szCs w:val="24"/>
        </w:rPr>
      </w:pPr>
    </w:p>
    <w:p w:rsidR="00381ABF" w:rsidRPr="00EF60B7" w:rsidRDefault="00381ABF" w:rsidP="008D2DF6">
      <w:pPr>
        <w:spacing w:line="360" w:lineRule="auto"/>
        <w:ind w:left="360" w:hanging="360"/>
        <w:jc w:val="both"/>
        <w:rPr>
          <w:rFonts w:ascii="Times New Roman" w:eastAsia="SimSun" w:hAnsi="Times New Roman" w:cs="Times New Roman"/>
          <w:sz w:val="24"/>
          <w:szCs w:val="24"/>
        </w:rPr>
      </w:pPr>
      <w:r w:rsidRPr="00EF60B7">
        <w:rPr>
          <w:rFonts w:ascii="Times New Roman" w:eastAsia="SimSun" w:hAnsi="Times New Roman" w:cs="Times New Roman"/>
          <w:sz w:val="24"/>
          <w:szCs w:val="24"/>
        </w:rPr>
        <w:t xml:space="preserve">Zani, B., Cicognani, E. (2000). </w:t>
      </w:r>
      <w:r w:rsidRPr="00EF60B7">
        <w:rPr>
          <w:rFonts w:ascii="Times New Roman" w:eastAsia="SimSun" w:hAnsi="Times New Roman" w:cs="Times New Roman"/>
          <w:i/>
          <w:iCs/>
          <w:sz w:val="24"/>
          <w:szCs w:val="24"/>
        </w:rPr>
        <w:t xml:space="preserve">Psicologia della salute. </w:t>
      </w:r>
      <w:r w:rsidRPr="00EF60B7">
        <w:rPr>
          <w:rFonts w:ascii="Times New Roman" w:eastAsia="SimSun" w:hAnsi="Times New Roman" w:cs="Times New Roman"/>
          <w:sz w:val="24"/>
          <w:szCs w:val="24"/>
        </w:rPr>
        <w:t xml:space="preserve">Bologna: Società Editrice Il Mulino. </w:t>
      </w:r>
    </w:p>
    <w:p w:rsidR="00381ABF" w:rsidRPr="00EF60B7" w:rsidRDefault="00381ABF" w:rsidP="008D2DF6">
      <w:pPr>
        <w:spacing w:line="360" w:lineRule="auto"/>
        <w:ind w:left="360" w:hanging="360"/>
        <w:jc w:val="both"/>
        <w:rPr>
          <w:rFonts w:ascii="Times New Roman" w:eastAsia="SimSun" w:hAnsi="Times New Roman" w:cs="Times New Roman"/>
          <w:sz w:val="24"/>
          <w:szCs w:val="24"/>
        </w:rPr>
      </w:pPr>
    </w:p>
    <w:p w:rsidR="00381ABF" w:rsidRPr="00EF60B7" w:rsidRDefault="00381ABF" w:rsidP="008D2DF6">
      <w:pPr>
        <w:spacing w:line="360" w:lineRule="auto"/>
        <w:jc w:val="both"/>
        <w:rPr>
          <w:rFonts w:ascii="Times New Roman" w:eastAsia="SimSun" w:hAnsi="Times New Roman" w:cs="Times New Roman"/>
          <w:sz w:val="24"/>
          <w:szCs w:val="24"/>
        </w:rPr>
      </w:pPr>
      <w:r w:rsidRPr="00EF60B7">
        <w:rPr>
          <w:rFonts w:ascii="Times New Roman" w:eastAsia="SimSun" w:hAnsi="Times New Roman" w:cs="Times New Roman"/>
          <w:sz w:val="24"/>
          <w:szCs w:val="24"/>
        </w:rPr>
        <w:t xml:space="preserve">Zani B., Selleri P., David D. (2000) . </w:t>
      </w:r>
      <w:r w:rsidRPr="00EF60B7">
        <w:rPr>
          <w:rFonts w:ascii="Times New Roman" w:eastAsia="SimSun" w:hAnsi="Times New Roman" w:cs="Times New Roman"/>
          <w:i/>
          <w:sz w:val="24"/>
          <w:szCs w:val="24"/>
        </w:rPr>
        <w:t>La comunicazione</w:t>
      </w:r>
      <w:r w:rsidRPr="00EF60B7">
        <w:rPr>
          <w:rFonts w:ascii="Times New Roman" w:eastAsia="SimSun" w:hAnsi="Times New Roman" w:cs="Times New Roman"/>
          <w:sz w:val="24"/>
          <w:szCs w:val="24"/>
        </w:rPr>
        <w:t xml:space="preserve"> . Carocci. </w:t>
      </w:r>
    </w:p>
    <w:p w:rsidR="00381ABF" w:rsidRPr="00EF60B7" w:rsidRDefault="00381ABF" w:rsidP="008D2DF6">
      <w:pPr>
        <w:spacing w:line="360" w:lineRule="auto"/>
        <w:ind w:left="360"/>
        <w:jc w:val="both"/>
        <w:rPr>
          <w:rFonts w:ascii="Times New Roman" w:eastAsia="SimSun" w:hAnsi="Times New Roman" w:cs="Times New Roman"/>
          <w:sz w:val="24"/>
          <w:szCs w:val="24"/>
        </w:rPr>
      </w:pPr>
    </w:p>
    <w:p w:rsidR="00381ABF" w:rsidRPr="00EF60B7" w:rsidRDefault="00381ABF" w:rsidP="008D2DF6">
      <w:pPr>
        <w:autoSpaceDE w:val="0"/>
        <w:autoSpaceDN w:val="0"/>
        <w:adjustRightInd w:val="0"/>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Zoppi,  K., &amp; Epstein, R. (2002</w:t>
      </w:r>
      <w:r w:rsidRPr="00EF60B7">
        <w:rPr>
          <w:rFonts w:ascii="Times New Roman" w:hAnsi="Times New Roman" w:cs="Times New Roman"/>
          <w:i/>
          <w:sz w:val="24"/>
          <w:szCs w:val="24"/>
        </w:rPr>
        <w:t xml:space="preserve">). </w:t>
      </w:r>
      <w:r w:rsidRPr="00EF60B7">
        <w:rPr>
          <w:rFonts w:ascii="Times New Roman" w:hAnsi="Times New Roman" w:cs="Times New Roman"/>
          <w:i/>
          <w:sz w:val="24"/>
          <w:szCs w:val="24"/>
          <w:lang w:val="en-US"/>
        </w:rPr>
        <w:t>Is communication a skill? Communication behaviours and being in relation</w:t>
      </w:r>
      <w:r w:rsidRPr="00EF60B7">
        <w:rPr>
          <w:rFonts w:ascii="Times New Roman" w:hAnsi="Times New Roman" w:cs="Times New Roman"/>
          <w:sz w:val="24"/>
          <w:szCs w:val="24"/>
          <w:lang w:val="en-US"/>
        </w:rPr>
        <w:t xml:space="preserve">. </w:t>
      </w:r>
      <w:r w:rsidRPr="00EF60B7">
        <w:rPr>
          <w:rFonts w:ascii="Times New Roman" w:hAnsi="Times New Roman" w:cs="Times New Roman"/>
          <w:i/>
          <w:sz w:val="24"/>
          <w:szCs w:val="24"/>
        </w:rPr>
        <w:t>Family  Medicine</w:t>
      </w:r>
      <w:r w:rsidRPr="00EF60B7">
        <w:rPr>
          <w:rFonts w:ascii="Times New Roman" w:hAnsi="Times New Roman" w:cs="Times New Roman"/>
          <w:sz w:val="24"/>
          <w:szCs w:val="24"/>
        </w:rPr>
        <w:t>, 34:319–24.</w:t>
      </w:r>
    </w:p>
    <w:p w:rsidR="00381ABF" w:rsidRPr="00EF60B7" w:rsidRDefault="00381ABF" w:rsidP="008D2DF6">
      <w:pPr>
        <w:autoSpaceDE w:val="0"/>
        <w:autoSpaceDN w:val="0"/>
        <w:adjustRightInd w:val="0"/>
        <w:spacing w:line="360" w:lineRule="auto"/>
        <w:jc w:val="both"/>
        <w:rPr>
          <w:rFonts w:ascii="Times New Roman" w:hAnsi="Times New Roman" w:cs="Times New Roman"/>
          <w:i/>
          <w:sz w:val="24"/>
          <w:szCs w:val="24"/>
        </w:rPr>
      </w:pPr>
    </w:p>
    <w:p w:rsidR="00381ABF" w:rsidRPr="00EF60B7" w:rsidRDefault="00381ABF" w:rsidP="008D2DF6">
      <w:pPr>
        <w:spacing w:line="360" w:lineRule="auto"/>
        <w:jc w:val="both"/>
        <w:rPr>
          <w:rFonts w:ascii="Times New Roman" w:hAnsi="Times New Roman" w:cs="Times New Roman"/>
          <w:sz w:val="24"/>
          <w:szCs w:val="24"/>
        </w:rPr>
      </w:pPr>
    </w:p>
    <w:p w:rsidR="00381ABF" w:rsidRPr="00EF60B7" w:rsidRDefault="00381ABF" w:rsidP="008D2DF6">
      <w:pPr>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br w:type="page"/>
      </w:r>
    </w:p>
    <w:p w:rsidR="00381ABF" w:rsidRPr="00EF60B7" w:rsidRDefault="00381ABF" w:rsidP="008D2DF6">
      <w:pPr>
        <w:autoSpaceDE w:val="0"/>
        <w:autoSpaceDN w:val="0"/>
        <w:adjustRightInd w:val="0"/>
        <w:spacing w:line="360" w:lineRule="auto"/>
        <w:jc w:val="both"/>
        <w:rPr>
          <w:rFonts w:ascii="Times New Roman" w:hAnsi="Times New Roman" w:cs="Times New Roman"/>
          <w:b/>
          <w:sz w:val="24"/>
          <w:szCs w:val="24"/>
        </w:rPr>
      </w:pPr>
      <w:r w:rsidRPr="00EF60B7">
        <w:rPr>
          <w:rFonts w:ascii="Times New Roman" w:hAnsi="Times New Roman" w:cs="Times New Roman"/>
          <w:b/>
          <w:sz w:val="24"/>
          <w:szCs w:val="24"/>
        </w:rPr>
        <w:lastRenderedPageBreak/>
        <w:t>Appendice 1</w:t>
      </w:r>
    </w:p>
    <w:p w:rsidR="00381ABF" w:rsidRPr="00EF60B7" w:rsidRDefault="00381ABF" w:rsidP="008D2DF6">
      <w:pPr>
        <w:pStyle w:val="NormaleWeb"/>
        <w:spacing w:after="284" w:line="360" w:lineRule="auto"/>
        <w:jc w:val="both"/>
      </w:pPr>
      <w:r w:rsidRPr="00EF60B7">
        <w:rPr>
          <w:i/>
          <w:iCs/>
        </w:rPr>
        <w:t xml:space="preserve">La Carta di Firenze, redatta da alcuni dei principali esperti del settore medico-sanitario e presentata il 14 aprile 2005, propone una serie di regole che devono stare alla base di un nuovo rapporto, non paternalistico, tra medico e paziente. Il paziente ha diritto alla piena e corretta informazione sulla diagnosi e sulle possibili terapie, ma ha anche diritto alla liberta' di scelta terapeutica, scelta che deve essere vincolante per il medico. </w:t>
      </w:r>
    </w:p>
    <w:p w:rsidR="00381ABF" w:rsidRPr="00EF60B7" w:rsidRDefault="00381ABF" w:rsidP="008D2DF6">
      <w:pPr>
        <w:pStyle w:val="NormaleWeb"/>
        <w:spacing w:line="360" w:lineRule="auto"/>
        <w:jc w:val="both"/>
      </w:pPr>
      <w:r w:rsidRPr="00EF60B7">
        <w:rPr>
          <w:b/>
          <w:bCs/>
        </w:rPr>
        <w:t>CARTA DI FIRENZE</w:t>
      </w:r>
    </w:p>
    <w:p w:rsidR="00381ABF" w:rsidRPr="00EF60B7" w:rsidRDefault="00381ABF" w:rsidP="008D2DF6">
      <w:pPr>
        <w:pStyle w:val="NormaleWeb"/>
        <w:tabs>
          <w:tab w:val="left" w:pos="3235"/>
        </w:tabs>
        <w:spacing w:line="360" w:lineRule="auto"/>
        <w:jc w:val="both"/>
      </w:pPr>
      <w:r w:rsidRPr="00EF60B7">
        <w:tab/>
      </w:r>
      <w:r w:rsidRPr="00EF60B7">
        <w:br/>
        <w:t>1 La relazione fra l’operatore sanitario e il paziente deve essere tale da garantire l’autonomia delle scelte della persona.</w:t>
      </w:r>
      <w:r w:rsidRPr="00EF60B7">
        <w:br/>
      </w:r>
      <w:r w:rsidRPr="00EF60B7">
        <w:br/>
        <w:t>2 Il rapporto è paritetico; non deve, perciò, essere influenzato dalla disparità di conoscenze (comanda chi detiene il sapere medico, obbedisce chi ne è sprovvisto), ma improntato alla condivisione delle responsabilità e alla libertà di critica.</w:t>
      </w:r>
      <w:r w:rsidRPr="00EF60B7">
        <w:br/>
      </w:r>
      <w:r w:rsidRPr="00EF60B7">
        <w:br/>
        <w:t>3 L’alleanza diagnostico/terapeutica si fonda sul riconoscimento delle rispettive competenze e si basa sulla lealtà reciproca, su un’informazione onesta e sul rispetto dei valori della persona.</w:t>
      </w:r>
      <w:r w:rsidRPr="00EF60B7">
        <w:br/>
      </w:r>
      <w:r w:rsidRPr="00EF60B7">
        <w:br/>
        <w:t>4 La corretta informazione contribuisce a garantire la relazione, ad assicurarne la continuità ed è elemento indispensabile per l’autonomia delle scelte del paziente.</w:t>
      </w:r>
      <w:r w:rsidRPr="00EF60B7">
        <w:br/>
      </w:r>
      <w:r w:rsidRPr="00EF60B7">
        <w:br/>
        <w:t>5 Il tempo dedicato all’informazione, alla comunicazione e alla relazione è tempo di cura.</w:t>
      </w:r>
      <w:r w:rsidRPr="00EF60B7">
        <w:br/>
      </w:r>
      <w:r w:rsidRPr="00EF60B7">
        <w:br/>
        <w:t>6 Una corretta informazione esige un linguaggio chiaro e condiviso. Deve, inoltre, essere accessibile, comprensibile, attendibile, accurata, completa, basata sulle prove di efficacia, credibile ed utile (orientata alla decisione). Non deve essere discriminata in base all’età, al sesso, al gruppo etnico, alla religione, nel rispetto delle preferenze del paziente.</w:t>
      </w:r>
      <w:r w:rsidRPr="00EF60B7">
        <w:br/>
      </w:r>
      <w:r w:rsidRPr="00EF60B7">
        <w:lastRenderedPageBreak/>
        <w:br/>
        <w:t>7 La chiara comprensione dei benefici e dei rischi (effetti negativi) è essenziale per le scelte del paziente, sia per la prescrizione di farmaci o di altre terapie nella pratica clinica, sia per il suo ingresso in una sperimentazione.</w:t>
      </w:r>
      <w:r w:rsidRPr="00EF60B7">
        <w:br/>
      </w:r>
      <w:r w:rsidRPr="00EF60B7">
        <w:br/>
        <w:t>8 La dichiarazione su eventuali conflitti di interesse commerciali o organizzativi deve far parte dell’informazione.</w:t>
      </w:r>
      <w:r w:rsidRPr="00EF60B7">
        <w:br/>
      </w:r>
      <w:r w:rsidRPr="00EF60B7">
        <w:br/>
        <w:t>9 L’informazione sulle alternative terapeutiche, sulla disuguaglianza dell’offerta dei servizi e sulle migliori opportunità diagnostiche e terapeutiche è fondamentale e favorisce, nei limiti del possibile, l’esercizio della libera scelta del paziente.</w:t>
      </w:r>
      <w:r w:rsidRPr="00EF60B7">
        <w:br/>
      </w:r>
      <w:r w:rsidRPr="00EF60B7">
        <w:br/>
        <w:t>10 Il medico con umanità comunica la diagnosi e la prognosi in maniera completa, nel rispetto delle volontà, dei valori e delle preferenze del paziente.</w:t>
      </w:r>
      <w:r w:rsidRPr="00EF60B7">
        <w:br/>
      </w:r>
      <w:r w:rsidRPr="00EF60B7">
        <w:br/>
        <w:t>11 Ogni scelta diagnostica o terapeutica deve essere basata sul consenso consapevole. Solo per la persona incapace la scelta viene espressa anche da chi se ne prende cura.</w:t>
      </w:r>
      <w:r w:rsidRPr="00EF60B7">
        <w:br/>
      </w:r>
      <w:r w:rsidRPr="00EF60B7">
        <w:br/>
        <w:t>12 Il medico si impegna a rispettare la libera scelta dell’individuo anche quando questa sia in contrasto con la propria e anche quando ne derivi un obiettivo pregiudizio per la salute, o, perfino, per la vita del paziente. La continuità della relazione viene garantita anche in questa circostanza.</w:t>
      </w:r>
      <w:r w:rsidRPr="00EF60B7">
        <w:br/>
      </w:r>
      <w:r w:rsidRPr="00EF60B7">
        <w:br/>
        <w:t>13 Le direttive anticipate che l’individuo esprime sui trattamenti ai quali potrebbe essere sottoposto qualora non fosse più capace di scelte consapevoli, sono vincolanti per il medico.</w:t>
      </w:r>
      <w:r w:rsidRPr="00EF60B7">
        <w:br/>
      </w:r>
      <w:r w:rsidRPr="00EF60B7">
        <w:br/>
        <w:t>14 La comunicazione multi-disciplinare tra tutti i professionisti della Sanità è efficace quando fornisce un’informazione coerente ed univoca. I dati clinici e l’informazione relativa alla diagnosi, alla prognosi e alla fase della malattia del paziente devono circolare tra i curanti. Gli stessi criteri si applicano alla sperimentazione clinica.</w:t>
      </w:r>
      <w:r w:rsidRPr="00EF60B7">
        <w:br/>
      </w:r>
      <w:r w:rsidRPr="00EF60B7">
        <w:br/>
      </w:r>
      <w:r w:rsidRPr="00EF60B7">
        <w:lastRenderedPageBreak/>
        <w:t>15 La formazione alla comunicazione e all’informazione deve essere inserita nell’educazione di base e permanente dei professionisti della Sanità.</w:t>
      </w:r>
      <w:r w:rsidRPr="00EF60B7">
        <w:br/>
      </w:r>
      <w:r w:rsidRPr="00EF60B7">
        <w:br/>
        <w:t>Il documento è stato redatto da un ampio gruppo di lavoro:</w:t>
      </w:r>
      <w:r w:rsidRPr="00EF60B7">
        <w:br/>
      </w:r>
      <w:r w:rsidRPr="00EF60B7">
        <w:br/>
        <w:t>Gianfranco Gensini, Preside della Facoltà di Medicina e Chirurgia dell’Università di Firenze.(Presidente).</w:t>
      </w:r>
      <w:r w:rsidRPr="00EF60B7">
        <w:br/>
        <w:t>Franca Porciani,giornalista scientifico, Corriere della Sera, Corriere Salute (Coordinatore).</w:t>
      </w:r>
      <w:r w:rsidRPr="00EF60B7">
        <w:br/>
        <w:t>Carlo Buffi, Primario di ginecologia e ostetricia all’Ospedale di Poggibonsi (Siena).</w:t>
      </w:r>
      <w:r w:rsidRPr="00EF60B7">
        <w:br/>
        <w:t>Giuseppe Del Barone, Presidente della Federazione Nazionale degli Ordini dei Medici Chirurghi e Odontoiatri.</w:t>
      </w:r>
      <w:r w:rsidRPr="00EF60B7">
        <w:br/>
        <w:t>Fabio Firenzuoli, Responsabile del centro di riferimento regionale per la fitoterapia dell’Ospedale di Empoli.</w:t>
      </w:r>
      <w:r w:rsidRPr="00EF60B7">
        <w:br/>
        <w:t>Pierangelo Geppetti, docente di farmacologia clinica all’università di Firenze.</w:t>
      </w:r>
      <w:r w:rsidRPr="00EF60B7">
        <w:br/>
        <w:t>Saffi-Ettore Giustini, medico di medicina generale di Montale (Pistoia).</w:t>
      </w:r>
      <w:r w:rsidRPr="00EF60B7">
        <w:br/>
        <w:t>Stefano Inglese,Segretario del Tribunale dei diritti del malato, Cittadinanzaattiva, Roma.</w:t>
      </w:r>
      <w:r w:rsidRPr="00EF60B7">
        <w:br/>
        <w:t>Giulio Masotti, Direttore della scuola di specializzazione in geriatria dell’Università di Firenze.</w:t>
      </w:r>
      <w:r w:rsidRPr="00EF60B7">
        <w:br/>
        <w:t>Piero Morino,medico palliativista, Responsabile dell’unità di cure continue dell’Asl 10 di Firenze.</w:t>
      </w:r>
      <w:r w:rsidRPr="00EF60B7">
        <w:br/>
        <w:t>Alessandro Mugelli,Presidente del corso di laurea in Medicina e Chirurgia dell’Università di Firenze.</w:t>
      </w:r>
      <w:r w:rsidRPr="00EF60B7">
        <w:br/>
        <w:t>Patrizia Olmi, Direttore dell'Unità Operativa Complessa di Radioterapia 1 (Radioterapia Oncologica) dell'Istituto Tumori di Milano.</w:t>
      </w:r>
      <w:r w:rsidRPr="00EF60B7">
        <w:br/>
        <w:t>Mariella Orsi Salvadori,sociologa, Vicepresidente del Comitato Regionale toscano di Bioetica.</w:t>
      </w:r>
      <w:r w:rsidRPr="00EF60B7">
        <w:br/>
        <w:t>Antonio Panti, Presidente Ordine dei medici di Firenze e Direttore di “Toscana Medica”.</w:t>
      </w:r>
      <w:r w:rsidRPr="00EF60B7">
        <w:br/>
        <w:t>Armando Santoro, Vicedirettore scientifico e responsabile del servizio di oncologia medica dell’Istituto Humanitas di Milano.</w:t>
      </w:r>
      <w:r w:rsidRPr="00EF60B7">
        <w:br/>
        <w:t xml:space="preserve">Amedeo Santosuosso, giudice a Milano, che da molti anni si occupa delle </w:t>
      </w:r>
      <w:r w:rsidRPr="00EF60B7">
        <w:lastRenderedPageBreak/>
        <w:t>problematiche etico-giuridiche della professione medica. Trai fondatori della Consulta di bioetica.</w:t>
      </w:r>
      <w:r w:rsidRPr="00EF60B7">
        <w:br/>
        <w:t>Sandro Spinsanti, laureato in psicologia e teologia, ha insegnato Etica medica all’Università Cattolica di Roma e Bioetica all’Università di Firenze, dirige l’Istituto Giano di Roma, ha fondato e diretto la rivista “L’Arco di Giano”. Attualmente dirige la rivista “Janus”.</w:t>
      </w:r>
      <w:r w:rsidRPr="00EF60B7">
        <w:br/>
        <w:t>Marcello Tamburini,Direttore dell’Unità Operativa di Psicologia dell’Istituto Tumori di Milano. È direttore della rivista internazionale online “Health and Quality of Life Outcomes”.</w:t>
      </w:r>
      <w:r w:rsidRPr="00EF60B7">
        <w:br/>
        <w:t xml:space="preserve">Ettore Vitali, Primario di cardiochirurgia dell’Ospedale Niguarda di Milano. </w:t>
      </w:r>
    </w:p>
    <w:p w:rsidR="00381ABF" w:rsidRPr="00EF60B7" w:rsidRDefault="00381ABF" w:rsidP="008D2DF6">
      <w:pPr>
        <w:pStyle w:val="NormaleWeb"/>
        <w:spacing w:line="360" w:lineRule="auto"/>
        <w:jc w:val="both"/>
      </w:pPr>
    </w:p>
    <w:p w:rsidR="00381ABF" w:rsidRPr="00EF60B7" w:rsidRDefault="00381ABF" w:rsidP="008D2DF6">
      <w:pPr>
        <w:spacing w:line="360" w:lineRule="auto"/>
        <w:jc w:val="both"/>
        <w:rPr>
          <w:rFonts w:ascii="Times New Roman" w:hAnsi="Times New Roman" w:cs="Times New Roman"/>
          <w:b/>
          <w:sz w:val="24"/>
          <w:szCs w:val="24"/>
        </w:rPr>
      </w:pPr>
      <w:r w:rsidRPr="00EF60B7">
        <w:rPr>
          <w:rFonts w:ascii="Times New Roman" w:hAnsi="Times New Roman" w:cs="Times New Roman"/>
          <w:b/>
          <w:sz w:val="24"/>
          <w:szCs w:val="24"/>
        </w:rPr>
        <w:br w:type="page"/>
      </w:r>
    </w:p>
    <w:p w:rsidR="00381ABF" w:rsidRPr="00EF60B7" w:rsidRDefault="00381ABF" w:rsidP="008D2DF6">
      <w:pPr>
        <w:autoSpaceDE w:val="0"/>
        <w:autoSpaceDN w:val="0"/>
        <w:adjustRightInd w:val="0"/>
        <w:spacing w:line="360" w:lineRule="auto"/>
        <w:jc w:val="both"/>
        <w:rPr>
          <w:rFonts w:ascii="Times New Roman" w:hAnsi="Times New Roman" w:cs="Times New Roman"/>
          <w:b/>
          <w:sz w:val="24"/>
          <w:szCs w:val="24"/>
        </w:rPr>
      </w:pPr>
      <w:r w:rsidRPr="00EF60B7">
        <w:rPr>
          <w:rFonts w:ascii="Times New Roman" w:hAnsi="Times New Roman" w:cs="Times New Roman"/>
          <w:b/>
          <w:sz w:val="24"/>
          <w:szCs w:val="24"/>
        </w:rPr>
        <w:lastRenderedPageBreak/>
        <w:t>Appendice 2</w:t>
      </w:r>
    </w:p>
    <w:p w:rsidR="00381ABF" w:rsidRPr="00EF60B7" w:rsidRDefault="00381ABF" w:rsidP="008D2DF6">
      <w:pPr>
        <w:autoSpaceDE w:val="0"/>
        <w:autoSpaceDN w:val="0"/>
        <w:adjustRightInd w:val="0"/>
        <w:spacing w:line="360" w:lineRule="auto"/>
        <w:jc w:val="both"/>
        <w:rPr>
          <w:rFonts w:ascii="Times New Roman" w:hAnsi="Times New Roman" w:cs="Times New Roman"/>
          <w:b/>
          <w:sz w:val="24"/>
          <w:szCs w:val="24"/>
        </w:rPr>
      </w:pPr>
      <w:r w:rsidRPr="00EF60B7">
        <w:rPr>
          <w:rFonts w:ascii="Times New Roman" w:hAnsi="Times New Roman" w:cs="Times New Roman"/>
          <w:b/>
          <w:i/>
          <w:sz w:val="24"/>
          <w:szCs w:val="24"/>
        </w:rPr>
        <w:t>Compiti</w:t>
      </w:r>
      <w:r w:rsidRPr="00EF60B7">
        <w:rPr>
          <w:rFonts w:ascii="Times New Roman" w:hAnsi="Times New Roman" w:cs="Times New Roman"/>
          <w:b/>
          <w:sz w:val="24"/>
          <w:szCs w:val="24"/>
        </w:rPr>
        <w:t>:</w:t>
      </w:r>
    </w:p>
    <w:p w:rsidR="00381ABF" w:rsidRPr="00EF60B7" w:rsidRDefault="00381ABF" w:rsidP="008D2DF6">
      <w:pPr>
        <w:spacing w:line="360" w:lineRule="auto"/>
        <w:jc w:val="both"/>
        <w:rPr>
          <w:rFonts w:ascii="Times New Roman" w:hAnsi="Times New Roman" w:cs="Times New Roman"/>
          <w:b/>
          <w:sz w:val="24"/>
          <w:szCs w:val="24"/>
        </w:rPr>
      </w:pPr>
      <w:r w:rsidRPr="00EF60B7">
        <w:rPr>
          <w:rFonts w:ascii="Times New Roman" w:hAnsi="Times New Roman" w:cs="Times New Roman"/>
          <w:b/>
          <w:sz w:val="24"/>
          <w:szCs w:val="24"/>
        </w:rPr>
        <w:t>Introduzione (comune a tutte le condizioni)</w:t>
      </w:r>
    </w:p>
    <w:p w:rsidR="00381ABF" w:rsidRPr="00EF60B7" w:rsidRDefault="00381ABF" w:rsidP="008D2DF6">
      <w:pPr>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Giulia é una bambina nata prematura dopo solo 27 settimane di gestazione con un peso inferiore ad un chilo. La condizione di Giulia é critica perché ha avuto un’emorragia cerebrale. Per questo motivo, é stata ricoverata in un’unità di terapia intensiva neonatale di un famoso ospedale dove é tenuta in vita da una macchina che la aiuta a respirare. Dopo tre settimane a norma del presente trattamento di sostegno vitale, le condizioni complessive di salute di Giulia non sono migliorate.</w:t>
      </w:r>
    </w:p>
    <w:p w:rsidR="00381ABF" w:rsidRPr="00EF60B7" w:rsidRDefault="00381ABF" w:rsidP="008D2DF6">
      <w:pPr>
        <w:spacing w:line="360" w:lineRule="auto"/>
        <w:jc w:val="both"/>
        <w:rPr>
          <w:rFonts w:ascii="Times New Roman" w:hAnsi="Times New Roman" w:cs="Times New Roman"/>
          <w:b/>
          <w:sz w:val="24"/>
          <w:szCs w:val="24"/>
        </w:rPr>
      </w:pPr>
      <w:r w:rsidRPr="00EF60B7">
        <w:rPr>
          <w:rFonts w:ascii="Times New Roman" w:hAnsi="Times New Roman" w:cs="Times New Roman"/>
          <w:b/>
          <w:sz w:val="24"/>
          <w:szCs w:val="24"/>
        </w:rPr>
        <w:t>Condizione di non-scelta (scelta solo del medico)</w:t>
      </w:r>
    </w:p>
    <w:p w:rsidR="00381ABF" w:rsidRPr="00EF60B7" w:rsidRDefault="00381ABF" w:rsidP="008D2DF6">
      <w:pPr>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I medici convocano i genitori di Giulia...e li informano che ci sono due possibili linee di azione: continuare il trattamento o sospenderlo spegnendo la macchina per la ventilazione. I medici spiegano ai genitori di Giulia le conseguenze di ogni azione. Se il trattamento viene sospeso, Giulia morirà. Se il trattamento viene continuato, c’é il 40% di probabilità che Giulia morirà e il 60% di probabilità che sopravviva con una compromissione neurologica grave che la confinerebbe in un letto, senza la capacità di parlare, di camminare e di interagire con gli altri. A causa della condizione clinica di Giulia così critica, i medici decidono nel suo migliore interesse di sospendere il trattamento.</w:t>
      </w:r>
    </w:p>
    <w:p w:rsidR="00381ABF" w:rsidRPr="00EF60B7" w:rsidRDefault="00381ABF" w:rsidP="008D2DF6">
      <w:pPr>
        <w:autoSpaceDE w:val="0"/>
        <w:autoSpaceDN w:val="0"/>
        <w:adjustRightInd w:val="0"/>
        <w:spacing w:line="360" w:lineRule="auto"/>
        <w:jc w:val="both"/>
        <w:rPr>
          <w:rFonts w:ascii="Times New Roman" w:hAnsi="Times New Roman" w:cs="Times New Roman"/>
          <w:b/>
          <w:sz w:val="24"/>
          <w:szCs w:val="24"/>
        </w:rPr>
      </w:pPr>
      <w:r w:rsidRPr="00EF60B7">
        <w:rPr>
          <w:rFonts w:ascii="Times New Roman" w:hAnsi="Times New Roman" w:cs="Times New Roman"/>
          <w:b/>
          <w:sz w:val="24"/>
          <w:szCs w:val="24"/>
        </w:rPr>
        <w:t>Condizione di scelta congiunta (scelta del medico insieme ai genitori del paziente)</w:t>
      </w:r>
    </w:p>
    <w:p w:rsidR="00381ABF" w:rsidRPr="00EF60B7" w:rsidRDefault="00381ABF" w:rsidP="008D2DF6">
      <w:pPr>
        <w:spacing w:line="360" w:lineRule="auto"/>
        <w:jc w:val="both"/>
        <w:rPr>
          <w:rFonts w:ascii="Times New Roman" w:hAnsi="Times New Roman" w:cs="Times New Roman"/>
          <w:sz w:val="24"/>
          <w:szCs w:val="24"/>
        </w:rPr>
      </w:pPr>
      <w:r w:rsidRPr="00EF60B7">
        <w:rPr>
          <w:rFonts w:ascii="Times New Roman" w:hAnsi="Times New Roman" w:cs="Times New Roman"/>
          <w:sz w:val="24"/>
          <w:szCs w:val="24"/>
        </w:rPr>
        <w:t xml:space="preserve">I medici convocano i genitori di Giulia...e li informano che ci sono due possibili linee di azione: continuare il trattamento o sospenderlo spegnendo la macchina per la ventilazione. I medici spiegano ai genitori di Giulia le conseguenze di ogni azione. Se il trattamento viene sospeso, Giulia morirà. Se il trattamento viene continuato, c’é il 40% di probabilità che Giulia morirà e il 60% di probabilità che sopravviva con una compromissione neurologica grave che la confinerebbe in un letto, senza la capacità di parlare, di camminare e di interagire con gli altri. I medici dicono ai genitori di Giulia quale decisione prenderebbero loro lasciando </w:t>
      </w:r>
      <w:r w:rsidRPr="00EF60B7">
        <w:rPr>
          <w:rFonts w:ascii="Times New Roman" w:hAnsi="Times New Roman" w:cs="Times New Roman"/>
          <w:sz w:val="24"/>
          <w:szCs w:val="24"/>
        </w:rPr>
        <w:lastRenderedPageBreak/>
        <w:t xml:space="preserve">però la scelta ultima ai genitori . Cosa faresti se ti trovassi nei panni dei genitori di Giulia? </w:t>
      </w:r>
    </w:p>
    <w:p w:rsidR="00F658D8" w:rsidRPr="00EF60B7" w:rsidRDefault="00F658D8" w:rsidP="008D2DF6">
      <w:pPr>
        <w:spacing w:line="360" w:lineRule="auto"/>
        <w:jc w:val="both"/>
        <w:rPr>
          <w:rFonts w:ascii="Times New Roman" w:hAnsi="Times New Roman" w:cs="Times New Roman"/>
          <w:sz w:val="24"/>
          <w:szCs w:val="24"/>
        </w:rPr>
      </w:pPr>
    </w:p>
    <w:sectPr w:rsidR="00F658D8" w:rsidRPr="00EF60B7" w:rsidSect="007A75F4">
      <w:headerReference w:type="default" r:id="rId17"/>
      <w:footerReference w:type="default" r:id="rId18"/>
      <w:pgSz w:w="11906" w:h="16838"/>
      <w:pgMar w:top="1418" w:right="1701" w:bottom="1418" w:left="2268"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A1BFD" w:rsidRDefault="004A1BFD" w:rsidP="002217F9">
      <w:pPr>
        <w:spacing w:after="0" w:line="240" w:lineRule="auto"/>
      </w:pPr>
      <w:r>
        <w:separator/>
      </w:r>
    </w:p>
  </w:endnote>
  <w:endnote w:type="continuationSeparator" w:id="1">
    <w:p w:rsidR="004A1BFD" w:rsidRDefault="004A1BFD" w:rsidP="002217F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61002A87" w:usb1="80000000" w:usb2="00000008" w:usb3="00000000" w:csb0="000101FF" w:csb1="00000000"/>
  </w:font>
  <w:font w:name="Lucida Sans Unicode">
    <w:panose1 w:val="020B0602030504020204"/>
    <w:charset w:val="00"/>
    <w:family w:val="swiss"/>
    <w:pitch w:val="variable"/>
    <w:sig w:usb0="80000AFF" w:usb1="0000396B" w:usb2="00000000" w:usb3="00000000" w:csb0="0000003F" w:csb1="00000000"/>
  </w:font>
  <w:font w:name="Cambria">
    <w:panose1 w:val="02040503050406030204"/>
    <w:charset w:val="00"/>
    <w:family w:val="roman"/>
    <w:pitch w:val="variable"/>
    <w:sig w:usb0="A00002EF" w:usb1="4000004B" w:usb2="00000000" w:usb3="00000000" w:csb0="0000009F" w:csb1="00000000"/>
  </w:font>
  <w:font w:name="Advocean-it">
    <w:charset w:val="00"/>
    <w:family w:val="swiss"/>
    <w:pitch w:val="default"/>
    <w:sig w:usb0="00000000" w:usb1="00000000" w:usb2="00000000" w:usb3="00000000" w:csb0="00000000" w:csb1="00000000"/>
  </w:font>
  <w:font w:name="SimSun">
    <w:altName w:val="宋体"/>
    <w:panose1 w:val="02010600030101010101"/>
    <w:charset w:val="86"/>
    <w:family w:val="auto"/>
    <w:notTrueType/>
    <w:pitch w:val="variable"/>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34330"/>
      <w:docPartObj>
        <w:docPartGallery w:val="Page Numbers (Bottom of Page)"/>
        <w:docPartUnique/>
      </w:docPartObj>
    </w:sdtPr>
    <w:sdtContent>
      <w:p w:rsidR="002A7329" w:rsidRDefault="002A7329">
        <w:pPr>
          <w:pStyle w:val="Pidipagina"/>
          <w:jc w:val="right"/>
        </w:pPr>
        <w:fldSimple w:instr=" PAGE   \* MERGEFORMAT ">
          <w:r w:rsidR="0031793C">
            <w:rPr>
              <w:noProof/>
            </w:rPr>
            <w:t>57</w:t>
          </w:r>
        </w:fldSimple>
      </w:p>
    </w:sdtContent>
  </w:sdt>
  <w:p w:rsidR="002217F9" w:rsidRDefault="002217F9">
    <w:pPr>
      <w:pStyle w:val="Pidipa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A1BFD" w:rsidRDefault="004A1BFD" w:rsidP="002217F9">
      <w:pPr>
        <w:spacing w:after="0" w:line="240" w:lineRule="auto"/>
      </w:pPr>
      <w:r>
        <w:separator/>
      </w:r>
    </w:p>
  </w:footnote>
  <w:footnote w:type="continuationSeparator" w:id="1">
    <w:p w:rsidR="004A1BFD" w:rsidRDefault="004A1BFD" w:rsidP="002217F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2169" w:rsidRPr="00942169" w:rsidRDefault="00942169" w:rsidP="00942169">
    <w:pPr>
      <w:pStyle w:val="Intestazione"/>
      <w:jc w:val="right"/>
      <w:rPr>
        <w:rFonts w:ascii="Times New Roman" w:hAnsi="Times New Roman" w:cs="Times New Roman"/>
        <w:i/>
        <w:lang w:val="it-IT"/>
      </w:rPr>
    </w:pPr>
    <w:r>
      <w:rPr>
        <w:rFonts w:ascii="Times New Roman" w:hAnsi="Times New Roman" w:cs="Times New Roman"/>
        <w:i/>
        <w:lang w:val="it-IT"/>
      </w:rPr>
      <w:t>Manuela Scrima</w:t>
    </w:r>
  </w:p>
  <w:p w:rsidR="002217F9" w:rsidRPr="002217F9" w:rsidRDefault="002217F9" w:rsidP="00942169">
    <w:pPr>
      <w:pStyle w:val="Intestazione"/>
      <w:rPr>
        <w:rFonts w:ascii="Times New Roman" w:hAnsi="Times New Roman" w:cs="Times New Roman"/>
        <w:lang w:val="it-IT"/>
      </w:rPr>
    </w:pPr>
    <w:r w:rsidRPr="002217F9">
      <w:rPr>
        <w:rFonts w:ascii="Times New Roman" w:hAnsi="Times New Roman" w:cs="Times New Roman"/>
        <w:lang w:val="it-IT"/>
      </w:rPr>
      <w:t>Decision Making nella Comunicazione Medico Paziente</w:t>
    </w:r>
  </w:p>
  <w:p w:rsidR="002217F9" w:rsidRPr="002217F9" w:rsidRDefault="002217F9">
    <w:pPr>
      <w:pStyle w:val="Intestazione"/>
      <w:rPr>
        <w:lang w:val="it-IT"/>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384F97"/>
    <w:multiLevelType w:val="hybridMultilevel"/>
    <w:tmpl w:val="1D00F2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8C00ADE"/>
    <w:multiLevelType w:val="hybridMultilevel"/>
    <w:tmpl w:val="66345C2A"/>
    <w:lvl w:ilvl="0" w:tplc="3E4688FE">
      <w:start w:val="1"/>
      <w:numFmt w:val="decimal"/>
      <w:lvlText w:val="%1."/>
      <w:lvlJc w:val="left"/>
      <w:pPr>
        <w:tabs>
          <w:tab w:val="num" w:pos="720"/>
        </w:tabs>
        <w:ind w:left="720" w:hanging="360"/>
      </w:pPr>
      <w:rPr>
        <w:rFonts w:ascii="Times New Roman" w:eastAsiaTheme="minorHAnsi" w:hAnsi="Times New Roman" w:cs="Times New Roman"/>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
    <w:nsid w:val="29962776"/>
    <w:multiLevelType w:val="singleLevel"/>
    <w:tmpl w:val="113A44A0"/>
    <w:lvl w:ilvl="0">
      <w:numFmt w:val="bullet"/>
      <w:lvlText w:val="-"/>
      <w:lvlJc w:val="left"/>
      <w:pPr>
        <w:tabs>
          <w:tab w:val="num" w:pos="360"/>
        </w:tabs>
        <w:ind w:left="360" w:hanging="360"/>
      </w:pPr>
      <w:rPr>
        <w:rFonts w:hint="default"/>
        <w:i/>
      </w:rPr>
    </w:lvl>
  </w:abstractNum>
  <w:abstractNum w:abstractNumId="3">
    <w:nsid w:val="5C2F438A"/>
    <w:multiLevelType w:val="hybridMultilevel"/>
    <w:tmpl w:val="D608AB84"/>
    <w:lvl w:ilvl="0" w:tplc="E618B532">
      <w:start w:val="3"/>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6E0F73C5"/>
    <w:multiLevelType w:val="hybridMultilevel"/>
    <w:tmpl w:val="66345C2A"/>
    <w:lvl w:ilvl="0" w:tplc="3E4688FE">
      <w:start w:val="1"/>
      <w:numFmt w:val="decimal"/>
      <w:lvlText w:val="%1."/>
      <w:lvlJc w:val="left"/>
      <w:pPr>
        <w:tabs>
          <w:tab w:val="num" w:pos="502"/>
        </w:tabs>
        <w:ind w:left="502" w:hanging="360"/>
      </w:pPr>
      <w:rPr>
        <w:rFonts w:ascii="Times New Roman" w:eastAsiaTheme="minorHAnsi" w:hAnsi="Times New Roman" w:cs="Times New Roman"/>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
    <w:nsid w:val="7C262161"/>
    <w:multiLevelType w:val="hybridMultilevel"/>
    <w:tmpl w:val="7A3836E2"/>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3"/>
  </w:num>
  <w:num w:numId="2">
    <w:abstractNumId w:val="4"/>
  </w:num>
  <w:num w:numId="3">
    <w:abstractNumId w:val="2"/>
  </w:num>
  <w:num w:numId="4">
    <w:abstractNumId w:val="5"/>
  </w:num>
  <w:num w:numId="5">
    <w:abstractNumId w:val="1"/>
  </w:num>
  <w:num w:numId="6">
    <w:abstractNumId w:val="0"/>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283"/>
  <w:drawingGridHorizontalSpacing w:val="110"/>
  <w:displayHorizontalDrawingGridEvery w:val="2"/>
  <w:characterSpacingControl w:val="doNotCompress"/>
  <w:footnotePr>
    <w:footnote w:id="0"/>
    <w:footnote w:id="1"/>
  </w:footnotePr>
  <w:endnotePr>
    <w:endnote w:id="0"/>
    <w:endnote w:id="1"/>
  </w:endnotePr>
  <w:compat/>
  <w:rsids>
    <w:rsidRoot w:val="00236D3A"/>
    <w:rsid w:val="000A7E2D"/>
    <w:rsid w:val="002217F9"/>
    <w:rsid w:val="00236D3A"/>
    <w:rsid w:val="002A7329"/>
    <w:rsid w:val="0031793C"/>
    <w:rsid w:val="00381ABF"/>
    <w:rsid w:val="004A1BFD"/>
    <w:rsid w:val="00590AF3"/>
    <w:rsid w:val="005E716B"/>
    <w:rsid w:val="00627D4C"/>
    <w:rsid w:val="006A16E9"/>
    <w:rsid w:val="0070190A"/>
    <w:rsid w:val="007A75F4"/>
    <w:rsid w:val="008D1AFF"/>
    <w:rsid w:val="008D2DF6"/>
    <w:rsid w:val="00940B98"/>
    <w:rsid w:val="00942169"/>
    <w:rsid w:val="00A75444"/>
    <w:rsid w:val="00B925CF"/>
    <w:rsid w:val="00BB0D4B"/>
    <w:rsid w:val="00CD1751"/>
    <w:rsid w:val="00D564CF"/>
    <w:rsid w:val="00DA6FDF"/>
    <w:rsid w:val="00DD5A74"/>
    <w:rsid w:val="00E16033"/>
    <w:rsid w:val="00E24D46"/>
    <w:rsid w:val="00EF60B7"/>
    <w:rsid w:val="00F51D3B"/>
    <w:rsid w:val="00F658D8"/>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F658D8"/>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unhideWhenUsed/>
    <w:rsid w:val="00381ABF"/>
    <w:pPr>
      <w:spacing w:before="100" w:beforeAutospacing="1" w:after="119" w:line="240" w:lineRule="auto"/>
    </w:pPr>
    <w:rPr>
      <w:rFonts w:ascii="Times New Roman" w:eastAsia="Times New Roman" w:hAnsi="Times New Roman" w:cs="Times New Roman"/>
      <w:sz w:val="24"/>
      <w:szCs w:val="24"/>
      <w:lang w:eastAsia="it-IT"/>
    </w:rPr>
  </w:style>
  <w:style w:type="paragraph" w:styleId="Testofumetto">
    <w:name w:val="Balloon Text"/>
    <w:basedOn w:val="Normale"/>
    <w:link w:val="TestofumettoCarattere"/>
    <w:uiPriority w:val="99"/>
    <w:semiHidden/>
    <w:unhideWhenUsed/>
    <w:rsid w:val="00381ABF"/>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381ABF"/>
    <w:rPr>
      <w:rFonts w:ascii="Tahoma" w:hAnsi="Tahoma" w:cs="Tahoma"/>
      <w:sz w:val="16"/>
      <w:szCs w:val="16"/>
    </w:rPr>
  </w:style>
  <w:style w:type="paragraph" w:styleId="Rientrocorpodeltesto">
    <w:name w:val="Body Text Indent"/>
    <w:basedOn w:val="Normale"/>
    <w:link w:val="RientrocorpodeltestoCarattere"/>
    <w:semiHidden/>
    <w:rsid w:val="00381ABF"/>
    <w:pPr>
      <w:widowControl w:val="0"/>
      <w:suppressAutoHyphens/>
      <w:spacing w:after="0" w:line="240" w:lineRule="auto"/>
      <w:ind w:left="180"/>
      <w:jc w:val="both"/>
    </w:pPr>
    <w:rPr>
      <w:rFonts w:ascii="Times New Roman" w:eastAsia="Lucida Sans Unicode" w:hAnsi="Times New Roman" w:cs="Times New Roman"/>
      <w:kern w:val="1"/>
      <w:sz w:val="24"/>
      <w:szCs w:val="24"/>
    </w:rPr>
  </w:style>
  <w:style w:type="character" w:customStyle="1" w:styleId="RientrocorpodeltestoCarattere">
    <w:name w:val="Rientro corpo del testo Carattere"/>
    <w:basedOn w:val="Carpredefinitoparagrafo"/>
    <w:link w:val="Rientrocorpodeltesto"/>
    <w:semiHidden/>
    <w:rsid w:val="00381ABF"/>
    <w:rPr>
      <w:rFonts w:ascii="Times New Roman" w:eastAsia="Lucida Sans Unicode" w:hAnsi="Times New Roman" w:cs="Times New Roman"/>
      <w:kern w:val="1"/>
      <w:sz w:val="24"/>
      <w:szCs w:val="24"/>
    </w:rPr>
  </w:style>
  <w:style w:type="paragraph" w:styleId="Paragrafoelenco">
    <w:name w:val="List Paragraph"/>
    <w:basedOn w:val="Normale"/>
    <w:uiPriority w:val="34"/>
    <w:qFormat/>
    <w:rsid w:val="00381ABF"/>
    <w:pPr>
      <w:ind w:left="720"/>
      <w:contextualSpacing/>
    </w:pPr>
    <w:rPr>
      <w:lang w:val="en-US"/>
    </w:rPr>
  </w:style>
  <w:style w:type="paragraph" w:styleId="Intestazione">
    <w:name w:val="header"/>
    <w:basedOn w:val="Normale"/>
    <w:link w:val="IntestazioneCarattere"/>
    <w:uiPriority w:val="99"/>
    <w:unhideWhenUsed/>
    <w:rsid w:val="00381ABF"/>
    <w:pPr>
      <w:tabs>
        <w:tab w:val="center" w:pos="4819"/>
        <w:tab w:val="right" w:pos="9638"/>
      </w:tabs>
      <w:spacing w:after="0" w:line="240" w:lineRule="auto"/>
    </w:pPr>
    <w:rPr>
      <w:lang w:val="en-US"/>
    </w:rPr>
  </w:style>
  <w:style w:type="character" w:customStyle="1" w:styleId="IntestazioneCarattere">
    <w:name w:val="Intestazione Carattere"/>
    <w:basedOn w:val="Carpredefinitoparagrafo"/>
    <w:link w:val="Intestazione"/>
    <w:uiPriority w:val="99"/>
    <w:rsid w:val="00381ABF"/>
    <w:rPr>
      <w:lang w:val="en-US"/>
    </w:rPr>
  </w:style>
  <w:style w:type="paragraph" w:styleId="Pidipagina">
    <w:name w:val="footer"/>
    <w:basedOn w:val="Normale"/>
    <w:link w:val="PidipaginaCarattere"/>
    <w:uiPriority w:val="99"/>
    <w:unhideWhenUsed/>
    <w:rsid w:val="00381ABF"/>
    <w:pPr>
      <w:tabs>
        <w:tab w:val="center" w:pos="4819"/>
        <w:tab w:val="right" w:pos="9638"/>
      </w:tabs>
      <w:spacing w:after="0" w:line="240" w:lineRule="auto"/>
    </w:pPr>
    <w:rPr>
      <w:lang w:val="en-US"/>
    </w:rPr>
  </w:style>
  <w:style w:type="character" w:customStyle="1" w:styleId="PidipaginaCarattere">
    <w:name w:val="Piè di pagina Carattere"/>
    <w:basedOn w:val="Carpredefinitoparagrafo"/>
    <w:link w:val="Pidipagina"/>
    <w:uiPriority w:val="99"/>
    <w:rsid w:val="00381ABF"/>
    <w:rPr>
      <w:lang w:val="en-US"/>
    </w:rPr>
  </w:style>
  <w:style w:type="paragraph" w:styleId="Titolo">
    <w:name w:val="Title"/>
    <w:basedOn w:val="Normale"/>
    <w:next w:val="Normale"/>
    <w:link w:val="TitoloCarattere"/>
    <w:uiPriority w:val="10"/>
    <w:qFormat/>
    <w:rsid w:val="00381AB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val="en-US"/>
    </w:rPr>
  </w:style>
  <w:style w:type="character" w:customStyle="1" w:styleId="TitoloCarattere">
    <w:name w:val="Titolo Carattere"/>
    <w:basedOn w:val="Carpredefinitoparagrafo"/>
    <w:link w:val="Titolo"/>
    <w:uiPriority w:val="10"/>
    <w:rsid w:val="00381ABF"/>
    <w:rPr>
      <w:rFonts w:asciiTheme="majorHAnsi" w:eastAsiaTheme="majorEastAsia" w:hAnsiTheme="majorHAnsi" w:cstheme="majorBidi"/>
      <w:color w:val="17365D" w:themeColor="text2" w:themeShade="BF"/>
      <w:spacing w:val="5"/>
      <w:kern w:val="28"/>
      <w:sz w:val="52"/>
      <w:szCs w:val="52"/>
      <w:lang w:val="en-US"/>
    </w:rPr>
  </w:style>
  <w:style w:type="character" w:styleId="Enfasicorsivo">
    <w:name w:val="Emphasis"/>
    <w:basedOn w:val="Carpredefinitoparagrafo"/>
    <w:qFormat/>
    <w:rsid w:val="00381ABF"/>
    <w:rPr>
      <w:i/>
      <w:iCs/>
    </w:rPr>
  </w:style>
</w:styles>
</file>

<file path=word/webSettings.xml><?xml version="1.0" encoding="utf-8"?>
<w:webSettings xmlns:r="http://schemas.openxmlformats.org/officeDocument/2006/relationships" xmlns:w="http://schemas.openxmlformats.org/wordprocessingml/2006/main">
  <w:divs>
    <w:div w:id="2833129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7.emf"/><Relationship Id="rId18"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emf"/><Relationship Id="rId12" Type="http://schemas.openxmlformats.org/officeDocument/2006/relationships/image" Target="media/image6.emf"/><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10.emf"/><Relationship Id="rId20" Type="http://schemas.openxmlformats.org/officeDocument/2006/relationships/glossaryDocument" Target="glossary/document.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emf"/><Relationship Id="rId5" Type="http://schemas.openxmlformats.org/officeDocument/2006/relationships/footnotes" Target="footnotes.xml"/><Relationship Id="rId15" Type="http://schemas.openxmlformats.org/officeDocument/2006/relationships/image" Target="media/image9.emf"/><Relationship Id="rId10" Type="http://schemas.openxmlformats.org/officeDocument/2006/relationships/image" Target="media/image4.emf"/><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image" Target="media/image8.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61002A87" w:usb1="80000000" w:usb2="00000008" w:usb3="00000000" w:csb0="000101FF" w:csb1="00000000"/>
  </w:font>
  <w:font w:name="Lucida Sans Unicode">
    <w:panose1 w:val="020B0602030504020204"/>
    <w:charset w:val="00"/>
    <w:family w:val="swiss"/>
    <w:pitch w:val="variable"/>
    <w:sig w:usb0="80000AFF" w:usb1="0000396B" w:usb2="00000000" w:usb3="00000000" w:csb0="0000003F" w:csb1="00000000"/>
  </w:font>
  <w:font w:name="Cambria">
    <w:panose1 w:val="02040503050406030204"/>
    <w:charset w:val="00"/>
    <w:family w:val="roman"/>
    <w:pitch w:val="variable"/>
    <w:sig w:usb0="A00002EF" w:usb1="4000004B" w:usb2="00000000" w:usb3="00000000" w:csb0="0000009F" w:csb1="00000000"/>
  </w:font>
  <w:font w:name="Advocean-it">
    <w:charset w:val="00"/>
    <w:family w:val="swiss"/>
    <w:pitch w:val="default"/>
    <w:sig w:usb0="00000000" w:usb1="00000000" w:usb2="00000000" w:usb3="00000000" w:csb0="00000000" w:csb1="00000000"/>
  </w:font>
  <w:font w:name="SimSun">
    <w:altName w:val="宋体"/>
    <w:panose1 w:val="02010600030101010101"/>
    <w:charset w:val="86"/>
    <w:family w:val="auto"/>
    <w:notTrueType/>
    <w:pitch w:val="variable"/>
    <w:sig w:usb0="00000001" w:usb1="080E0000" w:usb2="00000010" w:usb3="00000000" w:csb0="00040000"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283"/>
  <w:characterSpacingControl w:val="doNotCompress"/>
  <w:compat>
    <w:useFELayout/>
  </w:compat>
  <w:rsids>
    <w:rsidRoot w:val="006A22D1"/>
    <w:rsid w:val="00581D5F"/>
    <w:rsid w:val="006A22D1"/>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it-IT" w:eastAsia="it-I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081CBC5EFCA848FDB8D300D0A1D0C357">
    <w:name w:val="081CBC5EFCA848FDB8D300D0A1D0C357"/>
    <w:rsid w:val="006A22D1"/>
  </w:style>
  <w:style w:type="paragraph" w:customStyle="1" w:styleId="9615EEFEC00E4D7E9E119380F6B0AB0E">
    <w:name w:val="9615EEFEC00E4D7E9E119380F6B0AB0E"/>
    <w:rsid w:val="006A22D1"/>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51</TotalTime>
  <Pages>115</Pages>
  <Words>31099</Words>
  <Characters>177266</Characters>
  <Application>Microsoft Office Word</Application>
  <DocSecurity>0</DocSecurity>
  <Lines>1477</Lines>
  <Paragraphs>415</Paragraphs>
  <ScaleCrop>false</ScaleCrop>
  <HeadingPairs>
    <vt:vector size="2" baseType="variant">
      <vt:variant>
        <vt:lpstr>Titolo</vt:lpstr>
      </vt:variant>
      <vt:variant>
        <vt:i4>1</vt:i4>
      </vt:variant>
    </vt:vector>
  </HeadingPairs>
  <TitlesOfParts>
    <vt:vector size="1" baseType="lpstr">
      <vt:lpstr/>
    </vt:vector>
  </TitlesOfParts>
  <Company> </Company>
  <LinksUpToDate>false</LinksUpToDate>
  <CharactersWithSpaces>207950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 </cp:lastModifiedBy>
  <cp:revision>28</cp:revision>
  <dcterms:created xsi:type="dcterms:W3CDTF">2011-02-11T14:36:00Z</dcterms:created>
  <dcterms:modified xsi:type="dcterms:W3CDTF">2011-02-11T19:08:00Z</dcterms:modified>
</cp:coreProperties>
</file>