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70683" w:rsidRDefault="00A70683" w:rsidP="00A70683">
      <w:pPr>
        <w:pStyle w:val="Intestazione"/>
        <w:rPr>
          <w:rFonts w:ascii="Verdana" w:hAnsi="Verdana"/>
          <w:sz w:val="32"/>
        </w:rPr>
      </w:pPr>
      <w:r>
        <w:t xml:space="preserve">                                   </w:t>
      </w:r>
      <w:r>
        <w:rPr>
          <w:rFonts w:ascii="Verdana" w:hAnsi="Verdana" w:cs="Verdana"/>
          <w:noProof/>
          <w:sz w:val="16"/>
          <w:szCs w:val="16"/>
          <w:lang w:eastAsia="it-IT"/>
        </w:rPr>
        <w:drawing>
          <wp:inline distT="0" distB="0" distL="0" distR="0">
            <wp:extent cx="2466975" cy="1127125"/>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466975" cy="1127125"/>
                    </a:xfrm>
                    <a:prstGeom prst="rect">
                      <a:avLst/>
                    </a:prstGeom>
                    <a:noFill/>
                    <a:ln>
                      <a:noFill/>
                    </a:ln>
                  </pic:spPr>
                </pic:pic>
              </a:graphicData>
            </a:graphic>
          </wp:inline>
        </w:drawing>
      </w:r>
    </w:p>
    <w:p w:rsidR="00A70683" w:rsidRDefault="00A70683" w:rsidP="00A70683">
      <w:pPr>
        <w:jc w:val="center"/>
        <w:rPr>
          <w:rFonts w:ascii="Verdana" w:hAnsi="Verdana"/>
          <w:sz w:val="32"/>
        </w:rPr>
      </w:pPr>
    </w:p>
    <w:p w:rsidR="00A70683" w:rsidRDefault="00A70683" w:rsidP="00A70683">
      <w:pPr>
        <w:jc w:val="center"/>
        <w:rPr>
          <w:rFonts w:ascii="Verdana" w:hAnsi="Verdana"/>
          <w:sz w:val="32"/>
        </w:rPr>
      </w:pPr>
      <w:r>
        <w:rPr>
          <w:rFonts w:ascii="Verdana" w:hAnsi="Verdana"/>
          <w:sz w:val="32"/>
        </w:rPr>
        <w:t xml:space="preserve">DOTTORATO DI RICERCA IN </w:t>
      </w:r>
    </w:p>
    <w:p w:rsidR="00A70683" w:rsidRDefault="00A70683" w:rsidP="00A70683">
      <w:pPr>
        <w:jc w:val="center"/>
        <w:rPr>
          <w:rFonts w:ascii="Verdana" w:hAnsi="Verdana"/>
          <w:sz w:val="32"/>
        </w:rPr>
      </w:pPr>
      <w:r>
        <w:rPr>
          <w:rFonts w:ascii="Verdana" w:hAnsi="Verdana"/>
          <w:sz w:val="32"/>
        </w:rPr>
        <w:t>Diritto Internazionale e Diritto dell’Unione Europea</w:t>
      </w:r>
    </w:p>
    <w:p w:rsidR="0049691E" w:rsidRDefault="0049691E" w:rsidP="00A70683">
      <w:pPr>
        <w:rPr>
          <w:rFonts w:ascii="Verdana" w:hAnsi="Verdana"/>
        </w:rPr>
      </w:pPr>
      <w:bookmarkStart w:id="0" w:name="_GoBack"/>
      <w:bookmarkEnd w:id="0"/>
    </w:p>
    <w:p w:rsidR="00A70683" w:rsidRDefault="00A70683" w:rsidP="00534077">
      <w:pPr>
        <w:jc w:val="center"/>
        <w:rPr>
          <w:rFonts w:ascii="Verdana" w:hAnsi="Verdana"/>
          <w:i/>
          <w:color w:val="0000FF"/>
          <w:sz w:val="16"/>
        </w:rPr>
      </w:pPr>
      <w:r>
        <w:rPr>
          <w:rFonts w:ascii="Verdana" w:hAnsi="Verdana"/>
        </w:rPr>
        <w:t>CICLO XXVI</w:t>
      </w:r>
    </w:p>
    <w:p w:rsidR="00534077" w:rsidRPr="00534077" w:rsidRDefault="00534077" w:rsidP="00534077">
      <w:pPr>
        <w:jc w:val="center"/>
        <w:rPr>
          <w:rFonts w:ascii="Verdana" w:hAnsi="Verdana"/>
          <w:i/>
          <w:color w:val="0000FF"/>
          <w:sz w:val="16"/>
        </w:rPr>
      </w:pPr>
    </w:p>
    <w:p w:rsidR="00A70683" w:rsidRDefault="00A70683" w:rsidP="00A70683">
      <w:pPr>
        <w:jc w:val="center"/>
        <w:rPr>
          <w:rFonts w:ascii="Verdana" w:hAnsi="Verdana"/>
        </w:rPr>
      </w:pPr>
      <w:r>
        <w:rPr>
          <w:rFonts w:ascii="Verdana" w:hAnsi="Verdana"/>
        </w:rPr>
        <w:t>COORDINATORE Prof. Luigi Sbolci</w:t>
      </w:r>
    </w:p>
    <w:p w:rsidR="00A70683" w:rsidRDefault="00A70683" w:rsidP="00A70683">
      <w:pPr>
        <w:rPr>
          <w:rFonts w:ascii="Verdana" w:hAnsi="Verdana"/>
          <w:i/>
        </w:rPr>
      </w:pPr>
    </w:p>
    <w:p w:rsidR="00A70683" w:rsidRDefault="00A70683" w:rsidP="00A70683">
      <w:pPr>
        <w:jc w:val="center"/>
        <w:rPr>
          <w:rFonts w:ascii="Verdana" w:hAnsi="Verdana"/>
        </w:rPr>
      </w:pPr>
      <w:r>
        <w:rPr>
          <w:rFonts w:ascii="Verdana" w:hAnsi="Verdana"/>
        </w:rPr>
        <w:t xml:space="preserve">La responsabilità internazionale dello Stato per fatti illeciti </w:t>
      </w:r>
      <w:r w:rsidRPr="007B2729">
        <w:rPr>
          <w:rFonts w:ascii="Verdana" w:hAnsi="Verdana"/>
          <w:i/>
        </w:rPr>
        <w:t>ultra vires</w:t>
      </w:r>
      <w:r>
        <w:rPr>
          <w:rFonts w:ascii="Verdana" w:hAnsi="Verdana"/>
        </w:rPr>
        <w:t>:</w:t>
      </w:r>
    </w:p>
    <w:p w:rsidR="00A70683" w:rsidRDefault="00A70683" w:rsidP="00A70683">
      <w:pPr>
        <w:jc w:val="center"/>
        <w:rPr>
          <w:rFonts w:ascii="Verdana" w:hAnsi="Verdana"/>
        </w:rPr>
      </w:pPr>
      <w:r>
        <w:rPr>
          <w:rFonts w:ascii="Verdana" w:hAnsi="Verdana"/>
        </w:rPr>
        <w:t>il problema dell’attribuzione</w:t>
      </w:r>
    </w:p>
    <w:p w:rsidR="00A70683" w:rsidRDefault="00A70683" w:rsidP="00A70683">
      <w:pPr>
        <w:rPr>
          <w:rFonts w:ascii="Verdana" w:hAnsi="Verdana"/>
        </w:rPr>
      </w:pPr>
    </w:p>
    <w:p w:rsidR="00A70683" w:rsidRDefault="00A70683" w:rsidP="00A70683">
      <w:pPr>
        <w:jc w:val="center"/>
        <w:rPr>
          <w:rFonts w:ascii="Verdana" w:hAnsi="Verdana"/>
        </w:rPr>
      </w:pPr>
      <w:r>
        <w:rPr>
          <w:rFonts w:ascii="Verdana" w:hAnsi="Verdana"/>
        </w:rPr>
        <w:t>Settor</w:t>
      </w:r>
      <w:r w:rsidR="005651DD">
        <w:rPr>
          <w:rFonts w:ascii="Verdana" w:hAnsi="Verdana"/>
        </w:rPr>
        <w:t>e Scientifico Disciplinare Ius/13</w:t>
      </w:r>
    </w:p>
    <w:p w:rsidR="00A70683" w:rsidRDefault="00A70683" w:rsidP="00A70683">
      <w:pPr>
        <w:rPr>
          <w:rFonts w:ascii="Verdana" w:hAnsi="Verdana"/>
        </w:rPr>
      </w:pPr>
    </w:p>
    <w:p w:rsidR="00A70683" w:rsidRDefault="00A70683" w:rsidP="00226D31">
      <w:pPr>
        <w:tabs>
          <w:tab w:val="left" w:pos="993"/>
        </w:tabs>
        <w:rPr>
          <w:rFonts w:ascii="Verdana" w:hAnsi="Verdana"/>
        </w:rPr>
      </w:pPr>
      <w:r>
        <w:rPr>
          <w:rFonts w:ascii="Verdana" w:hAnsi="Verdana"/>
          <w:b/>
        </w:rPr>
        <w:tab/>
        <w:t xml:space="preserve">Dottorando </w:t>
      </w:r>
      <w:r>
        <w:rPr>
          <w:rFonts w:ascii="Verdana" w:hAnsi="Verdana"/>
          <w:b/>
        </w:rPr>
        <w:tab/>
      </w:r>
      <w:r w:rsidR="00226D31">
        <w:rPr>
          <w:rFonts w:ascii="Verdana" w:hAnsi="Verdana"/>
          <w:b/>
        </w:rPr>
        <w:tab/>
      </w:r>
      <w:r w:rsidR="00226D31">
        <w:rPr>
          <w:rFonts w:ascii="Verdana" w:hAnsi="Verdana"/>
          <w:b/>
        </w:rPr>
        <w:tab/>
      </w:r>
      <w:r w:rsidR="00226D31">
        <w:rPr>
          <w:rFonts w:ascii="Verdana" w:hAnsi="Verdana"/>
          <w:b/>
        </w:rPr>
        <w:tab/>
      </w:r>
      <w:r w:rsidR="00226D31">
        <w:rPr>
          <w:rFonts w:ascii="Verdana" w:hAnsi="Verdana"/>
          <w:b/>
        </w:rPr>
        <w:tab/>
      </w:r>
      <w:r w:rsidR="00226D31">
        <w:rPr>
          <w:rFonts w:ascii="Verdana" w:hAnsi="Verdana"/>
          <w:b/>
        </w:rPr>
        <w:tab/>
        <w:t xml:space="preserve">       </w:t>
      </w:r>
      <w:r>
        <w:rPr>
          <w:rFonts w:ascii="Verdana" w:hAnsi="Verdana"/>
          <w:b/>
        </w:rPr>
        <w:t>Tutore</w:t>
      </w:r>
    </w:p>
    <w:p w:rsidR="00A70683" w:rsidRDefault="007D0833" w:rsidP="00A70683">
      <w:pPr>
        <w:tabs>
          <w:tab w:val="left" w:pos="567"/>
          <w:tab w:val="left" w:pos="6521"/>
        </w:tabs>
        <w:rPr>
          <w:rFonts w:ascii="Verdana" w:hAnsi="Verdana"/>
        </w:rPr>
      </w:pPr>
      <w:r>
        <w:rPr>
          <w:rFonts w:ascii="Verdana" w:hAnsi="Verdana"/>
        </w:rPr>
        <w:t xml:space="preserve">    </w:t>
      </w:r>
      <w:r w:rsidR="00A70683">
        <w:rPr>
          <w:rFonts w:ascii="Verdana" w:hAnsi="Verdana"/>
        </w:rPr>
        <w:t>Dott.</w:t>
      </w:r>
      <w:r w:rsidR="00925F6C">
        <w:rPr>
          <w:rFonts w:ascii="Verdana" w:hAnsi="Verdana"/>
        </w:rPr>
        <w:t xml:space="preserve">ssa </w:t>
      </w:r>
      <w:r w:rsidR="00226D31">
        <w:rPr>
          <w:rFonts w:ascii="Verdana" w:hAnsi="Verdana"/>
        </w:rPr>
        <w:t xml:space="preserve">Andreoli Francesca    </w:t>
      </w:r>
      <w:r w:rsidR="00925F6C">
        <w:rPr>
          <w:rFonts w:ascii="Verdana" w:hAnsi="Verdana"/>
        </w:rPr>
        <w:t xml:space="preserve">                          </w:t>
      </w:r>
      <w:r w:rsidR="00226D31">
        <w:rPr>
          <w:rFonts w:ascii="Verdana" w:hAnsi="Verdana"/>
        </w:rPr>
        <w:t xml:space="preserve">   </w:t>
      </w:r>
      <w:r w:rsidR="00081A53">
        <w:rPr>
          <w:rFonts w:ascii="Verdana" w:hAnsi="Verdana"/>
        </w:rPr>
        <w:t xml:space="preserve">   </w:t>
      </w:r>
      <w:r w:rsidR="00A70683">
        <w:rPr>
          <w:rFonts w:ascii="Verdana" w:hAnsi="Verdana"/>
        </w:rPr>
        <w:t xml:space="preserve">Prof. Gaja </w:t>
      </w:r>
      <w:r w:rsidR="00226D31">
        <w:rPr>
          <w:rFonts w:ascii="Verdana" w:hAnsi="Verdana"/>
        </w:rPr>
        <w:t>G</w:t>
      </w:r>
      <w:r w:rsidR="00A70683">
        <w:rPr>
          <w:rFonts w:ascii="Verdana" w:hAnsi="Verdana"/>
        </w:rPr>
        <w:t>iorgio</w:t>
      </w:r>
    </w:p>
    <w:p w:rsidR="00A70683" w:rsidRDefault="00A70683" w:rsidP="00F63906">
      <w:pPr>
        <w:tabs>
          <w:tab w:val="left" w:pos="1134"/>
          <w:tab w:val="left" w:pos="7230"/>
        </w:tabs>
        <w:rPr>
          <w:rFonts w:ascii="Verdana" w:hAnsi="Verdana"/>
          <w:i/>
          <w:sz w:val="18"/>
        </w:rPr>
      </w:pPr>
      <w:r>
        <w:rPr>
          <w:rFonts w:ascii="Verdana" w:hAnsi="Verdana"/>
          <w:i/>
          <w:sz w:val="18"/>
        </w:rPr>
        <w:tab/>
      </w:r>
    </w:p>
    <w:p w:rsidR="005544C7" w:rsidRPr="00F63906" w:rsidRDefault="005544C7" w:rsidP="00F63906">
      <w:pPr>
        <w:tabs>
          <w:tab w:val="left" w:pos="1134"/>
          <w:tab w:val="left" w:pos="7230"/>
        </w:tabs>
        <w:rPr>
          <w:rFonts w:ascii="Verdana" w:hAnsi="Verdana"/>
          <w:i/>
          <w:sz w:val="18"/>
        </w:rPr>
      </w:pPr>
    </w:p>
    <w:p w:rsidR="00A70683" w:rsidRPr="00F5394F" w:rsidRDefault="00A70683" w:rsidP="00A70683">
      <w:pPr>
        <w:jc w:val="center"/>
        <w:rPr>
          <w:rFonts w:ascii="Verdana" w:hAnsi="Verdana"/>
          <w:b/>
        </w:rPr>
      </w:pPr>
      <w:r w:rsidRPr="00F5394F">
        <w:rPr>
          <w:rFonts w:ascii="Verdana" w:hAnsi="Verdana"/>
          <w:b/>
        </w:rPr>
        <w:t>Coordinatore</w:t>
      </w:r>
    </w:p>
    <w:p w:rsidR="00A70683" w:rsidRPr="00F63906" w:rsidRDefault="00A70683" w:rsidP="00F63906">
      <w:pPr>
        <w:tabs>
          <w:tab w:val="left" w:pos="567"/>
          <w:tab w:val="left" w:pos="6521"/>
        </w:tabs>
        <w:jc w:val="center"/>
        <w:rPr>
          <w:rFonts w:ascii="Verdana" w:hAnsi="Verdana"/>
          <w:i/>
        </w:rPr>
      </w:pPr>
      <w:r>
        <w:rPr>
          <w:rFonts w:ascii="Verdana" w:hAnsi="Verdana"/>
        </w:rPr>
        <w:t xml:space="preserve">Prof. Sbolci Luigi </w:t>
      </w:r>
    </w:p>
    <w:p w:rsidR="00A70683" w:rsidRDefault="00A70683" w:rsidP="005544C7">
      <w:pPr>
        <w:rPr>
          <w:rFonts w:ascii="Verdana" w:hAnsi="Verdana"/>
          <w:i/>
          <w:sz w:val="18"/>
          <w:szCs w:val="18"/>
        </w:rPr>
      </w:pPr>
    </w:p>
    <w:p w:rsidR="005544C7" w:rsidRDefault="005544C7" w:rsidP="00A70683">
      <w:pPr>
        <w:jc w:val="center"/>
        <w:rPr>
          <w:rFonts w:ascii="Verdana" w:hAnsi="Verdana"/>
        </w:rPr>
      </w:pPr>
    </w:p>
    <w:p w:rsidR="00DC6A1A" w:rsidRDefault="00916AF4" w:rsidP="005544C7">
      <w:pPr>
        <w:jc w:val="center"/>
        <w:rPr>
          <w:rFonts w:ascii="Verdana" w:hAnsi="Verdana"/>
        </w:rPr>
        <w:sectPr w:rsidR="00DC6A1A" w:rsidSect="00DC6A1A">
          <w:footerReference w:type="first" r:id="rId10"/>
          <w:pgSz w:w="11906" w:h="16838"/>
          <w:pgMar w:top="1531" w:right="1531" w:bottom="1531" w:left="1531" w:header="709" w:footer="709" w:gutter="567"/>
          <w:pgNumType w:start="0"/>
          <w:cols w:space="708"/>
          <w:docGrid w:linePitch="360"/>
        </w:sectPr>
      </w:pPr>
      <w:r>
        <w:rPr>
          <w:rFonts w:ascii="Verdana" w:hAnsi="Verdana"/>
        </w:rPr>
        <w:t>Anni 2011/2013</w:t>
      </w:r>
    </w:p>
    <w:p w:rsidR="00C60F62" w:rsidRDefault="00554261" w:rsidP="00345B7F">
      <w:pPr>
        <w:spacing w:after="0" w:line="240" w:lineRule="auto"/>
        <w:jc w:val="center"/>
        <w:rPr>
          <w:sz w:val="28"/>
          <w:szCs w:val="28"/>
        </w:rPr>
      </w:pPr>
      <w:r w:rsidRPr="00345B7F">
        <w:rPr>
          <w:sz w:val="28"/>
          <w:szCs w:val="28"/>
        </w:rPr>
        <w:lastRenderedPageBreak/>
        <w:t>INDICE SOMMARIO</w:t>
      </w:r>
    </w:p>
    <w:p w:rsidR="0022136E" w:rsidRDefault="0022136E" w:rsidP="00345B7F">
      <w:pPr>
        <w:spacing w:after="0" w:line="240" w:lineRule="auto"/>
        <w:jc w:val="center"/>
        <w:rPr>
          <w:sz w:val="28"/>
          <w:szCs w:val="28"/>
        </w:rPr>
      </w:pPr>
    </w:p>
    <w:p w:rsidR="0022136E" w:rsidRPr="0022136E" w:rsidRDefault="006A144E" w:rsidP="006A144E">
      <w:pPr>
        <w:tabs>
          <w:tab w:val="left" w:pos="7797"/>
        </w:tabs>
        <w:spacing w:after="0" w:line="240" w:lineRule="auto"/>
        <w:jc w:val="both"/>
      </w:pPr>
      <w:r>
        <w:t xml:space="preserve">Premessa </w:t>
      </w:r>
      <w:r>
        <w:tab/>
        <w:t>5</w:t>
      </w:r>
    </w:p>
    <w:p w:rsidR="00C60F62" w:rsidRDefault="00C60F62" w:rsidP="00345B7F">
      <w:pPr>
        <w:spacing w:after="0" w:line="240" w:lineRule="auto"/>
        <w:jc w:val="center"/>
        <w:rPr>
          <w:smallCaps/>
        </w:rPr>
      </w:pPr>
    </w:p>
    <w:p w:rsidR="00345B7F" w:rsidRPr="00C60F62" w:rsidRDefault="00345B7F" w:rsidP="00345B7F">
      <w:pPr>
        <w:spacing w:after="0" w:line="240" w:lineRule="auto"/>
        <w:jc w:val="center"/>
        <w:rPr>
          <w:smallCaps/>
        </w:rPr>
      </w:pPr>
    </w:p>
    <w:p w:rsidR="00B51CFD" w:rsidRPr="00554261" w:rsidRDefault="00C60F62" w:rsidP="00345B7F">
      <w:pPr>
        <w:spacing w:after="0" w:line="240" w:lineRule="auto"/>
        <w:jc w:val="center"/>
        <w:rPr>
          <w:smallCaps/>
        </w:rPr>
      </w:pPr>
      <w:r w:rsidRPr="00554261">
        <w:rPr>
          <w:smallCaps/>
        </w:rPr>
        <w:t xml:space="preserve">CAPITOLO I </w:t>
      </w:r>
    </w:p>
    <w:p w:rsidR="001A3454" w:rsidRPr="00554261" w:rsidRDefault="00694135" w:rsidP="00345B7F">
      <w:pPr>
        <w:spacing w:after="0" w:line="240" w:lineRule="auto"/>
        <w:jc w:val="center"/>
        <w:rPr>
          <w:sz w:val="26"/>
          <w:szCs w:val="26"/>
        </w:rPr>
      </w:pPr>
      <w:r w:rsidRPr="00554261">
        <w:rPr>
          <w:sz w:val="26"/>
          <w:szCs w:val="26"/>
        </w:rPr>
        <w:t>CONSIDERAZIONI INTRODUTTIVE</w:t>
      </w:r>
      <w:r w:rsidR="001A3454" w:rsidRPr="00554261">
        <w:rPr>
          <w:sz w:val="26"/>
          <w:szCs w:val="26"/>
        </w:rPr>
        <w:t xml:space="preserve"> </w:t>
      </w:r>
    </w:p>
    <w:p w:rsidR="004775CF" w:rsidRPr="00554261" w:rsidRDefault="004775CF" w:rsidP="00345B7F">
      <w:pPr>
        <w:spacing w:after="0" w:line="240" w:lineRule="auto"/>
        <w:jc w:val="both"/>
      </w:pPr>
    </w:p>
    <w:p w:rsidR="00B51CFD" w:rsidRPr="00554261" w:rsidRDefault="00554261" w:rsidP="00345B7F">
      <w:pPr>
        <w:spacing w:after="0" w:line="240" w:lineRule="auto"/>
        <w:jc w:val="center"/>
        <w:rPr>
          <w:i/>
        </w:rPr>
      </w:pPr>
      <w:r w:rsidRPr="00554261">
        <w:rPr>
          <w:i/>
        </w:rPr>
        <w:t>Sezione I</w:t>
      </w:r>
    </w:p>
    <w:p w:rsidR="008B4085" w:rsidRDefault="00B51CFD" w:rsidP="00345B7F">
      <w:pPr>
        <w:spacing w:after="0" w:line="240" w:lineRule="auto"/>
        <w:jc w:val="center"/>
      </w:pPr>
      <w:r w:rsidRPr="00554261">
        <w:t xml:space="preserve">CENNI IN MATERIA DI RESPONSABILITÁ </w:t>
      </w:r>
    </w:p>
    <w:p w:rsidR="001A3454" w:rsidRPr="00554261" w:rsidRDefault="00B51CFD" w:rsidP="00345B7F">
      <w:pPr>
        <w:spacing w:after="0" w:line="240" w:lineRule="auto"/>
        <w:jc w:val="center"/>
      </w:pPr>
      <w:r w:rsidRPr="00554261">
        <w:t>DELLO STATO PER FATTI ILLECITI INTERNAZIONALI</w:t>
      </w:r>
      <w:r w:rsidR="001A3454" w:rsidRPr="00554261">
        <w:t xml:space="preserve"> </w:t>
      </w:r>
    </w:p>
    <w:p w:rsidR="001A3454" w:rsidRDefault="001A3454" w:rsidP="00345B7F">
      <w:pPr>
        <w:spacing w:after="0" w:line="240" w:lineRule="auto"/>
        <w:jc w:val="both"/>
      </w:pPr>
    </w:p>
    <w:p w:rsidR="001A3454" w:rsidRDefault="001A3454" w:rsidP="006A144E">
      <w:pPr>
        <w:pStyle w:val="Paragrafoelenco"/>
        <w:numPr>
          <w:ilvl w:val="0"/>
          <w:numId w:val="10"/>
        </w:numPr>
        <w:tabs>
          <w:tab w:val="left" w:pos="7797"/>
        </w:tabs>
        <w:spacing w:after="0" w:line="240" w:lineRule="auto"/>
        <w:jc w:val="both"/>
      </w:pPr>
      <w:r>
        <w:t xml:space="preserve">Presupposti e contenuto della responsabilità internazionale dello Stato </w:t>
      </w:r>
      <w:r w:rsidR="006A144E">
        <w:tab/>
        <w:t>8</w:t>
      </w:r>
    </w:p>
    <w:p w:rsidR="001A3454" w:rsidRDefault="001A3454" w:rsidP="006A144E">
      <w:pPr>
        <w:pStyle w:val="Paragrafoelenco"/>
        <w:numPr>
          <w:ilvl w:val="0"/>
          <w:numId w:val="10"/>
        </w:numPr>
        <w:tabs>
          <w:tab w:val="left" w:pos="7797"/>
        </w:tabs>
        <w:spacing w:after="0" w:line="240" w:lineRule="auto"/>
        <w:jc w:val="both"/>
      </w:pPr>
      <w:r>
        <w:t>I principali tentativi di codificazione della materia</w:t>
      </w:r>
      <w:r w:rsidR="006A144E">
        <w:t xml:space="preserve"> </w:t>
      </w:r>
      <w:r w:rsidR="006A144E">
        <w:tab/>
        <w:t>11</w:t>
      </w:r>
    </w:p>
    <w:p w:rsidR="001A3454" w:rsidRDefault="001A3454" w:rsidP="006A144E">
      <w:pPr>
        <w:pStyle w:val="Paragrafoelenco"/>
        <w:numPr>
          <w:ilvl w:val="1"/>
          <w:numId w:val="10"/>
        </w:numPr>
        <w:tabs>
          <w:tab w:val="left" w:pos="7797"/>
        </w:tabs>
        <w:spacing w:after="0" w:line="240" w:lineRule="auto"/>
        <w:jc w:val="both"/>
      </w:pPr>
      <w:r>
        <w:t>Le codificazioni private</w:t>
      </w:r>
      <w:r w:rsidR="006A144E">
        <w:t xml:space="preserve"> </w:t>
      </w:r>
      <w:r w:rsidR="006A144E">
        <w:tab/>
        <w:t>11</w:t>
      </w:r>
    </w:p>
    <w:p w:rsidR="001A3454" w:rsidRDefault="001A3454" w:rsidP="006A144E">
      <w:pPr>
        <w:pStyle w:val="Paragrafoelenco"/>
        <w:numPr>
          <w:ilvl w:val="1"/>
          <w:numId w:val="10"/>
        </w:numPr>
        <w:tabs>
          <w:tab w:val="left" w:pos="7797"/>
        </w:tabs>
        <w:spacing w:after="0" w:line="240" w:lineRule="auto"/>
        <w:jc w:val="both"/>
      </w:pPr>
      <w:r>
        <w:t>La codificazione sotto l’egida delle organizzazioni internazionali</w:t>
      </w:r>
      <w:r w:rsidR="006A144E">
        <w:tab/>
        <w:t>13</w:t>
      </w:r>
    </w:p>
    <w:p w:rsidR="001A3454" w:rsidRDefault="008B4085" w:rsidP="006A144E">
      <w:pPr>
        <w:pStyle w:val="Paragrafoelenco"/>
        <w:numPr>
          <w:ilvl w:val="2"/>
          <w:numId w:val="10"/>
        </w:numPr>
        <w:tabs>
          <w:tab w:val="left" w:pos="7797"/>
        </w:tabs>
        <w:spacing w:after="0" w:line="240" w:lineRule="auto"/>
        <w:jc w:val="both"/>
      </w:pPr>
      <w:r>
        <w:t xml:space="preserve"> </w:t>
      </w:r>
      <w:r w:rsidR="001A3454">
        <w:t>La Società delle Nazioni</w:t>
      </w:r>
      <w:r w:rsidR="006A144E">
        <w:tab/>
        <w:t>13</w:t>
      </w:r>
    </w:p>
    <w:p w:rsidR="001A3454" w:rsidRDefault="008B4085" w:rsidP="006A144E">
      <w:pPr>
        <w:pStyle w:val="Paragrafoelenco"/>
        <w:numPr>
          <w:ilvl w:val="2"/>
          <w:numId w:val="10"/>
        </w:numPr>
        <w:tabs>
          <w:tab w:val="left" w:pos="7797"/>
        </w:tabs>
        <w:spacing w:after="0" w:line="240" w:lineRule="auto"/>
        <w:jc w:val="both"/>
      </w:pPr>
      <w:r>
        <w:t xml:space="preserve"> </w:t>
      </w:r>
      <w:r w:rsidR="001A3454">
        <w:t xml:space="preserve">L’Organizzazione delle Nazioni Unite </w:t>
      </w:r>
      <w:r w:rsidR="006A144E">
        <w:tab/>
        <w:t>14</w:t>
      </w:r>
    </w:p>
    <w:p w:rsidR="0023424C" w:rsidRDefault="0023424C" w:rsidP="00345B7F">
      <w:pPr>
        <w:spacing w:after="0" w:line="240" w:lineRule="auto"/>
        <w:ind w:left="1560" w:hanging="284"/>
        <w:jc w:val="both"/>
      </w:pPr>
    </w:p>
    <w:p w:rsidR="00B51CFD" w:rsidRPr="008B4085" w:rsidRDefault="004775CF" w:rsidP="00345B7F">
      <w:pPr>
        <w:spacing w:after="0" w:line="240" w:lineRule="auto"/>
        <w:jc w:val="center"/>
        <w:rPr>
          <w:i/>
        </w:rPr>
      </w:pPr>
      <w:r>
        <w:rPr>
          <w:i/>
        </w:rPr>
        <w:t>Sezione II</w:t>
      </w:r>
    </w:p>
    <w:p w:rsidR="008B4085" w:rsidRDefault="00B51CFD" w:rsidP="00345B7F">
      <w:pPr>
        <w:spacing w:after="0" w:line="240" w:lineRule="auto"/>
        <w:jc w:val="center"/>
      </w:pPr>
      <w:r w:rsidRPr="008B4085">
        <w:t xml:space="preserve">IL DIBATTITO DOTTRINALE SULL’ATTRIBUZIONE </w:t>
      </w:r>
    </w:p>
    <w:p w:rsidR="00B51CFD" w:rsidRPr="008B4085" w:rsidRDefault="00B51CFD" w:rsidP="00345B7F">
      <w:pPr>
        <w:spacing w:after="0" w:line="240" w:lineRule="auto"/>
        <w:jc w:val="center"/>
      </w:pPr>
      <w:r w:rsidRPr="008B4085">
        <w:t>ALLO STATO DI FATTI ILLECITI INTERNAZIONALI</w:t>
      </w:r>
    </w:p>
    <w:p w:rsidR="001A3454" w:rsidRPr="00DB3390" w:rsidRDefault="001A3454" w:rsidP="00345B7F">
      <w:pPr>
        <w:spacing w:after="0" w:line="240" w:lineRule="auto"/>
        <w:jc w:val="center"/>
      </w:pPr>
    </w:p>
    <w:p w:rsidR="001A3454" w:rsidRDefault="001A3454" w:rsidP="006A144E">
      <w:pPr>
        <w:pStyle w:val="Paragrafoelenco"/>
        <w:numPr>
          <w:ilvl w:val="0"/>
          <w:numId w:val="4"/>
        </w:numPr>
        <w:tabs>
          <w:tab w:val="left" w:pos="7797"/>
        </w:tabs>
        <w:spacing w:after="0" w:line="240" w:lineRule="auto"/>
        <w:ind w:left="360" w:right="1331"/>
        <w:jc w:val="both"/>
      </w:pPr>
      <w:r>
        <w:t>Premessa</w:t>
      </w:r>
      <w:r w:rsidR="006A144E">
        <w:t xml:space="preserve"> </w:t>
      </w:r>
      <w:r w:rsidR="006A144E">
        <w:tab/>
        <w:t>16</w:t>
      </w:r>
    </w:p>
    <w:p w:rsidR="001A3454" w:rsidRDefault="001A3454" w:rsidP="006A144E">
      <w:pPr>
        <w:pStyle w:val="Paragrafoelenco"/>
        <w:numPr>
          <w:ilvl w:val="0"/>
          <w:numId w:val="4"/>
        </w:numPr>
        <w:tabs>
          <w:tab w:val="left" w:pos="7797"/>
        </w:tabs>
        <w:spacing w:after="0" w:line="240" w:lineRule="auto"/>
        <w:ind w:left="360" w:right="1331"/>
        <w:jc w:val="both"/>
      </w:pPr>
      <w:r>
        <w:t>Individuazione dei principali orientamenti dottrinali in tema di attribuzione di condotte allo Stato</w:t>
      </w:r>
      <w:r w:rsidR="006A144E">
        <w:t xml:space="preserve"> </w:t>
      </w:r>
      <w:r w:rsidR="006A144E">
        <w:tab/>
        <w:t>21</w:t>
      </w:r>
    </w:p>
    <w:p w:rsidR="001A3454" w:rsidRDefault="001A3454" w:rsidP="006A144E">
      <w:pPr>
        <w:pStyle w:val="Paragrafoelenco"/>
        <w:numPr>
          <w:ilvl w:val="1"/>
          <w:numId w:val="11"/>
        </w:numPr>
        <w:tabs>
          <w:tab w:val="left" w:pos="7797"/>
        </w:tabs>
        <w:spacing w:after="0" w:line="240" w:lineRule="auto"/>
        <w:ind w:right="1331"/>
        <w:jc w:val="both"/>
      </w:pPr>
      <w:r>
        <w:t>Tesi che riconoscono rilevanza esclusiva al diritto interno</w:t>
      </w:r>
      <w:r w:rsidR="006A144E">
        <w:t xml:space="preserve"> </w:t>
      </w:r>
      <w:r w:rsidR="006A144E">
        <w:tab/>
        <w:t>21</w:t>
      </w:r>
    </w:p>
    <w:p w:rsidR="001A3454" w:rsidRDefault="001A3454" w:rsidP="006A144E">
      <w:pPr>
        <w:pStyle w:val="Paragrafoelenco"/>
        <w:numPr>
          <w:ilvl w:val="1"/>
          <w:numId w:val="11"/>
        </w:numPr>
        <w:tabs>
          <w:tab w:val="left" w:pos="7797"/>
        </w:tabs>
        <w:spacing w:after="0" w:line="240" w:lineRule="auto"/>
        <w:ind w:right="1331"/>
        <w:jc w:val="both"/>
      </w:pPr>
      <w:r>
        <w:t>Tesi che si ispirano al criterio di effettività</w:t>
      </w:r>
      <w:r w:rsidR="006A144E">
        <w:t xml:space="preserve"> </w:t>
      </w:r>
      <w:r w:rsidR="006A144E">
        <w:tab/>
        <w:t>24</w:t>
      </w:r>
    </w:p>
    <w:p w:rsidR="001A3454" w:rsidRPr="0083723C" w:rsidRDefault="001A3454" w:rsidP="006A144E">
      <w:pPr>
        <w:pStyle w:val="Paragrafoelenco"/>
        <w:numPr>
          <w:ilvl w:val="0"/>
          <w:numId w:val="4"/>
        </w:numPr>
        <w:tabs>
          <w:tab w:val="left" w:pos="7797"/>
        </w:tabs>
        <w:spacing w:after="0" w:line="240" w:lineRule="auto"/>
        <w:ind w:left="360" w:right="1331"/>
        <w:jc w:val="both"/>
      </w:pPr>
      <w:r>
        <w:t xml:space="preserve">Implicazioni </w:t>
      </w:r>
      <w:r w:rsidRPr="0083723C">
        <w:t xml:space="preserve">derivanti dall’accettazione delle due differenti tesi sull’organizzazione dello Stato dal punto di vista del diritto internazionale con riferimento alla questione dell’attribuzione allo Stato dei fatti </w:t>
      </w:r>
      <w:r w:rsidRPr="00AC4BD9">
        <w:rPr>
          <w:i/>
        </w:rPr>
        <w:t>ultra vires</w:t>
      </w:r>
      <w:r w:rsidR="006A144E">
        <w:rPr>
          <w:i/>
        </w:rPr>
        <w:t xml:space="preserve"> </w:t>
      </w:r>
      <w:r w:rsidR="006A144E">
        <w:rPr>
          <w:i/>
        </w:rPr>
        <w:tab/>
      </w:r>
      <w:r w:rsidR="006A144E">
        <w:t>28</w:t>
      </w:r>
    </w:p>
    <w:p w:rsidR="008834ED" w:rsidRPr="00345B7F" w:rsidRDefault="001A3454" w:rsidP="006A144E">
      <w:pPr>
        <w:pStyle w:val="Paragrafoelenco"/>
        <w:numPr>
          <w:ilvl w:val="0"/>
          <w:numId w:val="17"/>
        </w:numPr>
        <w:tabs>
          <w:tab w:val="left" w:pos="7797"/>
        </w:tabs>
        <w:spacing w:after="0" w:line="240" w:lineRule="auto"/>
        <w:ind w:right="1331"/>
        <w:jc w:val="both"/>
      </w:pPr>
      <w:r w:rsidRPr="0083723C">
        <w:t xml:space="preserve">Le diverse impostazioni seguite in dottrina </w:t>
      </w:r>
      <w:r w:rsidR="00A55C0D">
        <w:t xml:space="preserve">circa il </w:t>
      </w:r>
      <w:r w:rsidRPr="0083723C">
        <w:t>proble</w:t>
      </w:r>
      <w:r w:rsidR="00A55C0D">
        <w:t>ma dei</w:t>
      </w:r>
      <w:r w:rsidRPr="0083723C">
        <w:t xml:space="preserve"> fatti</w:t>
      </w:r>
      <w:r w:rsidR="00A55C0D">
        <w:t xml:space="preserve"> illeciti</w:t>
      </w:r>
      <w:r w:rsidRPr="0083723C">
        <w:t xml:space="preserve"> </w:t>
      </w:r>
      <w:r w:rsidRPr="001B33A9">
        <w:rPr>
          <w:i/>
        </w:rPr>
        <w:t>ultra vires</w:t>
      </w:r>
      <w:r w:rsidR="006A144E">
        <w:rPr>
          <w:i/>
        </w:rPr>
        <w:t xml:space="preserve"> </w:t>
      </w:r>
      <w:r w:rsidR="006A144E">
        <w:rPr>
          <w:i/>
        </w:rPr>
        <w:tab/>
      </w:r>
      <w:r w:rsidR="006A144E">
        <w:t>29</w:t>
      </w:r>
    </w:p>
    <w:p w:rsidR="001A3454" w:rsidRPr="009E079F" w:rsidRDefault="001A3454" w:rsidP="006A144E">
      <w:pPr>
        <w:pStyle w:val="Paragrafoelenco"/>
        <w:numPr>
          <w:ilvl w:val="1"/>
          <w:numId w:val="17"/>
        </w:numPr>
        <w:tabs>
          <w:tab w:val="left" w:pos="7797"/>
        </w:tabs>
        <w:spacing w:after="0" w:line="240" w:lineRule="auto"/>
        <w:ind w:right="1331"/>
        <w:jc w:val="both"/>
      </w:pPr>
      <w:r w:rsidRPr="0083723C">
        <w:t xml:space="preserve">La tesi che rigetta l’attribuzione allo Stato dei </w:t>
      </w:r>
      <w:r w:rsidRPr="009E079F">
        <w:t xml:space="preserve">fatti </w:t>
      </w:r>
      <w:r w:rsidRPr="009E079F">
        <w:rPr>
          <w:i/>
        </w:rPr>
        <w:t>ultra vires</w:t>
      </w:r>
      <w:r w:rsidRPr="009E079F">
        <w:t xml:space="preserve"> degli organi statali sulla base della rilevanza esclusiva del diritto interno nell’organizzazione dello Stato</w:t>
      </w:r>
      <w:r w:rsidR="006A144E">
        <w:t xml:space="preserve"> </w:t>
      </w:r>
      <w:r w:rsidR="006A144E">
        <w:tab/>
        <w:t>29</w:t>
      </w:r>
    </w:p>
    <w:p w:rsidR="004C329A" w:rsidRPr="009E079F" w:rsidRDefault="001A3454" w:rsidP="006A144E">
      <w:pPr>
        <w:pStyle w:val="Paragrafoelenco"/>
        <w:numPr>
          <w:ilvl w:val="1"/>
          <w:numId w:val="17"/>
        </w:numPr>
        <w:tabs>
          <w:tab w:val="left" w:pos="7797"/>
        </w:tabs>
        <w:spacing w:after="0" w:line="240" w:lineRule="auto"/>
        <w:ind w:right="1331"/>
        <w:jc w:val="both"/>
      </w:pPr>
      <w:r w:rsidRPr="009E079F">
        <w:t xml:space="preserve">La tesi che riconosce la responsabilità internazionale dello Stato per i fatti </w:t>
      </w:r>
      <w:r w:rsidR="001C15E7" w:rsidRPr="009E079F">
        <w:t xml:space="preserve">illeciti </w:t>
      </w:r>
      <w:r w:rsidRPr="009E079F">
        <w:rPr>
          <w:i/>
        </w:rPr>
        <w:t>ultra vires</w:t>
      </w:r>
      <w:r w:rsidRPr="009E079F">
        <w:t xml:space="preserve"> dei propri organi </w:t>
      </w:r>
      <w:r w:rsidR="003C4631" w:rsidRPr="009E079F">
        <w:t>sulla base della teoria del rischio statale</w:t>
      </w:r>
      <w:r w:rsidR="006A144E">
        <w:t xml:space="preserve"> </w:t>
      </w:r>
      <w:r w:rsidR="006A144E">
        <w:tab/>
        <w:t>31</w:t>
      </w:r>
    </w:p>
    <w:p w:rsidR="001A3454" w:rsidRPr="009E079F" w:rsidRDefault="001A3454" w:rsidP="006A144E">
      <w:pPr>
        <w:pStyle w:val="Paragrafoelenco"/>
        <w:numPr>
          <w:ilvl w:val="1"/>
          <w:numId w:val="17"/>
        </w:numPr>
        <w:tabs>
          <w:tab w:val="left" w:pos="7797"/>
        </w:tabs>
        <w:spacing w:after="0" w:line="240" w:lineRule="auto"/>
        <w:ind w:right="1331"/>
        <w:jc w:val="both"/>
      </w:pPr>
      <w:r w:rsidRPr="009E079F">
        <w:t xml:space="preserve">La tesi che accoglie l’attribuzione allo Stato dei comportamenti </w:t>
      </w:r>
      <w:r w:rsidRPr="009E079F">
        <w:rPr>
          <w:i/>
        </w:rPr>
        <w:t>ultra vires</w:t>
      </w:r>
      <w:r w:rsidRPr="009E079F">
        <w:t xml:space="preserve"> dei soli organi statali superiori </w:t>
      </w:r>
      <w:r w:rsidR="006A144E">
        <w:tab/>
        <w:t>33</w:t>
      </w:r>
    </w:p>
    <w:p w:rsidR="001A3454" w:rsidRPr="0083723C" w:rsidRDefault="001A3454" w:rsidP="006A144E">
      <w:pPr>
        <w:pStyle w:val="Paragrafoelenco"/>
        <w:numPr>
          <w:ilvl w:val="1"/>
          <w:numId w:val="17"/>
        </w:numPr>
        <w:tabs>
          <w:tab w:val="left" w:pos="7797"/>
        </w:tabs>
        <w:spacing w:after="0" w:line="240" w:lineRule="auto"/>
        <w:ind w:right="1331"/>
        <w:jc w:val="both"/>
      </w:pPr>
      <w:r w:rsidRPr="0083723C">
        <w:t xml:space="preserve">La tesi che ammette in generale l’attribuzione allo Stato dei fatti </w:t>
      </w:r>
      <w:r w:rsidRPr="008834ED">
        <w:rPr>
          <w:i/>
        </w:rPr>
        <w:t>ultra vires</w:t>
      </w:r>
      <w:r w:rsidRPr="0083723C">
        <w:t xml:space="preserve"> degli organi statali </w:t>
      </w:r>
      <w:r w:rsidR="006A144E">
        <w:tab/>
        <w:t>36</w:t>
      </w:r>
    </w:p>
    <w:p w:rsidR="00200B5F" w:rsidRPr="0083723C" w:rsidRDefault="00E34936" w:rsidP="006A144E">
      <w:pPr>
        <w:pStyle w:val="Paragrafoelenco"/>
        <w:numPr>
          <w:ilvl w:val="1"/>
          <w:numId w:val="17"/>
        </w:numPr>
        <w:tabs>
          <w:tab w:val="left" w:pos="7797"/>
        </w:tabs>
        <w:spacing w:after="0" w:line="240" w:lineRule="auto"/>
        <w:ind w:right="1331"/>
        <w:jc w:val="both"/>
      </w:pPr>
      <w:r w:rsidRPr="0083723C">
        <w:t xml:space="preserve">L’attribuzione allo Stato dei fatti </w:t>
      </w:r>
      <w:r w:rsidRPr="008834ED">
        <w:rPr>
          <w:i/>
        </w:rPr>
        <w:t>ultra vires</w:t>
      </w:r>
      <w:r w:rsidRPr="0083723C">
        <w:t xml:space="preserve"> nei progetti di codificazione elaborati da istituzioni private</w:t>
      </w:r>
      <w:r w:rsidR="006A144E">
        <w:t xml:space="preserve"> </w:t>
      </w:r>
      <w:r w:rsidR="006A144E">
        <w:tab/>
        <w:t>37</w:t>
      </w:r>
    </w:p>
    <w:p w:rsidR="001A3454" w:rsidRPr="0083723C" w:rsidRDefault="001A3454" w:rsidP="006A144E">
      <w:pPr>
        <w:pStyle w:val="Paragrafoelenco"/>
        <w:numPr>
          <w:ilvl w:val="0"/>
          <w:numId w:val="32"/>
        </w:numPr>
        <w:tabs>
          <w:tab w:val="left" w:pos="7797"/>
        </w:tabs>
        <w:spacing w:after="0" w:line="240" w:lineRule="auto"/>
        <w:ind w:right="1331"/>
        <w:jc w:val="both"/>
      </w:pPr>
      <w:r w:rsidRPr="0083723C">
        <w:t>Piano generale dell’indagine</w:t>
      </w:r>
      <w:r w:rsidR="006A144E">
        <w:t xml:space="preserve"> </w:t>
      </w:r>
      <w:r w:rsidR="006A144E">
        <w:tab/>
        <w:t>40</w:t>
      </w:r>
    </w:p>
    <w:p w:rsidR="00CC6678" w:rsidRDefault="00CC6678" w:rsidP="0099267B">
      <w:pPr>
        <w:spacing w:after="0" w:line="240" w:lineRule="auto"/>
        <w:rPr>
          <w:smallCaps/>
        </w:rPr>
      </w:pPr>
    </w:p>
    <w:p w:rsidR="0099267B" w:rsidRDefault="0099267B" w:rsidP="0099267B">
      <w:pPr>
        <w:spacing w:after="0" w:line="240" w:lineRule="auto"/>
        <w:rPr>
          <w:smallCaps/>
        </w:rPr>
      </w:pPr>
    </w:p>
    <w:p w:rsidR="0099267B" w:rsidRDefault="0099267B" w:rsidP="0099267B">
      <w:pPr>
        <w:spacing w:after="0" w:line="240" w:lineRule="auto"/>
        <w:rPr>
          <w:smallCaps/>
        </w:rPr>
      </w:pPr>
    </w:p>
    <w:p w:rsidR="001A3454" w:rsidRPr="008834ED" w:rsidRDefault="00B51CFD" w:rsidP="00345B7F">
      <w:pPr>
        <w:spacing w:after="0" w:line="240" w:lineRule="auto"/>
        <w:jc w:val="center"/>
        <w:rPr>
          <w:smallCaps/>
        </w:rPr>
      </w:pPr>
      <w:r w:rsidRPr="008834ED">
        <w:rPr>
          <w:smallCaps/>
        </w:rPr>
        <w:lastRenderedPageBreak/>
        <w:t xml:space="preserve">CAPITOLO </w:t>
      </w:r>
      <w:r w:rsidR="008834ED">
        <w:rPr>
          <w:smallCaps/>
        </w:rPr>
        <w:t>II</w:t>
      </w:r>
      <w:r w:rsidR="001A3454" w:rsidRPr="008834ED">
        <w:rPr>
          <w:smallCaps/>
        </w:rPr>
        <w:t xml:space="preserve"> </w:t>
      </w:r>
    </w:p>
    <w:p w:rsidR="006A144E" w:rsidRDefault="00B51CFD" w:rsidP="00345B7F">
      <w:pPr>
        <w:spacing w:after="0" w:line="240" w:lineRule="auto"/>
        <w:jc w:val="center"/>
        <w:rPr>
          <w:sz w:val="26"/>
          <w:szCs w:val="26"/>
        </w:rPr>
      </w:pPr>
      <w:r w:rsidRPr="008834ED">
        <w:rPr>
          <w:sz w:val="26"/>
          <w:szCs w:val="26"/>
        </w:rPr>
        <w:t xml:space="preserve">IL PRINCIPIO DELL’ATTRIBUZIONE ALLO STATO </w:t>
      </w:r>
    </w:p>
    <w:p w:rsidR="006A144E" w:rsidRDefault="00B51CFD" w:rsidP="006A144E">
      <w:pPr>
        <w:spacing w:after="0" w:line="240" w:lineRule="auto"/>
        <w:jc w:val="center"/>
        <w:rPr>
          <w:sz w:val="26"/>
          <w:szCs w:val="26"/>
        </w:rPr>
      </w:pPr>
      <w:r w:rsidRPr="008834ED">
        <w:rPr>
          <w:sz w:val="26"/>
          <w:szCs w:val="26"/>
        </w:rPr>
        <w:t xml:space="preserve">DEI FATTI </w:t>
      </w:r>
      <w:r w:rsidRPr="008834ED">
        <w:rPr>
          <w:i/>
          <w:sz w:val="26"/>
          <w:szCs w:val="26"/>
        </w:rPr>
        <w:t>ULTRA VIRES</w:t>
      </w:r>
      <w:r w:rsidRPr="008834ED">
        <w:rPr>
          <w:sz w:val="26"/>
          <w:szCs w:val="26"/>
        </w:rPr>
        <w:t xml:space="preserve"> DE</w:t>
      </w:r>
      <w:r w:rsidR="0002197E">
        <w:rPr>
          <w:sz w:val="26"/>
          <w:szCs w:val="26"/>
        </w:rPr>
        <w:t xml:space="preserve">I PROPRI ORGANI NELLA PRASSI E </w:t>
      </w:r>
    </w:p>
    <w:p w:rsidR="00B51CFD" w:rsidRPr="008834ED" w:rsidRDefault="00B51CFD" w:rsidP="006A144E">
      <w:pPr>
        <w:spacing w:after="0" w:line="240" w:lineRule="auto"/>
        <w:jc w:val="center"/>
        <w:rPr>
          <w:sz w:val="26"/>
          <w:szCs w:val="26"/>
        </w:rPr>
      </w:pPr>
      <w:r w:rsidRPr="008834ED">
        <w:rPr>
          <w:sz w:val="26"/>
          <w:szCs w:val="26"/>
        </w:rPr>
        <w:t>N</w:t>
      </w:r>
      <w:r w:rsidR="00DB3390" w:rsidRPr="008834ED">
        <w:rPr>
          <w:sz w:val="26"/>
          <w:szCs w:val="26"/>
        </w:rPr>
        <w:t xml:space="preserve">ELLA GIURISPRUDENZA </w:t>
      </w:r>
      <w:r w:rsidRPr="008834ED">
        <w:rPr>
          <w:sz w:val="26"/>
          <w:szCs w:val="26"/>
        </w:rPr>
        <w:t>INTE</w:t>
      </w:r>
      <w:r w:rsidR="00DB3390" w:rsidRPr="008834ED">
        <w:rPr>
          <w:sz w:val="26"/>
          <w:szCs w:val="26"/>
        </w:rPr>
        <w:t>RNAZIONALI</w:t>
      </w:r>
      <w:r w:rsidRPr="008834ED">
        <w:rPr>
          <w:sz w:val="26"/>
          <w:szCs w:val="26"/>
        </w:rPr>
        <w:t xml:space="preserve"> PIÚ ANTICHE</w:t>
      </w:r>
    </w:p>
    <w:p w:rsidR="003932A4" w:rsidRDefault="003932A4" w:rsidP="00345B7F">
      <w:pPr>
        <w:spacing w:after="0" w:line="240" w:lineRule="auto"/>
        <w:jc w:val="both"/>
      </w:pPr>
    </w:p>
    <w:p w:rsidR="001A3454" w:rsidRPr="00DB3390" w:rsidRDefault="001A3454" w:rsidP="006A144E">
      <w:pPr>
        <w:pStyle w:val="Paragrafoelenco"/>
        <w:numPr>
          <w:ilvl w:val="0"/>
          <w:numId w:val="12"/>
        </w:numPr>
        <w:tabs>
          <w:tab w:val="left" w:pos="7797"/>
        </w:tabs>
        <w:spacing w:after="0" w:line="240" w:lineRule="auto"/>
        <w:ind w:right="1331"/>
        <w:jc w:val="both"/>
      </w:pPr>
      <w:r w:rsidRPr="00DB3390">
        <w:t>Considerazioni introduttive circa l’individuazione della prassi e della giurisprudenza rilevanti</w:t>
      </w:r>
      <w:r w:rsidR="006A144E">
        <w:t xml:space="preserve"> </w:t>
      </w:r>
      <w:r w:rsidR="006A144E">
        <w:tab/>
        <w:t>43</w:t>
      </w:r>
    </w:p>
    <w:p w:rsidR="00EA6325" w:rsidRDefault="00EA6325" w:rsidP="00345B7F">
      <w:pPr>
        <w:spacing w:after="0" w:line="240" w:lineRule="auto"/>
        <w:jc w:val="both"/>
      </w:pPr>
    </w:p>
    <w:p w:rsidR="00B51CFD" w:rsidRPr="00180934" w:rsidRDefault="00180934" w:rsidP="00345B7F">
      <w:pPr>
        <w:spacing w:after="0" w:line="240" w:lineRule="auto"/>
        <w:jc w:val="center"/>
        <w:rPr>
          <w:i/>
        </w:rPr>
      </w:pPr>
      <w:r>
        <w:rPr>
          <w:i/>
        </w:rPr>
        <w:t>Sezione I</w:t>
      </w:r>
    </w:p>
    <w:p w:rsidR="006A144E" w:rsidRDefault="00B51CFD" w:rsidP="00345B7F">
      <w:pPr>
        <w:spacing w:after="0" w:line="240" w:lineRule="auto"/>
        <w:jc w:val="center"/>
      </w:pPr>
      <w:r w:rsidRPr="00180934">
        <w:t xml:space="preserve">L’INIZIALE MANCATO RICONOSCIMENTO DEL PRINCIPIO </w:t>
      </w:r>
    </w:p>
    <w:p w:rsidR="006A144E" w:rsidRDefault="00B51CFD" w:rsidP="006A144E">
      <w:pPr>
        <w:spacing w:after="0" w:line="240" w:lineRule="auto"/>
        <w:jc w:val="center"/>
      </w:pPr>
      <w:r w:rsidRPr="00180934">
        <w:t>DEL</w:t>
      </w:r>
      <w:r w:rsidR="006A144E">
        <w:t xml:space="preserve">L’ATTRIBUZIONE </w:t>
      </w:r>
      <w:r w:rsidR="00180934">
        <w:t xml:space="preserve">ALLO STATO DELLE </w:t>
      </w:r>
      <w:r w:rsidRPr="00180934">
        <w:t xml:space="preserve">CONDOTTE </w:t>
      </w:r>
    </w:p>
    <w:p w:rsidR="001A3454" w:rsidRPr="00180934" w:rsidRDefault="00B51CFD" w:rsidP="006A144E">
      <w:pPr>
        <w:spacing w:after="0" w:line="240" w:lineRule="auto"/>
        <w:jc w:val="center"/>
      </w:pPr>
      <w:r w:rsidRPr="00180934">
        <w:rPr>
          <w:i/>
        </w:rPr>
        <w:t>ULTRA VIRES</w:t>
      </w:r>
      <w:r w:rsidRPr="00180934">
        <w:t xml:space="preserve"> DEI PROPRI ORGANI</w:t>
      </w:r>
      <w:r w:rsidR="001A3454" w:rsidRPr="00180934">
        <w:t xml:space="preserve"> </w:t>
      </w:r>
    </w:p>
    <w:p w:rsidR="001A3454" w:rsidRDefault="001A3454" w:rsidP="00345B7F">
      <w:pPr>
        <w:spacing w:after="0" w:line="240" w:lineRule="auto"/>
        <w:jc w:val="both"/>
      </w:pPr>
    </w:p>
    <w:p w:rsidR="001A3454" w:rsidRDefault="001A3454" w:rsidP="00FA670D">
      <w:pPr>
        <w:pStyle w:val="Paragrafoelenco"/>
        <w:numPr>
          <w:ilvl w:val="0"/>
          <w:numId w:val="5"/>
        </w:numPr>
        <w:tabs>
          <w:tab w:val="left" w:pos="7797"/>
        </w:tabs>
        <w:spacing w:after="0" w:line="240" w:lineRule="auto"/>
        <w:jc w:val="both"/>
      </w:pPr>
      <w:r>
        <w:t>Considerazioni sulla prassi degli Stati nel diciannovesimo secolo</w:t>
      </w:r>
      <w:r w:rsidR="00FA670D">
        <w:t xml:space="preserve"> </w:t>
      </w:r>
      <w:r w:rsidR="00FA670D">
        <w:tab/>
        <w:t>46</w:t>
      </w:r>
    </w:p>
    <w:p w:rsidR="001A3454" w:rsidRDefault="001A3454" w:rsidP="00FA670D">
      <w:pPr>
        <w:pStyle w:val="Paragrafoelenco"/>
        <w:numPr>
          <w:ilvl w:val="0"/>
          <w:numId w:val="5"/>
        </w:numPr>
        <w:tabs>
          <w:tab w:val="left" w:pos="7797"/>
        </w:tabs>
        <w:spacing w:after="0" w:line="240" w:lineRule="auto"/>
        <w:jc w:val="both"/>
      </w:pPr>
      <w:r>
        <w:t>In particolare, la prassi degli Stati Uniti</w:t>
      </w:r>
      <w:r w:rsidR="00FA670D">
        <w:t xml:space="preserve"> </w:t>
      </w:r>
      <w:r w:rsidR="00FA670D">
        <w:tab/>
        <w:t>47</w:t>
      </w:r>
    </w:p>
    <w:p w:rsidR="001A3454" w:rsidRDefault="001A3454" w:rsidP="00FA670D">
      <w:pPr>
        <w:pStyle w:val="Paragrafoelenco"/>
        <w:numPr>
          <w:ilvl w:val="0"/>
          <w:numId w:val="5"/>
        </w:numPr>
        <w:tabs>
          <w:tab w:val="left" w:pos="7797"/>
        </w:tabs>
        <w:spacing w:after="0" w:line="240" w:lineRule="auto"/>
        <w:jc w:val="both"/>
      </w:pPr>
      <w:r>
        <w:t>Segue: la prassi degli Stati latinoamericani</w:t>
      </w:r>
      <w:r w:rsidR="00FA670D">
        <w:t xml:space="preserve"> </w:t>
      </w:r>
      <w:r w:rsidR="00FA670D">
        <w:tab/>
        <w:t>49</w:t>
      </w:r>
    </w:p>
    <w:p w:rsidR="001A3454" w:rsidRDefault="001A3454" w:rsidP="00FA670D">
      <w:pPr>
        <w:pStyle w:val="Paragrafoelenco"/>
        <w:numPr>
          <w:ilvl w:val="0"/>
          <w:numId w:val="5"/>
        </w:numPr>
        <w:tabs>
          <w:tab w:val="left" w:pos="7797"/>
        </w:tabs>
        <w:spacing w:after="0" w:line="240" w:lineRule="auto"/>
        <w:jc w:val="both"/>
      </w:pPr>
      <w:r>
        <w:t xml:space="preserve">La giurisprudenza arbitrale del diciannovesimo secolo </w:t>
      </w:r>
      <w:r w:rsidR="00FA670D">
        <w:tab/>
        <w:t>53</w:t>
      </w:r>
    </w:p>
    <w:p w:rsidR="001A3454" w:rsidRDefault="001A3454" w:rsidP="00FA670D">
      <w:pPr>
        <w:pStyle w:val="Paragrafoelenco"/>
        <w:numPr>
          <w:ilvl w:val="0"/>
          <w:numId w:val="5"/>
        </w:numPr>
        <w:tabs>
          <w:tab w:val="left" w:pos="7797"/>
        </w:tabs>
        <w:spacing w:after="0" w:line="240" w:lineRule="auto"/>
        <w:jc w:val="both"/>
      </w:pPr>
      <w:r>
        <w:t>Conclusioni circa la prassi e la giurisprudenza esaminate</w:t>
      </w:r>
      <w:r w:rsidR="00FA670D">
        <w:t xml:space="preserve"> </w:t>
      </w:r>
      <w:r w:rsidR="00FA670D">
        <w:tab/>
        <w:t>58</w:t>
      </w:r>
    </w:p>
    <w:p w:rsidR="004775CF" w:rsidRDefault="004775CF" w:rsidP="00345B7F">
      <w:pPr>
        <w:pStyle w:val="Paragrafoelenco"/>
        <w:spacing w:after="0" w:line="240" w:lineRule="auto"/>
        <w:ind w:left="360"/>
        <w:jc w:val="both"/>
      </w:pPr>
    </w:p>
    <w:p w:rsidR="00B51CFD" w:rsidRPr="006E5957" w:rsidRDefault="00B51CFD" w:rsidP="00345B7F">
      <w:pPr>
        <w:spacing w:after="0" w:line="240" w:lineRule="auto"/>
        <w:jc w:val="center"/>
        <w:rPr>
          <w:i/>
        </w:rPr>
      </w:pPr>
      <w:r w:rsidRPr="006E5957">
        <w:rPr>
          <w:i/>
        </w:rPr>
        <w:t xml:space="preserve">Sezione </w:t>
      </w:r>
      <w:r w:rsidR="006E5957">
        <w:rPr>
          <w:i/>
        </w:rPr>
        <w:t>II</w:t>
      </w:r>
    </w:p>
    <w:p w:rsidR="006E5957" w:rsidRDefault="001A3454" w:rsidP="00345B7F">
      <w:pPr>
        <w:spacing w:after="0" w:line="240" w:lineRule="auto"/>
        <w:jc w:val="center"/>
      </w:pPr>
      <w:r w:rsidRPr="006E5957">
        <w:t>L</w:t>
      </w:r>
      <w:r w:rsidR="00B51CFD" w:rsidRPr="006E5957">
        <w:t xml:space="preserve">A GRADUALE AFFERMAZIONE ED IL CONSOLIDAMENTO DEL PRINCIPIO </w:t>
      </w:r>
    </w:p>
    <w:p w:rsidR="00FA670D" w:rsidRDefault="00B51CFD" w:rsidP="00345B7F">
      <w:pPr>
        <w:spacing w:after="0" w:line="240" w:lineRule="auto"/>
        <w:jc w:val="center"/>
      </w:pPr>
      <w:r w:rsidRPr="006E5957">
        <w:t xml:space="preserve">DELL’ATTRIBUZIONE ALLO STATO DEI FATTI </w:t>
      </w:r>
      <w:r w:rsidRPr="006E5957">
        <w:rPr>
          <w:i/>
        </w:rPr>
        <w:t>ULTRA VIRES</w:t>
      </w:r>
      <w:r w:rsidRPr="006E5957">
        <w:t xml:space="preserve"> </w:t>
      </w:r>
    </w:p>
    <w:p w:rsidR="00B51CFD" w:rsidRPr="006E5957" w:rsidRDefault="00B51CFD" w:rsidP="00FA670D">
      <w:pPr>
        <w:spacing w:after="0" w:line="240" w:lineRule="auto"/>
        <w:jc w:val="center"/>
      </w:pPr>
      <w:r w:rsidRPr="006E5957">
        <w:t>DE</w:t>
      </w:r>
      <w:r w:rsidR="00DB3390" w:rsidRPr="006E5957">
        <w:t>I PROPRI ORGANI NELLA PRIMA METÁ</w:t>
      </w:r>
      <w:r w:rsidRPr="006E5957">
        <w:t xml:space="preserve"> DEL VENTESIMO SECOLO</w:t>
      </w:r>
    </w:p>
    <w:p w:rsidR="001A3454" w:rsidRDefault="001A3454" w:rsidP="00345B7F">
      <w:pPr>
        <w:spacing w:after="0" w:line="240" w:lineRule="auto"/>
        <w:jc w:val="both"/>
      </w:pPr>
    </w:p>
    <w:p w:rsidR="001A3454" w:rsidRDefault="001A3454" w:rsidP="00FA670D">
      <w:pPr>
        <w:pStyle w:val="Paragrafoelenco"/>
        <w:numPr>
          <w:ilvl w:val="0"/>
          <w:numId w:val="6"/>
        </w:numPr>
        <w:tabs>
          <w:tab w:val="left" w:pos="7797"/>
        </w:tabs>
        <w:spacing w:after="0" w:line="240" w:lineRule="auto"/>
        <w:ind w:right="1331"/>
        <w:jc w:val="both"/>
      </w:pPr>
      <w:r>
        <w:t>La prassi degli Stati Uniti</w:t>
      </w:r>
      <w:r w:rsidR="00FA670D">
        <w:t xml:space="preserve"> </w:t>
      </w:r>
      <w:r w:rsidR="00FA670D">
        <w:tab/>
        <w:t>60</w:t>
      </w:r>
    </w:p>
    <w:p w:rsidR="001A3454" w:rsidRDefault="001A3454" w:rsidP="00FA670D">
      <w:pPr>
        <w:pStyle w:val="Paragrafoelenco"/>
        <w:numPr>
          <w:ilvl w:val="0"/>
          <w:numId w:val="6"/>
        </w:numPr>
        <w:tabs>
          <w:tab w:val="left" w:pos="7797"/>
        </w:tabs>
        <w:spacing w:after="0" w:line="240" w:lineRule="auto"/>
        <w:ind w:right="1331"/>
        <w:jc w:val="both"/>
      </w:pPr>
      <w:r>
        <w:t>La prassi degli Stati latinoamericani</w:t>
      </w:r>
      <w:r w:rsidR="00FA670D">
        <w:t xml:space="preserve"> </w:t>
      </w:r>
      <w:r w:rsidR="00FA670D">
        <w:tab/>
        <w:t>65</w:t>
      </w:r>
    </w:p>
    <w:p w:rsidR="001A3454" w:rsidRDefault="001A3454" w:rsidP="00FA670D">
      <w:pPr>
        <w:pStyle w:val="Paragrafoelenco"/>
        <w:numPr>
          <w:ilvl w:val="0"/>
          <w:numId w:val="6"/>
        </w:numPr>
        <w:tabs>
          <w:tab w:val="left" w:pos="7797"/>
        </w:tabs>
        <w:spacing w:after="0" w:line="240" w:lineRule="auto"/>
        <w:ind w:right="1331"/>
        <w:jc w:val="both"/>
      </w:pPr>
      <w:r>
        <w:t>La prassi degli Stati europei</w:t>
      </w:r>
      <w:r w:rsidR="00FA670D">
        <w:t xml:space="preserve"> </w:t>
      </w:r>
      <w:r w:rsidR="00FA670D">
        <w:tab/>
        <w:t>65</w:t>
      </w:r>
    </w:p>
    <w:p w:rsidR="001A3454" w:rsidRDefault="001A3454" w:rsidP="00FA670D">
      <w:pPr>
        <w:pStyle w:val="Paragrafoelenco"/>
        <w:numPr>
          <w:ilvl w:val="0"/>
          <w:numId w:val="6"/>
        </w:numPr>
        <w:tabs>
          <w:tab w:val="left" w:pos="7797"/>
        </w:tabs>
        <w:spacing w:after="0" w:line="240" w:lineRule="auto"/>
        <w:ind w:right="1331"/>
        <w:jc w:val="both"/>
      </w:pPr>
      <w:r>
        <w:t xml:space="preserve">La giurisprudenza arbitrale dei primi anni del secolo: gli arbitrati nei casi venezuelani </w:t>
      </w:r>
      <w:r w:rsidR="00FA670D">
        <w:tab/>
        <w:t>70</w:t>
      </w:r>
    </w:p>
    <w:p w:rsidR="001A3454" w:rsidRDefault="001A3454" w:rsidP="00FA670D">
      <w:pPr>
        <w:pStyle w:val="Paragrafoelenco"/>
        <w:numPr>
          <w:ilvl w:val="0"/>
          <w:numId w:val="6"/>
        </w:numPr>
        <w:tabs>
          <w:tab w:val="left" w:pos="7797"/>
        </w:tabs>
        <w:spacing w:after="0" w:line="240" w:lineRule="auto"/>
        <w:ind w:right="1331"/>
        <w:jc w:val="both"/>
      </w:pPr>
      <w:r>
        <w:t xml:space="preserve">Segue: le sentenze nei casi </w:t>
      </w:r>
      <w:r>
        <w:rPr>
          <w:i/>
        </w:rPr>
        <w:t>La Masica</w:t>
      </w:r>
      <w:r>
        <w:t xml:space="preserve"> e </w:t>
      </w:r>
      <w:r>
        <w:rPr>
          <w:i/>
        </w:rPr>
        <w:t>The Coquitlam</w:t>
      </w:r>
      <w:r w:rsidR="00FA670D">
        <w:rPr>
          <w:i/>
        </w:rPr>
        <w:t xml:space="preserve"> </w:t>
      </w:r>
      <w:r w:rsidR="00FA670D">
        <w:rPr>
          <w:i/>
        </w:rPr>
        <w:tab/>
      </w:r>
      <w:r w:rsidR="00FA670D">
        <w:t>73</w:t>
      </w:r>
    </w:p>
    <w:p w:rsidR="001A3454" w:rsidRDefault="001A3454" w:rsidP="00FA670D">
      <w:pPr>
        <w:pStyle w:val="Paragrafoelenco"/>
        <w:numPr>
          <w:ilvl w:val="0"/>
          <w:numId w:val="6"/>
        </w:numPr>
        <w:tabs>
          <w:tab w:val="left" w:pos="7797"/>
        </w:tabs>
        <w:spacing w:after="0" w:line="240" w:lineRule="auto"/>
        <w:ind w:right="1331"/>
        <w:jc w:val="both"/>
      </w:pPr>
      <w:r>
        <w:t xml:space="preserve">La giurisprudenza degli anni venti: le sentenze della Commissione generale </w:t>
      </w:r>
      <w:r w:rsidR="002F6BF4">
        <w:t xml:space="preserve">dei reclami Stati Uniti/Messico </w:t>
      </w:r>
      <w:r>
        <w:t xml:space="preserve">nel caso </w:t>
      </w:r>
      <w:r>
        <w:rPr>
          <w:i/>
        </w:rPr>
        <w:t>Youmans</w:t>
      </w:r>
      <w:r>
        <w:t xml:space="preserve"> e della Comm</w:t>
      </w:r>
      <w:r w:rsidR="004509AD">
        <w:t>issione Francia/Messico nel cas</w:t>
      </w:r>
      <w:r>
        <w:t xml:space="preserve">o </w:t>
      </w:r>
      <w:r>
        <w:rPr>
          <w:i/>
        </w:rPr>
        <w:t>Caire</w:t>
      </w:r>
      <w:r w:rsidR="00FA670D">
        <w:t xml:space="preserve"> </w:t>
      </w:r>
      <w:r w:rsidR="00FA670D">
        <w:tab/>
        <w:t>74</w:t>
      </w:r>
    </w:p>
    <w:p w:rsidR="001A3454" w:rsidRDefault="001A3454" w:rsidP="00FA670D">
      <w:pPr>
        <w:pStyle w:val="Paragrafoelenco"/>
        <w:numPr>
          <w:ilvl w:val="0"/>
          <w:numId w:val="6"/>
        </w:numPr>
        <w:tabs>
          <w:tab w:val="left" w:pos="7797"/>
        </w:tabs>
        <w:spacing w:after="0" w:line="240" w:lineRule="auto"/>
        <w:ind w:right="1331"/>
        <w:jc w:val="both"/>
      </w:pPr>
      <w:r>
        <w:t>Le altre decisioni rese dalla Commissione generale dei reclami Stati Uniti/Messico tra il 1926 ed il 1930</w:t>
      </w:r>
      <w:r w:rsidR="00FA670D">
        <w:t xml:space="preserve"> </w:t>
      </w:r>
      <w:r w:rsidR="00FA670D">
        <w:tab/>
        <w:t>79</w:t>
      </w:r>
    </w:p>
    <w:p w:rsidR="001A3454" w:rsidRDefault="001A3454" w:rsidP="00FA670D">
      <w:pPr>
        <w:pStyle w:val="Paragrafoelenco"/>
        <w:numPr>
          <w:ilvl w:val="0"/>
          <w:numId w:val="6"/>
        </w:numPr>
        <w:tabs>
          <w:tab w:val="left" w:pos="7797"/>
        </w:tabs>
        <w:spacing w:after="0" w:line="240" w:lineRule="auto"/>
        <w:ind w:right="1331"/>
        <w:jc w:val="both"/>
      </w:pPr>
      <w:r>
        <w:t xml:space="preserve">Segue: la sentenza resa nel caso </w:t>
      </w:r>
      <w:r>
        <w:rPr>
          <w:i/>
        </w:rPr>
        <w:t>Stephens</w:t>
      </w:r>
      <w:r>
        <w:t>, un caso di responsabilità per comportamenti di organi di fatto che hanno agito contrariamente alle istruzioni ricevute</w:t>
      </w:r>
      <w:r w:rsidR="00FA670D">
        <w:t xml:space="preserve"> </w:t>
      </w:r>
      <w:r w:rsidR="00FA670D">
        <w:tab/>
        <w:t>83</w:t>
      </w:r>
    </w:p>
    <w:p w:rsidR="001A3454" w:rsidRDefault="001A3454" w:rsidP="00FA670D">
      <w:pPr>
        <w:pStyle w:val="Paragrafoelenco"/>
        <w:numPr>
          <w:ilvl w:val="0"/>
          <w:numId w:val="6"/>
        </w:numPr>
        <w:tabs>
          <w:tab w:val="left" w:pos="7797"/>
        </w:tabs>
        <w:spacing w:after="0" w:line="240" w:lineRule="auto"/>
        <w:ind w:right="1331"/>
        <w:jc w:val="both"/>
      </w:pPr>
      <w:r>
        <w:t>Sentenze rese da altre Commissioni arbitrali negli anni 1930/1950</w:t>
      </w:r>
      <w:r w:rsidR="00FA670D">
        <w:t xml:space="preserve"> </w:t>
      </w:r>
      <w:r w:rsidR="00FA670D">
        <w:tab/>
        <w:t>85</w:t>
      </w:r>
    </w:p>
    <w:p w:rsidR="001A3454" w:rsidRDefault="001A3454" w:rsidP="00FA670D">
      <w:pPr>
        <w:pStyle w:val="Paragrafoelenco"/>
        <w:numPr>
          <w:ilvl w:val="0"/>
          <w:numId w:val="6"/>
        </w:numPr>
        <w:tabs>
          <w:tab w:val="left" w:pos="7797"/>
        </w:tabs>
        <w:spacing w:after="0" w:line="240" w:lineRule="auto"/>
        <w:ind w:right="1331"/>
        <w:jc w:val="both"/>
      </w:pPr>
      <w:r>
        <w:t xml:space="preserve">Il parere reso dalla Corte internazionale di giustizia nel caso </w:t>
      </w:r>
      <w:r>
        <w:rPr>
          <w:i/>
        </w:rPr>
        <w:t>Certaines dépenses des Nations Unies</w:t>
      </w:r>
      <w:r w:rsidR="00FA670D">
        <w:rPr>
          <w:i/>
        </w:rPr>
        <w:t xml:space="preserve"> </w:t>
      </w:r>
      <w:r w:rsidR="00FA670D">
        <w:rPr>
          <w:i/>
        </w:rPr>
        <w:tab/>
      </w:r>
      <w:r w:rsidR="00FA670D" w:rsidRPr="00FA670D">
        <w:t>87</w:t>
      </w:r>
      <w:r w:rsidR="00FA670D">
        <w:rPr>
          <w:i/>
        </w:rPr>
        <w:t xml:space="preserve"> </w:t>
      </w:r>
    </w:p>
    <w:p w:rsidR="004775CF" w:rsidRDefault="004775CF" w:rsidP="00345B7F">
      <w:pPr>
        <w:spacing w:after="0" w:line="240" w:lineRule="auto"/>
        <w:ind w:left="360"/>
        <w:jc w:val="both"/>
      </w:pPr>
    </w:p>
    <w:p w:rsidR="00DB3390" w:rsidRPr="006E5957" w:rsidRDefault="00DB3390" w:rsidP="00345B7F">
      <w:pPr>
        <w:spacing w:after="0" w:line="240" w:lineRule="auto"/>
        <w:jc w:val="center"/>
        <w:rPr>
          <w:i/>
        </w:rPr>
      </w:pPr>
      <w:r w:rsidRPr="006E5957">
        <w:rPr>
          <w:i/>
        </w:rPr>
        <w:t xml:space="preserve">Sezione </w:t>
      </w:r>
      <w:r w:rsidR="006E5957">
        <w:rPr>
          <w:i/>
        </w:rPr>
        <w:t>III</w:t>
      </w:r>
    </w:p>
    <w:p w:rsidR="0099267B" w:rsidRDefault="001A3454" w:rsidP="0099267B">
      <w:pPr>
        <w:spacing w:after="0" w:line="240" w:lineRule="auto"/>
        <w:jc w:val="center"/>
      </w:pPr>
      <w:r w:rsidRPr="006E5957">
        <w:t>L</w:t>
      </w:r>
      <w:r w:rsidR="00DB3390" w:rsidRPr="006E5957">
        <w:t>A QUESTIONE DELLA RESPONSABILITÁ DELLO STATO</w:t>
      </w:r>
    </w:p>
    <w:p w:rsidR="0099267B" w:rsidRDefault="00DB3390" w:rsidP="0099267B">
      <w:pPr>
        <w:spacing w:after="0" w:line="240" w:lineRule="auto"/>
        <w:jc w:val="center"/>
      </w:pPr>
      <w:r w:rsidRPr="006E5957">
        <w:t xml:space="preserve">PER FATTI ILLECITI </w:t>
      </w:r>
      <w:r w:rsidRPr="006E5957">
        <w:rPr>
          <w:i/>
        </w:rPr>
        <w:t>ULTRA VIRES</w:t>
      </w:r>
      <w:r w:rsidR="0099267B">
        <w:t xml:space="preserve"> </w:t>
      </w:r>
      <w:r w:rsidRPr="006E5957">
        <w:t xml:space="preserve">NEI LAVORI DI CODIFICAZIONE </w:t>
      </w:r>
    </w:p>
    <w:p w:rsidR="0099267B" w:rsidRDefault="00DB3390" w:rsidP="0099267B">
      <w:pPr>
        <w:spacing w:after="0" w:line="240" w:lineRule="auto"/>
        <w:jc w:val="center"/>
      </w:pPr>
      <w:r w:rsidRPr="006E5957">
        <w:t>INTRAPRESI TRA IL 1926 ED IL 1930</w:t>
      </w:r>
      <w:r w:rsidR="0099267B">
        <w:t xml:space="preserve"> </w:t>
      </w:r>
      <w:r w:rsidRPr="006E5957">
        <w:t xml:space="preserve">SOTTO L’EGIDA </w:t>
      </w:r>
    </w:p>
    <w:p w:rsidR="00DB3390" w:rsidRPr="006E5957" w:rsidRDefault="00DB3390" w:rsidP="0099267B">
      <w:pPr>
        <w:spacing w:after="0" w:line="240" w:lineRule="auto"/>
        <w:jc w:val="center"/>
      </w:pPr>
      <w:r w:rsidRPr="006E5957">
        <w:t>DELLA SOCIETÁ DELLE NAZIONI</w:t>
      </w:r>
    </w:p>
    <w:p w:rsidR="001A3454" w:rsidRDefault="001A3454" w:rsidP="00345B7F">
      <w:pPr>
        <w:spacing w:after="0" w:line="240" w:lineRule="auto"/>
        <w:jc w:val="both"/>
      </w:pPr>
    </w:p>
    <w:p w:rsidR="001A3454" w:rsidRDefault="001A3454" w:rsidP="00FA670D">
      <w:pPr>
        <w:pStyle w:val="Paragrafoelenco"/>
        <w:numPr>
          <w:ilvl w:val="0"/>
          <w:numId w:val="13"/>
        </w:numPr>
        <w:tabs>
          <w:tab w:val="left" w:pos="7797"/>
        </w:tabs>
        <w:spacing w:after="0" w:line="240" w:lineRule="auto"/>
        <w:ind w:right="1331"/>
        <w:jc w:val="both"/>
      </w:pPr>
      <w:r>
        <w:t>Il rapporto del Sottocomitato del Comitato di esperti</w:t>
      </w:r>
      <w:r w:rsidR="00FA670D">
        <w:t xml:space="preserve"> </w:t>
      </w:r>
      <w:r w:rsidR="00FA670D">
        <w:tab/>
        <w:t>89</w:t>
      </w:r>
    </w:p>
    <w:p w:rsidR="006E5957" w:rsidRDefault="001A3454" w:rsidP="00FA670D">
      <w:pPr>
        <w:pStyle w:val="Paragrafoelenco"/>
        <w:numPr>
          <w:ilvl w:val="0"/>
          <w:numId w:val="13"/>
        </w:numPr>
        <w:tabs>
          <w:tab w:val="left" w:pos="7797"/>
        </w:tabs>
        <w:spacing w:after="0" w:line="240" w:lineRule="auto"/>
        <w:ind w:right="1331"/>
        <w:jc w:val="both"/>
      </w:pPr>
      <w:r>
        <w:lastRenderedPageBreak/>
        <w:t>Le risposte degli Stati ai punti V, n. 2 b) e 2 c) del questionario redatto dal Comitato di esperti</w:t>
      </w:r>
      <w:r w:rsidR="00FA670D">
        <w:t xml:space="preserve"> </w:t>
      </w:r>
      <w:r w:rsidR="00FA670D">
        <w:tab/>
        <w:t>91</w:t>
      </w:r>
    </w:p>
    <w:p w:rsidR="001A3454" w:rsidRDefault="001A3454" w:rsidP="00FA670D">
      <w:pPr>
        <w:pStyle w:val="Paragrafoelenco"/>
        <w:numPr>
          <w:ilvl w:val="1"/>
          <w:numId w:val="13"/>
        </w:numPr>
        <w:tabs>
          <w:tab w:val="left" w:pos="7797"/>
        </w:tabs>
        <w:spacing w:after="0" w:line="240" w:lineRule="auto"/>
        <w:ind w:right="1331"/>
        <w:jc w:val="both"/>
      </w:pPr>
      <w:r>
        <w:t>Le risposte negative</w:t>
      </w:r>
      <w:r w:rsidR="00FA670D">
        <w:t xml:space="preserve"> </w:t>
      </w:r>
      <w:r w:rsidR="00FA670D">
        <w:tab/>
        <w:t>91</w:t>
      </w:r>
    </w:p>
    <w:p w:rsidR="001A3454" w:rsidRDefault="00EB3AB5" w:rsidP="00FA670D">
      <w:pPr>
        <w:pStyle w:val="Paragrafoelenco"/>
        <w:numPr>
          <w:ilvl w:val="1"/>
          <w:numId w:val="13"/>
        </w:numPr>
        <w:tabs>
          <w:tab w:val="left" w:pos="7797"/>
        </w:tabs>
        <w:spacing w:after="0" w:line="240" w:lineRule="auto"/>
        <w:ind w:right="1331"/>
        <w:jc w:val="both"/>
      </w:pPr>
      <w:r>
        <w:t>Le risposte positive</w:t>
      </w:r>
      <w:r w:rsidR="00FA670D">
        <w:t xml:space="preserve"> </w:t>
      </w:r>
      <w:r w:rsidR="00FA670D">
        <w:tab/>
        <w:t>92</w:t>
      </w:r>
    </w:p>
    <w:p w:rsidR="001A3454" w:rsidRDefault="001A3454" w:rsidP="00FA670D">
      <w:pPr>
        <w:pStyle w:val="Paragrafoelenco"/>
        <w:numPr>
          <w:ilvl w:val="0"/>
          <w:numId w:val="13"/>
        </w:numPr>
        <w:tabs>
          <w:tab w:val="left" w:pos="7797"/>
        </w:tabs>
        <w:spacing w:after="0" w:line="240" w:lineRule="auto"/>
        <w:ind w:right="1331"/>
        <w:jc w:val="both"/>
      </w:pPr>
      <w:r>
        <w:t xml:space="preserve">La base di discussione </w:t>
      </w:r>
      <w:r w:rsidR="00574AB8">
        <w:t>N°</w:t>
      </w:r>
      <w:r>
        <w:t>13 elaborata dal Comitato preparatorio della Conferenza per la codificazione progressiva del diritto internazionale e le posizioni degli Stati nella Conferenza</w:t>
      </w:r>
      <w:r w:rsidR="00FA670D">
        <w:t xml:space="preserve"> </w:t>
      </w:r>
      <w:r w:rsidR="00FA670D">
        <w:tab/>
        <w:t>94</w:t>
      </w:r>
    </w:p>
    <w:p w:rsidR="006E5957" w:rsidRDefault="001A3454" w:rsidP="00FA670D">
      <w:pPr>
        <w:pStyle w:val="Paragrafoelenco"/>
        <w:numPr>
          <w:ilvl w:val="1"/>
          <w:numId w:val="13"/>
        </w:numPr>
        <w:tabs>
          <w:tab w:val="left" w:pos="7797"/>
        </w:tabs>
        <w:spacing w:after="0" w:line="240" w:lineRule="auto"/>
        <w:ind w:right="1331"/>
        <w:jc w:val="both"/>
      </w:pPr>
      <w:r>
        <w:t xml:space="preserve">Le posizioni critiche rispetto all’attribuzione allo Stato dei fatti </w:t>
      </w:r>
      <w:r w:rsidRPr="006E5957">
        <w:rPr>
          <w:i/>
        </w:rPr>
        <w:t>ultra vires</w:t>
      </w:r>
      <w:r w:rsidR="00FA670D">
        <w:rPr>
          <w:i/>
        </w:rPr>
        <w:t xml:space="preserve"> </w:t>
      </w:r>
      <w:r w:rsidR="00FA670D">
        <w:rPr>
          <w:i/>
        </w:rPr>
        <w:tab/>
      </w:r>
      <w:r w:rsidR="00FA670D">
        <w:t>95</w:t>
      </w:r>
    </w:p>
    <w:p w:rsidR="001A3454" w:rsidRDefault="001A3454" w:rsidP="00FA670D">
      <w:pPr>
        <w:pStyle w:val="Paragrafoelenco"/>
        <w:numPr>
          <w:ilvl w:val="1"/>
          <w:numId w:val="13"/>
        </w:numPr>
        <w:tabs>
          <w:tab w:val="left" w:pos="7797"/>
        </w:tabs>
        <w:spacing w:after="0" w:line="240" w:lineRule="auto"/>
        <w:ind w:right="1331"/>
        <w:jc w:val="both"/>
      </w:pPr>
      <w:r>
        <w:t xml:space="preserve">L’orientamento favorevole al principio dell’attribuzione dei fatti </w:t>
      </w:r>
      <w:r w:rsidRPr="006E5957">
        <w:rPr>
          <w:i/>
        </w:rPr>
        <w:t>ultra vires</w:t>
      </w:r>
      <w:r>
        <w:t xml:space="preserve"> accolto nella base di discussione N° 13</w:t>
      </w:r>
      <w:r w:rsidR="00FA670D">
        <w:t xml:space="preserve"> </w:t>
      </w:r>
      <w:r w:rsidR="00FA670D">
        <w:tab/>
        <w:t>98</w:t>
      </w:r>
    </w:p>
    <w:p w:rsidR="001A3454" w:rsidRDefault="001A3454" w:rsidP="00FA670D">
      <w:pPr>
        <w:pStyle w:val="Paragrafoelenco"/>
        <w:numPr>
          <w:ilvl w:val="1"/>
          <w:numId w:val="13"/>
        </w:numPr>
        <w:tabs>
          <w:tab w:val="left" w:pos="7797"/>
        </w:tabs>
        <w:spacing w:after="0" w:line="240" w:lineRule="auto"/>
        <w:ind w:right="1331"/>
        <w:jc w:val="both"/>
      </w:pPr>
      <w:r>
        <w:t xml:space="preserve"> L’emendamento proposto dalla delegazione svizzera</w:t>
      </w:r>
      <w:r w:rsidR="00FA670D">
        <w:t xml:space="preserve"> </w:t>
      </w:r>
      <w:r w:rsidR="00FA670D">
        <w:tab/>
        <w:t>101</w:t>
      </w:r>
    </w:p>
    <w:p w:rsidR="001A3454" w:rsidRDefault="001A3454" w:rsidP="00FA670D">
      <w:pPr>
        <w:pStyle w:val="Paragrafoelenco"/>
        <w:numPr>
          <w:ilvl w:val="1"/>
          <w:numId w:val="13"/>
        </w:numPr>
        <w:tabs>
          <w:tab w:val="left" w:pos="7797"/>
        </w:tabs>
        <w:spacing w:after="0" w:line="240" w:lineRule="auto"/>
        <w:ind w:right="1331"/>
        <w:jc w:val="both"/>
      </w:pPr>
      <w:r>
        <w:t>L’articolo 8, par. 2, al.1 adottato in prima lettura dalla Terza Commissione</w:t>
      </w:r>
      <w:r w:rsidR="00FA670D">
        <w:t xml:space="preserve"> </w:t>
      </w:r>
      <w:r w:rsidR="00FA670D">
        <w:tab/>
        <w:t>103</w:t>
      </w:r>
    </w:p>
    <w:p w:rsidR="001A3454" w:rsidRDefault="001A3454" w:rsidP="00FA670D">
      <w:pPr>
        <w:pStyle w:val="Paragrafoelenco"/>
        <w:numPr>
          <w:ilvl w:val="0"/>
          <w:numId w:val="13"/>
        </w:numPr>
        <w:tabs>
          <w:tab w:val="left" w:pos="7797"/>
        </w:tabs>
        <w:spacing w:after="0" w:line="240" w:lineRule="auto"/>
        <w:ind w:right="1331"/>
        <w:jc w:val="both"/>
      </w:pPr>
      <w:r>
        <w:t>Riflessioni conclusive circa  l’evoluzione della prassi internazionale</w:t>
      </w:r>
      <w:r w:rsidR="00FA670D">
        <w:t xml:space="preserve"> </w:t>
      </w:r>
      <w:r w:rsidR="00FA670D">
        <w:tab/>
        <w:t>104</w:t>
      </w:r>
    </w:p>
    <w:p w:rsidR="001A3454" w:rsidRDefault="001A3454" w:rsidP="00345B7F">
      <w:pPr>
        <w:spacing w:after="0" w:line="240" w:lineRule="auto"/>
        <w:jc w:val="both"/>
      </w:pPr>
    </w:p>
    <w:p w:rsidR="00345B7F" w:rsidRDefault="00345B7F" w:rsidP="00345B7F">
      <w:pPr>
        <w:spacing w:after="0" w:line="240" w:lineRule="auto"/>
        <w:jc w:val="both"/>
      </w:pPr>
    </w:p>
    <w:p w:rsidR="00DB3390" w:rsidRPr="00713CE2" w:rsidRDefault="001A3454" w:rsidP="00345B7F">
      <w:pPr>
        <w:spacing w:after="0" w:line="240" w:lineRule="auto"/>
        <w:jc w:val="center"/>
        <w:rPr>
          <w:smallCaps/>
        </w:rPr>
      </w:pPr>
      <w:r w:rsidRPr="00713CE2">
        <w:rPr>
          <w:smallCaps/>
        </w:rPr>
        <w:t>C</w:t>
      </w:r>
      <w:r w:rsidR="00DB3390" w:rsidRPr="00713CE2">
        <w:rPr>
          <w:smallCaps/>
        </w:rPr>
        <w:t xml:space="preserve">APITOLO </w:t>
      </w:r>
      <w:r w:rsidR="00713CE2" w:rsidRPr="00713CE2">
        <w:rPr>
          <w:smallCaps/>
        </w:rPr>
        <w:t>III</w:t>
      </w:r>
    </w:p>
    <w:p w:rsidR="00FA670D" w:rsidRDefault="00DB3390" w:rsidP="00345B7F">
      <w:pPr>
        <w:spacing w:after="0" w:line="240" w:lineRule="auto"/>
        <w:jc w:val="center"/>
        <w:rPr>
          <w:sz w:val="26"/>
          <w:szCs w:val="26"/>
        </w:rPr>
      </w:pPr>
      <w:r w:rsidRPr="0082338E">
        <w:rPr>
          <w:sz w:val="26"/>
          <w:szCs w:val="26"/>
        </w:rPr>
        <w:t xml:space="preserve">IL PRINCIPIO DELL’ATTRIBUZIONE ALLO STATO DEI FATTI </w:t>
      </w:r>
    </w:p>
    <w:p w:rsidR="00FA670D" w:rsidRDefault="00DB3390" w:rsidP="00345B7F">
      <w:pPr>
        <w:spacing w:after="0" w:line="240" w:lineRule="auto"/>
        <w:jc w:val="center"/>
        <w:rPr>
          <w:sz w:val="26"/>
          <w:szCs w:val="26"/>
        </w:rPr>
      </w:pPr>
      <w:r w:rsidRPr="00ED3004">
        <w:rPr>
          <w:i/>
          <w:sz w:val="26"/>
          <w:szCs w:val="26"/>
        </w:rPr>
        <w:t>ULTRA VIRES</w:t>
      </w:r>
      <w:r w:rsidRPr="0082338E">
        <w:rPr>
          <w:sz w:val="26"/>
          <w:szCs w:val="26"/>
        </w:rPr>
        <w:t xml:space="preserve"> DEI PROPRI ORGANI NELLA PRASSI E </w:t>
      </w:r>
    </w:p>
    <w:p w:rsidR="00DB3390" w:rsidRPr="0082338E" w:rsidRDefault="00DB3390" w:rsidP="00345B7F">
      <w:pPr>
        <w:spacing w:after="0" w:line="240" w:lineRule="auto"/>
        <w:jc w:val="center"/>
        <w:rPr>
          <w:sz w:val="26"/>
          <w:szCs w:val="26"/>
        </w:rPr>
      </w:pPr>
      <w:r w:rsidRPr="0082338E">
        <w:rPr>
          <w:sz w:val="26"/>
          <w:szCs w:val="26"/>
        </w:rPr>
        <w:t>NELLA GIURISPRUDENZA INTERNAZIONALI RECENTI</w:t>
      </w:r>
    </w:p>
    <w:p w:rsidR="009126A0" w:rsidRPr="0082338E" w:rsidRDefault="009126A0" w:rsidP="00345B7F">
      <w:pPr>
        <w:spacing w:after="0" w:line="240" w:lineRule="auto"/>
        <w:jc w:val="both"/>
      </w:pPr>
    </w:p>
    <w:p w:rsidR="00DB3390" w:rsidRPr="00713CE2" w:rsidRDefault="00713CE2" w:rsidP="00345B7F">
      <w:pPr>
        <w:spacing w:after="0" w:line="240" w:lineRule="auto"/>
        <w:jc w:val="center"/>
        <w:rPr>
          <w:i/>
        </w:rPr>
      </w:pPr>
      <w:r>
        <w:rPr>
          <w:i/>
        </w:rPr>
        <w:t>Sezione I</w:t>
      </w:r>
    </w:p>
    <w:p w:rsidR="0023424C" w:rsidRDefault="001A3454" w:rsidP="00345B7F">
      <w:pPr>
        <w:spacing w:after="0" w:line="240" w:lineRule="auto"/>
        <w:jc w:val="center"/>
      </w:pPr>
      <w:r w:rsidRPr="00713CE2">
        <w:t>L</w:t>
      </w:r>
      <w:r w:rsidR="00DB3390" w:rsidRPr="00713CE2">
        <w:t>A CODIFICAZIONE DEL PRINCIPIO DE</w:t>
      </w:r>
      <w:r w:rsidR="006D7353">
        <w:t xml:space="preserve">LL’ATTRIBUZIONE ALLO STATO </w:t>
      </w:r>
    </w:p>
    <w:p w:rsidR="0023424C" w:rsidRDefault="006D7353" w:rsidP="00345B7F">
      <w:pPr>
        <w:spacing w:after="0" w:line="240" w:lineRule="auto"/>
        <w:jc w:val="center"/>
      </w:pPr>
      <w:r>
        <w:t>DEI</w:t>
      </w:r>
      <w:r w:rsidR="00DB3390" w:rsidRPr="00713CE2">
        <w:t xml:space="preserve"> </w:t>
      </w:r>
      <w:r w:rsidR="0002197E">
        <w:t xml:space="preserve">FATTI </w:t>
      </w:r>
      <w:r w:rsidR="00DB3390" w:rsidRPr="00713CE2">
        <w:rPr>
          <w:i/>
        </w:rPr>
        <w:t>ULTRA VIRES</w:t>
      </w:r>
      <w:r w:rsidR="00DB3390" w:rsidRPr="00713CE2">
        <w:t xml:space="preserve"> DEI PROPRI ORGANI DA PARTE DELLA COMMISSIONE </w:t>
      </w:r>
    </w:p>
    <w:p w:rsidR="00DB3390" w:rsidRPr="00713CE2" w:rsidRDefault="00DB3390" w:rsidP="00345B7F">
      <w:pPr>
        <w:spacing w:after="0" w:line="240" w:lineRule="auto"/>
        <w:jc w:val="center"/>
      </w:pPr>
      <w:r w:rsidRPr="00713CE2">
        <w:t>DEL DIRITTO INTERNAZIONALE</w:t>
      </w:r>
    </w:p>
    <w:p w:rsidR="001A3454" w:rsidRDefault="001A3454" w:rsidP="00345B7F">
      <w:pPr>
        <w:spacing w:after="0" w:line="240" w:lineRule="auto"/>
        <w:jc w:val="center"/>
      </w:pPr>
    </w:p>
    <w:p w:rsidR="001A3454" w:rsidRDefault="001A3454" w:rsidP="00FA670D">
      <w:pPr>
        <w:pStyle w:val="Paragrafoelenco"/>
        <w:numPr>
          <w:ilvl w:val="0"/>
          <w:numId w:val="14"/>
        </w:numPr>
        <w:tabs>
          <w:tab w:val="left" w:pos="7797"/>
        </w:tabs>
        <w:spacing w:after="0" w:line="240" w:lineRule="auto"/>
        <w:ind w:right="1331"/>
        <w:jc w:val="both"/>
      </w:pPr>
      <w:r>
        <w:t xml:space="preserve">Il principio dell’attribuzione allo Stato dei fatti </w:t>
      </w:r>
      <w:r>
        <w:rPr>
          <w:i/>
        </w:rPr>
        <w:t>ultra vires</w:t>
      </w:r>
      <w:r>
        <w:t xml:space="preserve"> nei rapporti di Garc</w:t>
      </w:r>
      <w:r>
        <w:rPr>
          <w:rFonts w:cstheme="minorHAnsi"/>
        </w:rPr>
        <w:t>í</w:t>
      </w:r>
      <w:r>
        <w:t>a–Amador</w:t>
      </w:r>
      <w:r w:rsidR="00FA670D">
        <w:t xml:space="preserve"> </w:t>
      </w:r>
      <w:r w:rsidR="00FA670D">
        <w:tab/>
        <w:t>109</w:t>
      </w:r>
    </w:p>
    <w:p w:rsidR="001A3454" w:rsidRDefault="001A3454" w:rsidP="00FA670D">
      <w:pPr>
        <w:pStyle w:val="Paragrafoelenco"/>
        <w:numPr>
          <w:ilvl w:val="0"/>
          <w:numId w:val="14"/>
        </w:numPr>
        <w:tabs>
          <w:tab w:val="left" w:pos="7797"/>
        </w:tabs>
        <w:spacing w:after="0" w:line="240" w:lineRule="auto"/>
        <w:ind w:right="1331"/>
        <w:jc w:val="both"/>
      </w:pPr>
      <w:r>
        <w:t xml:space="preserve">La nozione di organo nel progetto di articoli adottato in prima lettura </w:t>
      </w:r>
      <w:r w:rsidR="00FA670D">
        <w:tab/>
        <w:t>112</w:t>
      </w:r>
    </w:p>
    <w:p w:rsidR="001A3454" w:rsidRDefault="001A3454" w:rsidP="00FA670D">
      <w:pPr>
        <w:pStyle w:val="Paragrafoelenco"/>
        <w:numPr>
          <w:ilvl w:val="0"/>
          <w:numId w:val="14"/>
        </w:numPr>
        <w:tabs>
          <w:tab w:val="left" w:pos="7797"/>
        </w:tabs>
        <w:spacing w:after="0" w:line="240" w:lineRule="auto"/>
        <w:ind w:right="1331"/>
        <w:jc w:val="both"/>
      </w:pPr>
      <w:r>
        <w:t xml:space="preserve">Il principio dell’attribuzione allo Stato dei fatti </w:t>
      </w:r>
      <w:r>
        <w:rPr>
          <w:i/>
        </w:rPr>
        <w:t>ultra vires</w:t>
      </w:r>
      <w:r>
        <w:t xml:space="preserve"> nel quarto rapporto di Ago</w:t>
      </w:r>
      <w:r w:rsidR="00FA670D">
        <w:t xml:space="preserve"> </w:t>
      </w:r>
      <w:r w:rsidR="00FA670D">
        <w:tab/>
        <w:t>116</w:t>
      </w:r>
    </w:p>
    <w:p w:rsidR="001A3454" w:rsidRDefault="001A3454" w:rsidP="00FA670D">
      <w:pPr>
        <w:pStyle w:val="Paragrafoelenco"/>
        <w:numPr>
          <w:ilvl w:val="0"/>
          <w:numId w:val="14"/>
        </w:numPr>
        <w:tabs>
          <w:tab w:val="left" w:pos="7797"/>
        </w:tabs>
        <w:spacing w:after="0" w:line="240" w:lineRule="auto"/>
        <w:ind w:right="1331"/>
        <w:jc w:val="both"/>
      </w:pPr>
      <w:r>
        <w:t>Il dibattito in seno alla Commissione circa l’art. 10 proposto dal relatore speciale e la sua approvazione</w:t>
      </w:r>
      <w:r w:rsidR="00FA670D">
        <w:t xml:space="preserve"> </w:t>
      </w:r>
      <w:r w:rsidR="00FA670D">
        <w:tab/>
        <w:t>121</w:t>
      </w:r>
    </w:p>
    <w:p w:rsidR="001A3454" w:rsidRDefault="001A3454" w:rsidP="008E1383">
      <w:pPr>
        <w:pStyle w:val="Paragrafoelenco"/>
        <w:numPr>
          <w:ilvl w:val="0"/>
          <w:numId w:val="14"/>
        </w:numPr>
        <w:tabs>
          <w:tab w:val="left" w:pos="7797"/>
        </w:tabs>
        <w:spacing w:after="0" w:line="240" w:lineRule="auto"/>
        <w:ind w:right="1331"/>
        <w:jc w:val="both"/>
      </w:pPr>
      <w:r>
        <w:t>Le prese di posizione degli St</w:t>
      </w:r>
      <w:r w:rsidR="00574AB8">
        <w:t>ati con riferimento all’art.</w:t>
      </w:r>
      <w:r>
        <w:t xml:space="preserve"> 10 adottato dalla Commissione</w:t>
      </w:r>
      <w:r w:rsidR="008E1383">
        <w:t xml:space="preserve"> </w:t>
      </w:r>
      <w:r w:rsidR="008E1383">
        <w:tab/>
        <w:t>125</w:t>
      </w:r>
    </w:p>
    <w:p w:rsidR="001A3454" w:rsidRDefault="001A3454" w:rsidP="008E1383">
      <w:pPr>
        <w:pStyle w:val="Paragrafoelenco"/>
        <w:numPr>
          <w:ilvl w:val="0"/>
          <w:numId w:val="14"/>
        </w:numPr>
        <w:tabs>
          <w:tab w:val="left" w:pos="7797"/>
        </w:tabs>
        <w:spacing w:after="0" w:line="240" w:lineRule="auto"/>
        <w:ind w:right="1331"/>
        <w:jc w:val="both"/>
      </w:pPr>
      <w:r>
        <w:t>L’ampliamento della nozione di organo nel progetto di articoli adottato in seconda lettura</w:t>
      </w:r>
      <w:r w:rsidR="008E1383">
        <w:t xml:space="preserve"> </w:t>
      </w:r>
      <w:r w:rsidR="008E1383">
        <w:tab/>
        <w:t>129</w:t>
      </w:r>
    </w:p>
    <w:p w:rsidR="001A3454" w:rsidRDefault="001A3454" w:rsidP="008E1383">
      <w:pPr>
        <w:pStyle w:val="Paragrafoelenco"/>
        <w:numPr>
          <w:ilvl w:val="0"/>
          <w:numId w:val="14"/>
        </w:numPr>
        <w:tabs>
          <w:tab w:val="left" w:pos="7797"/>
        </w:tabs>
        <w:spacing w:after="0" w:line="240" w:lineRule="auto"/>
        <w:ind w:right="1331"/>
        <w:jc w:val="both"/>
      </w:pPr>
      <w:r>
        <w:t xml:space="preserve">Il principio dell’attribuzione allo Stato dei fatti </w:t>
      </w:r>
      <w:r>
        <w:rPr>
          <w:i/>
        </w:rPr>
        <w:t>ultra vires</w:t>
      </w:r>
      <w:r>
        <w:t xml:space="preserve"> nel primo rapporto di Crawford </w:t>
      </w:r>
      <w:r w:rsidR="008E1383">
        <w:tab/>
        <w:t>133</w:t>
      </w:r>
    </w:p>
    <w:p w:rsidR="001A3454" w:rsidRDefault="001A3454" w:rsidP="008E1383">
      <w:pPr>
        <w:pStyle w:val="Paragrafoelenco"/>
        <w:numPr>
          <w:ilvl w:val="0"/>
          <w:numId w:val="14"/>
        </w:numPr>
        <w:tabs>
          <w:tab w:val="left" w:pos="7797"/>
        </w:tabs>
        <w:spacing w:after="0" w:line="240" w:lineRule="auto"/>
        <w:ind w:right="1331"/>
        <w:jc w:val="both"/>
      </w:pPr>
      <w:r>
        <w:t xml:space="preserve">L’art. 7 del progetto adottato in seconda lettura: elementi comuni e di distinzione rispetto all’art. 10 adottato in prima lettura </w:t>
      </w:r>
      <w:r w:rsidR="008E1383">
        <w:tab/>
        <w:t>134</w:t>
      </w:r>
    </w:p>
    <w:p w:rsidR="001A3454" w:rsidRDefault="001A3454" w:rsidP="00345B7F">
      <w:pPr>
        <w:pStyle w:val="Paragrafoelenco"/>
        <w:spacing w:after="0" w:line="240" w:lineRule="auto"/>
        <w:ind w:left="851"/>
        <w:jc w:val="both"/>
      </w:pPr>
    </w:p>
    <w:p w:rsidR="00DB3390" w:rsidRPr="00713CE2" w:rsidRDefault="00713CE2" w:rsidP="00345B7F">
      <w:pPr>
        <w:spacing w:after="0" w:line="240" w:lineRule="auto"/>
        <w:jc w:val="center"/>
        <w:rPr>
          <w:i/>
        </w:rPr>
      </w:pPr>
      <w:r w:rsidRPr="00713CE2">
        <w:rPr>
          <w:i/>
        </w:rPr>
        <w:t>Sezione II</w:t>
      </w:r>
    </w:p>
    <w:p w:rsidR="0023424C" w:rsidRDefault="001A3454" w:rsidP="00345B7F">
      <w:pPr>
        <w:spacing w:after="0" w:line="240" w:lineRule="auto"/>
        <w:jc w:val="center"/>
      </w:pPr>
      <w:r w:rsidRPr="00713CE2">
        <w:t>L</w:t>
      </w:r>
      <w:r w:rsidR="00DB3390" w:rsidRPr="00713CE2">
        <w:t xml:space="preserve">A PRASSI E LA GIURISPRUDENZA INTERNAZIONALE </w:t>
      </w:r>
    </w:p>
    <w:p w:rsidR="0023424C" w:rsidRDefault="00DB3390" w:rsidP="00345B7F">
      <w:pPr>
        <w:spacing w:after="0" w:line="240" w:lineRule="auto"/>
        <w:jc w:val="center"/>
      </w:pPr>
      <w:r w:rsidRPr="00713CE2">
        <w:t xml:space="preserve">CONTEMPORANEE E SUCCESSIVE AI LAVORI DI CODIFICAZIONE </w:t>
      </w:r>
    </w:p>
    <w:p w:rsidR="00DB3390" w:rsidRPr="00713CE2" w:rsidRDefault="00DB3390" w:rsidP="00345B7F">
      <w:pPr>
        <w:spacing w:after="0" w:line="240" w:lineRule="auto"/>
        <w:jc w:val="center"/>
      </w:pPr>
      <w:r w:rsidRPr="00713CE2">
        <w:t>DELLA COMMISSIONE DEL DIRITTO INTERNAZIONALE</w:t>
      </w:r>
    </w:p>
    <w:p w:rsidR="001A3454" w:rsidRDefault="001A3454" w:rsidP="008E1383">
      <w:pPr>
        <w:pStyle w:val="Paragrafoelenco"/>
        <w:numPr>
          <w:ilvl w:val="0"/>
          <w:numId w:val="15"/>
        </w:numPr>
        <w:tabs>
          <w:tab w:val="left" w:pos="7797"/>
        </w:tabs>
        <w:spacing w:after="0" w:line="240" w:lineRule="auto"/>
        <w:ind w:right="1331"/>
        <w:jc w:val="both"/>
      </w:pPr>
      <w:r>
        <w:t xml:space="preserve">Premessa </w:t>
      </w:r>
      <w:r w:rsidR="008E1383">
        <w:tab/>
        <w:t>136</w:t>
      </w:r>
    </w:p>
    <w:p w:rsidR="001A3454" w:rsidRDefault="001A3454" w:rsidP="008E1383">
      <w:pPr>
        <w:pStyle w:val="Paragrafoelenco"/>
        <w:numPr>
          <w:ilvl w:val="0"/>
          <w:numId w:val="15"/>
        </w:numPr>
        <w:tabs>
          <w:tab w:val="left" w:pos="7797"/>
        </w:tabs>
        <w:spacing w:after="0" w:line="240" w:lineRule="auto"/>
        <w:ind w:right="1331"/>
        <w:jc w:val="both"/>
      </w:pPr>
      <w:r>
        <w:t>La prassi degli Stati</w:t>
      </w:r>
      <w:r w:rsidR="008E1383">
        <w:t xml:space="preserve"> </w:t>
      </w:r>
      <w:r w:rsidR="008E1383">
        <w:tab/>
        <w:t>137</w:t>
      </w:r>
    </w:p>
    <w:p w:rsidR="001A3454" w:rsidRDefault="001A3454" w:rsidP="008E1383">
      <w:pPr>
        <w:pStyle w:val="Paragrafoelenco"/>
        <w:numPr>
          <w:ilvl w:val="0"/>
          <w:numId w:val="15"/>
        </w:numPr>
        <w:tabs>
          <w:tab w:val="left" w:pos="7797"/>
        </w:tabs>
        <w:spacing w:after="0" w:line="240" w:lineRule="auto"/>
        <w:ind w:right="1331"/>
        <w:jc w:val="both"/>
      </w:pPr>
      <w:r>
        <w:t>La giurisprudenza arbitrale</w:t>
      </w:r>
      <w:r w:rsidR="008E1383">
        <w:t xml:space="preserve"> </w:t>
      </w:r>
      <w:r w:rsidR="008E1383">
        <w:tab/>
        <w:t>145</w:t>
      </w:r>
    </w:p>
    <w:p w:rsidR="001A3454" w:rsidRDefault="001A3454" w:rsidP="008E1383">
      <w:pPr>
        <w:pStyle w:val="Paragrafoelenco"/>
        <w:numPr>
          <w:ilvl w:val="1"/>
          <w:numId w:val="15"/>
        </w:numPr>
        <w:tabs>
          <w:tab w:val="left" w:pos="1418"/>
          <w:tab w:val="left" w:pos="7797"/>
        </w:tabs>
        <w:spacing w:after="0" w:line="240" w:lineRule="auto"/>
        <w:ind w:left="851" w:right="1331" w:hanging="425"/>
        <w:jc w:val="both"/>
      </w:pPr>
      <w:r>
        <w:lastRenderedPageBreak/>
        <w:t>Le pronu</w:t>
      </w:r>
      <w:r w:rsidR="00574AB8">
        <w:t>nce rese dal Tribunale dei reclami</w:t>
      </w:r>
      <w:r>
        <w:t xml:space="preserve"> Iran/Stati Uniti</w:t>
      </w:r>
      <w:r w:rsidR="008E1383">
        <w:t xml:space="preserve"> </w:t>
      </w:r>
      <w:r w:rsidR="008E1383">
        <w:tab/>
        <w:t>145</w:t>
      </w:r>
    </w:p>
    <w:p w:rsidR="001A3454" w:rsidRDefault="001A3454" w:rsidP="008E1383">
      <w:pPr>
        <w:pStyle w:val="Paragrafoelenco"/>
        <w:numPr>
          <w:ilvl w:val="1"/>
          <w:numId w:val="15"/>
        </w:numPr>
        <w:tabs>
          <w:tab w:val="left" w:pos="1418"/>
          <w:tab w:val="left" w:pos="7797"/>
          <w:tab w:val="left" w:pos="8080"/>
        </w:tabs>
        <w:spacing w:after="0" w:line="240" w:lineRule="auto"/>
        <w:ind w:left="851" w:right="1331" w:hanging="425"/>
        <w:jc w:val="both"/>
      </w:pPr>
      <w:r>
        <w:t>Le sentenze rese da Tribunali arbitrali istituiti in ambito ICSID</w:t>
      </w:r>
      <w:r w:rsidR="006D3A6F">
        <w:t xml:space="preserve"> prima dell’adozione in seconda lettura del progetto di articoli della CDI</w:t>
      </w:r>
      <w:r w:rsidR="008E1383">
        <w:tab/>
        <w:t>149</w:t>
      </w:r>
    </w:p>
    <w:p w:rsidR="00C012D8" w:rsidRDefault="00C012D8" w:rsidP="008E1383">
      <w:pPr>
        <w:pStyle w:val="Paragrafoelenco"/>
        <w:numPr>
          <w:ilvl w:val="1"/>
          <w:numId w:val="15"/>
        </w:numPr>
        <w:tabs>
          <w:tab w:val="left" w:pos="1418"/>
          <w:tab w:val="left" w:pos="7797"/>
        </w:tabs>
        <w:spacing w:after="0" w:line="240" w:lineRule="auto"/>
        <w:ind w:left="851" w:right="1331" w:hanging="425"/>
        <w:jc w:val="both"/>
      </w:pPr>
      <w:r w:rsidRPr="00574AB8">
        <w:t>Segue:</w:t>
      </w:r>
      <w:r w:rsidR="00574AB8">
        <w:t xml:space="preserve"> l</w:t>
      </w:r>
      <w:r>
        <w:t>e sentenze rese successivamente all’adozione in seconda lettura del progetto di articoli della CDI</w:t>
      </w:r>
      <w:r w:rsidR="008E1383">
        <w:t xml:space="preserve"> </w:t>
      </w:r>
      <w:r w:rsidR="008E1383">
        <w:tab/>
        <w:t>155</w:t>
      </w:r>
    </w:p>
    <w:p w:rsidR="001A3454" w:rsidRDefault="001A3454" w:rsidP="008E1383">
      <w:pPr>
        <w:pStyle w:val="Paragrafoelenco"/>
        <w:numPr>
          <w:ilvl w:val="0"/>
          <w:numId w:val="15"/>
        </w:numPr>
        <w:tabs>
          <w:tab w:val="left" w:pos="7797"/>
        </w:tabs>
        <w:spacing w:after="0" w:line="240" w:lineRule="auto"/>
        <w:ind w:right="1331"/>
        <w:jc w:val="both"/>
      </w:pPr>
      <w:r>
        <w:t>La giurisprudenza in tema di tutela internazionale dei diritti dell’uomo</w:t>
      </w:r>
      <w:r w:rsidR="008E1383">
        <w:tab/>
        <w:t>161</w:t>
      </w:r>
    </w:p>
    <w:p w:rsidR="001A3454" w:rsidRPr="006705B8" w:rsidRDefault="001A3454" w:rsidP="008E1383">
      <w:pPr>
        <w:pStyle w:val="Paragrafoelenco"/>
        <w:numPr>
          <w:ilvl w:val="1"/>
          <w:numId w:val="15"/>
        </w:numPr>
        <w:tabs>
          <w:tab w:val="left" w:pos="7797"/>
        </w:tabs>
        <w:spacing w:after="0" w:line="240" w:lineRule="auto"/>
        <w:ind w:left="851" w:right="1331" w:hanging="425"/>
        <w:jc w:val="both"/>
      </w:pPr>
      <w:r w:rsidRPr="006705B8">
        <w:t xml:space="preserve">Le sentenze della Corte europea dei diritti dell’uomo </w:t>
      </w:r>
      <w:r w:rsidR="008E1383">
        <w:tab/>
        <w:t>161</w:t>
      </w:r>
    </w:p>
    <w:p w:rsidR="001A3454" w:rsidRDefault="001A3454" w:rsidP="008E1383">
      <w:pPr>
        <w:pStyle w:val="Testonotaapidipagina"/>
        <w:numPr>
          <w:ilvl w:val="2"/>
          <w:numId w:val="15"/>
        </w:numPr>
        <w:tabs>
          <w:tab w:val="left" w:pos="7797"/>
        </w:tabs>
        <w:ind w:left="1418" w:right="1331" w:hanging="567"/>
        <w:jc w:val="both"/>
        <w:rPr>
          <w:sz w:val="22"/>
          <w:szCs w:val="22"/>
        </w:rPr>
      </w:pPr>
      <w:r>
        <w:rPr>
          <w:sz w:val="22"/>
          <w:szCs w:val="22"/>
        </w:rPr>
        <w:t xml:space="preserve">La Corte </w:t>
      </w:r>
      <w:r w:rsidR="00574AB8">
        <w:rPr>
          <w:sz w:val="22"/>
          <w:szCs w:val="22"/>
        </w:rPr>
        <w:t>europea dei diritti dell’uomo: l</w:t>
      </w:r>
      <w:r>
        <w:rPr>
          <w:sz w:val="22"/>
          <w:szCs w:val="22"/>
        </w:rPr>
        <w:t xml:space="preserve">a sentenza resa nel caso </w:t>
      </w:r>
      <w:r>
        <w:rPr>
          <w:i/>
          <w:sz w:val="22"/>
          <w:szCs w:val="22"/>
        </w:rPr>
        <w:t xml:space="preserve">Irlanda </w:t>
      </w:r>
      <w:r w:rsidRPr="00F96C76">
        <w:rPr>
          <w:sz w:val="22"/>
          <w:szCs w:val="22"/>
        </w:rPr>
        <w:t>c.</w:t>
      </w:r>
      <w:r>
        <w:rPr>
          <w:i/>
          <w:sz w:val="22"/>
          <w:szCs w:val="22"/>
        </w:rPr>
        <w:t xml:space="preserve"> Regno Unito</w:t>
      </w:r>
      <w:r w:rsidR="008E1383">
        <w:rPr>
          <w:i/>
          <w:sz w:val="22"/>
          <w:szCs w:val="22"/>
        </w:rPr>
        <w:t xml:space="preserve"> </w:t>
      </w:r>
      <w:r w:rsidR="008E1383">
        <w:rPr>
          <w:i/>
          <w:sz w:val="22"/>
          <w:szCs w:val="22"/>
        </w:rPr>
        <w:tab/>
      </w:r>
      <w:r w:rsidR="008E1383">
        <w:rPr>
          <w:sz w:val="22"/>
          <w:szCs w:val="22"/>
        </w:rPr>
        <w:t>161</w:t>
      </w:r>
    </w:p>
    <w:p w:rsidR="001A3454" w:rsidRDefault="001A3454" w:rsidP="008E1383">
      <w:pPr>
        <w:pStyle w:val="Testonotaapidipagina"/>
        <w:numPr>
          <w:ilvl w:val="2"/>
          <w:numId w:val="15"/>
        </w:numPr>
        <w:tabs>
          <w:tab w:val="left" w:pos="7797"/>
        </w:tabs>
        <w:ind w:left="1418" w:right="1331" w:hanging="567"/>
        <w:jc w:val="both"/>
        <w:rPr>
          <w:sz w:val="22"/>
          <w:szCs w:val="22"/>
        </w:rPr>
      </w:pPr>
      <w:r>
        <w:rPr>
          <w:sz w:val="22"/>
          <w:szCs w:val="22"/>
        </w:rPr>
        <w:t xml:space="preserve">La sentenza </w:t>
      </w:r>
      <w:r>
        <w:rPr>
          <w:i/>
          <w:sz w:val="22"/>
          <w:szCs w:val="22"/>
        </w:rPr>
        <w:t xml:space="preserve">Assanidze </w:t>
      </w:r>
      <w:r w:rsidRPr="00F96C76">
        <w:rPr>
          <w:sz w:val="22"/>
          <w:szCs w:val="22"/>
        </w:rPr>
        <w:t>c.</w:t>
      </w:r>
      <w:r>
        <w:rPr>
          <w:i/>
          <w:sz w:val="22"/>
          <w:szCs w:val="22"/>
        </w:rPr>
        <w:t xml:space="preserve"> Georgia</w:t>
      </w:r>
      <w:r w:rsidR="008E1383">
        <w:rPr>
          <w:i/>
          <w:sz w:val="22"/>
          <w:szCs w:val="22"/>
        </w:rPr>
        <w:t xml:space="preserve"> </w:t>
      </w:r>
      <w:r w:rsidR="008E1383">
        <w:rPr>
          <w:i/>
          <w:sz w:val="22"/>
          <w:szCs w:val="22"/>
        </w:rPr>
        <w:tab/>
      </w:r>
      <w:r w:rsidR="008E1383">
        <w:rPr>
          <w:sz w:val="22"/>
          <w:szCs w:val="22"/>
        </w:rPr>
        <w:t>165</w:t>
      </w:r>
    </w:p>
    <w:p w:rsidR="001A3454" w:rsidRDefault="001A3454" w:rsidP="008E1383">
      <w:pPr>
        <w:pStyle w:val="Testonotaapidipagina"/>
        <w:numPr>
          <w:ilvl w:val="2"/>
          <w:numId w:val="15"/>
        </w:numPr>
        <w:tabs>
          <w:tab w:val="left" w:pos="7797"/>
        </w:tabs>
        <w:ind w:left="1418" w:right="1331" w:hanging="567"/>
        <w:jc w:val="both"/>
        <w:rPr>
          <w:sz w:val="22"/>
          <w:szCs w:val="22"/>
        </w:rPr>
      </w:pPr>
      <w:r>
        <w:rPr>
          <w:sz w:val="22"/>
          <w:szCs w:val="22"/>
        </w:rPr>
        <w:t xml:space="preserve">La sentenza </w:t>
      </w:r>
      <w:r>
        <w:rPr>
          <w:i/>
          <w:sz w:val="22"/>
          <w:szCs w:val="22"/>
        </w:rPr>
        <w:t xml:space="preserve">Ilascu e altri </w:t>
      </w:r>
      <w:r w:rsidRPr="00F96C76">
        <w:rPr>
          <w:sz w:val="22"/>
          <w:szCs w:val="22"/>
        </w:rPr>
        <w:t>c.</w:t>
      </w:r>
      <w:r>
        <w:rPr>
          <w:i/>
          <w:sz w:val="22"/>
          <w:szCs w:val="22"/>
        </w:rPr>
        <w:t xml:space="preserve"> Moldova e Russia</w:t>
      </w:r>
      <w:r w:rsidR="008E1383">
        <w:rPr>
          <w:i/>
          <w:sz w:val="22"/>
          <w:szCs w:val="22"/>
        </w:rPr>
        <w:t xml:space="preserve"> </w:t>
      </w:r>
      <w:r w:rsidR="008E1383">
        <w:rPr>
          <w:i/>
          <w:sz w:val="22"/>
          <w:szCs w:val="22"/>
        </w:rPr>
        <w:tab/>
      </w:r>
      <w:r w:rsidR="008E1383">
        <w:rPr>
          <w:sz w:val="22"/>
          <w:szCs w:val="22"/>
        </w:rPr>
        <w:t>166</w:t>
      </w:r>
    </w:p>
    <w:p w:rsidR="001A3454" w:rsidRDefault="00574AB8" w:rsidP="008E1383">
      <w:pPr>
        <w:pStyle w:val="Paragrafoelenco"/>
        <w:numPr>
          <w:ilvl w:val="1"/>
          <w:numId w:val="15"/>
        </w:numPr>
        <w:tabs>
          <w:tab w:val="left" w:pos="7797"/>
        </w:tabs>
        <w:spacing w:after="0" w:line="240" w:lineRule="auto"/>
        <w:ind w:left="851" w:right="1331" w:hanging="425"/>
        <w:jc w:val="both"/>
      </w:pPr>
      <w:r>
        <w:t>Le sentenze della Corte i</w:t>
      </w:r>
      <w:r w:rsidR="001A3454">
        <w:t xml:space="preserve">nteramericana dei diritti dell’uomo </w:t>
      </w:r>
      <w:r w:rsidR="008E1383">
        <w:tab/>
        <w:t>169</w:t>
      </w:r>
    </w:p>
    <w:p w:rsidR="001A3454" w:rsidRDefault="001D1B62" w:rsidP="008E1383">
      <w:pPr>
        <w:pStyle w:val="Paragrafoelenco"/>
        <w:numPr>
          <w:ilvl w:val="2"/>
          <w:numId w:val="15"/>
        </w:numPr>
        <w:tabs>
          <w:tab w:val="left" w:pos="7797"/>
        </w:tabs>
        <w:spacing w:after="0" w:line="240" w:lineRule="auto"/>
        <w:ind w:left="1418" w:right="1331" w:hanging="567"/>
        <w:jc w:val="both"/>
      </w:pPr>
      <w:r>
        <w:t>La sentenza resa nel caso</w:t>
      </w:r>
      <w:r w:rsidR="001A3454">
        <w:t xml:space="preserve"> </w:t>
      </w:r>
      <w:r w:rsidR="001A3454" w:rsidRPr="00713CE2">
        <w:rPr>
          <w:i/>
        </w:rPr>
        <w:t xml:space="preserve">Velásquez Rodríguez </w:t>
      </w:r>
      <w:r w:rsidR="008E1383">
        <w:rPr>
          <w:i/>
        </w:rPr>
        <w:tab/>
      </w:r>
      <w:r w:rsidR="008E1383">
        <w:t>169</w:t>
      </w:r>
    </w:p>
    <w:p w:rsidR="001A3454" w:rsidRDefault="001A3454" w:rsidP="008E1383">
      <w:pPr>
        <w:pStyle w:val="Paragrafoelenco"/>
        <w:numPr>
          <w:ilvl w:val="2"/>
          <w:numId w:val="15"/>
        </w:numPr>
        <w:tabs>
          <w:tab w:val="left" w:pos="7797"/>
        </w:tabs>
        <w:spacing w:after="0" w:line="240" w:lineRule="auto"/>
        <w:ind w:left="1418" w:right="1331" w:hanging="567"/>
        <w:jc w:val="both"/>
      </w:pPr>
      <w:r>
        <w:t xml:space="preserve">La sentenza resa nel caso </w:t>
      </w:r>
      <w:r w:rsidRPr="00713CE2">
        <w:rPr>
          <w:i/>
        </w:rPr>
        <w:t xml:space="preserve">Mapiripán Massacre </w:t>
      </w:r>
      <w:r w:rsidRPr="00F96C76">
        <w:t>c.</w:t>
      </w:r>
      <w:r w:rsidRPr="00713CE2">
        <w:rPr>
          <w:i/>
        </w:rPr>
        <w:t xml:space="preserve"> Colombia</w:t>
      </w:r>
      <w:r w:rsidR="008E1383">
        <w:rPr>
          <w:i/>
        </w:rPr>
        <w:tab/>
      </w:r>
      <w:r w:rsidR="008E1383">
        <w:t>171</w:t>
      </w:r>
    </w:p>
    <w:p w:rsidR="001A3454" w:rsidRDefault="001A3454" w:rsidP="008E1383">
      <w:pPr>
        <w:pStyle w:val="Paragrafoelenco"/>
        <w:numPr>
          <w:ilvl w:val="2"/>
          <w:numId w:val="15"/>
        </w:numPr>
        <w:tabs>
          <w:tab w:val="left" w:pos="7797"/>
        </w:tabs>
        <w:spacing w:after="0" w:line="240" w:lineRule="auto"/>
        <w:ind w:left="1418" w:right="1331" w:hanging="567"/>
        <w:jc w:val="both"/>
      </w:pPr>
      <w:r>
        <w:t xml:space="preserve">Altre sentenze della Corte interamericana in cui è stato enunciato il principio della responsabilità internazionale dello Stato per attività </w:t>
      </w:r>
      <w:r w:rsidRPr="00713CE2">
        <w:rPr>
          <w:i/>
        </w:rPr>
        <w:t xml:space="preserve">ultra vires </w:t>
      </w:r>
      <w:r>
        <w:t>dei propri organi</w:t>
      </w:r>
      <w:r w:rsidR="008E1383">
        <w:t xml:space="preserve"> </w:t>
      </w:r>
      <w:r w:rsidR="008E1383">
        <w:tab/>
        <w:t>176</w:t>
      </w:r>
    </w:p>
    <w:p w:rsidR="001A3454" w:rsidRDefault="009E2800" w:rsidP="008E1383">
      <w:pPr>
        <w:pStyle w:val="Paragrafoelenco"/>
        <w:numPr>
          <w:ilvl w:val="1"/>
          <w:numId w:val="15"/>
        </w:numPr>
        <w:tabs>
          <w:tab w:val="left" w:pos="7797"/>
        </w:tabs>
        <w:spacing w:after="0" w:line="240" w:lineRule="auto"/>
        <w:ind w:left="851" w:right="1331" w:hanging="425"/>
        <w:jc w:val="both"/>
      </w:pPr>
      <w:r>
        <w:t>L’orientamento</w:t>
      </w:r>
      <w:r w:rsidR="001A3454">
        <w:t xml:space="preserve"> del Comitato dei diritti umani</w:t>
      </w:r>
      <w:r w:rsidR="008E1383">
        <w:tab/>
        <w:t>178</w:t>
      </w:r>
    </w:p>
    <w:p w:rsidR="001A3454" w:rsidRDefault="001A3454" w:rsidP="008E1383">
      <w:pPr>
        <w:pStyle w:val="Paragrafoelenco"/>
        <w:numPr>
          <w:ilvl w:val="0"/>
          <w:numId w:val="15"/>
        </w:numPr>
        <w:tabs>
          <w:tab w:val="left" w:pos="7797"/>
        </w:tabs>
        <w:spacing w:after="0" w:line="240" w:lineRule="auto"/>
        <w:ind w:right="1331"/>
        <w:jc w:val="both"/>
      </w:pPr>
      <w:r>
        <w:t xml:space="preserve">La giurisprudenza del Tribunale penale internazionale per la </w:t>
      </w:r>
      <w:r w:rsidRPr="00F40D7D">
        <w:rPr>
          <w:i/>
        </w:rPr>
        <w:t>ex</w:t>
      </w:r>
      <w:r>
        <w:t>-Iugoslavia</w:t>
      </w:r>
      <w:r w:rsidR="008E1383">
        <w:tab/>
        <w:t>180</w:t>
      </w:r>
    </w:p>
    <w:p w:rsidR="001A3454" w:rsidRDefault="001A3454" w:rsidP="008E1383">
      <w:pPr>
        <w:pStyle w:val="Paragrafoelenco"/>
        <w:numPr>
          <w:ilvl w:val="0"/>
          <w:numId w:val="15"/>
        </w:numPr>
        <w:tabs>
          <w:tab w:val="left" w:pos="7797"/>
        </w:tabs>
        <w:spacing w:after="0" w:line="240" w:lineRule="auto"/>
        <w:ind w:right="1331"/>
        <w:jc w:val="both"/>
      </w:pPr>
      <w:r>
        <w:t xml:space="preserve">La giurisprudenza della Corte internazionale di giustizia </w:t>
      </w:r>
      <w:r w:rsidR="008E1383">
        <w:tab/>
        <w:t>185</w:t>
      </w:r>
    </w:p>
    <w:p w:rsidR="001A3454" w:rsidRPr="00AE3513" w:rsidRDefault="001A3454" w:rsidP="008E1383">
      <w:pPr>
        <w:pStyle w:val="Paragrafoelenco"/>
        <w:numPr>
          <w:ilvl w:val="1"/>
          <w:numId w:val="15"/>
        </w:numPr>
        <w:tabs>
          <w:tab w:val="left" w:pos="7797"/>
        </w:tabs>
        <w:spacing w:after="0" w:line="240" w:lineRule="auto"/>
        <w:ind w:left="851" w:right="1331" w:hanging="425"/>
        <w:jc w:val="both"/>
        <w:rPr>
          <w:i/>
        </w:rPr>
      </w:pPr>
      <w:r w:rsidRPr="00A21C31">
        <w:t>L</w:t>
      </w:r>
      <w:r w:rsidR="00446920">
        <w:t xml:space="preserve">a sentenza resa nel caso delle </w:t>
      </w:r>
      <w:r w:rsidRPr="00AE3513">
        <w:rPr>
          <w:i/>
        </w:rPr>
        <w:t>Attività m</w:t>
      </w:r>
      <w:r w:rsidR="00F00EBB" w:rsidRPr="00AE3513">
        <w:rPr>
          <w:i/>
        </w:rPr>
        <w:t>i</w:t>
      </w:r>
      <w:r w:rsidRPr="00AE3513">
        <w:rPr>
          <w:i/>
        </w:rPr>
        <w:t>litari e paramilitari in e contro il Nicaragua</w:t>
      </w:r>
      <w:r w:rsidR="008E1383">
        <w:rPr>
          <w:i/>
        </w:rPr>
        <w:t xml:space="preserve"> </w:t>
      </w:r>
      <w:r w:rsidR="008E1383">
        <w:rPr>
          <w:i/>
        </w:rPr>
        <w:tab/>
      </w:r>
      <w:r w:rsidR="008E1383">
        <w:t>185</w:t>
      </w:r>
    </w:p>
    <w:p w:rsidR="001A3454" w:rsidRPr="0002197E" w:rsidRDefault="001A3454" w:rsidP="008E1383">
      <w:pPr>
        <w:pStyle w:val="Paragrafoelenco"/>
        <w:numPr>
          <w:ilvl w:val="1"/>
          <w:numId w:val="15"/>
        </w:numPr>
        <w:tabs>
          <w:tab w:val="left" w:pos="7797"/>
        </w:tabs>
        <w:spacing w:after="0" w:line="240" w:lineRule="auto"/>
        <w:ind w:left="851" w:right="1331" w:hanging="425"/>
        <w:jc w:val="both"/>
      </w:pPr>
      <w:r w:rsidRPr="0002197E">
        <w:t>L</w:t>
      </w:r>
      <w:r w:rsidR="00AE3513">
        <w:t xml:space="preserve">a sentenza resa nel caso delle </w:t>
      </w:r>
      <w:r w:rsidR="00AE3513" w:rsidRPr="00AE3513">
        <w:rPr>
          <w:i/>
        </w:rPr>
        <w:t>A</w:t>
      </w:r>
      <w:r w:rsidRPr="00AE3513">
        <w:rPr>
          <w:i/>
        </w:rPr>
        <w:t>ttività militari sul territorio del Congo</w:t>
      </w:r>
      <w:r w:rsidR="008E1383">
        <w:rPr>
          <w:i/>
        </w:rPr>
        <w:t xml:space="preserve"> </w:t>
      </w:r>
      <w:r w:rsidR="008E1383">
        <w:rPr>
          <w:i/>
        </w:rPr>
        <w:tab/>
      </w:r>
      <w:r w:rsidR="008E1383" w:rsidRPr="008E1383">
        <w:t>188</w:t>
      </w:r>
    </w:p>
    <w:p w:rsidR="001A3454" w:rsidRDefault="001A3454" w:rsidP="008E1383">
      <w:pPr>
        <w:pStyle w:val="Paragrafoelenco"/>
        <w:numPr>
          <w:ilvl w:val="1"/>
          <w:numId w:val="15"/>
        </w:numPr>
        <w:tabs>
          <w:tab w:val="left" w:pos="7797"/>
        </w:tabs>
        <w:spacing w:after="0" w:line="240" w:lineRule="auto"/>
        <w:ind w:left="851" w:right="1331" w:hanging="425"/>
        <w:jc w:val="both"/>
      </w:pPr>
      <w:r w:rsidRPr="0002197E">
        <w:t>La</w:t>
      </w:r>
      <w:r>
        <w:t xml:space="preserve"> sentenza resa nel caso</w:t>
      </w:r>
      <w:r w:rsidRPr="00713CE2">
        <w:rPr>
          <w:i/>
        </w:rPr>
        <w:t xml:space="preserve"> </w:t>
      </w:r>
      <w:r>
        <w:t xml:space="preserve">della </w:t>
      </w:r>
      <w:r w:rsidR="0030536D">
        <w:rPr>
          <w:i/>
        </w:rPr>
        <w:t>A</w:t>
      </w:r>
      <w:r w:rsidRPr="00713CE2">
        <w:rPr>
          <w:i/>
        </w:rPr>
        <w:t>pplicazione della Convenzione sul genocidio</w:t>
      </w:r>
      <w:r w:rsidR="008E1383">
        <w:rPr>
          <w:i/>
        </w:rPr>
        <w:t xml:space="preserve"> </w:t>
      </w:r>
      <w:r w:rsidR="008E1383">
        <w:rPr>
          <w:i/>
        </w:rPr>
        <w:tab/>
      </w:r>
      <w:r w:rsidR="008E1383" w:rsidRPr="008E1383">
        <w:t>190</w:t>
      </w:r>
    </w:p>
    <w:p w:rsidR="001A3454" w:rsidRDefault="001A3454" w:rsidP="008E1383">
      <w:pPr>
        <w:pStyle w:val="Paragrafoelenco"/>
        <w:numPr>
          <w:ilvl w:val="0"/>
          <w:numId w:val="15"/>
        </w:numPr>
        <w:tabs>
          <w:tab w:val="left" w:pos="7797"/>
        </w:tabs>
        <w:spacing w:after="0" w:line="240" w:lineRule="auto"/>
        <w:ind w:right="1331"/>
      </w:pPr>
      <w:r>
        <w:t>Osservazioni sulla prassi e giurisprudenza recenti</w:t>
      </w:r>
      <w:r w:rsidR="008E1383">
        <w:t xml:space="preserve"> </w:t>
      </w:r>
      <w:r w:rsidR="008E1383">
        <w:tab/>
        <w:t>194</w:t>
      </w:r>
    </w:p>
    <w:p w:rsidR="004775CF" w:rsidRDefault="004775CF" w:rsidP="00345B7F">
      <w:pPr>
        <w:spacing w:after="0" w:line="240" w:lineRule="auto"/>
      </w:pPr>
    </w:p>
    <w:p w:rsidR="004775CF" w:rsidRDefault="004775CF" w:rsidP="00345B7F">
      <w:pPr>
        <w:spacing w:after="0" w:line="240" w:lineRule="auto"/>
      </w:pPr>
    </w:p>
    <w:p w:rsidR="00345B7F" w:rsidRDefault="0038314E" w:rsidP="00345B7F">
      <w:pPr>
        <w:spacing w:after="0" w:line="240" w:lineRule="auto"/>
        <w:jc w:val="center"/>
        <w:rPr>
          <w:smallCaps/>
        </w:rPr>
      </w:pPr>
      <w:r w:rsidRPr="00345B7F">
        <w:rPr>
          <w:smallCaps/>
        </w:rPr>
        <w:t>CONCLUSIONI</w:t>
      </w:r>
    </w:p>
    <w:p w:rsidR="00E96D51" w:rsidRPr="009126A0" w:rsidRDefault="00E96D51" w:rsidP="009126A0">
      <w:pPr>
        <w:spacing w:after="0" w:line="240" w:lineRule="auto"/>
        <w:jc w:val="both"/>
      </w:pPr>
    </w:p>
    <w:p w:rsidR="0038314E" w:rsidRDefault="0038314E" w:rsidP="008E1383">
      <w:pPr>
        <w:pStyle w:val="Paragrafoelenco"/>
        <w:numPr>
          <w:ilvl w:val="0"/>
          <w:numId w:val="16"/>
        </w:numPr>
        <w:tabs>
          <w:tab w:val="left" w:pos="7797"/>
        </w:tabs>
        <w:spacing w:after="0" w:line="240" w:lineRule="auto"/>
        <w:ind w:right="1331"/>
        <w:jc w:val="both"/>
      </w:pPr>
      <w:r>
        <w:t xml:space="preserve">Riepilogo dei risultati acquisiti </w:t>
      </w:r>
      <w:r w:rsidR="008E1383">
        <w:tab/>
        <w:t>200</w:t>
      </w:r>
    </w:p>
    <w:p w:rsidR="0038314E" w:rsidRPr="00C72E49" w:rsidRDefault="00C72E49" w:rsidP="008E1383">
      <w:pPr>
        <w:pStyle w:val="Paragrafoelenco"/>
        <w:numPr>
          <w:ilvl w:val="0"/>
          <w:numId w:val="16"/>
        </w:numPr>
        <w:tabs>
          <w:tab w:val="left" w:pos="7797"/>
        </w:tabs>
        <w:spacing w:after="0" w:line="240" w:lineRule="auto"/>
        <w:ind w:right="1331"/>
        <w:jc w:val="both"/>
      </w:pPr>
      <w:r>
        <w:t>Il principio della</w:t>
      </w:r>
      <w:r w:rsidR="00567DDD">
        <w:t xml:space="preserve"> responsabilità internazionale </w:t>
      </w:r>
      <w:r w:rsidR="0038314E">
        <w:t xml:space="preserve">dello Stato per i fatti illeciti </w:t>
      </w:r>
      <w:r w:rsidR="0038314E" w:rsidRPr="00345B7F">
        <w:rPr>
          <w:i/>
        </w:rPr>
        <w:t>ultra vires</w:t>
      </w:r>
      <w:r w:rsidR="0038314E">
        <w:t xml:space="preserve"> dei propri organi </w:t>
      </w:r>
      <w:r w:rsidR="00CC2223">
        <w:rPr>
          <w:i/>
        </w:rPr>
        <w:t>de i</w:t>
      </w:r>
      <w:r w:rsidR="0038314E" w:rsidRPr="00345B7F">
        <w:rPr>
          <w:i/>
        </w:rPr>
        <w:t>ure</w:t>
      </w:r>
      <w:r w:rsidR="00395497">
        <w:t>: responsabilità per fatto proprio o responsabilità oggettiva?</w:t>
      </w:r>
      <w:r w:rsidR="008E1383">
        <w:rPr>
          <w:i/>
        </w:rPr>
        <w:tab/>
      </w:r>
      <w:r w:rsidR="008E1383">
        <w:t>203</w:t>
      </w:r>
    </w:p>
    <w:p w:rsidR="00C72E49" w:rsidRPr="00B475CB" w:rsidRDefault="00A83C39" w:rsidP="008E1383">
      <w:pPr>
        <w:pStyle w:val="Paragrafoelenco"/>
        <w:numPr>
          <w:ilvl w:val="0"/>
          <w:numId w:val="16"/>
        </w:numPr>
        <w:tabs>
          <w:tab w:val="left" w:pos="7797"/>
        </w:tabs>
        <w:spacing w:after="0" w:line="240" w:lineRule="auto"/>
        <w:ind w:right="1331"/>
        <w:jc w:val="both"/>
      </w:pPr>
      <w:r w:rsidRPr="00B475CB">
        <w:t xml:space="preserve">Prospettive </w:t>
      </w:r>
      <w:r w:rsidRPr="00B475CB">
        <w:rPr>
          <w:i/>
        </w:rPr>
        <w:t xml:space="preserve">de iure condito </w:t>
      </w:r>
      <w:r w:rsidRPr="00B475CB">
        <w:t xml:space="preserve">e </w:t>
      </w:r>
      <w:r w:rsidRPr="00B475CB">
        <w:rPr>
          <w:i/>
        </w:rPr>
        <w:t>de iure condendo</w:t>
      </w:r>
      <w:r w:rsidRPr="00B475CB">
        <w:t>: i l</w:t>
      </w:r>
      <w:r w:rsidR="00C72E49" w:rsidRPr="00B475CB">
        <w:t>imiti del</w:t>
      </w:r>
      <w:r w:rsidRPr="00B475CB">
        <w:t>la regola che impone di attribuire allo Stato i</w:t>
      </w:r>
      <w:r w:rsidR="00C72E49" w:rsidRPr="00B475CB">
        <w:t xml:space="preserve"> fatti </w:t>
      </w:r>
      <w:r w:rsidR="00C72E49" w:rsidRPr="00B475CB">
        <w:rPr>
          <w:i/>
        </w:rPr>
        <w:t>ultra vires</w:t>
      </w:r>
      <w:r w:rsidR="00C72E49" w:rsidRPr="00B475CB">
        <w:t xml:space="preserve"> </w:t>
      </w:r>
      <w:r w:rsidRPr="00B475CB">
        <w:t xml:space="preserve">dei propri organi </w:t>
      </w:r>
      <w:r w:rsidR="008E1383">
        <w:tab/>
        <w:t>206</w:t>
      </w:r>
    </w:p>
    <w:p w:rsidR="009B0D3B" w:rsidRDefault="009B0D3B" w:rsidP="008E1383">
      <w:pPr>
        <w:pStyle w:val="Paragrafoelenco"/>
        <w:numPr>
          <w:ilvl w:val="0"/>
          <w:numId w:val="16"/>
        </w:numPr>
        <w:tabs>
          <w:tab w:val="left" w:pos="7797"/>
        </w:tabs>
        <w:spacing w:after="0" w:line="240" w:lineRule="auto"/>
        <w:ind w:right="1331"/>
        <w:jc w:val="both"/>
      </w:pPr>
      <w:r>
        <w:t xml:space="preserve">La responsabilità internazionale dello Stato per i fatti illeciti </w:t>
      </w:r>
      <w:r w:rsidRPr="00345B7F">
        <w:rPr>
          <w:i/>
        </w:rPr>
        <w:t>ultra vires</w:t>
      </w:r>
      <w:r>
        <w:t xml:space="preserve"> dei propri organi di fatto</w:t>
      </w:r>
      <w:r w:rsidR="008E1383">
        <w:t xml:space="preserve"> </w:t>
      </w:r>
      <w:r w:rsidR="008E1383">
        <w:tab/>
        <w:t>213</w:t>
      </w:r>
    </w:p>
    <w:p w:rsidR="0038314E" w:rsidRDefault="0038314E" w:rsidP="00345B7F">
      <w:pPr>
        <w:spacing w:after="0" w:line="240" w:lineRule="auto"/>
      </w:pPr>
    </w:p>
    <w:p w:rsidR="00174640" w:rsidRDefault="00174640" w:rsidP="00345B7F">
      <w:pPr>
        <w:spacing w:after="0" w:line="240" w:lineRule="auto"/>
      </w:pPr>
    </w:p>
    <w:p w:rsidR="00174640" w:rsidRPr="00EC73B2" w:rsidRDefault="00174640" w:rsidP="00EC73B2">
      <w:pPr>
        <w:tabs>
          <w:tab w:val="left" w:pos="7797"/>
        </w:tabs>
        <w:spacing w:after="0" w:line="240" w:lineRule="auto"/>
        <w:jc w:val="both"/>
      </w:pPr>
      <w:r>
        <w:rPr>
          <w:i/>
        </w:rPr>
        <w:t>Indice dei casi citati</w:t>
      </w:r>
      <w:r w:rsidR="00EC73B2">
        <w:rPr>
          <w:i/>
        </w:rPr>
        <w:t xml:space="preserve"> </w:t>
      </w:r>
      <w:r w:rsidR="00EC73B2">
        <w:rPr>
          <w:i/>
        </w:rPr>
        <w:tab/>
      </w:r>
      <w:r w:rsidR="00EC73B2">
        <w:t>218</w:t>
      </w:r>
    </w:p>
    <w:p w:rsidR="00174640" w:rsidRDefault="00174640" w:rsidP="00345B7F">
      <w:pPr>
        <w:spacing w:after="0" w:line="240" w:lineRule="auto"/>
        <w:jc w:val="both"/>
        <w:rPr>
          <w:i/>
        </w:rPr>
      </w:pPr>
    </w:p>
    <w:p w:rsidR="001A3454" w:rsidRPr="00EC73B2" w:rsidRDefault="001A3454" w:rsidP="00EC73B2">
      <w:pPr>
        <w:tabs>
          <w:tab w:val="left" w:pos="7797"/>
        </w:tabs>
        <w:spacing w:after="0" w:line="240" w:lineRule="auto"/>
        <w:jc w:val="both"/>
      </w:pPr>
      <w:r w:rsidRPr="00345B7F">
        <w:rPr>
          <w:i/>
        </w:rPr>
        <w:t>Bibliografia</w:t>
      </w:r>
      <w:r w:rsidR="00EC73B2">
        <w:rPr>
          <w:i/>
        </w:rPr>
        <w:t xml:space="preserve"> </w:t>
      </w:r>
      <w:r w:rsidR="00EC73B2">
        <w:rPr>
          <w:i/>
        </w:rPr>
        <w:tab/>
      </w:r>
      <w:r w:rsidR="00EC73B2">
        <w:t>224</w:t>
      </w:r>
    </w:p>
    <w:p w:rsidR="001A3454" w:rsidRDefault="001A3454" w:rsidP="001A3454">
      <w:pPr>
        <w:jc w:val="center"/>
        <w:rPr>
          <w:b/>
        </w:rPr>
      </w:pPr>
    </w:p>
    <w:p w:rsidR="00345B7F" w:rsidRDefault="00345B7F" w:rsidP="004C2ECE">
      <w:pPr>
        <w:spacing w:after="0"/>
      </w:pPr>
    </w:p>
    <w:p w:rsidR="00381A3B" w:rsidRDefault="00345B7F" w:rsidP="00345B7F">
      <w:r>
        <w:br w:type="page"/>
      </w:r>
    </w:p>
    <w:p w:rsidR="0039471B" w:rsidRDefault="0039471B" w:rsidP="0039471B">
      <w:pPr>
        <w:jc w:val="center"/>
        <w:rPr>
          <w:smallCaps/>
        </w:rPr>
      </w:pPr>
      <w:r w:rsidRPr="00C7024F">
        <w:rPr>
          <w:smallCaps/>
        </w:rPr>
        <w:lastRenderedPageBreak/>
        <w:t>Premessa</w:t>
      </w:r>
    </w:p>
    <w:p w:rsidR="0039471B" w:rsidRDefault="0039471B" w:rsidP="0039471B">
      <w:pPr>
        <w:jc w:val="center"/>
        <w:rPr>
          <w:smallCaps/>
        </w:rPr>
      </w:pPr>
    </w:p>
    <w:p w:rsidR="00540000" w:rsidRDefault="0039471B" w:rsidP="00E56263">
      <w:pPr>
        <w:spacing w:after="0" w:line="360" w:lineRule="auto"/>
        <w:ind w:firstLine="284"/>
        <w:jc w:val="both"/>
      </w:pPr>
      <w:r w:rsidRPr="00C7024F">
        <w:t xml:space="preserve">La presente ricerca prende in esame </w:t>
      </w:r>
      <w:r>
        <w:t xml:space="preserve">il problema dei fatti illeciti </w:t>
      </w:r>
      <w:r w:rsidRPr="00AB3F2A">
        <w:rPr>
          <w:i/>
        </w:rPr>
        <w:t>ultra vires</w:t>
      </w:r>
      <w:r>
        <w:t xml:space="preserve"> degli organi statali al fine di accertare se lo Stato sia tenuto a rispondere internazionalmente delle condotte illecite non autorizzate tenute dai propri organi nell’esercizio delle funzioni ufficiali, in quanto fatti ad esso attribuibili nell’ordinamento internazionale. </w:t>
      </w:r>
    </w:p>
    <w:p w:rsidR="006A75BD" w:rsidRDefault="00323CFA" w:rsidP="006A75BD">
      <w:pPr>
        <w:spacing w:after="0" w:line="360" w:lineRule="auto"/>
        <w:ind w:firstLine="284"/>
        <w:jc w:val="both"/>
      </w:pPr>
      <w:r>
        <w:t xml:space="preserve">È un principio ampliamente accolto che </w:t>
      </w:r>
      <w:r w:rsidR="008B0BB6">
        <w:t xml:space="preserve">i comportamenti degli organi statali </w:t>
      </w:r>
      <w:r w:rsidR="00AA0E13">
        <w:t>devono considerarsi fatti dello Stat</w:t>
      </w:r>
      <w:r w:rsidR="008B0BB6">
        <w:t>o quale soggetto internazionale</w:t>
      </w:r>
      <w:r w:rsidR="00AA0E13">
        <w:t xml:space="preserve">, </w:t>
      </w:r>
      <w:r>
        <w:t xml:space="preserve">non essendo invece ad esso </w:t>
      </w:r>
      <w:r w:rsidR="008B0BB6">
        <w:t>riferibili le condotte</w:t>
      </w:r>
      <w:r>
        <w:t xml:space="preserve"> di privati</w:t>
      </w:r>
      <w:r w:rsidR="008B0BB6">
        <w:t>. Gli organi statali, o</w:t>
      </w:r>
      <w:r>
        <w:t xml:space="preserve">ltre a poter </w:t>
      </w:r>
      <w:r w:rsidR="008B0BB6">
        <w:t xml:space="preserve">tenere condotte in conformità </w:t>
      </w:r>
      <w:r>
        <w:t>alla propria competenza e comportamenti a titolo privato, possono tenere nell’esercizio delle proprie funzioni ufficiali</w:t>
      </w:r>
      <w:r w:rsidR="00E56263">
        <w:t xml:space="preserve"> anche</w:t>
      </w:r>
      <w:r>
        <w:t xml:space="preserve"> delle condotte non autorizzate.</w:t>
      </w:r>
      <w:r w:rsidR="00F17047" w:rsidRPr="00F17047">
        <w:t xml:space="preserve"> </w:t>
      </w:r>
      <w:r w:rsidR="00F17047" w:rsidRPr="00770D67">
        <w:t>Nel caso in cui un indi</w:t>
      </w:r>
      <w:r w:rsidR="00F17047">
        <w:t>viduo-organo adotti</w:t>
      </w:r>
      <w:r w:rsidR="00F17047" w:rsidRPr="00770D67">
        <w:t xml:space="preserve"> un comportamento </w:t>
      </w:r>
      <w:r w:rsidR="00F17047" w:rsidRPr="00770D67">
        <w:rPr>
          <w:i/>
        </w:rPr>
        <w:t>ultra vires</w:t>
      </w:r>
      <w:r w:rsidR="00F17047" w:rsidRPr="00770D67">
        <w:t xml:space="preserve"> si è in presenza di una condotta tenuta nell’esercizio </w:t>
      </w:r>
      <w:r w:rsidR="00F17047">
        <w:t>delle proprie funzioni</w:t>
      </w:r>
      <w:r w:rsidR="00F17047" w:rsidRPr="00770D67">
        <w:t>, la cui adozione è però avvenuta nel mancato rispetto dell’ordinamento dello Stato di cui è parte.</w:t>
      </w:r>
      <w:r w:rsidR="00F17047">
        <w:t xml:space="preserve"> Si tratta in sostanza di una situazione intermedia rispetto agli estremi rappresentati, da una parte, dai comportamenti adottati dagli organi in conformità alla propria competenza e, dall’altra, dalle condotte </w:t>
      </w:r>
      <w:r w:rsidR="003E6A3C">
        <w:t xml:space="preserve">da essi </w:t>
      </w:r>
      <w:r w:rsidR="00F17047">
        <w:t>tenute nella propria capacità privata</w:t>
      </w:r>
      <w:r w:rsidR="003E6A3C">
        <w:t>.</w:t>
      </w:r>
      <w:r w:rsidR="00E56263">
        <w:t xml:space="preserve"> </w:t>
      </w:r>
    </w:p>
    <w:p w:rsidR="00F17047" w:rsidRDefault="00E56263" w:rsidP="006A75BD">
      <w:pPr>
        <w:spacing w:after="0" w:line="360" w:lineRule="auto"/>
        <w:ind w:firstLine="284"/>
        <w:jc w:val="both"/>
      </w:pPr>
      <w:r>
        <w:t xml:space="preserve">Lo scopo della presente ricerca è, in altri termini, quello di </w:t>
      </w:r>
      <w:r w:rsidR="00F17047">
        <w:t xml:space="preserve">verificare se, ogniqualvolta un organo </w:t>
      </w:r>
      <w:r>
        <w:t xml:space="preserve">statale </w:t>
      </w:r>
      <w:r w:rsidR="00F17047">
        <w:t xml:space="preserve">commette un </w:t>
      </w:r>
      <w:r w:rsidR="00A00B64">
        <w:t xml:space="preserve">fatto </w:t>
      </w:r>
      <w:r w:rsidR="00F17047">
        <w:t xml:space="preserve">illecito internazionale adottando </w:t>
      </w:r>
      <w:r w:rsidR="00F17047">
        <w:rPr>
          <w:i/>
        </w:rPr>
        <w:t>ex qualitate</w:t>
      </w:r>
      <w:r w:rsidR="00F17047" w:rsidRPr="003A0FED">
        <w:rPr>
          <w:i/>
        </w:rPr>
        <w:t xml:space="preserve"> </w:t>
      </w:r>
      <w:r w:rsidR="00F17047">
        <w:t xml:space="preserve">un comportamento in violazione </w:t>
      </w:r>
      <w:r w:rsidR="00F17047">
        <w:rPr>
          <w:rFonts w:cstheme="minorHAnsi"/>
        </w:rPr>
        <w:t>della propria competenza o delle istruzioni ricevute,</w:t>
      </w:r>
      <w:r w:rsidR="00F17047" w:rsidRPr="005C64C8">
        <w:rPr>
          <w:rFonts w:cstheme="minorHAnsi"/>
        </w:rPr>
        <w:t xml:space="preserve"> </w:t>
      </w:r>
      <w:r w:rsidR="00F17047">
        <w:t>si possa egualmente parlare di fatto dello Stat</w:t>
      </w:r>
      <w:r>
        <w:t>o quale soggetto internazionale</w:t>
      </w:r>
      <w:r w:rsidR="00554E3F">
        <w:t xml:space="preserve"> oppure </w:t>
      </w:r>
      <w:r>
        <w:t xml:space="preserve">si è in presenza di </w:t>
      </w:r>
      <w:r w:rsidR="00554E3F">
        <w:t xml:space="preserve">condotte </w:t>
      </w:r>
      <w:r w:rsidR="002F2FB1">
        <w:t>assimilabili a</w:t>
      </w:r>
      <w:r w:rsidR="00554E3F">
        <w:t xml:space="preserve"> quelle tenute da semplici privati.</w:t>
      </w:r>
    </w:p>
    <w:p w:rsidR="0039471B" w:rsidRDefault="00B800E2" w:rsidP="00B800E2">
      <w:pPr>
        <w:spacing w:after="0" w:line="360" w:lineRule="auto"/>
        <w:ind w:firstLine="284"/>
        <w:jc w:val="both"/>
      </w:pPr>
      <w:r>
        <w:t xml:space="preserve">Il problema dell’attribuzione di fatti </w:t>
      </w:r>
      <w:r w:rsidRPr="00B800E2">
        <w:rPr>
          <w:i/>
        </w:rPr>
        <w:t>ultra vires</w:t>
      </w:r>
      <w:r>
        <w:t xml:space="preserve"> allo Stato ai fini della responsabilità internazionale è tradizionalmente posto soltanto con riferimento ad individui o enti che hanno la  qualità di organi in base al diritto interno. </w:t>
      </w:r>
      <w:r>
        <w:rPr>
          <w:rFonts w:cstheme="minorHAnsi"/>
        </w:rPr>
        <w:t xml:space="preserve">La presente </w:t>
      </w:r>
      <w:r w:rsidR="0039471B" w:rsidRPr="00B96170">
        <w:rPr>
          <w:rFonts w:cstheme="minorHAnsi"/>
        </w:rPr>
        <w:t xml:space="preserve">indagine si </w:t>
      </w:r>
      <w:r w:rsidR="0039471B" w:rsidRPr="00FE4D25">
        <w:rPr>
          <w:rFonts w:cstheme="minorHAnsi"/>
        </w:rPr>
        <w:t xml:space="preserve">colloca </w:t>
      </w:r>
      <w:r>
        <w:rPr>
          <w:rFonts w:cstheme="minorHAnsi"/>
        </w:rPr>
        <w:t xml:space="preserve">invece </w:t>
      </w:r>
      <w:r w:rsidR="0039471B" w:rsidRPr="00FE4D25">
        <w:rPr>
          <w:rFonts w:cstheme="minorHAnsi"/>
        </w:rPr>
        <w:t xml:space="preserve">nella prospettiva di esaminare se il problema </w:t>
      </w:r>
      <w:r w:rsidR="00453D24">
        <w:rPr>
          <w:rFonts w:cstheme="minorHAnsi"/>
        </w:rPr>
        <w:t xml:space="preserve">della responsabilità internazionale dello Stato per </w:t>
      </w:r>
      <w:r w:rsidR="0039471B" w:rsidRPr="00FE4D25">
        <w:rPr>
          <w:rFonts w:cstheme="minorHAnsi"/>
        </w:rPr>
        <w:t xml:space="preserve">i fatti </w:t>
      </w:r>
      <w:r w:rsidR="00453D24">
        <w:rPr>
          <w:rFonts w:cstheme="minorHAnsi"/>
        </w:rPr>
        <w:t xml:space="preserve">illeciti </w:t>
      </w:r>
      <w:r w:rsidR="0039471B" w:rsidRPr="00FE4D25">
        <w:rPr>
          <w:rFonts w:cstheme="minorHAnsi"/>
          <w:i/>
        </w:rPr>
        <w:t>ultra vires</w:t>
      </w:r>
      <w:r w:rsidR="002A4B42">
        <w:rPr>
          <w:rFonts w:cstheme="minorHAnsi"/>
        </w:rPr>
        <w:t xml:space="preserve"> si </w:t>
      </w:r>
      <w:r w:rsidR="0039471B" w:rsidRPr="00FE4D25">
        <w:rPr>
          <w:rFonts w:cstheme="minorHAnsi"/>
        </w:rPr>
        <w:t>estende anche a coloro che sono integrati nell’apparato statale sulla base di elementi fat</w:t>
      </w:r>
      <w:r w:rsidR="0039471B">
        <w:rPr>
          <w:rFonts w:cstheme="minorHAnsi"/>
        </w:rPr>
        <w:t xml:space="preserve">tuali. </w:t>
      </w:r>
      <w:r w:rsidR="0039471B">
        <w:t>In linea di principio, infatti, regole di attribuzione analoghe a quelle</w:t>
      </w:r>
      <w:r w:rsidR="0039471B" w:rsidRPr="004639A6">
        <w:rPr>
          <w:rFonts w:cstheme="minorHAnsi"/>
        </w:rPr>
        <w:t xml:space="preserve"> che si fondano sulla qualità</w:t>
      </w:r>
      <w:r w:rsidR="0039471B">
        <w:rPr>
          <w:rFonts w:cstheme="minorHAnsi"/>
        </w:rPr>
        <w:t xml:space="preserve"> formale di organo di un individuo agente</w:t>
      </w:r>
      <w:r w:rsidR="0039471B">
        <w:t xml:space="preserve"> potrebbero ritenersi applicabili anche con riferimento ad individui non formalmente integrati all’interno dell’apparato statale, sulla base del fatto che la determinazione delle co</w:t>
      </w:r>
      <w:r w:rsidR="0039471B" w:rsidRPr="004639A6">
        <w:t xml:space="preserve">mpetenze assegnate può essere condotta mediante un rinvio ai vari elementi di fatto che attestano </w:t>
      </w:r>
      <w:r w:rsidR="0039471B">
        <w:t xml:space="preserve">un </w:t>
      </w:r>
      <w:r w:rsidR="0039471B" w:rsidRPr="004639A6">
        <w:t>legame con lo Stato</w:t>
      </w:r>
      <w:r w:rsidR="0039471B">
        <w:t>.</w:t>
      </w:r>
    </w:p>
    <w:p w:rsidR="0039471B" w:rsidRDefault="0039471B" w:rsidP="00D3395F">
      <w:pPr>
        <w:autoSpaceDE w:val="0"/>
        <w:autoSpaceDN w:val="0"/>
        <w:adjustRightInd w:val="0"/>
        <w:spacing w:after="0" w:line="360" w:lineRule="auto"/>
        <w:ind w:firstLine="709"/>
        <w:jc w:val="both"/>
        <w:rPr>
          <w:rFonts w:cstheme="minorHAnsi"/>
        </w:rPr>
      </w:pPr>
      <w:r w:rsidRPr="004639A6">
        <w:rPr>
          <w:rFonts w:cstheme="minorHAnsi"/>
        </w:rPr>
        <w:lastRenderedPageBreak/>
        <w:t xml:space="preserve">La dimostrazione della validità di questa ipotesi di lavoro </w:t>
      </w:r>
      <w:r>
        <w:rPr>
          <w:rFonts w:cstheme="minorHAnsi"/>
        </w:rPr>
        <w:t xml:space="preserve">avverrà </w:t>
      </w:r>
      <w:r w:rsidRPr="004639A6">
        <w:rPr>
          <w:rFonts w:cstheme="minorHAnsi"/>
        </w:rPr>
        <w:t xml:space="preserve">attraverso la soluzione di </w:t>
      </w:r>
      <w:r>
        <w:rPr>
          <w:rFonts w:cstheme="minorHAnsi"/>
        </w:rPr>
        <w:t xml:space="preserve">due </w:t>
      </w:r>
      <w:r w:rsidRPr="004639A6">
        <w:rPr>
          <w:rFonts w:cstheme="minorHAnsi"/>
        </w:rPr>
        <w:t xml:space="preserve">distinte questioni: da una parte si tratta di stabilire se trova effettivamente riscontro nella prassi internazionale un principio che riconosce la responsabilità internazionale dello Stato per i fatti illeciti </w:t>
      </w:r>
      <w:r w:rsidRPr="004639A6">
        <w:rPr>
          <w:rFonts w:cstheme="minorHAnsi"/>
          <w:i/>
        </w:rPr>
        <w:t xml:space="preserve">ultra vires </w:t>
      </w:r>
      <w:r w:rsidRPr="004639A6">
        <w:rPr>
          <w:rFonts w:cstheme="minorHAnsi"/>
        </w:rPr>
        <w:t xml:space="preserve">di individui o enti che </w:t>
      </w:r>
      <w:r>
        <w:rPr>
          <w:rFonts w:cstheme="minorHAnsi"/>
        </w:rPr>
        <w:t xml:space="preserve">godono dello </w:t>
      </w:r>
      <w:r w:rsidRPr="001C210A">
        <w:rPr>
          <w:rFonts w:cstheme="minorHAnsi"/>
          <w:i/>
        </w:rPr>
        <w:t>status</w:t>
      </w:r>
      <w:r>
        <w:rPr>
          <w:rFonts w:cstheme="minorHAnsi"/>
        </w:rPr>
        <w:t xml:space="preserve"> organico in base all’ordinamento statale </w:t>
      </w:r>
      <w:r w:rsidRPr="004639A6">
        <w:rPr>
          <w:rFonts w:cstheme="minorHAnsi"/>
        </w:rPr>
        <w:t xml:space="preserve">e, in caso positivo, quali siano i criteri </w:t>
      </w:r>
      <w:r>
        <w:rPr>
          <w:rFonts w:cstheme="minorHAnsi"/>
        </w:rPr>
        <w:t xml:space="preserve">alla luce dei </w:t>
      </w:r>
      <w:r w:rsidRPr="004639A6">
        <w:rPr>
          <w:rFonts w:cstheme="minorHAnsi"/>
        </w:rPr>
        <w:t xml:space="preserve">quali una condotta non autorizzata di un organo deve reputarsi un fatto statale nell’ordinamento internazionale e in quali </w:t>
      </w:r>
      <w:r w:rsidRPr="00F14FF9">
        <w:rPr>
          <w:rFonts w:cstheme="minorHAnsi"/>
        </w:rPr>
        <w:t xml:space="preserve">circostanze, viceversa, deve essere assimilata ad un comportamento di un semplice privato; dall’altra si vuole invece determinare se, alla luce delle soluzioni preconizzate dalla prassi internazionale, il medesimo criterio attributivo trovi applicazione anche </w:t>
      </w:r>
      <w:r w:rsidRPr="00F14FF9">
        <w:t>con riferimento ad individui non formalmente integrati al</w:t>
      </w:r>
      <w:r w:rsidR="00B232E3">
        <w:t>l’interno dell’apparato dello Stato.</w:t>
      </w:r>
    </w:p>
    <w:p w:rsidR="0039471B" w:rsidRPr="00E57F08" w:rsidRDefault="0039471B" w:rsidP="00D3395F">
      <w:pPr>
        <w:spacing w:after="0" w:line="360" w:lineRule="auto"/>
        <w:ind w:firstLine="709"/>
        <w:jc w:val="both"/>
      </w:pPr>
      <w:r>
        <w:t xml:space="preserve">Per meglio chiarire il contesto entro cui si colloca la questione dell’attribuzione allo Stato dei fatti </w:t>
      </w:r>
      <w:r w:rsidRPr="00DB36B6">
        <w:rPr>
          <w:i/>
        </w:rPr>
        <w:t>ultra vires</w:t>
      </w:r>
      <w:r>
        <w:t xml:space="preserve">, si è ritenuto opportuno </w:t>
      </w:r>
      <w:r w:rsidR="00B232E3">
        <w:t xml:space="preserve">in prima battuta </w:t>
      </w:r>
      <w:r>
        <w:t>considerare il dibattito dottrinale intorno al fenomeno dell’attribuzione avendo cura di mettere in rilievo il ruolo svolto dal diritto interno al fine della riferibilità di una condotta allo Stato quale soggetto internazionale. Egualmente funzionale alla successiva trattazione della possibilità di riferire allo Stato in ambito internazionale una condotta non autorizzata dei propri organi, è stata reputata anche la trattazione dei differenti approcci seguiti in dottrina con</w:t>
      </w:r>
      <w:r w:rsidR="005D49CD">
        <w:t xml:space="preserve"> specifico </w:t>
      </w:r>
      <w:r>
        <w:t xml:space="preserve"> riferimento alla </w:t>
      </w:r>
      <w:r w:rsidR="00C12EC3">
        <w:t xml:space="preserve">problematica </w:t>
      </w:r>
      <w:r w:rsidR="005D49CD">
        <w:t>in esame.</w:t>
      </w:r>
    </w:p>
    <w:p w:rsidR="006A75BD" w:rsidRDefault="0039471B" w:rsidP="006A75BD">
      <w:pPr>
        <w:spacing w:after="0" w:line="360" w:lineRule="auto"/>
        <w:ind w:firstLine="709"/>
        <w:jc w:val="both"/>
      </w:pPr>
      <w:r>
        <w:rPr>
          <w:rFonts w:cstheme="minorHAnsi"/>
        </w:rPr>
        <w:t xml:space="preserve">L’indagine circa la responsabilità internazionale dello Stato per i fatti illeciti </w:t>
      </w:r>
      <w:r w:rsidRPr="000A2C6C">
        <w:rPr>
          <w:rFonts w:cstheme="minorHAnsi"/>
          <w:i/>
        </w:rPr>
        <w:t>ultra vires</w:t>
      </w:r>
      <w:r>
        <w:rPr>
          <w:rFonts w:cstheme="minorHAnsi"/>
        </w:rPr>
        <w:t xml:space="preserve"> sarà condotta attraverso lo studio dei dati ricavabili dalla prassi internazionale</w:t>
      </w:r>
      <w:r w:rsidR="00253730">
        <w:rPr>
          <w:rFonts w:cstheme="minorHAnsi"/>
        </w:rPr>
        <w:t xml:space="preserve"> e sarà divisa in due</w:t>
      </w:r>
      <w:r w:rsidR="00B232E3">
        <w:rPr>
          <w:rFonts w:cstheme="minorHAnsi"/>
        </w:rPr>
        <w:t xml:space="preserve"> parti. </w:t>
      </w:r>
      <w:r>
        <w:rPr>
          <w:rFonts w:cstheme="minorHAnsi"/>
        </w:rPr>
        <w:t xml:space="preserve">Seguendo un criterio cronologico, la prima sarà dedicata all’analisi della prassi internazionale anteriore ai lavori di codificazione della Commissione del diritto internazionale al fine di evidenziare le diverse tappe che hanno portato dal rigetto al progressivo riconoscimento del principio della responsabilità allo Stato dei fatti </w:t>
      </w:r>
      <w:r w:rsidRPr="00F266B4">
        <w:rPr>
          <w:rFonts w:cstheme="minorHAnsi"/>
          <w:i/>
        </w:rPr>
        <w:t>ultra vires</w:t>
      </w:r>
      <w:r>
        <w:rPr>
          <w:rFonts w:cstheme="minorHAnsi"/>
        </w:rPr>
        <w:t xml:space="preserve"> dei propri organi, avendo cura di considerare le condizioni in funzione delle quali una condotta </w:t>
      </w:r>
      <w:r w:rsidRPr="00F178A4">
        <w:rPr>
          <w:rFonts w:cstheme="minorHAnsi"/>
          <w:i/>
        </w:rPr>
        <w:t>ultra vires</w:t>
      </w:r>
      <w:r>
        <w:rPr>
          <w:rFonts w:cstheme="minorHAnsi"/>
        </w:rPr>
        <w:t xml:space="preserve"> deve essere ritenuto un fatto dello Stato nell’ordinamento internazionale e, in quali circostanze, un fatto di un organo deve essere assimilato ad un fatto di un privato ad </w:t>
      </w:r>
      <w:r w:rsidRPr="004C7A03">
        <w:rPr>
          <w:rFonts w:cstheme="minorHAnsi"/>
        </w:rPr>
        <w:t xml:space="preserve">esso non attribuibile. </w:t>
      </w:r>
      <w:r>
        <w:rPr>
          <w:rFonts w:cstheme="minorHAnsi"/>
        </w:rPr>
        <w:t xml:space="preserve">Un’apposita sezione nell’ambito di questo capitolo sarà dedicata ai lavori di codificazione avvenuti sotto l’egida della Società delle Nazioni in ragione </w:t>
      </w:r>
      <w:r>
        <w:t xml:space="preserve">della rilevanza che questi hanno assunto con riferimento alla codificazione del principio della responsabilità internazionale dello Stato per fatti illeciti </w:t>
      </w:r>
      <w:r w:rsidRPr="009F72FD">
        <w:rPr>
          <w:i/>
        </w:rPr>
        <w:t>ultra vires</w:t>
      </w:r>
      <w:r>
        <w:rPr>
          <w:i/>
        </w:rPr>
        <w:t xml:space="preserve"> </w:t>
      </w:r>
      <w:r>
        <w:t xml:space="preserve">dei propri organi. </w:t>
      </w:r>
    </w:p>
    <w:p w:rsidR="00A739CB" w:rsidRPr="006A75BD" w:rsidRDefault="0039471B" w:rsidP="006A75BD">
      <w:pPr>
        <w:spacing w:after="0" w:line="360" w:lineRule="auto"/>
        <w:ind w:firstLine="709"/>
        <w:jc w:val="both"/>
      </w:pPr>
      <w:r w:rsidRPr="004C7A03">
        <w:rPr>
          <w:rFonts w:cstheme="minorHAnsi"/>
        </w:rPr>
        <w:lastRenderedPageBreak/>
        <w:t>La seconda</w:t>
      </w:r>
      <w:r>
        <w:rPr>
          <w:rFonts w:cstheme="minorHAnsi"/>
        </w:rPr>
        <w:t xml:space="preserve"> parte</w:t>
      </w:r>
      <w:r w:rsidRPr="004C7A03">
        <w:rPr>
          <w:rFonts w:cstheme="minorHAnsi"/>
        </w:rPr>
        <w:t>, invece, sarà dedicata a</w:t>
      </w:r>
      <w:r w:rsidRPr="004C7A03">
        <w:t xml:space="preserve">lla codificazione del principio dell’attribuzione allo Stato delle condotte </w:t>
      </w:r>
      <w:r w:rsidRPr="004C7A03">
        <w:rPr>
          <w:i/>
        </w:rPr>
        <w:t>ultra vires</w:t>
      </w:r>
      <w:r w:rsidRPr="004C7A03">
        <w:t xml:space="preserve"> dei propri organi da parte della Commissione del diritto internazionale</w:t>
      </w:r>
      <w:r w:rsidRPr="004C7A03">
        <w:rPr>
          <w:rFonts w:cstheme="minorHAnsi"/>
        </w:rPr>
        <w:t xml:space="preserve"> e all’esame della prassi più </w:t>
      </w:r>
      <w:r w:rsidRPr="00EF3676">
        <w:rPr>
          <w:rFonts w:cstheme="minorHAnsi"/>
        </w:rPr>
        <w:t>recente.</w:t>
      </w:r>
      <w:r>
        <w:rPr>
          <w:rFonts w:cstheme="minorHAnsi"/>
        </w:rPr>
        <w:t xml:space="preserve"> </w:t>
      </w:r>
      <w:r w:rsidR="0039384D">
        <w:rPr>
          <w:rFonts w:cstheme="minorHAnsi"/>
        </w:rPr>
        <w:t xml:space="preserve">Tale parte offrirà utili spunti di riflessione con riferimento </w:t>
      </w:r>
      <w:r w:rsidR="00A739CB">
        <w:rPr>
          <w:rFonts w:cstheme="minorHAnsi"/>
        </w:rPr>
        <w:t xml:space="preserve">sia alla cristallizzazione del criterio attributivo dei fatti </w:t>
      </w:r>
      <w:r w:rsidR="00A739CB" w:rsidRPr="006A75BD">
        <w:rPr>
          <w:rFonts w:cstheme="minorHAnsi"/>
          <w:i/>
        </w:rPr>
        <w:t>ultra vires</w:t>
      </w:r>
      <w:r w:rsidR="00A739CB">
        <w:rPr>
          <w:rFonts w:cstheme="minorHAnsi"/>
        </w:rPr>
        <w:t xml:space="preserve"> degli organi </w:t>
      </w:r>
      <w:r w:rsidR="00A739CB" w:rsidRPr="00A739CB">
        <w:rPr>
          <w:rFonts w:cstheme="minorHAnsi"/>
          <w:i/>
        </w:rPr>
        <w:t>de jure</w:t>
      </w:r>
      <w:r w:rsidR="00A739CB">
        <w:rPr>
          <w:rFonts w:cstheme="minorHAnsi"/>
        </w:rPr>
        <w:t xml:space="preserve"> sia </w:t>
      </w:r>
      <w:r w:rsidR="0039384D">
        <w:rPr>
          <w:rFonts w:cstheme="minorHAnsi"/>
        </w:rPr>
        <w:t xml:space="preserve">alla </w:t>
      </w:r>
      <w:r w:rsidR="0045394A">
        <w:rPr>
          <w:rFonts w:cstheme="minorHAnsi"/>
        </w:rPr>
        <w:t xml:space="preserve">possibilità che </w:t>
      </w:r>
      <w:r w:rsidR="00A739CB">
        <w:rPr>
          <w:rFonts w:cstheme="minorHAnsi"/>
        </w:rPr>
        <w:t xml:space="preserve">il medesimo criterio </w:t>
      </w:r>
      <w:r w:rsidR="0045394A" w:rsidRPr="00F14FF9">
        <w:rPr>
          <w:rFonts w:cstheme="minorHAnsi"/>
        </w:rPr>
        <w:t xml:space="preserve">trovi applicazione anche </w:t>
      </w:r>
      <w:r w:rsidR="0045394A" w:rsidRPr="00F14FF9">
        <w:t>con riferimento ad individui non formalmente integrati al</w:t>
      </w:r>
      <w:r w:rsidR="0039384D">
        <w:t>l’interno del</w:t>
      </w:r>
      <w:r w:rsidR="00A739CB">
        <w:t>l’apparato dello Stato.</w:t>
      </w:r>
    </w:p>
    <w:p w:rsidR="003826FB" w:rsidRPr="009A5031" w:rsidRDefault="003826FB" w:rsidP="00A739CB">
      <w:pPr>
        <w:spacing w:after="0" w:line="360" w:lineRule="auto"/>
        <w:ind w:firstLine="709"/>
        <w:jc w:val="both"/>
        <w:rPr>
          <w:rFonts w:cstheme="minorHAnsi"/>
        </w:rPr>
      </w:pPr>
    </w:p>
    <w:p w:rsidR="006A75BD" w:rsidRDefault="006A75BD" w:rsidP="00EB037D">
      <w:pPr>
        <w:spacing w:after="0"/>
        <w:ind w:firstLine="284"/>
        <w:jc w:val="center"/>
        <w:rPr>
          <w:smallCaps/>
        </w:rPr>
      </w:pPr>
    </w:p>
    <w:p w:rsidR="006A75BD" w:rsidRDefault="006A75BD" w:rsidP="00EB037D">
      <w:pPr>
        <w:spacing w:after="0"/>
        <w:ind w:firstLine="284"/>
        <w:jc w:val="center"/>
        <w:rPr>
          <w:smallCaps/>
        </w:rPr>
      </w:pPr>
    </w:p>
    <w:p w:rsidR="006A75BD" w:rsidRDefault="006A75BD" w:rsidP="00EB037D">
      <w:pPr>
        <w:spacing w:after="0"/>
        <w:ind w:firstLine="284"/>
        <w:jc w:val="center"/>
        <w:rPr>
          <w:smallCaps/>
        </w:rPr>
      </w:pPr>
    </w:p>
    <w:p w:rsidR="006A75BD" w:rsidRDefault="006A75BD" w:rsidP="00EB037D">
      <w:pPr>
        <w:spacing w:after="0"/>
        <w:ind w:firstLine="284"/>
        <w:jc w:val="center"/>
        <w:rPr>
          <w:smallCaps/>
        </w:rPr>
      </w:pPr>
    </w:p>
    <w:p w:rsidR="006A75BD" w:rsidRDefault="006A75BD" w:rsidP="00EB037D">
      <w:pPr>
        <w:spacing w:after="0"/>
        <w:ind w:firstLine="284"/>
        <w:jc w:val="center"/>
        <w:rPr>
          <w:smallCaps/>
        </w:rPr>
      </w:pPr>
    </w:p>
    <w:p w:rsidR="006A75BD" w:rsidRDefault="006A75BD" w:rsidP="00EB037D">
      <w:pPr>
        <w:spacing w:after="0"/>
        <w:ind w:firstLine="284"/>
        <w:jc w:val="center"/>
        <w:rPr>
          <w:smallCaps/>
        </w:rPr>
      </w:pPr>
    </w:p>
    <w:p w:rsidR="006A75BD" w:rsidRDefault="006A75BD" w:rsidP="00EB037D">
      <w:pPr>
        <w:spacing w:after="0"/>
        <w:ind w:firstLine="284"/>
        <w:jc w:val="center"/>
        <w:rPr>
          <w:smallCaps/>
        </w:rPr>
      </w:pPr>
    </w:p>
    <w:p w:rsidR="006A75BD" w:rsidRDefault="006A75BD" w:rsidP="00EB037D">
      <w:pPr>
        <w:spacing w:after="0"/>
        <w:ind w:firstLine="284"/>
        <w:jc w:val="center"/>
        <w:rPr>
          <w:smallCaps/>
        </w:rPr>
      </w:pPr>
    </w:p>
    <w:p w:rsidR="006A75BD" w:rsidRDefault="006A75BD" w:rsidP="00EB037D">
      <w:pPr>
        <w:spacing w:after="0"/>
        <w:ind w:firstLine="284"/>
        <w:jc w:val="center"/>
        <w:rPr>
          <w:smallCaps/>
        </w:rPr>
      </w:pPr>
    </w:p>
    <w:p w:rsidR="006A75BD" w:rsidRDefault="006A75BD" w:rsidP="00EB037D">
      <w:pPr>
        <w:spacing w:after="0"/>
        <w:ind w:firstLine="284"/>
        <w:jc w:val="center"/>
        <w:rPr>
          <w:smallCaps/>
        </w:rPr>
      </w:pPr>
    </w:p>
    <w:p w:rsidR="006A75BD" w:rsidRDefault="006A75BD" w:rsidP="00EB037D">
      <w:pPr>
        <w:spacing w:after="0"/>
        <w:ind w:firstLine="284"/>
        <w:jc w:val="center"/>
        <w:rPr>
          <w:smallCaps/>
        </w:rPr>
      </w:pPr>
    </w:p>
    <w:p w:rsidR="006A75BD" w:rsidRDefault="006A75BD" w:rsidP="00EB037D">
      <w:pPr>
        <w:spacing w:after="0"/>
        <w:ind w:firstLine="284"/>
        <w:jc w:val="center"/>
        <w:rPr>
          <w:smallCaps/>
        </w:rPr>
      </w:pPr>
    </w:p>
    <w:p w:rsidR="006A75BD" w:rsidRDefault="006A75BD" w:rsidP="00EB037D">
      <w:pPr>
        <w:spacing w:after="0"/>
        <w:ind w:firstLine="284"/>
        <w:jc w:val="center"/>
        <w:rPr>
          <w:smallCaps/>
        </w:rPr>
      </w:pPr>
    </w:p>
    <w:p w:rsidR="006A75BD" w:rsidRDefault="006A75BD" w:rsidP="00EB037D">
      <w:pPr>
        <w:spacing w:after="0"/>
        <w:ind w:firstLine="284"/>
        <w:jc w:val="center"/>
        <w:rPr>
          <w:smallCaps/>
        </w:rPr>
      </w:pPr>
    </w:p>
    <w:p w:rsidR="006A75BD" w:rsidRDefault="006A75BD" w:rsidP="00EB037D">
      <w:pPr>
        <w:spacing w:after="0"/>
        <w:ind w:firstLine="284"/>
        <w:jc w:val="center"/>
        <w:rPr>
          <w:smallCaps/>
        </w:rPr>
      </w:pPr>
    </w:p>
    <w:p w:rsidR="006A75BD" w:rsidRDefault="006A75BD" w:rsidP="00EB037D">
      <w:pPr>
        <w:spacing w:after="0"/>
        <w:ind w:firstLine="284"/>
        <w:jc w:val="center"/>
        <w:rPr>
          <w:smallCaps/>
        </w:rPr>
      </w:pPr>
    </w:p>
    <w:p w:rsidR="006A75BD" w:rsidRDefault="006A75BD" w:rsidP="00EB037D">
      <w:pPr>
        <w:spacing w:after="0"/>
        <w:ind w:firstLine="284"/>
        <w:jc w:val="center"/>
        <w:rPr>
          <w:smallCaps/>
        </w:rPr>
      </w:pPr>
    </w:p>
    <w:p w:rsidR="006A75BD" w:rsidRDefault="006A75BD" w:rsidP="00EB037D">
      <w:pPr>
        <w:spacing w:after="0"/>
        <w:ind w:firstLine="284"/>
        <w:jc w:val="center"/>
        <w:rPr>
          <w:smallCaps/>
        </w:rPr>
      </w:pPr>
    </w:p>
    <w:p w:rsidR="006A75BD" w:rsidRDefault="006A75BD" w:rsidP="00EB037D">
      <w:pPr>
        <w:spacing w:after="0"/>
        <w:ind w:firstLine="284"/>
        <w:jc w:val="center"/>
        <w:rPr>
          <w:smallCaps/>
        </w:rPr>
      </w:pPr>
    </w:p>
    <w:p w:rsidR="006A75BD" w:rsidRDefault="006A75BD" w:rsidP="00EB037D">
      <w:pPr>
        <w:spacing w:after="0"/>
        <w:ind w:firstLine="284"/>
        <w:jc w:val="center"/>
        <w:rPr>
          <w:smallCaps/>
        </w:rPr>
      </w:pPr>
    </w:p>
    <w:p w:rsidR="006A75BD" w:rsidRDefault="006A75BD" w:rsidP="00EB037D">
      <w:pPr>
        <w:spacing w:after="0"/>
        <w:ind w:firstLine="284"/>
        <w:jc w:val="center"/>
        <w:rPr>
          <w:smallCaps/>
        </w:rPr>
      </w:pPr>
    </w:p>
    <w:p w:rsidR="006A75BD" w:rsidRDefault="006A75BD" w:rsidP="00EB037D">
      <w:pPr>
        <w:spacing w:after="0"/>
        <w:ind w:firstLine="284"/>
        <w:jc w:val="center"/>
        <w:rPr>
          <w:smallCaps/>
        </w:rPr>
      </w:pPr>
    </w:p>
    <w:p w:rsidR="006A75BD" w:rsidRDefault="006A75BD" w:rsidP="00EB037D">
      <w:pPr>
        <w:spacing w:after="0"/>
        <w:ind w:firstLine="284"/>
        <w:jc w:val="center"/>
        <w:rPr>
          <w:smallCaps/>
        </w:rPr>
      </w:pPr>
    </w:p>
    <w:p w:rsidR="006A75BD" w:rsidRDefault="006A75BD" w:rsidP="00EB037D">
      <w:pPr>
        <w:spacing w:after="0"/>
        <w:ind w:firstLine="284"/>
        <w:jc w:val="center"/>
        <w:rPr>
          <w:smallCaps/>
        </w:rPr>
      </w:pPr>
    </w:p>
    <w:p w:rsidR="006A75BD" w:rsidRDefault="006A75BD" w:rsidP="00EB037D">
      <w:pPr>
        <w:spacing w:after="0"/>
        <w:ind w:firstLine="284"/>
        <w:jc w:val="center"/>
        <w:rPr>
          <w:smallCaps/>
        </w:rPr>
      </w:pPr>
    </w:p>
    <w:p w:rsidR="006A75BD" w:rsidRDefault="006A75BD" w:rsidP="00EB037D">
      <w:pPr>
        <w:spacing w:after="0"/>
        <w:ind w:firstLine="284"/>
        <w:jc w:val="center"/>
        <w:rPr>
          <w:smallCaps/>
        </w:rPr>
      </w:pPr>
    </w:p>
    <w:p w:rsidR="006A75BD" w:rsidRDefault="006A75BD" w:rsidP="00EB037D">
      <w:pPr>
        <w:spacing w:after="0"/>
        <w:ind w:firstLine="284"/>
        <w:jc w:val="center"/>
        <w:rPr>
          <w:smallCaps/>
        </w:rPr>
      </w:pPr>
    </w:p>
    <w:p w:rsidR="006A75BD" w:rsidRDefault="006A75BD" w:rsidP="00B30E70">
      <w:pPr>
        <w:spacing w:after="0"/>
        <w:rPr>
          <w:smallCaps/>
        </w:rPr>
      </w:pPr>
    </w:p>
    <w:p w:rsidR="00B30E70" w:rsidRDefault="00B30E70" w:rsidP="00B30E70">
      <w:pPr>
        <w:spacing w:after="0"/>
        <w:rPr>
          <w:smallCaps/>
        </w:rPr>
      </w:pPr>
    </w:p>
    <w:p w:rsidR="006A75BD" w:rsidRDefault="006A75BD" w:rsidP="00EB037D">
      <w:pPr>
        <w:spacing w:after="0"/>
        <w:ind w:firstLine="284"/>
        <w:jc w:val="center"/>
        <w:rPr>
          <w:smallCaps/>
        </w:rPr>
      </w:pPr>
    </w:p>
    <w:p w:rsidR="005544C7" w:rsidRDefault="005544C7" w:rsidP="00EB037D">
      <w:pPr>
        <w:spacing w:after="0"/>
        <w:ind w:firstLine="284"/>
        <w:jc w:val="center"/>
        <w:rPr>
          <w:smallCaps/>
        </w:rPr>
      </w:pPr>
    </w:p>
    <w:p w:rsidR="005544C7" w:rsidRDefault="005544C7" w:rsidP="00EB037D">
      <w:pPr>
        <w:spacing w:after="0"/>
        <w:ind w:firstLine="284"/>
        <w:jc w:val="center"/>
        <w:rPr>
          <w:smallCaps/>
        </w:rPr>
      </w:pPr>
    </w:p>
    <w:p w:rsidR="005544C7" w:rsidRDefault="005544C7" w:rsidP="00EB037D">
      <w:pPr>
        <w:spacing w:after="0"/>
        <w:ind w:firstLine="284"/>
        <w:jc w:val="center"/>
        <w:rPr>
          <w:smallCaps/>
        </w:rPr>
      </w:pPr>
    </w:p>
    <w:p w:rsidR="005544C7" w:rsidRDefault="005544C7" w:rsidP="00EB037D">
      <w:pPr>
        <w:spacing w:after="0"/>
        <w:ind w:firstLine="284"/>
        <w:jc w:val="center"/>
        <w:rPr>
          <w:smallCaps/>
        </w:rPr>
      </w:pPr>
    </w:p>
    <w:p w:rsidR="00CA5718" w:rsidRPr="00433E0E" w:rsidRDefault="00433E0E" w:rsidP="00EB037D">
      <w:pPr>
        <w:spacing w:after="0"/>
        <w:ind w:firstLine="284"/>
        <w:jc w:val="center"/>
        <w:rPr>
          <w:smallCaps/>
        </w:rPr>
      </w:pPr>
      <w:r w:rsidRPr="00433E0E">
        <w:rPr>
          <w:smallCaps/>
        </w:rPr>
        <w:lastRenderedPageBreak/>
        <w:t>CAPITOLO I</w:t>
      </w:r>
    </w:p>
    <w:p w:rsidR="00CA5718" w:rsidRDefault="00CA5718" w:rsidP="00EB037D">
      <w:pPr>
        <w:spacing w:after="0"/>
        <w:ind w:firstLine="284"/>
        <w:jc w:val="center"/>
      </w:pPr>
    </w:p>
    <w:p w:rsidR="00CA5718" w:rsidRDefault="00433E0E" w:rsidP="00EB037D">
      <w:pPr>
        <w:spacing w:after="0"/>
        <w:ind w:firstLine="284"/>
        <w:jc w:val="center"/>
      </w:pPr>
      <w:r>
        <w:t>CONSIDERAZIONI INTRODUTTIVE</w:t>
      </w:r>
    </w:p>
    <w:p w:rsidR="00CA5718" w:rsidRDefault="00CA5718" w:rsidP="00EB037D">
      <w:pPr>
        <w:spacing w:after="0"/>
        <w:ind w:firstLine="284"/>
        <w:jc w:val="center"/>
      </w:pPr>
    </w:p>
    <w:p w:rsidR="00CA5718" w:rsidRPr="00CD49F9" w:rsidRDefault="00CA5718" w:rsidP="00EB037D">
      <w:pPr>
        <w:spacing w:after="0"/>
        <w:ind w:firstLine="284"/>
        <w:jc w:val="both"/>
        <w:rPr>
          <w:sz w:val="16"/>
          <w:szCs w:val="16"/>
        </w:rPr>
      </w:pPr>
      <w:r w:rsidRPr="00CD49F9">
        <w:rPr>
          <w:sz w:val="16"/>
          <w:szCs w:val="16"/>
        </w:rPr>
        <w:t xml:space="preserve">SOMMARIO: </w:t>
      </w:r>
      <w:r w:rsidRPr="001001D9">
        <w:rPr>
          <w:i/>
          <w:sz w:val="16"/>
          <w:szCs w:val="16"/>
        </w:rPr>
        <w:t xml:space="preserve">Sezione </w:t>
      </w:r>
      <w:r w:rsidR="00433E0E">
        <w:rPr>
          <w:i/>
          <w:sz w:val="16"/>
          <w:szCs w:val="16"/>
        </w:rPr>
        <w:t>I</w:t>
      </w:r>
      <w:r w:rsidRPr="00CD49F9">
        <w:rPr>
          <w:sz w:val="16"/>
          <w:szCs w:val="16"/>
        </w:rPr>
        <w:t xml:space="preserve">. Cenni in materia di responsabilità dello Stato per fatti illeciti internazionali: 1. </w:t>
      </w:r>
      <w:r w:rsidR="00F72703">
        <w:rPr>
          <w:sz w:val="16"/>
          <w:szCs w:val="16"/>
        </w:rPr>
        <w:t xml:space="preserve">Presupposti e contenuto </w:t>
      </w:r>
      <w:r w:rsidR="00D51208">
        <w:rPr>
          <w:sz w:val="16"/>
          <w:szCs w:val="16"/>
        </w:rPr>
        <w:t xml:space="preserve">della responsabilità internazionale dello Stato </w:t>
      </w:r>
      <w:r w:rsidRPr="00CD49F9">
        <w:rPr>
          <w:sz w:val="16"/>
          <w:szCs w:val="16"/>
        </w:rPr>
        <w:t>– 2. I principali tentativi di</w:t>
      </w:r>
      <w:r w:rsidR="00781896">
        <w:rPr>
          <w:sz w:val="16"/>
          <w:szCs w:val="16"/>
        </w:rPr>
        <w:t xml:space="preserve"> codificazione della materia – 2.1  Le codificazioni private - 2</w:t>
      </w:r>
      <w:r w:rsidRPr="00CD49F9">
        <w:rPr>
          <w:sz w:val="16"/>
          <w:szCs w:val="16"/>
        </w:rPr>
        <w:t>.</w:t>
      </w:r>
      <w:r w:rsidR="00781896">
        <w:rPr>
          <w:sz w:val="16"/>
          <w:szCs w:val="16"/>
        </w:rPr>
        <w:t>2</w:t>
      </w:r>
      <w:r w:rsidRPr="00CD49F9">
        <w:rPr>
          <w:sz w:val="16"/>
          <w:szCs w:val="16"/>
        </w:rPr>
        <w:t xml:space="preserve"> La codificazione sotto l’egida delle o</w:t>
      </w:r>
      <w:r w:rsidR="007A1B3B">
        <w:rPr>
          <w:sz w:val="16"/>
          <w:szCs w:val="16"/>
        </w:rPr>
        <w:t>rganizzazioni internazionali – 2</w:t>
      </w:r>
      <w:r w:rsidRPr="00CD49F9">
        <w:rPr>
          <w:sz w:val="16"/>
          <w:szCs w:val="16"/>
        </w:rPr>
        <w:t>.</w:t>
      </w:r>
      <w:r w:rsidR="007A1B3B">
        <w:rPr>
          <w:sz w:val="16"/>
          <w:szCs w:val="16"/>
        </w:rPr>
        <w:t>2.1 La Società delle Nazioni – 2</w:t>
      </w:r>
      <w:r w:rsidRPr="00CD49F9">
        <w:rPr>
          <w:sz w:val="16"/>
          <w:szCs w:val="16"/>
        </w:rPr>
        <w:t>.</w:t>
      </w:r>
      <w:r w:rsidR="007A1B3B">
        <w:rPr>
          <w:sz w:val="16"/>
          <w:szCs w:val="16"/>
        </w:rPr>
        <w:t>2.2</w:t>
      </w:r>
      <w:r w:rsidRPr="00CD49F9">
        <w:rPr>
          <w:sz w:val="16"/>
          <w:szCs w:val="16"/>
        </w:rPr>
        <w:t xml:space="preserve"> L’Organizzazione delle Nazioni Unite</w:t>
      </w:r>
      <w:r>
        <w:rPr>
          <w:sz w:val="16"/>
          <w:szCs w:val="16"/>
        </w:rPr>
        <w:t xml:space="preserve">. </w:t>
      </w:r>
      <w:r w:rsidRPr="001001D9">
        <w:rPr>
          <w:i/>
          <w:sz w:val="16"/>
          <w:szCs w:val="16"/>
        </w:rPr>
        <w:t xml:space="preserve">Sezione </w:t>
      </w:r>
      <w:r w:rsidR="00433E0E">
        <w:rPr>
          <w:i/>
          <w:sz w:val="16"/>
          <w:szCs w:val="16"/>
        </w:rPr>
        <w:t>II</w:t>
      </w:r>
      <w:r w:rsidRPr="00CD49F9">
        <w:rPr>
          <w:sz w:val="16"/>
          <w:szCs w:val="16"/>
        </w:rPr>
        <w:t>.</w:t>
      </w:r>
      <w:r w:rsidR="00D23020">
        <w:rPr>
          <w:sz w:val="16"/>
          <w:szCs w:val="16"/>
        </w:rPr>
        <w:t xml:space="preserve"> Il dibattito dottrinale sull’attribuzione </w:t>
      </w:r>
      <w:r w:rsidR="00734973">
        <w:rPr>
          <w:sz w:val="16"/>
          <w:szCs w:val="16"/>
        </w:rPr>
        <w:t xml:space="preserve">allo Stato di fatti </w:t>
      </w:r>
      <w:r w:rsidR="002F142F">
        <w:rPr>
          <w:sz w:val="16"/>
          <w:szCs w:val="16"/>
        </w:rPr>
        <w:t>illeciti internazionali</w:t>
      </w:r>
      <w:r w:rsidRPr="00CD49F9">
        <w:rPr>
          <w:sz w:val="16"/>
          <w:szCs w:val="16"/>
        </w:rPr>
        <w:t xml:space="preserve">: 1. Premessa – </w:t>
      </w:r>
      <w:r>
        <w:rPr>
          <w:sz w:val="16"/>
          <w:szCs w:val="16"/>
        </w:rPr>
        <w:t xml:space="preserve">2. </w:t>
      </w:r>
      <w:r w:rsidRPr="00CD49F9">
        <w:rPr>
          <w:sz w:val="16"/>
          <w:szCs w:val="16"/>
        </w:rPr>
        <w:t xml:space="preserve"> Individuazione dei principali orientamenti dottrinali in tema di attribuzione di condotte allo Stato</w:t>
      </w:r>
      <w:r w:rsidR="005616A7">
        <w:rPr>
          <w:sz w:val="16"/>
          <w:szCs w:val="16"/>
        </w:rPr>
        <w:t xml:space="preserve"> –  2</w:t>
      </w:r>
      <w:r>
        <w:rPr>
          <w:sz w:val="16"/>
          <w:szCs w:val="16"/>
        </w:rPr>
        <w:t>.</w:t>
      </w:r>
      <w:r w:rsidR="005616A7">
        <w:rPr>
          <w:sz w:val="16"/>
          <w:szCs w:val="16"/>
        </w:rPr>
        <w:t>1</w:t>
      </w:r>
      <w:r>
        <w:rPr>
          <w:sz w:val="16"/>
          <w:szCs w:val="16"/>
        </w:rPr>
        <w:t xml:space="preserve"> </w:t>
      </w:r>
      <w:r w:rsidRPr="00CD49F9">
        <w:rPr>
          <w:sz w:val="16"/>
          <w:szCs w:val="16"/>
        </w:rPr>
        <w:t>Tesi che riconoscono rilevanza esclusiva al diritto interno</w:t>
      </w:r>
      <w:r w:rsidR="005616A7">
        <w:rPr>
          <w:sz w:val="16"/>
          <w:szCs w:val="16"/>
        </w:rPr>
        <w:t xml:space="preserve"> – 2</w:t>
      </w:r>
      <w:r>
        <w:rPr>
          <w:sz w:val="16"/>
          <w:szCs w:val="16"/>
        </w:rPr>
        <w:t>.</w:t>
      </w:r>
      <w:r w:rsidR="005616A7">
        <w:rPr>
          <w:sz w:val="16"/>
          <w:szCs w:val="16"/>
        </w:rPr>
        <w:t>2</w:t>
      </w:r>
      <w:r>
        <w:rPr>
          <w:sz w:val="16"/>
          <w:szCs w:val="16"/>
        </w:rPr>
        <w:t xml:space="preserve"> </w:t>
      </w:r>
      <w:r w:rsidRPr="00CD49F9">
        <w:rPr>
          <w:sz w:val="16"/>
          <w:szCs w:val="16"/>
        </w:rPr>
        <w:t>Te</w:t>
      </w:r>
      <w:r w:rsidR="001925E2">
        <w:rPr>
          <w:sz w:val="16"/>
          <w:szCs w:val="16"/>
        </w:rPr>
        <w:t xml:space="preserve">si che si ispirano al </w:t>
      </w:r>
      <w:r w:rsidRPr="00CD49F9">
        <w:rPr>
          <w:sz w:val="16"/>
          <w:szCs w:val="16"/>
        </w:rPr>
        <w:t>criterio di effettività</w:t>
      </w:r>
      <w:r>
        <w:rPr>
          <w:sz w:val="16"/>
          <w:szCs w:val="16"/>
        </w:rPr>
        <w:t xml:space="preserve"> –</w:t>
      </w:r>
      <w:r w:rsidR="00863CF8">
        <w:rPr>
          <w:sz w:val="16"/>
          <w:szCs w:val="16"/>
        </w:rPr>
        <w:t xml:space="preserve"> 3</w:t>
      </w:r>
      <w:r w:rsidR="00BA1447">
        <w:rPr>
          <w:sz w:val="16"/>
          <w:szCs w:val="16"/>
        </w:rPr>
        <w:t xml:space="preserve">. </w:t>
      </w:r>
      <w:r w:rsidR="00D8133D" w:rsidRPr="00BA1447">
        <w:rPr>
          <w:sz w:val="16"/>
          <w:szCs w:val="16"/>
        </w:rPr>
        <w:t>Implicazioni derivanti dall’accettazione delle due differenti tesi sull’organizzazione dello Stato dal punto di vista del diritto internazionale con riferimento alla questione dell’attribuzione allo Stato dei</w:t>
      </w:r>
      <w:r w:rsidR="00D8133D" w:rsidRPr="00BA1447">
        <w:rPr>
          <w:i/>
          <w:sz w:val="16"/>
          <w:szCs w:val="16"/>
        </w:rPr>
        <w:t xml:space="preserve"> </w:t>
      </w:r>
      <w:r w:rsidR="00D8133D" w:rsidRPr="001925E2">
        <w:rPr>
          <w:sz w:val="16"/>
          <w:szCs w:val="16"/>
        </w:rPr>
        <w:t xml:space="preserve">fatti </w:t>
      </w:r>
      <w:r w:rsidR="00D8133D" w:rsidRPr="00BA1447">
        <w:rPr>
          <w:i/>
          <w:sz w:val="16"/>
          <w:szCs w:val="16"/>
        </w:rPr>
        <w:t>ultra vires</w:t>
      </w:r>
      <w:r w:rsidR="00863CF8">
        <w:rPr>
          <w:sz w:val="16"/>
          <w:szCs w:val="16"/>
        </w:rPr>
        <w:t xml:space="preserve"> – 4</w:t>
      </w:r>
      <w:r w:rsidR="00265C64">
        <w:rPr>
          <w:sz w:val="16"/>
          <w:szCs w:val="16"/>
        </w:rPr>
        <w:t>.</w:t>
      </w:r>
      <w:r w:rsidRPr="00CD49F9">
        <w:rPr>
          <w:sz w:val="16"/>
          <w:szCs w:val="16"/>
        </w:rPr>
        <w:t xml:space="preserve"> Le diverse impostazioni seguite in dottrina </w:t>
      </w:r>
      <w:r w:rsidR="003C4631">
        <w:rPr>
          <w:sz w:val="16"/>
          <w:szCs w:val="16"/>
        </w:rPr>
        <w:t xml:space="preserve">circa il </w:t>
      </w:r>
      <w:r w:rsidRPr="00CD49F9">
        <w:rPr>
          <w:sz w:val="16"/>
          <w:szCs w:val="16"/>
        </w:rPr>
        <w:t xml:space="preserve">problema dei fatti </w:t>
      </w:r>
      <w:r w:rsidR="00B64FB4">
        <w:rPr>
          <w:sz w:val="16"/>
          <w:szCs w:val="16"/>
        </w:rPr>
        <w:t xml:space="preserve">illeciti </w:t>
      </w:r>
      <w:r w:rsidRPr="00143E53">
        <w:rPr>
          <w:i/>
          <w:sz w:val="16"/>
          <w:szCs w:val="16"/>
        </w:rPr>
        <w:t>ultra vires</w:t>
      </w:r>
      <w:r w:rsidR="00863CF8">
        <w:rPr>
          <w:sz w:val="16"/>
          <w:szCs w:val="16"/>
        </w:rPr>
        <w:t xml:space="preserve"> – 4</w:t>
      </w:r>
      <w:r>
        <w:rPr>
          <w:sz w:val="16"/>
          <w:szCs w:val="16"/>
        </w:rPr>
        <w:t>.</w:t>
      </w:r>
      <w:r w:rsidR="005616A7">
        <w:rPr>
          <w:sz w:val="16"/>
          <w:szCs w:val="16"/>
        </w:rPr>
        <w:t>1</w:t>
      </w:r>
      <w:r>
        <w:rPr>
          <w:sz w:val="16"/>
          <w:szCs w:val="16"/>
        </w:rPr>
        <w:t xml:space="preserve"> </w:t>
      </w:r>
      <w:r w:rsidRPr="00CD49F9">
        <w:rPr>
          <w:sz w:val="16"/>
          <w:szCs w:val="16"/>
        </w:rPr>
        <w:t xml:space="preserve">La tesi che rigetta l’attribuzione allo Stato dei fatti </w:t>
      </w:r>
      <w:r w:rsidRPr="00143E53">
        <w:rPr>
          <w:i/>
          <w:sz w:val="16"/>
          <w:szCs w:val="16"/>
        </w:rPr>
        <w:t>ultra vires</w:t>
      </w:r>
      <w:r w:rsidRPr="00CD49F9">
        <w:rPr>
          <w:sz w:val="16"/>
          <w:szCs w:val="16"/>
        </w:rPr>
        <w:t xml:space="preserve"> degli organi statali sulla base della rilevanza esclusiva del diritto interno nell’organizzazione dello Stato – </w:t>
      </w:r>
      <w:r w:rsidR="00863CF8">
        <w:rPr>
          <w:sz w:val="16"/>
          <w:szCs w:val="16"/>
        </w:rPr>
        <w:t>4</w:t>
      </w:r>
      <w:r w:rsidR="00B535C9">
        <w:rPr>
          <w:sz w:val="16"/>
          <w:szCs w:val="16"/>
        </w:rPr>
        <w:t>.</w:t>
      </w:r>
      <w:r w:rsidR="005616A7">
        <w:rPr>
          <w:sz w:val="16"/>
          <w:szCs w:val="16"/>
        </w:rPr>
        <w:t>2</w:t>
      </w:r>
      <w:r w:rsidR="00B535C9">
        <w:rPr>
          <w:sz w:val="16"/>
          <w:szCs w:val="16"/>
        </w:rPr>
        <w:t xml:space="preserve"> </w:t>
      </w:r>
      <w:r w:rsidR="003C4631" w:rsidRPr="00DD18E4">
        <w:rPr>
          <w:sz w:val="16"/>
          <w:szCs w:val="16"/>
        </w:rPr>
        <w:t xml:space="preserve">La tesi che riconosce la responsabilità internazionale dello Stato per i fatti </w:t>
      </w:r>
      <w:r w:rsidR="003C4631">
        <w:rPr>
          <w:sz w:val="16"/>
          <w:szCs w:val="16"/>
        </w:rPr>
        <w:t xml:space="preserve">illeciti </w:t>
      </w:r>
      <w:r w:rsidR="003C4631" w:rsidRPr="00DD18E4">
        <w:rPr>
          <w:i/>
          <w:sz w:val="16"/>
          <w:szCs w:val="16"/>
        </w:rPr>
        <w:t>ultra vires</w:t>
      </w:r>
      <w:r w:rsidR="003C4631" w:rsidRPr="00DD18E4">
        <w:rPr>
          <w:sz w:val="16"/>
          <w:szCs w:val="16"/>
        </w:rPr>
        <w:t xml:space="preserve"> dei propri</w:t>
      </w:r>
      <w:r w:rsidR="003C4631">
        <w:rPr>
          <w:sz w:val="16"/>
          <w:szCs w:val="16"/>
        </w:rPr>
        <w:t xml:space="preserve"> sulla base della teoria </w:t>
      </w:r>
      <w:r w:rsidR="003C4631" w:rsidRPr="004C329A">
        <w:rPr>
          <w:sz w:val="16"/>
          <w:szCs w:val="16"/>
        </w:rPr>
        <w:t xml:space="preserve">del rischio statale </w:t>
      </w:r>
      <w:r w:rsidR="00863CF8" w:rsidRPr="004C329A">
        <w:rPr>
          <w:sz w:val="16"/>
          <w:szCs w:val="16"/>
        </w:rPr>
        <w:t>– 4</w:t>
      </w:r>
      <w:r w:rsidR="00DD18E4">
        <w:rPr>
          <w:sz w:val="16"/>
          <w:szCs w:val="16"/>
        </w:rPr>
        <w:t>.</w:t>
      </w:r>
      <w:r w:rsidR="005616A7">
        <w:rPr>
          <w:sz w:val="16"/>
          <w:szCs w:val="16"/>
        </w:rPr>
        <w:t>3</w:t>
      </w:r>
      <w:r w:rsidR="00DD18E4">
        <w:rPr>
          <w:sz w:val="16"/>
          <w:szCs w:val="16"/>
        </w:rPr>
        <w:t xml:space="preserve"> </w:t>
      </w:r>
      <w:r w:rsidR="003C4631" w:rsidRPr="00CD49F9">
        <w:rPr>
          <w:sz w:val="16"/>
          <w:szCs w:val="16"/>
        </w:rPr>
        <w:t>La tesi che</w:t>
      </w:r>
      <w:r w:rsidR="00B64FB4">
        <w:rPr>
          <w:sz w:val="16"/>
          <w:szCs w:val="16"/>
        </w:rPr>
        <w:t xml:space="preserve"> accoglie </w:t>
      </w:r>
      <w:r w:rsidR="003C4631" w:rsidRPr="00CD49F9">
        <w:rPr>
          <w:sz w:val="16"/>
          <w:szCs w:val="16"/>
        </w:rPr>
        <w:t xml:space="preserve">l’attribuzione allo Stato dei comportamenti </w:t>
      </w:r>
      <w:r w:rsidR="003C4631" w:rsidRPr="00143E53">
        <w:rPr>
          <w:i/>
          <w:sz w:val="16"/>
          <w:szCs w:val="16"/>
        </w:rPr>
        <w:t>ultra vires</w:t>
      </w:r>
      <w:r w:rsidR="003C4631" w:rsidRPr="00CD49F9">
        <w:rPr>
          <w:sz w:val="16"/>
          <w:szCs w:val="16"/>
        </w:rPr>
        <w:t xml:space="preserve"> dei soli organi statali su</w:t>
      </w:r>
      <w:r w:rsidR="003C4631">
        <w:rPr>
          <w:sz w:val="16"/>
          <w:szCs w:val="16"/>
        </w:rPr>
        <w:t>periori</w:t>
      </w:r>
      <w:r w:rsidR="003C4631" w:rsidRPr="00DD18E4">
        <w:rPr>
          <w:sz w:val="16"/>
          <w:szCs w:val="16"/>
        </w:rPr>
        <w:t xml:space="preserve"> </w:t>
      </w:r>
      <w:r w:rsidR="00863CF8">
        <w:rPr>
          <w:sz w:val="16"/>
          <w:szCs w:val="16"/>
        </w:rPr>
        <w:t>- 4</w:t>
      </w:r>
      <w:r w:rsidR="00B54976">
        <w:rPr>
          <w:sz w:val="16"/>
          <w:szCs w:val="16"/>
        </w:rPr>
        <w:t>.</w:t>
      </w:r>
      <w:r w:rsidR="005616A7">
        <w:rPr>
          <w:sz w:val="16"/>
          <w:szCs w:val="16"/>
        </w:rPr>
        <w:t>4</w:t>
      </w:r>
      <w:r w:rsidR="00B54976">
        <w:rPr>
          <w:sz w:val="16"/>
          <w:szCs w:val="16"/>
        </w:rPr>
        <w:t xml:space="preserve"> </w:t>
      </w:r>
      <w:r w:rsidR="00B54976" w:rsidRPr="00B54976">
        <w:rPr>
          <w:sz w:val="16"/>
          <w:szCs w:val="16"/>
        </w:rPr>
        <w:t xml:space="preserve">La tesi che ammette </w:t>
      </w:r>
      <w:r w:rsidR="00B41A41">
        <w:rPr>
          <w:sz w:val="16"/>
          <w:szCs w:val="16"/>
        </w:rPr>
        <w:t xml:space="preserve">in generale </w:t>
      </w:r>
      <w:r w:rsidR="00B54976" w:rsidRPr="00B54976">
        <w:rPr>
          <w:sz w:val="16"/>
          <w:szCs w:val="16"/>
        </w:rPr>
        <w:t xml:space="preserve">l’attribuzione allo Stato dei fatti </w:t>
      </w:r>
      <w:r w:rsidR="00B54976" w:rsidRPr="00B54976">
        <w:rPr>
          <w:i/>
          <w:sz w:val="16"/>
          <w:szCs w:val="16"/>
        </w:rPr>
        <w:t>ultra vires</w:t>
      </w:r>
      <w:r w:rsidR="00B54976" w:rsidRPr="00B54976">
        <w:rPr>
          <w:sz w:val="16"/>
          <w:szCs w:val="16"/>
        </w:rPr>
        <w:t xml:space="preserve"> degli organi statali</w:t>
      </w:r>
      <w:r w:rsidR="001B3EA6">
        <w:rPr>
          <w:sz w:val="16"/>
          <w:szCs w:val="16"/>
        </w:rPr>
        <w:t xml:space="preserve"> </w:t>
      </w:r>
      <w:r w:rsidR="00265C64">
        <w:rPr>
          <w:sz w:val="16"/>
          <w:szCs w:val="16"/>
        </w:rPr>
        <w:t xml:space="preserve">– </w:t>
      </w:r>
      <w:r w:rsidR="00863CF8">
        <w:rPr>
          <w:sz w:val="16"/>
          <w:szCs w:val="16"/>
        </w:rPr>
        <w:t>4</w:t>
      </w:r>
      <w:r w:rsidR="001B3EA6" w:rsidRPr="001B3EA6">
        <w:rPr>
          <w:sz w:val="16"/>
          <w:szCs w:val="16"/>
        </w:rPr>
        <w:t xml:space="preserve">.5 L’attribuzione allo Stato dei fatti </w:t>
      </w:r>
      <w:r w:rsidR="001B3EA6" w:rsidRPr="00B64FB4">
        <w:rPr>
          <w:i/>
          <w:sz w:val="16"/>
          <w:szCs w:val="16"/>
        </w:rPr>
        <w:t>ultra vires</w:t>
      </w:r>
      <w:r w:rsidR="001B3EA6" w:rsidRPr="001B3EA6">
        <w:rPr>
          <w:sz w:val="16"/>
          <w:szCs w:val="16"/>
        </w:rPr>
        <w:t xml:space="preserve"> nei progetti di codificazione elaborati da istituzioni private</w:t>
      </w:r>
      <w:r w:rsidR="001B3EA6">
        <w:rPr>
          <w:sz w:val="16"/>
          <w:szCs w:val="16"/>
        </w:rPr>
        <w:t xml:space="preserve"> - </w:t>
      </w:r>
      <w:r w:rsidR="00863CF8">
        <w:rPr>
          <w:sz w:val="16"/>
          <w:szCs w:val="16"/>
        </w:rPr>
        <w:t>5</w:t>
      </w:r>
      <w:r>
        <w:rPr>
          <w:sz w:val="16"/>
          <w:szCs w:val="16"/>
        </w:rPr>
        <w:t xml:space="preserve">. </w:t>
      </w:r>
      <w:r w:rsidRPr="00CD49F9">
        <w:rPr>
          <w:sz w:val="16"/>
          <w:szCs w:val="16"/>
        </w:rPr>
        <w:t>Piano generale dell’indagine</w:t>
      </w:r>
    </w:p>
    <w:p w:rsidR="00CA5718" w:rsidRDefault="00B535C9" w:rsidP="00EB037D">
      <w:pPr>
        <w:spacing w:after="0"/>
        <w:ind w:firstLine="284"/>
        <w:jc w:val="center"/>
      </w:pPr>
      <w:r>
        <w:t xml:space="preserve"> </w:t>
      </w:r>
    </w:p>
    <w:p w:rsidR="00CA5718" w:rsidRDefault="00CA5718" w:rsidP="00EB037D">
      <w:pPr>
        <w:spacing w:after="0"/>
        <w:ind w:firstLine="284"/>
      </w:pPr>
    </w:p>
    <w:p w:rsidR="00433E0E" w:rsidRPr="00433E0E" w:rsidRDefault="00433E0E" w:rsidP="00433E0E">
      <w:pPr>
        <w:spacing w:after="0" w:line="360" w:lineRule="auto"/>
        <w:ind w:firstLine="284"/>
        <w:jc w:val="center"/>
        <w:rPr>
          <w:i/>
        </w:rPr>
      </w:pPr>
      <w:r w:rsidRPr="00433E0E">
        <w:rPr>
          <w:i/>
        </w:rPr>
        <w:t>Sezione I</w:t>
      </w:r>
    </w:p>
    <w:p w:rsidR="00CA5718" w:rsidRDefault="00433E0E" w:rsidP="00433E0E">
      <w:pPr>
        <w:spacing w:after="0" w:line="360" w:lineRule="auto"/>
        <w:ind w:firstLine="284"/>
        <w:jc w:val="center"/>
      </w:pPr>
      <w:r>
        <w:t>CE</w:t>
      </w:r>
      <w:r w:rsidR="004B5CD2">
        <w:t>NNI IN MATERIA DI RESPONSABILITÁ</w:t>
      </w:r>
      <w:r>
        <w:t xml:space="preserve"> DELLO STATO PER FATTI ILLECITI INTERNAZIONALI</w:t>
      </w:r>
    </w:p>
    <w:p w:rsidR="00CA5718" w:rsidRDefault="00CA5718" w:rsidP="00EB037D">
      <w:pPr>
        <w:spacing w:after="0" w:line="360" w:lineRule="auto"/>
        <w:ind w:firstLine="284"/>
        <w:jc w:val="both"/>
      </w:pPr>
    </w:p>
    <w:p w:rsidR="00CA5718" w:rsidRDefault="00CA5718" w:rsidP="00EB037D">
      <w:pPr>
        <w:spacing w:after="0" w:line="360" w:lineRule="auto"/>
        <w:ind w:firstLine="284"/>
        <w:jc w:val="both"/>
      </w:pPr>
      <w:r>
        <w:t xml:space="preserve">1. </w:t>
      </w:r>
      <w:r w:rsidR="00F72703">
        <w:t xml:space="preserve">Presupposti e contenuto </w:t>
      </w:r>
      <w:r w:rsidR="009F6C0E">
        <w:t>della responsabilità internazionale dello Stato</w:t>
      </w:r>
    </w:p>
    <w:p w:rsidR="00CA5718" w:rsidRDefault="00CA5718" w:rsidP="00EB037D">
      <w:pPr>
        <w:spacing w:after="0" w:line="360" w:lineRule="auto"/>
        <w:ind w:firstLine="284"/>
        <w:jc w:val="both"/>
      </w:pPr>
    </w:p>
    <w:p w:rsidR="00CA5718" w:rsidRDefault="00CA5718" w:rsidP="00EB037D">
      <w:pPr>
        <w:spacing w:after="0" w:line="360" w:lineRule="auto"/>
        <w:ind w:firstLine="284"/>
        <w:jc w:val="both"/>
      </w:pPr>
      <w:r>
        <w:t>Ogni ordinamento giuridico contiene delle regole volte ad istituire la responsabilità dei propri soggetti nel caso in cui commett</w:t>
      </w:r>
      <w:r w:rsidR="00BC5020">
        <w:t xml:space="preserve">ano un comportamento illecito. </w:t>
      </w:r>
      <w:r w:rsidR="00CF653D">
        <w:t xml:space="preserve">Ciò </w:t>
      </w:r>
      <w:r>
        <w:t>risulta valido anche nel diritto internazionale, che fa derivare dal mancato rispetto di un obbligo la responsabilità del soggetto che ne è autore</w:t>
      </w:r>
      <w:r>
        <w:rPr>
          <w:rStyle w:val="Rimandonotaapidipagina"/>
        </w:rPr>
        <w:footnoteReference w:id="1"/>
      </w:r>
      <w:r>
        <w:t>.</w:t>
      </w:r>
    </w:p>
    <w:p w:rsidR="00CA5718" w:rsidRPr="00442001" w:rsidRDefault="00CA5718" w:rsidP="00EB037D">
      <w:pPr>
        <w:spacing w:after="0" w:line="360" w:lineRule="auto"/>
        <w:ind w:firstLine="284"/>
        <w:jc w:val="both"/>
      </w:pPr>
      <w:r>
        <w:t>Se</w:t>
      </w:r>
      <w:r w:rsidR="00BC5020">
        <w:t xml:space="preserve"> non fosse prevista una responsabilità internazionale a carico dell’autore di un fatto illecito, ciò equivarrebbe</w:t>
      </w:r>
      <w:r>
        <w:t xml:space="preserve"> a negare la stessa esistenza di un ordine giuridico internazionale </w:t>
      </w:r>
      <w:r w:rsidR="00BC5020">
        <w:t xml:space="preserve">e </w:t>
      </w:r>
      <w:r>
        <w:t>gli Stati non sarebbero tenuti a conformarsi alle sue norme</w:t>
      </w:r>
      <w:r>
        <w:rPr>
          <w:rStyle w:val="Rimandonotaapidipagina"/>
        </w:rPr>
        <w:footnoteReference w:id="2"/>
      </w:r>
      <w:r>
        <w:t>.</w:t>
      </w:r>
    </w:p>
    <w:p w:rsidR="00EB037D" w:rsidRDefault="00CA5718" w:rsidP="00EB037D">
      <w:pPr>
        <w:spacing w:after="0" w:line="360" w:lineRule="auto"/>
        <w:ind w:firstLine="284"/>
        <w:jc w:val="both"/>
      </w:pPr>
      <w:r>
        <w:t>La responsabilità internazionale è dunque l’insieme di situazioni giuridiche che il diritto internazionale collega al verificarsi di una violazione di una sua regola di diritto</w:t>
      </w:r>
      <w:r>
        <w:rPr>
          <w:rStyle w:val="Rimandonotaapidipagina"/>
        </w:rPr>
        <w:footnoteReference w:id="3"/>
      </w:r>
      <w:r>
        <w:t>, non avendo particolare rilievo la natura consuetudinaria o pattizia dell’obbli</w:t>
      </w:r>
      <w:r w:rsidR="00966DFE">
        <w:t>go violato</w:t>
      </w:r>
      <w:r>
        <w:rPr>
          <w:rStyle w:val="Rimandonotaapidipagina"/>
        </w:rPr>
        <w:footnoteReference w:id="4"/>
      </w:r>
      <w:r>
        <w:t>.</w:t>
      </w:r>
    </w:p>
    <w:p w:rsidR="00CA5718" w:rsidRDefault="00CA5718" w:rsidP="00EB037D">
      <w:pPr>
        <w:spacing w:after="0" w:line="360" w:lineRule="auto"/>
        <w:ind w:firstLine="284"/>
        <w:jc w:val="both"/>
      </w:pPr>
      <w:r w:rsidRPr="00442001">
        <w:lastRenderedPageBreak/>
        <w:t xml:space="preserve">Le </w:t>
      </w:r>
      <w:r>
        <w:t xml:space="preserve">norme in tema di </w:t>
      </w:r>
      <w:r w:rsidRPr="00442001">
        <w:t>res</w:t>
      </w:r>
      <w:r>
        <w:t xml:space="preserve">ponsabilità internazionale sono </w:t>
      </w:r>
      <w:r w:rsidRPr="00442001">
        <w:t xml:space="preserve">definite secondarie in quanto stabiliscono le conseguenze derivanti dalla violazione delle norme primarie che </w:t>
      </w:r>
      <w:r>
        <w:t>sanciscono gli obblighi di condotta</w:t>
      </w:r>
      <w:r w:rsidRPr="00442001">
        <w:rPr>
          <w:rStyle w:val="Rimandonotaapidipagina"/>
        </w:rPr>
        <w:footnoteReference w:id="5"/>
      </w:r>
      <w:r>
        <w:t>.</w:t>
      </w:r>
    </w:p>
    <w:p w:rsidR="00CA5718" w:rsidRDefault="00CA5718" w:rsidP="00EB037D">
      <w:pPr>
        <w:spacing w:after="0" w:line="360" w:lineRule="auto"/>
        <w:ind w:firstLine="284"/>
        <w:jc w:val="both"/>
      </w:pPr>
      <w:r>
        <w:t>Con riferimento al contenuto delle situazioni giuridiche che vengono ricomprese nella nozione di “responsabilità internazionale”, sono state elaborate tre diverse concezioni.</w:t>
      </w:r>
    </w:p>
    <w:p w:rsidR="00CA5718" w:rsidRDefault="00CA5718" w:rsidP="00EB037D">
      <w:pPr>
        <w:spacing w:after="0" w:line="360" w:lineRule="auto"/>
        <w:ind w:firstLine="284"/>
        <w:jc w:val="both"/>
      </w:pPr>
      <w:r w:rsidRPr="00674881">
        <w:t>Second</w:t>
      </w:r>
      <w:r>
        <w:t>o la prima, di cui Anzilotti è</w:t>
      </w:r>
      <w:r w:rsidRPr="00674881">
        <w:t xml:space="preserve"> il principale sostenitore, la responsabilità internazionale farebbe sorgere soltanto un nuovo </w:t>
      </w:r>
      <w:r w:rsidR="00C967AA">
        <w:t>rapporto giuridico</w:t>
      </w:r>
      <w:r w:rsidRPr="00674881">
        <w:t xml:space="preserve"> bilaterale</w:t>
      </w:r>
      <w:r w:rsidR="00C967AA">
        <w:t xml:space="preserve"> comportante l’obbligo</w:t>
      </w:r>
      <w:r w:rsidRPr="00674881">
        <w:t xml:space="preserve"> di riparazione da parte dello Stato offensore nei confronti dello Stato leso</w:t>
      </w:r>
      <w:r>
        <w:rPr>
          <w:rStyle w:val="Rimandonotaapidipagina"/>
        </w:rPr>
        <w:footnoteReference w:id="6"/>
      </w:r>
      <w:r w:rsidRPr="00674881">
        <w:t>.</w:t>
      </w:r>
      <w:r>
        <w:t xml:space="preserve"> </w:t>
      </w:r>
      <w:r w:rsidRPr="008D280D">
        <w:t>In ba</w:t>
      </w:r>
      <w:r>
        <w:t xml:space="preserve">se alla seconda, che fa capo a </w:t>
      </w:r>
      <w:r w:rsidRPr="008D280D">
        <w:t xml:space="preserve">Kelsen, </w:t>
      </w:r>
      <w:r w:rsidRPr="005F1966">
        <w:t xml:space="preserve">l’unica forma di responsabilità internazionale prevista dal diritto internazionale generale sarebbe la soggezione ad una sanzione </w:t>
      </w:r>
      <w:r>
        <w:t xml:space="preserve">che </w:t>
      </w:r>
      <w:r w:rsidRPr="003D6309">
        <w:t xml:space="preserve">potrebbe </w:t>
      </w:r>
      <w:r>
        <w:t>essere inflitta dal</w:t>
      </w:r>
      <w:r w:rsidRPr="003D6309">
        <w:t>lo Stato</w:t>
      </w:r>
      <w:r w:rsidRPr="005F1966">
        <w:t xml:space="preserve"> leso, da intendersi come misura implicante l’impiego del</w:t>
      </w:r>
      <w:r w:rsidR="00D23EEF">
        <w:t>la forza allo scopo di infliggere</w:t>
      </w:r>
      <w:r w:rsidRPr="005F1966">
        <w:t xml:space="preserve"> una pena oppure di ottenere l’adempimento coercitivo di un obbligo</w:t>
      </w:r>
      <w:r w:rsidRPr="005F1966">
        <w:rPr>
          <w:rStyle w:val="Rimandonotaapidipagina"/>
        </w:rPr>
        <w:footnoteReference w:id="7"/>
      </w:r>
      <w:r w:rsidRPr="005F1966">
        <w:t>.</w:t>
      </w:r>
      <w:r w:rsidR="000C0108">
        <w:t xml:space="preserve"> </w:t>
      </w:r>
      <w:r>
        <w:t>La terza concezione infine, elaborata da</w:t>
      </w:r>
      <w:r w:rsidRPr="009D3A32">
        <w:t xml:space="preserve"> Ag</w:t>
      </w:r>
      <w:r w:rsidR="00D23EEF">
        <w:t>o, ricomprende</w:t>
      </w:r>
      <w:r>
        <w:t xml:space="preserve"> nel</w:t>
      </w:r>
      <w:r w:rsidRPr="009D3A32">
        <w:t xml:space="preserve">la responsabilità internazionale </w:t>
      </w:r>
      <w:r>
        <w:lastRenderedPageBreak/>
        <w:t xml:space="preserve">sia l’obbligo dello Stato di riparare un pregiudizio causato allo Stato leso sia </w:t>
      </w:r>
      <w:r w:rsidRPr="009D3A32">
        <w:t xml:space="preserve">la </w:t>
      </w:r>
      <w:r>
        <w:t>facoltà di questi di infliggere una sanzione, non implicante necessariamente l’uso della forza</w:t>
      </w:r>
      <w:r>
        <w:rPr>
          <w:rStyle w:val="Rimandonotaapidipagina"/>
        </w:rPr>
        <w:footnoteReference w:id="8"/>
      </w:r>
      <w:r>
        <w:t>.</w:t>
      </w:r>
    </w:p>
    <w:p w:rsidR="00EB037D" w:rsidRDefault="00CA5718" w:rsidP="00EB037D">
      <w:pPr>
        <w:spacing w:after="0" w:line="360" w:lineRule="auto"/>
        <w:ind w:firstLine="284"/>
        <w:jc w:val="both"/>
      </w:pPr>
      <w:r>
        <w:t>La possibilità per lo Stato di essere considerato internazionalmente responsabile per la violazione di obblighi previsti da norme internazionali e parimenti di invocare la responsabilità di altri Stati deve essere considerata un attributo della sua sovranità e del suo rapportarsi nella comunità internazionale con enti egualmente sovrani</w:t>
      </w:r>
      <w:r>
        <w:rPr>
          <w:rStyle w:val="Rimandonotaapidipagina"/>
        </w:rPr>
        <w:footnoteReference w:id="9"/>
      </w:r>
      <w:r w:rsidR="00EB037D">
        <w:t>.</w:t>
      </w:r>
    </w:p>
    <w:p w:rsidR="00CA5718" w:rsidRDefault="00CA5718" w:rsidP="00EB037D">
      <w:pPr>
        <w:spacing w:after="0" w:line="360" w:lineRule="auto"/>
        <w:ind w:firstLine="284"/>
        <w:jc w:val="both"/>
      </w:pPr>
      <w:r>
        <w:t>Il principio che ricollega ad un fatto illecito internazionale la responsabilità del proprio autore è stato ampiamente riconosciuto dalla dottrina</w:t>
      </w:r>
      <w:r>
        <w:rPr>
          <w:rStyle w:val="Rimandonotaapidipagina"/>
        </w:rPr>
        <w:footnoteReference w:id="10"/>
      </w:r>
      <w:r>
        <w:t xml:space="preserve"> e altresì confermato dalla prassi statale e dalla giurisprudenza internazionale</w:t>
      </w:r>
      <w:r>
        <w:rPr>
          <w:rStyle w:val="Rimandonotaapidipagina"/>
        </w:rPr>
        <w:footnoteReference w:id="11"/>
      </w:r>
      <w:r>
        <w:t>.</w:t>
      </w:r>
    </w:p>
    <w:p w:rsidR="000E4531" w:rsidRDefault="00B53514" w:rsidP="004149A3">
      <w:pPr>
        <w:spacing w:after="0" w:line="360" w:lineRule="auto"/>
        <w:ind w:firstLine="284"/>
        <w:jc w:val="both"/>
      </w:pPr>
      <w:r>
        <w:t>Sebbene secondo la concezione tradizionale la commissione da parte di uno Stato di un illecito internazionale è il</w:t>
      </w:r>
      <w:r w:rsidR="00834F0D">
        <w:t xml:space="preserve"> necessario presupposto affinché</w:t>
      </w:r>
      <w:r>
        <w:t xml:space="preserve"> sorga la sua responsabilità</w:t>
      </w:r>
      <w:r w:rsidR="00C02441">
        <w:rPr>
          <w:rStyle w:val="Rimandonotaapidipagina"/>
        </w:rPr>
        <w:footnoteReference w:id="12"/>
      </w:r>
      <w:r>
        <w:t xml:space="preserve">, una parte della dottrina ipotizza l’esistenza di norme internazionali che impongono agli Stati </w:t>
      </w:r>
      <w:r w:rsidR="00086B06">
        <w:t>di riparare i danni derivanti da attività lecite</w:t>
      </w:r>
      <w:r w:rsidR="00337265">
        <w:rPr>
          <w:rStyle w:val="Rimandonotaapidipagina"/>
        </w:rPr>
        <w:footnoteReference w:id="13"/>
      </w:r>
      <w:r w:rsidR="00086B06">
        <w:t>.</w:t>
      </w:r>
      <w:r w:rsidR="00337265">
        <w:t xml:space="preserve"> Tale concezione si è sviluppata soprattu</w:t>
      </w:r>
      <w:r w:rsidR="00834F0D">
        <w:t>t</w:t>
      </w:r>
      <w:r w:rsidR="00337265">
        <w:t xml:space="preserve">to in </w:t>
      </w:r>
      <w:r w:rsidR="00337265">
        <w:lastRenderedPageBreak/>
        <w:t>relazione alle attività tecnologiche ed industriali ed alla protezione dell’</w:t>
      </w:r>
      <w:r w:rsidR="00882888">
        <w:t xml:space="preserve">ambiente, </w:t>
      </w:r>
      <w:r w:rsidR="000E4531">
        <w:t>per gar</w:t>
      </w:r>
      <w:r w:rsidR="00EF0674">
        <w:t>a</w:t>
      </w:r>
      <w:r w:rsidR="000E4531">
        <w:t xml:space="preserve">ntire che lo Stato, pur essendo libero di svolgere o far svolgere negli spazi soggetti alla sua sovranità qualsiasi attività, risponda degli </w:t>
      </w:r>
      <w:r w:rsidR="004149A3">
        <w:t xml:space="preserve">eventuali </w:t>
      </w:r>
      <w:r w:rsidR="000E4531">
        <w:t>danni causati al territorio di altri Stati.</w:t>
      </w:r>
      <w:r w:rsidR="00706D21">
        <w:t xml:space="preserve"> Lo Stato sarebbe pertanto responsabile dei danni causati da attività (anche le più pericolose) poste sotto il proprio controllo, anche nel caso in cui non sia ad esso attribuibile alcuna colpa o mancanza di diligenza o, addirittura, non sia ad esso riferibile alcuna condotta.</w:t>
      </w:r>
    </w:p>
    <w:p w:rsidR="00CA5718" w:rsidRDefault="00CA5718" w:rsidP="00EB037D">
      <w:pPr>
        <w:spacing w:after="0" w:line="360" w:lineRule="auto"/>
        <w:ind w:firstLine="284"/>
        <w:jc w:val="both"/>
      </w:pPr>
    </w:p>
    <w:p w:rsidR="00CA5718" w:rsidRDefault="00CA5718" w:rsidP="00EB037D">
      <w:pPr>
        <w:spacing w:after="0" w:line="360" w:lineRule="auto"/>
        <w:ind w:firstLine="284"/>
        <w:jc w:val="both"/>
      </w:pPr>
      <w:r>
        <w:t>2. I principali tentativi di codificazione della materia</w:t>
      </w:r>
      <w:r w:rsidR="004375C9">
        <w:t xml:space="preserve"> </w:t>
      </w:r>
    </w:p>
    <w:p w:rsidR="00433E0E" w:rsidRDefault="00433E0E" w:rsidP="00EB037D">
      <w:pPr>
        <w:spacing w:after="0" w:line="360" w:lineRule="auto"/>
        <w:ind w:firstLine="284"/>
        <w:jc w:val="both"/>
      </w:pPr>
    </w:p>
    <w:p w:rsidR="00CA5718" w:rsidRDefault="00CA5718" w:rsidP="00EB037D">
      <w:pPr>
        <w:spacing w:after="0" w:line="360" w:lineRule="auto"/>
        <w:ind w:firstLine="284"/>
        <w:jc w:val="both"/>
      </w:pPr>
      <w:r>
        <w:t>La responsabilità internazionale dello Stato è regolata da norme generali non scritte e da accordi bilaterali o multilaterali disciplinanti aspetti specifici della materia, non esistendo a tutt’oggi una convenzione di portata generale. Durante il secolo scorso sono stati elaborati alcuni progetti di codificazione relativi alla responsabilità internazionale dello Stato su iniziativa di privati o di istituzioni private</w:t>
      </w:r>
      <w:r>
        <w:rPr>
          <w:rStyle w:val="Rimandonotaapidipagina"/>
        </w:rPr>
        <w:footnoteReference w:id="14"/>
      </w:r>
      <w:r>
        <w:t xml:space="preserve"> oppure sotto l’egida di organizzazioni internazionali. La maggior parte di tali progetti è accomunata dal considerare </w:t>
      </w:r>
      <w:r w:rsidR="004375C9">
        <w:t xml:space="preserve">unicamente </w:t>
      </w:r>
      <w:r>
        <w:t>l’aspetto della responsabilità internazionale dello Stato per danni causati sul proprio territorio alla persona o ai beni di stranieri</w:t>
      </w:r>
      <w:r>
        <w:rPr>
          <w:rStyle w:val="Rimandonotaapidipagina"/>
        </w:rPr>
        <w:footnoteReference w:id="15"/>
      </w:r>
      <w:r>
        <w:t>. Si suppone che tale limitazione possa trovare giustificazione nell’abbondante ed omogenea prassi esistente all’epoca in materia.</w:t>
      </w:r>
      <w:r w:rsidR="00F3552F">
        <w:t xml:space="preserve"> </w:t>
      </w:r>
    </w:p>
    <w:p w:rsidR="00CA5718" w:rsidRDefault="00CA5718" w:rsidP="00EB037D">
      <w:pPr>
        <w:spacing w:after="0" w:line="360" w:lineRule="auto"/>
        <w:ind w:firstLine="284"/>
        <w:jc w:val="both"/>
      </w:pPr>
    </w:p>
    <w:p w:rsidR="00CA5718" w:rsidRDefault="005C284E" w:rsidP="005C284E">
      <w:pPr>
        <w:spacing w:after="0" w:line="360" w:lineRule="auto"/>
        <w:ind w:firstLine="284"/>
        <w:jc w:val="both"/>
      </w:pPr>
      <w:r>
        <w:t xml:space="preserve">2.1 </w:t>
      </w:r>
      <w:r w:rsidR="00CA5718">
        <w:t>Le codificazioni private</w:t>
      </w:r>
      <w:r w:rsidR="0019490A">
        <w:t xml:space="preserve"> </w:t>
      </w:r>
    </w:p>
    <w:p w:rsidR="00CA5718" w:rsidRDefault="00CA5718" w:rsidP="00EB037D">
      <w:pPr>
        <w:spacing w:after="0" w:line="360" w:lineRule="auto"/>
        <w:ind w:firstLine="284"/>
        <w:jc w:val="both"/>
      </w:pPr>
    </w:p>
    <w:p w:rsidR="00CA5718" w:rsidRDefault="00CA5718" w:rsidP="00EB037D">
      <w:pPr>
        <w:spacing w:after="0" w:line="360" w:lineRule="auto"/>
        <w:ind w:firstLine="284"/>
        <w:jc w:val="both"/>
      </w:pPr>
      <w:r>
        <w:t>Tra il 1926 ed il 1930 numerose associazioni o is</w:t>
      </w:r>
      <w:r w:rsidR="008B4B57">
        <w:t>tituzioni private hanno elaborato</w:t>
      </w:r>
      <w:r>
        <w:t xml:space="preserve"> dei progetti in tema di responsabilità internazionale dello Stato in previsione dei lavori di codificazione intrapresi da parte della Società delle Nazioni. </w:t>
      </w:r>
      <w:r w:rsidRPr="00EC21BE">
        <w:t xml:space="preserve">Fra i principali tentativi sembra </w:t>
      </w:r>
      <w:r w:rsidRPr="00EC21BE">
        <w:lastRenderedPageBreak/>
        <w:t xml:space="preserve">opportuno ricordare il secondo capitolo del </w:t>
      </w:r>
      <w:r w:rsidRPr="00EC21BE">
        <w:rPr>
          <w:i/>
        </w:rPr>
        <w:t>Draft Code of International Law</w:t>
      </w:r>
      <w:r w:rsidRPr="00EC21BE">
        <w:t xml:space="preserve"> inerente le </w:t>
      </w:r>
      <w:r w:rsidRPr="00EC21BE">
        <w:rPr>
          <w:i/>
        </w:rPr>
        <w:t>Rules Concerning Responsibility of a State in Relation to the Life, Person and Property of Aliens</w:t>
      </w:r>
      <w:r w:rsidR="001F2408">
        <w:rPr>
          <w:i/>
        </w:rPr>
        <w:t xml:space="preserve">, </w:t>
      </w:r>
      <w:r w:rsidRPr="00EC21BE">
        <w:t xml:space="preserve">elaborato </w:t>
      </w:r>
      <w:r w:rsidR="003479F6">
        <w:t>nel 1926 da</w:t>
      </w:r>
      <w:r>
        <w:t>lla sezione</w:t>
      </w:r>
      <w:r w:rsidRPr="00EC21BE">
        <w:t xml:space="preserve"> giapponese dell’</w:t>
      </w:r>
      <w:r w:rsidRPr="00EC21BE">
        <w:rPr>
          <w:i/>
        </w:rPr>
        <w:t>International Law Association</w:t>
      </w:r>
      <w:r w:rsidRPr="00EC21BE">
        <w:t xml:space="preserve"> congiuntamente alla </w:t>
      </w:r>
      <w:r w:rsidRPr="00EC21BE">
        <w:rPr>
          <w:i/>
        </w:rPr>
        <w:t>Association of International Law of Japan</w:t>
      </w:r>
      <w:r w:rsidRPr="00200B5F">
        <w:rPr>
          <w:rStyle w:val="Rimandonotaapidipagina"/>
        </w:rPr>
        <w:footnoteReference w:id="16"/>
      </w:r>
      <w:r w:rsidRPr="00200B5F">
        <w:t xml:space="preserve">, </w:t>
      </w:r>
      <w:r w:rsidRPr="00EC21BE">
        <w:t xml:space="preserve">la risoluzione circa la </w:t>
      </w:r>
      <w:r w:rsidRPr="00EC21BE">
        <w:rPr>
          <w:i/>
        </w:rPr>
        <w:t>Responsabilité internationale des Etats à raison des dommages causés sur leur territoire à la personne et aux biens des étrangers</w:t>
      </w:r>
      <w:r w:rsidRPr="00EC21BE">
        <w:t xml:space="preserve"> adottata nel 1927 dall’</w:t>
      </w:r>
      <w:r w:rsidR="008B4B57">
        <w:rPr>
          <w:i/>
        </w:rPr>
        <w:t>Institut de droit i</w:t>
      </w:r>
      <w:r w:rsidRPr="00EC21BE">
        <w:rPr>
          <w:i/>
        </w:rPr>
        <w:t xml:space="preserve">nternational </w:t>
      </w:r>
      <w:r w:rsidRPr="00EC21BE">
        <w:t>nella sessione tenutasi a Losanna</w:t>
      </w:r>
      <w:r>
        <w:rPr>
          <w:rStyle w:val="Rimandonotaapidipagina"/>
        </w:rPr>
        <w:footnoteReference w:id="17"/>
      </w:r>
      <w:r w:rsidRPr="00EC21BE">
        <w:t xml:space="preserve">, la </w:t>
      </w:r>
      <w:r>
        <w:rPr>
          <w:i/>
        </w:rPr>
        <w:t>Draft</w:t>
      </w:r>
      <w:r w:rsidRPr="00EC21BE">
        <w:rPr>
          <w:i/>
        </w:rPr>
        <w:t xml:space="preserve"> Convention on the Responsibility of States for Damage Done in their Territory to the Person or Property of Foreigners </w:t>
      </w:r>
      <w:r w:rsidRPr="00EC21BE">
        <w:t xml:space="preserve">redatta nel 1929 dalla </w:t>
      </w:r>
      <w:r w:rsidRPr="00EC21BE">
        <w:rPr>
          <w:i/>
        </w:rPr>
        <w:t>Harvard Law School</w:t>
      </w:r>
      <w:r w:rsidRPr="00503436">
        <w:rPr>
          <w:rStyle w:val="Rimandonotaapidipagina"/>
        </w:rPr>
        <w:footnoteReference w:id="18"/>
      </w:r>
      <w:r w:rsidRPr="00503436">
        <w:t xml:space="preserve"> </w:t>
      </w:r>
      <w:r>
        <w:t xml:space="preserve">e il </w:t>
      </w:r>
      <w:r w:rsidRPr="00072D02">
        <w:rPr>
          <w:i/>
        </w:rPr>
        <w:t>Progetto di Convenzione sulla responsabilità degli Stati per i danni causati sul loro territorio alla persona o ai beni degli stranieri</w:t>
      </w:r>
      <w:r>
        <w:t xml:space="preserve"> elaborato</w:t>
      </w:r>
      <w:r w:rsidR="001F2408">
        <w:t xml:space="preserve"> nel 1930 da parte della </w:t>
      </w:r>
      <w:r>
        <w:rPr>
          <w:i/>
        </w:rPr>
        <w:t>Deutsche Gesellschaft f</w:t>
      </w:r>
      <w:r>
        <w:rPr>
          <w:rFonts w:cstheme="minorHAnsi"/>
          <w:i/>
        </w:rPr>
        <w:t>ü</w:t>
      </w:r>
      <w:r>
        <w:rPr>
          <w:i/>
        </w:rPr>
        <w:t>r V</w:t>
      </w:r>
      <w:r>
        <w:rPr>
          <w:rFonts w:cstheme="minorHAnsi"/>
          <w:i/>
        </w:rPr>
        <w:t>ö</w:t>
      </w:r>
      <w:r w:rsidR="001F2408">
        <w:rPr>
          <w:i/>
        </w:rPr>
        <w:t>lkerrecht</w:t>
      </w:r>
      <w:r w:rsidRPr="00200B5F">
        <w:rPr>
          <w:rStyle w:val="Rimandonotaapidipagina"/>
        </w:rPr>
        <w:footnoteReference w:id="19"/>
      </w:r>
      <w:r w:rsidRPr="00200B5F">
        <w:t>.</w:t>
      </w:r>
    </w:p>
    <w:p w:rsidR="00CA5718" w:rsidRDefault="00CA5718" w:rsidP="00EB037D">
      <w:pPr>
        <w:spacing w:after="0" w:line="360" w:lineRule="auto"/>
        <w:ind w:firstLine="284"/>
        <w:jc w:val="both"/>
      </w:pPr>
      <w:r w:rsidRPr="006A5387">
        <w:t>Più recentemente</w:t>
      </w:r>
      <w:r>
        <w:t>, nel 1961,</w:t>
      </w:r>
      <w:r w:rsidRPr="006A5387">
        <w:t xml:space="preserve"> la </w:t>
      </w:r>
      <w:r w:rsidRPr="006A5387">
        <w:rPr>
          <w:i/>
        </w:rPr>
        <w:t>Harvard Law School</w:t>
      </w:r>
      <w:r w:rsidRPr="006A5387">
        <w:t xml:space="preserve"> ha pubblicato una </w:t>
      </w:r>
      <w:r w:rsidRPr="006A5387">
        <w:rPr>
          <w:i/>
        </w:rPr>
        <w:t>Draft Convention on the International Responsibility of States for Injuries to Aliens</w:t>
      </w:r>
      <w:r w:rsidRPr="006A5387">
        <w:t xml:space="preserve"> </w:t>
      </w:r>
      <w:r>
        <w:t xml:space="preserve">rivedendo </w:t>
      </w:r>
      <w:r w:rsidRPr="006A5387">
        <w:t>il progetto redatto nel 1929</w:t>
      </w:r>
      <w:r>
        <w:rPr>
          <w:rStyle w:val="Rimandonotaapidipagina"/>
        </w:rPr>
        <w:footnoteReference w:id="20"/>
      </w:r>
      <w:r w:rsidRPr="006A5387">
        <w:t>.</w:t>
      </w:r>
      <w:r>
        <w:t xml:space="preserve"> </w:t>
      </w:r>
      <w:r w:rsidRPr="003B030A">
        <w:t>Nel 1965 l’</w:t>
      </w:r>
      <w:r w:rsidRPr="003B030A">
        <w:rPr>
          <w:i/>
        </w:rPr>
        <w:t xml:space="preserve">American Law Institute </w:t>
      </w:r>
      <w:r w:rsidRPr="003B030A">
        <w:t xml:space="preserve">ha elaborato un progetto dal </w:t>
      </w:r>
      <w:r>
        <w:t xml:space="preserve">titolo </w:t>
      </w:r>
      <w:r w:rsidRPr="003B030A">
        <w:rPr>
          <w:i/>
        </w:rPr>
        <w:t>Restatement of the Law on Responsibility of</w:t>
      </w:r>
      <w:r>
        <w:rPr>
          <w:i/>
        </w:rPr>
        <w:t xml:space="preserve"> </w:t>
      </w:r>
      <w:r w:rsidRPr="003B030A">
        <w:rPr>
          <w:i/>
        </w:rPr>
        <w:t>States for Injuries to Aliens</w:t>
      </w:r>
      <w:r w:rsidRPr="00577591">
        <w:rPr>
          <w:rStyle w:val="Rimandonotaapidipagina"/>
          <w:lang w:val="en-US"/>
        </w:rPr>
        <w:footnoteReference w:id="21"/>
      </w:r>
      <w:r w:rsidR="00577591" w:rsidRPr="00577591">
        <w:t xml:space="preserve"> </w:t>
      </w:r>
      <w:r w:rsidRPr="003B030A">
        <w:t>ed</w:t>
      </w:r>
      <w:r w:rsidR="00577591">
        <w:t>,</w:t>
      </w:r>
      <w:r w:rsidRPr="003B030A">
        <w:t xml:space="preserve"> infine</w:t>
      </w:r>
      <w:r w:rsidR="00577591">
        <w:t>,</w:t>
      </w:r>
      <w:r w:rsidRPr="003B030A">
        <w:t xml:space="preserve"> nel 1973 i professori Graefrath e </w:t>
      </w:r>
      <w:r>
        <w:t xml:space="preserve">Steiniger hanno </w:t>
      </w:r>
      <w:r w:rsidR="00577591">
        <w:t xml:space="preserve">predisposto </w:t>
      </w:r>
      <w:r>
        <w:t>un progetto di convenzione sulla responsabilità internazionale</w:t>
      </w:r>
      <w:r w:rsidRPr="0023135B">
        <w:rPr>
          <w:rStyle w:val="Rimandonotaapidipagina"/>
        </w:rPr>
        <w:footnoteReference w:id="22"/>
      </w:r>
      <w:r w:rsidRPr="0023135B">
        <w:t>.</w:t>
      </w:r>
    </w:p>
    <w:p w:rsidR="00CA5718" w:rsidRDefault="00CA5718" w:rsidP="00EB037D">
      <w:pPr>
        <w:spacing w:after="0" w:line="360" w:lineRule="auto"/>
        <w:ind w:firstLine="284"/>
        <w:jc w:val="both"/>
      </w:pPr>
      <w:r>
        <w:t xml:space="preserve">Gli unici due progetti individuali che hanno tentato di individuare delle norme in grado di disciplinare la responsabilità internazionale dello Stato indipendentemente dall’obbligo violato sono il </w:t>
      </w:r>
      <w:r w:rsidRPr="00CA30B9">
        <w:rPr>
          <w:i/>
        </w:rPr>
        <w:t xml:space="preserve">Draft Treaty Concerning the Responsibility of States for Internationally Illegal </w:t>
      </w:r>
      <w:r w:rsidRPr="00CA30B9">
        <w:rPr>
          <w:i/>
        </w:rPr>
        <w:lastRenderedPageBreak/>
        <w:t>Acts</w:t>
      </w:r>
      <w:r>
        <w:t xml:space="preserve"> preparato da Strupp nel 1927</w:t>
      </w:r>
      <w:r>
        <w:rPr>
          <w:rStyle w:val="Rimandonotaapidipagina"/>
        </w:rPr>
        <w:footnoteReference w:id="23"/>
      </w:r>
      <w:r>
        <w:t xml:space="preserve"> e la </w:t>
      </w:r>
      <w:r w:rsidRPr="00CA30B9">
        <w:rPr>
          <w:i/>
        </w:rPr>
        <w:t>Draft Convention on the Responsibility of States for International Wrongful acts</w:t>
      </w:r>
      <w:r>
        <w:t xml:space="preserve"> preparata da Roth nel 1932</w:t>
      </w:r>
      <w:r>
        <w:rPr>
          <w:rStyle w:val="Rimandonotaapidipagina"/>
        </w:rPr>
        <w:footnoteReference w:id="24"/>
      </w:r>
      <w:r>
        <w:t>.</w:t>
      </w:r>
    </w:p>
    <w:p w:rsidR="00CA5718" w:rsidRDefault="00CA5718" w:rsidP="00EB037D">
      <w:pPr>
        <w:spacing w:after="0" w:line="360" w:lineRule="auto"/>
        <w:ind w:firstLine="284"/>
        <w:jc w:val="both"/>
      </w:pPr>
    </w:p>
    <w:p w:rsidR="001B33A9" w:rsidRDefault="005C284E" w:rsidP="001B33A9">
      <w:pPr>
        <w:spacing w:after="0" w:line="360" w:lineRule="auto"/>
        <w:ind w:firstLine="284"/>
        <w:jc w:val="both"/>
      </w:pPr>
      <w:r>
        <w:t xml:space="preserve">2.2 </w:t>
      </w:r>
      <w:r w:rsidR="00CA5718">
        <w:t>La codificazione sotto l’egida dell</w:t>
      </w:r>
      <w:r w:rsidR="00190E28">
        <w:t>e organizzazioni internazionali</w:t>
      </w:r>
    </w:p>
    <w:p w:rsidR="008254CD" w:rsidRDefault="008254CD" w:rsidP="001B33A9">
      <w:pPr>
        <w:spacing w:after="0" w:line="360" w:lineRule="auto"/>
        <w:ind w:firstLine="284"/>
        <w:jc w:val="both"/>
      </w:pPr>
    </w:p>
    <w:p w:rsidR="0049022B" w:rsidRDefault="005C284E" w:rsidP="0049022B">
      <w:pPr>
        <w:spacing w:after="0" w:line="360" w:lineRule="auto"/>
        <w:ind w:firstLine="708"/>
        <w:jc w:val="both"/>
      </w:pPr>
      <w:r>
        <w:t xml:space="preserve">2.2.1 </w:t>
      </w:r>
      <w:r w:rsidR="00CA5718">
        <w:t>La Società delle Nazioni</w:t>
      </w:r>
    </w:p>
    <w:p w:rsidR="00560DD5" w:rsidRDefault="00560DD5" w:rsidP="0049022B">
      <w:pPr>
        <w:spacing w:after="0" w:line="360" w:lineRule="auto"/>
        <w:ind w:firstLine="708"/>
        <w:jc w:val="both"/>
      </w:pPr>
    </w:p>
    <w:p w:rsidR="003E31E3" w:rsidRDefault="003E31E3" w:rsidP="0049022B">
      <w:pPr>
        <w:spacing w:after="0" w:line="360" w:lineRule="auto"/>
        <w:ind w:firstLine="708"/>
        <w:jc w:val="both"/>
      </w:pPr>
      <w:r>
        <w:t>Il 22 settembre 1924 l’Assemblea della Società delle Nazioni ha adottato una risoluzione con la quale richiedeva al Consiglio di convocare un Comitato di esperti  con l’incarico di stilare una lista di argomenti di diritto internazionale da sottoporre a codificazione</w:t>
      </w:r>
      <w:r>
        <w:rPr>
          <w:rStyle w:val="Rimandonotaapidipagina"/>
        </w:rPr>
        <w:footnoteReference w:id="25"/>
      </w:r>
      <w:r>
        <w:t>.</w:t>
      </w:r>
    </w:p>
    <w:p w:rsidR="003E31E3" w:rsidRDefault="003E31E3" w:rsidP="003E31E3">
      <w:pPr>
        <w:spacing w:after="0" w:line="360" w:lineRule="auto"/>
        <w:ind w:firstLine="284"/>
        <w:jc w:val="both"/>
      </w:pPr>
      <w:r>
        <w:t>Fra questi figurava anche la responsabilità internazionale degli Stati per danni causati sul proprio territorio alla persona o ai beni di stranieri, il cui studio è stato demandato dal Comitato di esperti ad un sottocomitato composto da Gustavo Guerrero e Wang Hui-Chang.</w:t>
      </w:r>
    </w:p>
    <w:p w:rsidR="003E31E3" w:rsidRDefault="003E31E3" w:rsidP="003E31E3">
      <w:pPr>
        <w:spacing w:after="0" w:line="360" w:lineRule="auto"/>
        <w:ind w:firstLine="284"/>
        <w:jc w:val="both"/>
      </w:pPr>
      <w:r>
        <w:t>Sulla base del rapporto del sottocomitato, il Comitato di esperti ha elaborato un questionario che è stato sottoposto insieme al rapporto all’esame degli Stati membri della Società delle Nazioni, al fine di valutare se la materia potesse essere oggetto di una convenzione internazionale.</w:t>
      </w:r>
    </w:p>
    <w:p w:rsidR="003E31E3" w:rsidRDefault="003E31E3" w:rsidP="003E31E3">
      <w:pPr>
        <w:spacing w:after="0" w:line="360" w:lineRule="auto"/>
        <w:ind w:firstLine="284"/>
        <w:jc w:val="both"/>
      </w:pPr>
      <w:r>
        <w:t>A seguito della risposta favorevole da parte della maggioranza degli Stati</w:t>
      </w:r>
      <w:r>
        <w:rPr>
          <w:rStyle w:val="Rimandonotaapidipagina"/>
        </w:rPr>
        <w:footnoteReference w:id="26"/>
      </w:r>
      <w:r>
        <w:t>, l’Assemblea Generale della Società delle Nazioni ha convocato una Conferenza per la codificazione del diritto internazionale, la cui preparazione è stata affidata ad un Comitato preparatorio.</w:t>
      </w:r>
    </w:p>
    <w:p w:rsidR="003E31E3" w:rsidRDefault="003E31E3" w:rsidP="003E31E3">
      <w:pPr>
        <w:spacing w:after="0" w:line="360" w:lineRule="auto"/>
        <w:ind w:firstLine="284"/>
        <w:jc w:val="both"/>
      </w:pPr>
      <w:r>
        <w:t xml:space="preserve">Durante la prima sessione dei lavori il Comitato preparatorio ha elaborato una lista di punti che è stata sottoposta all’attenzione degli Stati membri della Società delle Nazioni. Nel corso delle successive sessioni il Comitato si è occupato di esaminare le risposte ricevute e </w:t>
      </w:r>
      <w:r>
        <w:lastRenderedPageBreak/>
        <w:t xml:space="preserve">di preparare delle basi di discussione per la Conferenza per la codificazione del diritto internazionale, che ha avuto </w:t>
      </w:r>
      <w:r w:rsidRPr="00B8086F">
        <w:t>luogo a</w:t>
      </w:r>
      <w:r>
        <w:t xml:space="preserve"> L’Aj</w:t>
      </w:r>
      <w:r w:rsidRPr="00B8086F">
        <w:t>a</w:t>
      </w:r>
      <w:r>
        <w:t xml:space="preserve"> tra il 12 marzo ed il 13 aprile 1930</w:t>
      </w:r>
      <w:r>
        <w:rPr>
          <w:rStyle w:val="Rimandonotaapidipagina"/>
        </w:rPr>
        <w:footnoteReference w:id="27"/>
      </w:r>
      <w:r>
        <w:t>.</w:t>
      </w:r>
    </w:p>
    <w:p w:rsidR="003E31E3" w:rsidRDefault="003E31E3" w:rsidP="003E31E3">
      <w:pPr>
        <w:spacing w:after="0" w:line="360" w:lineRule="auto"/>
        <w:ind w:firstLine="284"/>
        <w:jc w:val="both"/>
      </w:pPr>
      <w:r>
        <w:t>L’argomento della responsabilità degli Stati per i danni causati sul proprio territorio alla persona o ai beni degli stranieri è stato affrontato dalla Terza Commissione, che ha adottato in prima lettura il testo di dieci articoli. A causa del conflitto circa il contenuto delle regole primarie in tema di trattamento degli stranieri, la Terza Commissione non ha avuto modo di prendere in considerazione tutte le basi di discussione e, per tale ragione, ha rinunciato a dare una forma definitiva agli articoli approvati ed ha informato la Conferenza di non essere in grado di presentare delle conclusioni inerenti tale materia.</w:t>
      </w:r>
    </w:p>
    <w:p w:rsidR="00CA5718" w:rsidRDefault="003E31E3" w:rsidP="00F54AE7">
      <w:pPr>
        <w:spacing w:after="0" w:line="360" w:lineRule="auto"/>
        <w:ind w:firstLine="284"/>
        <w:jc w:val="both"/>
      </w:pPr>
      <w:r>
        <w:t>A seguito del fallimento della Conferenza di codificazione del 1930, la Società delle Nazioni ha rinunciato a farsi portatrice di ulteriori iniziative volte a codificare l’istituto della responsabil</w:t>
      </w:r>
      <w:r w:rsidR="00B71AAE">
        <w:t>ità internazionale degli Stati.</w:t>
      </w:r>
    </w:p>
    <w:p w:rsidR="00560DD5" w:rsidRDefault="00560DD5" w:rsidP="00F54AE7">
      <w:pPr>
        <w:spacing w:after="0" w:line="360" w:lineRule="auto"/>
        <w:ind w:firstLine="284"/>
        <w:jc w:val="both"/>
      </w:pPr>
    </w:p>
    <w:p w:rsidR="00CA5718" w:rsidRDefault="00CA5718" w:rsidP="005C284E">
      <w:pPr>
        <w:spacing w:after="0" w:line="360" w:lineRule="auto"/>
        <w:ind w:firstLine="708"/>
        <w:jc w:val="both"/>
      </w:pPr>
      <w:r>
        <w:t>2.</w:t>
      </w:r>
      <w:r w:rsidR="005C284E">
        <w:t>2.2</w:t>
      </w:r>
      <w:r>
        <w:t xml:space="preserve"> L’Organizzazione delle Nazioni Unite</w:t>
      </w:r>
    </w:p>
    <w:p w:rsidR="00CA5718" w:rsidRDefault="00CA5718" w:rsidP="00EB037D">
      <w:pPr>
        <w:spacing w:after="0" w:line="360" w:lineRule="auto"/>
        <w:ind w:firstLine="284"/>
        <w:jc w:val="both"/>
      </w:pPr>
    </w:p>
    <w:p w:rsidR="00CA5718" w:rsidRDefault="00CA5718" w:rsidP="00EB037D">
      <w:pPr>
        <w:spacing w:after="0" w:line="360" w:lineRule="auto"/>
        <w:ind w:firstLine="284"/>
        <w:jc w:val="both"/>
      </w:pPr>
      <w:r>
        <w:t>Come organo sussidiario dell’Assemblea Generale delle Nazioni Unite incaricato di promuovere la codificazione e lo sviluppo progressivo del diritto i</w:t>
      </w:r>
      <w:r w:rsidR="00C8009F">
        <w:t>nternazionale, la Commissione del</w:t>
      </w:r>
      <w:r>
        <w:t xml:space="preserve"> diritto internazionale</w:t>
      </w:r>
      <w:r w:rsidR="00C8009F">
        <w:t xml:space="preserve"> (CDI)</w:t>
      </w:r>
      <w:r>
        <w:t xml:space="preserve"> ha inserito la responsabilità internazionale dello Stato nella lista delle quattordici materie suscettibili di essere codificate</w:t>
      </w:r>
      <w:r>
        <w:rPr>
          <w:rStyle w:val="Rimandonotaapidipagina"/>
        </w:rPr>
        <w:footnoteReference w:id="28"/>
      </w:r>
      <w:r>
        <w:t>.</w:t>
      </w:r>
      <w:r w:rsidR="00C8009F">
        <w:t xml:space="preserve"> Durante la sua prima sessione</w:t>
      </w:r>
      <w:r>
        <w:t>, il 7 dicembre 1953</w:t>
      </w:r>
      <w:r w:rsidR="00C8009F">
        <w:t>,</w:t>
      </w:r>
      <w:r>
        <w:t xml:space="preserve"> l’Assemblea Generale ha adottato una risoluzione </w:t>
      </w:r>
      <w:r w:rsidR="00C8009F">
        <w:t>799</w:t>
      </w:r>
      <w:r w:rsidR="003870E6">
        <w:t xml:space="preserve"> </w:t>
      </w:r>
      <w:r w:rsidR="00C8009F">
        <w:t>(VI</w:t>
      </w:r>
      <w:r w:rsidR="003870E6">
        <w:t>I</w:t>
      </w:r>
      <w:r w:rsidR="00C8009F">
        <w:t>)</w:t>
      </w:r>
      <w:r w:rsidR="003870E6">
        <w:t xml:space="preserve"> </w:t>
      </w:r>
      <w:r>
        <w:t>mediante la quale chiedeva alla CDI di procedere alla codificazione dei principi di diritto internazionale inerenti la responsabilità dello Stato</w:t>
      </w:r>
      <w:r>
        <w:rPr>
          <w:rStyle w:val="Rimandonotaapidipagina"/>
        </w:rPr>
        <w:footnoteReference w:id="29"/>
      </w:r>
      <w:r>
        <w:t>.</w:t>
      </w:r>
    </w:p>
    <w:p w:rsidR="00CA5718" w:rsidRDefault="00CA5718" w:rsidP="00EB037D">
      <w:pPr>
        <w:spacing w:after="0" w:line="360" w:lineRule="auto"/>
        <w:ind w:firstLine="284"/>
        <w:jc w:val="both"/>
      </w:pPr>
      <w:r>
        <w:t>A seguito di tale risoluzione, nel 1955, la CDI ha nominato Francisco Garc</w:t>
      </w:r>
      <w:r>
        <w:rPr>
          <w:rFonts w:cstheme="minorHAnsi"/>
        </w:rPr>
        <w:t>í</w:t>
      </w:r>
      <w:r>
        <w:t xml:space="preserve">a Amador relatore speciale per il tema della responsabilità internazionale degli Stati. Egli ha presentato tra il 1956 ed il 1961 sei rapporti limitati al solo studio della responsabilità dello Stato per </w:t>
      </w:r>
      <w:r>
        <w:lastRenderedPageBreak/>
        <w:t>danni causati sul proprio territorio alla persona o ai beni degli stranieri</w:t>
      </w:r>
      <w:r>
        <w:rPr>
          <w:rStyle w:val="Rimandonotaapidipagina"/>
        </w:rPr>
        <w:footnoteReference w:id="30"/>
      </w:r>
      <w:r>
        <w:t>. Alcuni membri della CDI hanno mostrato il loro dissenso nei confronti di un tale approccio restrittivo considerando necessario codificare le regole della responsabilità internazionale in generale</w:t>
      </w:r>
      <w:r>
        <w:rPr>
          <w:rStyle w:val="Rimandonotaapidipagina"/>
        </w:rPr>
        <w:footnoteReference w:id="31"/>
      </w:r>
      <w:r>
        <w:t>.</w:t>
      </w:r>
    </w:p>
    <w:p w:rsidR="00EB037D" w:rsidRDefault="00CA5718" w:rsidP="00EB037D">
      <w:pPr>
        <w:spacing w:after="0" w:line="360" w:lineRule="auto"/>
        <w:ind w:firstLine="284"/>
        <w:jc w:val="both"/>
      </w:pPr>
      <w:r>
        <w:t>Con l’adozione il 18 dicembre 1961 della risoluzione 1686 (XVI)</w:t>
      </w:r>
      <w:r>
        <w:rPr>
          <w:rStyle w:val="Rimandonotaapidipagina"/>
        </w:rPr>
        <w:footnoteReference w:id="32"/>
      </w:r>
      <w:r>
        <w:t>, l’Assemblea Generale ha raccomandato alla CDI di proseguire nella codificazione della materia e, dal momento che Garc</w:t>
      </w:r>
      <w:r>
        <w:rPr>
          <w:rFonts w:cstheme="minorHAnsi"/>
        </w:rPr>
        <w:t>í</w:t>
      </w:r>
      <w:r>
        <w:t>a Amador non era più membro della Commissione, è stato nominato come nuovo relatore speciale Roberto Ago. Egli ha accolto le critiche formulate circa l’approccio previamente adottato e ha deciso di affrontare il tema focalizzandosi sulle conseguenze della violazione di un obbligo internazionale, senza occuparsi delle norme sostanziali la cui violazione è all’origine della</w:t>
      </w:r>
      <w:r w:rsidR="00EB037D">
        <w:t xml:space="preserve"> responsabilità internazionale.</w:t>
      </w:r>
    </w:p>
    <w:p w:rsidR="00CA5718" w:rsidRDefault="00CA5718" w:rsidP="00EB037D">
      <w:pPr>
        <w:spacing w:after="0" w:line="360" w:lineRule="auto"/>
        <w:ind w:firstLine="284"/>
        <w:jc w:val="both"/>
      </w:pPr>
      <w:r>
        <w:t>Durante la sua ventisettesima sessione nel 1975</w:t>
      </w:r>
      <w:r>
        <w:rPr>
          <w:rStyle w:val="Rimandonotaapidipagina"/>
        </w:rPr>
        <w:footnoteReference w:id="33"/>
      </w:r>
      <w:r>
        <w:t>, la CDI ha stabilito in maniera definiti</w:t>
      </w:r>
      <w:r w:rsidR="00C70A9F">
        <w:t>va la struttura del progetto da elaborare. Esso è stato diviso in tre parti: l</w:t>
      </w:r>
      <w:r>
        <w:t xml:space="preserve">a prima parte </w:t>
      </w:r>
      <w:r w:rsidR="00C70A9F">
        <w:t xml:space="preserve">avrebbe </w:t>
      </w:r>
      <w:r>
        <w:t>riguarda</w:t>
      </w:r>
      <w:r w:rsidR="00C70A9F">
        <w:t>to</w:t>
      </w:r>
      <w:r>
        <w:t xml:space="preserve"> le origini della responsabilità internazionale di uno Stato e mira</w:t>
      </w:r>
      <w:r w:rsidR="00C70A9F">
        <w:t>to</w:t>
      </w:r>
      <w:r>
        <w:t xml:space="preserve"> a stabilire quando un fatto può essere ad esso attribuito, qu</w:t>
      </w:r>
      <w:r w:rsidR="00C70A9F">
        <w:t>ando si possa affermare che tale fatto comporti</w:t>
      </w:r>
      <w:r>
        <w:t xml:space="preserve"> la violazione di un obbligo internazionale e quali siano le circostanze eccezionali che precludono l’illiceità di comportamenti non conformi agli obbl</w:t>
      </w:r>
      <w:r w:rsidR="00C70A9F">
        <w:t>ighi internazionali dello Stato; l</w:t>
      </w:r>
      <w:r>
        <w:t xml:space="preserve">a seconda parte si </w:t>
      </w:r>
      <w:r w:rsidR="00C70A9F">
        <w:t xml:space="preserve">sarebbe </w:t>
      </w:r>
      <w:r>
        <w:t>occupa</w:t>
      </w:r>
      <w:r w:rsidR="00C70A9F">
        <w:t>ta</w:t>
      </w:r>
      <w:r>
        <w:t xml:space="preserve"> del contenuto della responsabilità internazionale, cioè delle conseguenze che un fatto il</w:t>
      </w:r>
      <w:r w:rsidR="00C70A9F">
        <w:t>lecito internazionale comporta e l</w:t>
      </w:r>
      <w:r>
        <w:t>a terza parte</w:t>
      </w:r>
      <w:r w:rsidR="00C70A9F">
        <w:t>, infine, del</w:t>
      </w:r>
      <w:r>
        <w:t>l’attuazione della responsabilità internazionale.</w:t>
      </w:r>
    </w:p>
    <w:p w:rsidR="00CA5718" w:rsidRDefault="00CA5718" w:rsidP="00EB037D">
      <w:pPr>
        <w:spacing w:after="0" w:line="360" w:lineRule="auto"/>
        <w:ind w:firstLine="284"/>
        <w:jc w:val="both"/>
      </w:pPr>
      <w:r>
        <w:t>Nel 2001 l’opera di codificazione intrapresa dalla CDI è pervenuta ad una conclusione con la sottoposizione di un progetto di articoli all’Assemblea Generale delle Nazioni Unite</w:t>
      </w:r>
      <w:r>
        <w:rPr>
          <w:rStyle w:val="Rimandonotaapidipagina"/>
        </w:rPr>
        <w:footnoteReference w:id="34"/>
      </w:r>
      <w:r>
        <w:t>, la quale non ha però ritenuto opportuno adottarlo come progetto di convenzione da sottoporre ad una conferenza diplomatica, limitandosi invece a prendere nota degli articoli e a raccomandarli all’attenzione degli Stati</w:t>
      </w:r>
      <w:r>
        <w:rPr>
          <w:rStyle w:val="Rimandonotaapidipagina"/>
        </w:rPr>
        <w:footnoteReference w:id="35"/>
      </w:r>
      <w:r>
        <w:t>.</w:t>
      </w:r>
    </w:p>
    <w:p w:rsidR="00CA5718" w:rsidRDefault="00CA5718" w:rsidP="00EB037D">
      <w:pPr>
        <w:spacing w:after="0" w:line="360" w:lineRule="auto"/>
        <w:ind w:firstLine="284"/>
        <w:jc w:val="both"/>
      </w:pPr>
      <w:r>
        <w:lastRenderedPageBreak/>
        <w:t>Gli articoli della CDI, il cui progetto era stato adottato in prima lettura nel 1996</w:t>
      </w:r>
      <w:r>
        <w:rPr>
          <w:rStyle w:val="Rimandonotaapidipagina"/>
        </w:rPr>
        <w:footnoteReference w:id="36"/>
      </w:r>
      <w:r>
        <w:t>, sono frutto di uno sforzo quarantennale che ha impegnato come relatori speciali degli illustri giuristi.</w:t>
      </w:r>
    </w:p>
    <w:p w:rsidR="00EB037D" w:rsidRDefault="00CA5718" w:rsidP="00EB037D">
      <w:pPr>
        <w:spacing w:after="0" w:line="360" w:lineRule="auto"/>
        <w:ind w:firstLine="284"/>
        <w:jc w:val="both"/>
      </w:pPr>
      <w:r>
        <w:t>La prima parte del progetto trae origine dagli otto rapporti presentati tra il 1969 ed il 1980 dal relatore speciale Roberto Ago</w:t>
      </w:r>
      <w:r>
        <w:rPr>
          <w:rStyle w:val="Rimandonotaapidipagina"/>
        </w:rPr>
        <w:footnoteReference w:id="37"/>
      </w:r>
      <w:r>
        <w:t>, la seconda parte fa seguito ai sette rapporti del relatore speciale Willelm Riphagen</w:t>
      </w:r>
      <w:r>
        <w:rPr>
          <w:rStyle w:val="Rimandonotaapidipagina"/>
        </w:rPr>
        <w:footnoteReference w:id="38"/>
      </w:r>
      <w:r>
        <w:t xml:space="preserve"> e ai primi quattro rapporti del relatore speciale Arangio-Ruiz</w:t>
      </w:r>
      <w:r>
        <w:rPr>
          <w:rStyle w:val="Rimandonotaapidipagina"/>
        </w:rPr>
        <w:footnoteReference w:id="39"/>
      </w:r>
      <w:r>
        <w:t xml:space="preserve"> ed infine la terza parte si fo</w:t>
      </w:r>
      <w:r w:rsidR="00E669DD">
        <w:t>nda sui successivi tre rapporti</w:t>
      </w:r>
      <w:r>
        <w:t xml:space="preserve"> del medesimo relatore speciale</w:t>
      </w:r>
      <w:r>
        <w:rPr>
          <w:rStyle w:val="Rimandonotaapidipagina"/>
        </w:rPr>
        <w:footnoteReference w:id="40"/>
      </w:r>
      <w:r w:rsidR="00EB037D">
        <w:t xml:space="preserve">. </w:t>
      </w:r>
    </w:p>
    <w:p w:rsidR="005118B4" w:rsidRDefault="00CA5718" w:rsidP="00EB037D">
      <w:pPr>
        <w:spacing w:after="0" w:line="360" w:lineRule="auto"/>
        <w:ind w:firstLine="284"/>
        <w:jc w:val="both"/>
      </w:pPr>
      <w:r>
        <w:t>La seconda lettura, a seguito di cui il progetto è stato definitivamente adottato, si basa invece sui quattro rapporti del relatore speciale James Crawford</w:t>
      </w:r>
      <w:r>
        <w:rPr>
          <w:rStyle w:val="Rimandonotaapidipagina"/>
        </w:rPr>
        <w:footnoteReference w:id="41"/>
      </w:r>
      <w:r w:rsidR="00162B5F">
        <w:t>.</w:t>
      </w:r>
    </w:p>
    <w:p w:rsidR="005118B4" w:rsidRDefault="005118B4" w:rsidP="00EB037D">
      <w:pPr>
        <w:spacing w:after="0"/>
        <w:ind w:firstLine="284"/>
        <w:jc w:val="both"/>
      </w:pPr>
    </w:p>
    <w:p w:rsidR="004676E2" w:rsidRDefault="004676E2" w:rsidP="00EB037D">
      <w:pPr>
        <w:spacing w:after="0"/>
        <w:ind w:firstLine="284"/>
        <w:jc w:val="both"/>
      </w:pPr>
    </w:p>
    <w:p w:rsidR="004676E2" w:rsidRPr="004676E2" w:rsidRDefault="00FC77CE" w:rsidP="004676E2">
      <w:pPr>
        <w:spacing w:after="0"/>
        <w:ind w:firstLine="284"/>
        <w:jc w:val="center"/>
        <w:rPr>
          <w:i/>
        </w:rPr>
      </w:pPr>
      <w:r w:rsidRPr="004676E2">
        <w:rPr>
          <w:i/>
        </w:rPr>
        <w:t xml:space="preserve">Sezione </w:t>
      </w:r>
      <w:r w:rsidR="004676E2" w:rsidRPr="004676E2">
        <w:rPr>
          <w:i/>
        </w:rPr>
        <w:t>II</w:t>
      </w:r>
      <w:r w:rsidRPr="004676E2">
        <w:rPr>
          <w:i/>
        </w:rPr>
        <w:t>.</w:t>
      </w:r>
    </w:p>
    <w:p w:rsidR="004676E2" w:rsidRDefault="004676E2" w:rsidP="004676E2">
      <w:pPr>
        <w:spacing w:after="0"/>
        <w:ind w:firstLine="284"/>
        <w:jc w:val="center"/>
      </w:pPr>
      <w:r>
        <w:t xml:space="preserve">IL DIBATTITO DOTTRINALE SULL’ATTRIBUZIONE DELLE CONDOTTE ALLO STATO </w:t>
      </w:r>
    </w:p>
    <w:p w:rsidR="00FC77CE" w:rsidRDefault="004676E2" w:rsidP="004676E2">
      <w:pPr>
        <w:spacing w:after="0"/>
        <w:ind w:firstLine="284"/>
        <w:jc w:val="center"/>
        <w:rPr>
          <w:i/>
        </w:rPr>
      </w:pPr>
      <w:r>
        <w:t>D</w:t>
      </w:r>
      <w:r w:rsidR="0071213C">
        <w:t>I FATTI ILLECITI INTERNAZIONALI</w:t>
      </w:r>
    </w:p>
    <w:p w:rsidR="00117B2F" w:rsidRDefault="00117B2F" w:rsidP="00854BDA">
      <w:pPr>
        <w:spacing w:after="0"/>
        <w:ind w:firstLine="284"/>
        <w:jc w:val="both"/>
      </w:pPr>
    </w:p>
    <w:p w:rsidR="00FC77CE" w:rsidRDefault="00FC77CE" w:rsidP="00EB037D">
      <w:pPr>
        <w:spacing w:after="0"/>
        <w:ind w:firstLine="284"/>
        <w:jc w:val="both"/>
      </w:pPr>
      <w:r>
        <w:t>1. Premessa</w:t>
      </w:r>
    </w:p>
    <w:p w:rsidR="00FC77CE" w:rsidRDefault="00FC77CE" w:rsidP="00EB037D">
      <w:pPr>
        <w:ind w:firstLine="284"/>
      </w:pPr>
    </w:p>
    <w:p w:rsidR="00FC77CE" w:rsidRDefault="00FC77CE" w:rsidP="00EB037D">
      <w:pPr>
        <w:spacing w:after="0" w:line="360" w:lineRule="auto"/>
        <w:ind w:firstLine="284"/>
        <w:jc w:val="both"/>
      </w:pPr>
      <w:r>
        <w:t xml:space="preserve">Secondo il diritto internazionale generale, affinché il comportamento di uno Stato faccia sorgere la sua responsabilità è necessario </w:t>
      </w:r>
      <w:r w:rsidR="00147C4B">
        <w:t>non solo che il fatto</w:t>
      </w:r>
      <w:r>
        <w:t xml:space="preserve"> </w:t>
      </w:r>
      <w:r w:rsidR="00147C4B">
        <w:t xml:space="preserve">sia stato tenuto in violazione di una regola di diritto internazionale per esso vigente (elemento oggettivo dell’illecito </w:t>
      </w:r>
      <w:r w:rsidR="00147C4B">
        <w:lastRenderedPageBreak/>
        <w:t xml:space="preserve">internazionale), ma anche che il fatto sia </w:t>
      </w:r>
      <w:r>
        <w:t>ad esso attribuibile come soggetto di diritto internazionale (elemento soggettivo del</w:t>
      </w:r>
      <w:r w:rsidR="00D40CB2">
        <w:t>l’illecito internazionale)</w:t>
      </w:r>
      <w:r>
        <w:rPr>
          <w:rStyle w:val="Rimandonotaapidipagina"/>
        </w:rPr>
        <w:footnoteReference w:id="42"/>
      </w:r>
      <w:r>
        <w:t>.</w:t>
      </w:r>
    </w:p>
    <w:p w:rsidR="00FC77CE" w:rsidRDefault="00FC77CE" w:rsidP="00B71AAE">
      <w:pPr>
        <w:spacing w:after="0" w:line="360" w:lineRule="auto"/>
        <w:ind w:firstLine="284"/>
        <w:jc w:val="both"/>
      </w:pPr>
      <w:r>
        <w:t>Gli Stati, come soggetti di diritto rientranti nella categoria degli enti collettivi, possono agire esclusivamente attraverso la condotta materiale di persone fisiche o giuridiche. L’operazione attributiva, mediante l’utilizzo di appositi criteri, fa in modo che gli autori materiali di un comportamento risultino dei semplici strumenti attraverso cui l’ente collettivo svolge le proprie funzioni</w:t>
      </w:r>
      <w:r>
        <w:rPr>
          <w:rStyle w:val="Rimandonotaapidipagina"/>
        </w:rPr>
        <w:footnoteReference w:id="43"/>
      </w:r>
      <w:r>
        <w:t>.</w:t>
      </w:r>
      <w:r w:rsidR="00B71AAE">
        <w:t xml:space="preserve"> </w:t>
      </w:r>
      <w:r>
        <w:t>La questione dell’attribuzione</w:t>
      </w:r>
      <w:r w:rsidR="003C67D8">
        <w:rPr>
          <w:rStyle w:val="Rimandonotaapidipagina"/>
        </w:rPr>
        <w:footnoteReference w:id="44"/>
      </w:r>
      <w:r>
        <w:t xml:space="preserve"> di una condotta allo Stato ai fini della responsabilità internazionale viene generalmente risolta mediante la distinzione fra fatti di organi e fatti di privati. </w:t>
      </w:r>
      <w:r>
        <w:rPr>
          <w:rFonts w:cstheme="minorHAnsi"/>
        </w:rPr>
        <w:t>È</w:t>
      </w:r>
      <w:r>
        <w:t xml:space="preserve"> difatti ampiamente sostenuto che lo Stato risponde del comportamento di tutti i suoi organi, non essendo invece ad esso riferibile la condotta di privati.</w:t>
      </w:r>
    </w:p>
    <w:p w:rsidR="00FC77CE" w:rsidRDefault="00FC77CE" w:rsidP="00EB037D">
      <w:pPr>
        <w:spacing w:after="0" w:line="360" w:lineRule="auto"/>
        <w:ind w:firstLine="284"/>
        <w:jc w:val="both"/>
      </w:pPr>
      <w:r>
        <w:t xml:space="preserve">La specificità del legame che unisce l’individuo-organo allo Stato risiede nella sua appartenenza all’organizzazione statale, per cui l’esistenza della qualità organica in capo ad </w:t>
      </w:r>
      <w:r>
        <w:lastRenderedPageBreak/>
        <w:t>un individuo implica l’accertamento della sua effettiva appartenenza all’organizzazione dello Stato</w:t>
      </w:r>
      <w:r>
        <w:rPr>
          <w:rStyle w:val="Rimandonotaapidipagina"/>
        </w:rPr>
        <w:footnoteReference w:id="45"/>
      </w:r>
      <w:r>
        <w:t>.</w:t>
      </w:r>
    </w:p>
    <w:p w:rsidR="00FC77CE" w:rsidRDefault="00FC77CE" w:rsidP="00EB037D">
      <w:pPr>
        <w:spacing w:after="0" w:line="360" w:lineRule="auto"/>
        <w:ind w:firstLine="284"/>
        <w:jc w:val="both"/>
      </w:pPr>
      <w:r>
        <w:t>Con riferimento alle condizioni in presenza delle quali un individuo può essere considerato come facente parte dell’organizzazione dello Stato ai fini attributivi, esistono alcuni principi ampiamente condivisi.</w:t>
      </w:r>
    </w:p>
    <w:p w:rsidR="00FC77CE" w:rsidRDefault="00FC77CE" w:rsidP="00EB037D">
      <w:pPr>
        <w:spacing w:after="0" w:line="360" w:lineRule="auto"/>
        <w:ind w:firstLine="284"/>
        <w:jc w:val="both"/>
      </w:pPr>
      <w:r>
        <w:t>Il principio che attribuisce allo Stato le condotte di individui o enti che rivestono la qualifica di organi o di organi di suoi enti pubblici territoriali alla stregua dell’ordinamento interno non è stato nella sostanza mai messo in discussione né nella prassi né nella dottrina</w:t>
      </w:r>
      <w:r w:rsidR="008C690E">
        <w:t xml:space="preserve"> più recenti</w:t>
      </w:r>
      <w:r>
        <w:t>.</w:t>
      </w:r>
    </w:p>
    <w:p w:rsidR="00FC77CE" w:rsidRDefault="00FC77CE" w:rsidP="00EB037D">
      <w:pPr>
        <w:spacing w:after="0" w:line="360" w:lineRule="auto"/>
        <w:ind w:firstLine="284"/>
        <w:jc w:val="both"/>
      </w:pPr>
      <w:r>
        <w:t>La stessa Corte internazionale di g</w:t>
      </w:r>
      <w:r w:rsidRPr="0021311A">
        <w:t>iustizia ha fatto più volte riferimento a tale criterio di attribuzione, precisando che si tratta di un principio di diritto internazionale consuetudinario</w:t>
      </w:r>
      <w:r w:rsidRPr="0021311A">
        <w:rPr>
          <w:rStyle w:val="Rimandonotaapidipagina"/>
        </w:rPr>
        <w:footnoteReference w:id="46"/>
      </w:r>
      <w:r>
        <w:t>.</w:t>
      </w:r>
    </w:p>
    <w:p w:rsidR="00FC77CE" w:rsidRDefault="00FC77CE" w:rsidP="00EB037D">
      <w:pPr>
        <w:spacing w:after="0" w:line="360" w:lineRule="auto"/>
        <w:ind w:firstLine="284"/>
        <w:jc w:val="both"/>
      </w:pPr>
      <w:r w:rsidRPr="0021311A">
        <w:t xml:space="preserve">Dalla prassi internazionale </w:t>
      </w:r>
      <w:r w:rsidR="003D020B">
        <w:t xml:space="preserve">meno antica </w:t>
      </w:r>
      <w:r w:rsidRPr="0021311A">
        <w:t>è desumibile come sia totalmente ininfluente</w:t>
      </w:r>
      <w:r>
        <w:t>,</w:t>
      </w:r>
      <w:r w:rsidRPr="0021311A">
        <w:t xml:space="preserve"> al fine di riconoscere una condotta come atto statal</w:t>
      </w:r>
      <w:r>
        <w:t>e dal</w:t>
      </w:r>
      <w:r w:rsidR="00E92604">
        <w:t xml:space="preserve"> punto di vista dell’ordinamento </w:t>
      </w:r>
      <w:r w:rsidRPr="0021311A">
        <w:t>internazionale</w:t>
      </w:r>
      <w:r>
        <w:t>,</w:t>
      </w:r>
      <w:r w:rsidRPr="0021311A">
        <w:t xml:space="preserve"> la f</w:t>
      </w:r>
      <w:r>
        <w:t>unzione esercitata (</w:t>
      </w:r>
      <w:r w:rsidRPr="0021311A">
        <w:t>sia essa legislativa, esecutiva o giudiziaria</w:t>
      </w:r>
      <w:r>
        <w:rPr>
          <w:rStyle w:val="Rimandonotaapidipagina"/>
        </w:rPr>
        <w:footnoteReference w:id="47"/>
      </w:r>
      <w:r>
        <w:t>), il luogo del suo svolgimento ed il rango superiore o subalterno dell’organo</w:t>
      </w:r>
      <w:r>
        <w:rPr>
          <w:rStyle w:val="Rimandonotaapidipagina"/>
        </w:rPr>
        <w:footnoteReference w:id="48"/>
      </w:r>
      <w:r>
        <w:t>.</w:t>
      </w:r>
    </w:p>
    <w:p w:rsidR="00FC77CE" w:rsidRDefault="00FC77CE" w:rsidP="00EB037D">
      <w:pPr>
        <w:spacing w:after="0" w:line="360" w:lineRule="auto"/>
        <w:ind w:firstLine="284"/>
        <w:jc w:val="both"/>
      </w:pPr>
      <w:r>
        <w:t>Data la natura recente del fenomeno della decentralizzazione da parte dello Stato di funzioni un tempo considerate sovrane,</w:t>
      </w:r>
      <w:r w:rsidRPr="00967105">
        <w:t xml:space="preserve"> </w:t>
      </w:r>
      <w:r>
        <w:t>la prassi relativa ai comportamenti di enti pubblici non</w:t>
      </w:r>
      <w:r w:rsidR="00EE412B">
        <w:t xml:space="preserve"> territoriali non è molto vasta. Sebbene non del tutto uniforme, </w:t>
      </w:r>
      <w:r>
        <w:t>sembra orientarsi verso l’attribuzione allo Stato delle condotte degli organi di quegli enti che in base al diritto interno esercitano prerogative del pubblico potere.</w:t>
      </w:r>
    </w:p>
    <w:p w:rsidR="00FC77CE" w:rsidRPr="00B6005E" w:rsidRDefault="00FC77CE" w:rsidP="00EB037D">
      <w:pPr>
        <w:spacing w:after="0" w:line="360" w:lineRule="auto"/>
        <w:ind w:firstLine="284"/>
        <w:jc w:val="both"/>
      </w:pPr>
      <w:r w:rsidRPr="00B6005E">
        <w:lastRenderedPageBreak/>
        <w:t xml:space="preserve">La validità del principio secondo cui sono attribuibili allo Stato i comportamenti degli individui o enti che godono della qualità di organi </w:t>
      </w:r>
      <w:r w:rsidR="008C3A51">
        <w:t xml:space="preserve">dello Stato </w:t>
      </w:r>
      <w:r w:rsidRPr="00B6005E">
        <w:t xml:space="preserve">in base all’ordinamento interno è in genere fatta derivare da una costatazione che attiene al modo in cui l’ordinamento internazionale si atteggia rispetto al problema di definire l’organizzazione interna dello Stato. </w:t>
      </w:r>
    </w:p>
    <w:p w:rsidR="00FC77CE" w:rsidRDefault="009F6780" w:rsidP="00EB037D">
      <w:pPr>
        <w:spacing w:after="0" w:line="360" w:lineRule="auto"/>
        <w:ind w:firstLine="284"/>
        <w:jc w:val="both"/>
      </w:pPr>
      <w:r w:rsidRPr="009F6780">
        <w:t>Presupponendo l’esistenza di un diritto degli Stati ad auto-organizzarsi</w:t>
      </w:r>
      <w:r>
        <w:rPr>
          <w:rStyle w:val="Rimandonotaapidipagina"/>
        </w:rPr>
        <w:footnoteReference w:id="49"/>
      </w:r>
      <w:r w:rsidRPr="009F6780">
        <w:t xml:space="preserve">, </w:t>
      </w:r>
      <w:r w:rsidR="00FC77CE" w:rsidRPr="009F6780">
        <w:t xml:space="preserve">il riferimento al diritto interno ai fini della determinazione della qualità di organo </w:t>
      </w:r>
      <w:r w:rsidRPr="009F6780">
        <w:t xml:space="preserve">viene reputato </w:t>
      </w:r>
      <w:r w:rsidR="00FC77CE" w:rsidRPr="009F6780">
        <w:t xml:space="preserve">la </w:t>
      </w:r>
      <w:r w:rsidRPr="009F6780">
        <w:t xml:space="preserve">logica </w:t>
      </w:r>
      <w:r w:rsidR="00FC77CE" w:rsidRPr="009F6780">
        <w:t xml:space="preserve">conseguenza di una sorta di riserva di campo assicurata al diritto interno </w:t>
      </w:r>
      <w:r w:rsidRPr="009F6780">
        <w:t xml:space="preserve">con riferimento </w:t>
      </w:r>
      <w:r w:rsidR="00FC77CE" w:rsidRPr="009F6780">
        <w:t>alla definizione dell’organizzazione dello Stato</w:t>
      </w:r>
      <w:r w:rsidR="00FC77CE">
        <w:rPr>
          <w:rStyle w:val="Rimandonotaapidipagina"/>
        </w:rPr>
        <w:footnoteReference w:id="50"/>
      </w:r>
      <w:r w:rsidR="00FC77CE" w:rsidRPr="00B6005E">
        <w:t>.</w:t>
      </w:r>
      <w:r w:rsidR="0053518D">
        <w:t xml:space="preserve"> </w:t>
      </w:r>
    </w:p>
    <w:p w:rsidR="00FC77CE" w:rsidRDefault="00FC77CE" w:rsidP="00547EA6">
      <w:pPr>
        <w:spacing w:after="0" w:line="360" w:lineRule="auto"/>
        <w:ind w:firstLine="284"/>
        <w:jc w:val="both"/>
      </w:pPr>
      <w:r>
        <w:t>D’altro canto, è largamente accettata anche l’idea che il criterio del riferimento al diritto in</w:t>
      </w:r>
      <w:r w:rsidR="00547EA6">
        <w:t xml:space="preserve">terno non </w:t>
      </w:r>
      <w:r>
        <w:t>a</w:t>
      </w:r>
      <w:r w:rsidR="00547EA6">
        <w:t>bbia</w:t>
      </w:r>
      <w:r>
        <w:t xml:space="preserve"> un carattere esclusivo, per cui può essere attribuito allo Stato, in presenza di determinate condizioni, anche il comportamento adottato da individui che il diritto interno non qualifica come organi.</w:t>
      </w:r>
      <w:r w:rsidR="001B49AC">
        <w:t xml:space="preserve"> </w:t>
      </w:r>
      <w:r>
        <w:t>La possibilità di riferire allo Stato i fatti di individui o enti ad esso legati da un rapporto di fatto è confermata dalla prassi e trova giustificazione anche in consid</w:t>
      </w:r>
      <w:r w:rsidR="00547EA6">
        <w:t xml:space="preserve">erazioni di carattere generale. </w:t>
      </w:r>
      <w:r>
        <w:t>Sembra possibile affermare che l’esistenza di una libertà dello Stato di auto-organizzars</w:t>
      </w:r>
      <w:r w:rsidR="00012BE9">
        <w:t>i non implichi</w:t>
      </w:r>
      <w:r>
        <w:t xml:space="preserve"> la libertà di escludere a propria discrezione che individui o enti sprovvisti della qualità formale di organi possano far sorgere la responsabilità dello Stato per un fatto illecito internazionale da esso commesso.</w:t>
      </w:r>
    </w:p>
    <w:p w:rsidR="00FC77CE" w:rsidRDefault="00FC77CE" w:rsidP="00EB037D">
      <w:pPr>
        <w:spacing w:after="0" w:line="360" w:lineRule="auto"/>
        <w:ind w:firstLine="284"/>
        <w:jc w:val="both"/>
      </w:pPr>
      <w:r>
        <w:t>L’esigenza di garantire la certezza delle relazioni internazionali porta a restringere la rilevanza del diritto interno ai fini dell’attribuzione, in modo tale da evitare che uno Stato possa invocare disposizioni del suo ordinamento per negare la propria responsabilità rispetto al comportamento di individui o enti che non sono qualificati come organi dal diritto interno, pur essendo di fatto integrati nell’apparato statale.</w:t>
      </w:r>
    </w:p>
    <w:p w:rsidR="00FC77CE" w:rsidRDefault="00FC77CE" w:rsidP="00EB037D">
      <w:pPr>
        <w:spacing w:after="0" w:line="360" w:lineRule="auto"/>
        <w:ind w:firstLine="284"/>
        <w:jc w:val="both"/>
      </w:pPr>
      <w:r>
        <w:t xml:space="preserve">Dal momento che l’organizzazione di fatto dello Stato coincide solitamente con quanto risulta dall’applicazione delle norme interne, sono in prima battuta i dati che si ricavano da </w:t>
      </w:r>
      <w:r>
        <w:lastRenderedPageBreak/>
        <w:t>tale ordinamento a stabilire la riferibilità allo Stato di un dato comportamento. Nel caso in cui invece l’organizzazione di fatto si discosta dalle indicazioni fornite dal diritto interno, il riferimento alla organizzazione fattuale dello Stato giustifica che siano ad esso riferite le condotte di individui che, pur non godendo della qualità organica in base al diritto interno, risultano in fatto integrati all’interno dell’organizzazione dello Stato, così come in talune circostanze giustifica l’esclusione dell’attribuzione di comportamenti di individui che hanno la qualità di organi.</w:t>
      </w:r>
    </w:p>
    <w:p w:rsidR="00FC77CE" w:rsidRDefault="00FC77CE" w:rsidP="00EB037D">
      <w:pPr>
        <w:spacing w:after="0" w:line="360" w:lineRule="auto"/>
        <w:ind w:firstLine="284"/>
        <w:jc w:val="both"/>
      </w:pPr>
      <w:r>
        <w:t xml:space="preserve">I principi generali ora indicati forniscono la cornice nella quale si inserisce il problema della responsabilità internazionale dello Stato per i fatti illeciti </w:t>
      </w:r>
      <w:r w:rsidRPr="00AB3F2A">
        <w:rPr>
          <w:i/>
        </w:rPr>
        <w:t>ultra vires</w:t>
      </w:r>
      <w:r>
        <w:t>.</w:t>
      </w:r>
    </w:p>
    <w:p w:rsidR="00FC77CE" w:rsidRPr="00770D67" w:rsidRDefault="00FC77CE" w:rsidP="00EB037D">
      <w:pPr>
        <w:spacing w:after="0" w:line="360" w:lineRule="auto"/>
        <w:ind w:firstLine="284"/>
        <w:jc w:val="both"/>
      </w:pPr>
      <w:r>
        <w:t xml:space="preserve">Oltre a poter adottare dei comportamenti conformi alla propria competenza e </w:t>
      </w:r>
      <w:r w:rsidR="00893F81">
        <w:t xml:space="preserve">comportamenti </w:t>
      </w:r>
      <w:r>
        <w:t>a titolo privato, gli organi statali possono tenere nell’esercizio delle proprie funzioni ufficiali delle condotte non autorizzate.</w:t>
      </w:r>
    </w:p>
    <w:p w:rsidR="00FC77CE" w:rsidRDefault="00FC77CE" w:rsidP="00EB037D">
      <w:pPr>
        <w:spacing w:after="0" w:line="360" w:lineRule="auto"/>
        <w:ind w:firstLine="284"/>
        <w:jc w:val="both"/>
      </w:pPr>
      <w:r>
        <w:t xml:space="preserve">Un organo agisce </w:t>
      </w:r>
      <w:r w:rsidRPr="00B37230">
        <w:rPr>
          <w:i/>
        </w:rPr>
        <w:t>ultra vires</w:t>
      </w:r>
      <w:r>
        <w:t xml:space="preserve"> ogniqualvolta adotta </w:t>
      </w:r>
      <w:r>
        <w:rPr>
          <w:i/>
        </w:rPr>
        <w:t>ex qualitate</w:t>
      </w:r>
      <w:r w:rsidRPr="003A0FED">
        <w:rPr>
          <w:i/>
        </w:rPr>
        <w:t xml:space="preserve"> </w:t>
      </w:r>
      <w:r>
        <w:t xml:space="preserve">un comportamento in violazione di istruzioni ricevute conformemente al diritto interno, o viola la propria competenza secondo il diritto </w:t>
      </w:r>
      <w:r w:rsidRPr="003A0FED">
        <w:t xml:space="preserve">interno o comunque </w:t>
      </w:r>
      <w:r>
        <w:t>la normativa interna</w:t>
      </w:r>
      <w:r>
        <w:rPr>
          <w:rStyle w:val="Rimandonotaapidipagina"/>
        </w:rPr>
        <w:footnoteReference w:id="51"/>
      </w:r>
      <w:r>
        <w:t xml:space="preserve">. </w:t>
      </w:r>
    </w:p>
    <w:p w:rsidR="00FC77CE" w:rsidRPr="001C1BB0" w:rsidRDefault="00FC77CE" w:rsidP="00EB037D">
      <w:pPr>
        <w:spacing w:after="0" w:line="360" w:lineRule="auto"/>
        <w:ind w:firstLine="284"/>
        <w:jc w:val="both"/>
      </w:pPr>
      <w:r>
        <w:t>Si tratta di una situazione intermedia rispetto agli estremi rappresentati</w:t>
      </w:r>
      <w:r w:rsidR="00B270A5">
        <w:t>,</w:t>
      </w:r>
      <w:r>
        <w:t xml:space="preserve"> da una parte</w:t>
      </w:r>
      <w:r w:rsidR="00B270A5">
        <w:t>,</w:t>
      </w:r>
      <w:r>
        <w:t xml:space="preserve"> dai comportamenti adottati dagli organi in conformità alla propria competenza e</w:t>
      </w:r>
      <w:r w:rsidR="00B270A5">
        <w:t>,</w:t>
      </w:r>
      <w:r>
        <w:t xml:space="preserve"> dall’altra</w:t>
      </w:r>
      <w:r w:rsidR="00B270A5">
        <w:t>,</w:t>
      </w:r>
      <w:r>
        <w:t xml:space="preserve"> dalle condotte tenute dagli organi nella propria capacità privata</w:t>
      </w:r>
      <w:r>
        <w:rPr>
          <w:rStyle w:val="Rimandonotaapidipagina"/>
        </w:rPr>
        <w:footnoteReference w:id="52"/>
      </w:r>
      <w:r>
        <w:t>.</w:t>
      </w:r>
    </w:p>
    <w:p w:rsidR="00FC77CE" w:rsidRDefault="00FC77CE" w:rsidP="00EB037D">
      <w:pPr>
        <w:spacing w:after="0" w:line="360" w:lineRule="auto"/>
        <w:ind w:firstLine="284"/>
        <w:jc w:val="both"/>
      </w:pPr>
      <w:r w:rsidRPr="00770D67">
        <w:t>Nel caso in cui un indi</w:t>
      </w:r>
      <w:r>
        <w:t>viduo-organo adotti</w:t>
      </w:r>
      <w:r w:rsidRPr="00770D67">
        <w:t xml:space="preserve"> un comportamento </w:t>
      </w:r>
      <w:r w:rsidRPr="00770D67">
        <w:rPr>
          <w:i/>
        </w:rPr>
        <w:t>ultra vires</w:t>
      </w:r>
      <w:r w:rsidRPr="00770D67">
        <w:t xml:space="preserve"> si è in definitiva in presenza di una condotta tenuta nell’esercizio </w:t>
      </w:r>
      <w:r>
        <w:t>delle proprie funzioni</w:t>
      </w:r>
      <w:r w:rsidRPr="00770D67">
        <w:t>, la cui adozione è però avvenuta nel mancato rispetto dell’ordinamento dello Stato di cui è parte.</w:t>
      </w:r>
    </w:p>
    <w:p w:rsidR="00FC77CE" w:rsidRDefault="00FC77CE" w:rsidP="00EB037D">
      <w:pPr>
        <w:spacing w:after="0" w:line="360" w:lineRule="auto"/>
        <w:ind w:firstLine="284"/>
        <w:jc w:val="both"/>
      </w:pPr>
      <w:r>
        <w:t>P</w:t>
      </w:r>
      <w:r w:rsidRPr="00770D67">
        <w:t>e</w:t>
      </w:r>
      <w:r>
        <w:t>r</w:t>
      </w:r>
      <w:r w:rsidR="00B270A5">
        <w:t xml:space="preserve"> stabilire se sia possibile </w:t>
      </w:r>
      <w:r w:rsidRPr="00770D67">
        <w:t xml:space="preserve">attribuire allo Stato i comportamenti adottati </w:t>
      </w:r>
      <w:r w:rsidRPr="00770D67">
        <w:rPr>
          <w:i/>
        </w:rPr>
        <w:t>ultra vires</w:t>
      </w:r>
      <w:r w:rsidRPr="00770D67">
        <w:t xml:space="preserve"> dai propri organi</w:t>
      </w:r>
      <w:r>
        <w:t xml:space="preserve"> </w:t>
      </w:r>
      <w:r w:rsidRPr="009B2B0D">
        <w:rPr>
          <w:i/>
        </w:rPr>
        <w:t>de jure</w:t>
      </w:r>
      <w:r>
        <w:t xml:space="preserve"> occorre</w:t>
      </w:r>
      <w:r w:rsidRPr="00770D67">
        <w:t xml:space="preserve"> </w:t>
      </w:r>
      <w:r>
        <w:t xml:space="preserve">quindi </w:t>
      </w:r>
      <w:r w:rsidRPr="00770D67">
        <w:t xml:space="preserve">approfondire il ruolo </w:t>
      </w:r>
      <w:r>
        <w:t xml:space="preserve">svolto </w:t>
      </w:r>
      <w:r w:rsidRPr="00770D67">
        <w:t xml:space="preserve">dal diritto interno ai fini dell’attribuzione di condotte </w:t>
      </w:r>
      <w:r>
        <w:t xml:space="preserve">allo Stato </w:t>
      </w:r>
      <w:r w:rsidRPr="00770D67">
        <w:t>nell’ordinamento internazionale.</w:t>
      </w:r>
    </w:p>
    <w:p w:rsidR="00FC77CE" w:rsidRDefault="00FC77CE" w:rsidP="00EB037D">
      <w:pPr>
        <w:spacing w:after="0" w:line="360" w:lineRule="auto"/>
        <w:ind w:firstLine="284"/>
        <w:jc w:val="both"/>
      </w:pPr>
      <w:r>
        <w:lastRenderedPageBreak/>
        <w:t xml:space="preserve">Si potrebbe però sostenere che la regola in materia di attribuzione di fatti </w:t>
      </w:r>
      <w:r w:rsidRPr="003110A2">
        <w:rPr>
          <w:i/>
        </w:rPr>
        <w:t>ultra vires</w:t>
      </w:r>
      <w:r>
        <w:t xml:space="preserve"> può trovare applicazione anche con riferimento a situazioni nelle quali le competenze assegnate ad un individuo o ente sono state determinate sulla base di elementi di fatto. Nonostante il riferimento al diritto interno consenta in genere di ottenere indicazioni precise circa il contenuto e i limiti delle funzioni assegnate ad un individuo o ente all’interno dell’organizzazione dello Stato, ciò non significa che la determinazione delle competenze assegnate non possa essere </w:t>
      </w:r>
      <w:r w:rsidR="0099253F">
        <w:t xml:space="preserve">anche </w:t>
      </w:r>
      <w:r>
        <w:t>condotta attraverso l’esame dei vari elementi di fatto che attestano l’integrazione dell’individuo o ente all’interno dell’apparato statale.</w:t>
      </w:r>
    </w:p>
    <w:p w:rsidR="00FC77CE" w:rsidRDefault="00FC77CE" w:rsidP="00EB037D">
      <w:pPr>
        <w:spacing w:after="0" w:line="360" w:lineRule="auto"/>
        <w:ind w:firstLine="284"/>
        <w:jc w:val="both"/>
      </w:pPr>
      <w:r>
        <w:t xml:space="preserve">Ammettere </w:t>
      </w:r>
      <w:r w:rsidRPr="006930C6">
        <w:rPr>
          <w:i/>
        </w:rPr>
        <w:t>a priori</w:t>
      </w:r>
      <w:r>
        <w:t xml:space="preserve"> che il problema dell’attribuzione di fatti </w:t>
      </w:r>
      <w:r w:rsidRPr="009741AC">
        <w:rPr>
          <w:i/>
        </w:rPr>
        <w:t>ultra vires</w:t>
      </w:r>
      <w:r>
        <w:t xml:space="preserve"> può sorgere esclusivamente con riferimento ad individui o enti legati allo Stato da un rapporto formale, equivale a riconoscere che il diritto internazionale rinvia al diritto interno al fine di determinare se un individuo o ente ha agito in maniera competente e, soltanto in un secondo momento, stabilisce mediante propri criteri se la condotta debba essere riferita allo Stato.</w:t>
      </w:r>
    </w:p>
    <w:p w:rsidR="00FC77CE" w:rsidRDefault="00FC77CE" w:rsidP="00EB037D">
      <w:pPr>
        <w:spacing w:after="0" w:line="360" w:lineRule="auto"/>
        <w:ind w:firstLine="284"/>
        <w:jc w:val="both"/>
      </w:pPr>
      <w:r>
        <w:t>In linea di principio potrebbe invece essere il diritto internazionale a distinguere, secondo propri criteri,  quando individui che non hanno la qualità di organi in base al diritto interno hanno adottato dei comportamenti nell’esercizio delle proprie funzioni oppure in qualità di privato ai fini di determinarne l’attribuzione allo Stato.</w:t>
      </w:r>
    </w:p>
    <w:p w:rsidR="00FC77CE" w:rsidRDefault="00FC77CE" w:rsidP="00EB037D">
      <w:pPr>
        <w:spacing w:after="0" w:line="360" w:lineRule="auto"/>
        <w:ind w:firstLine="284"/>
        <w:jc w:val="both"/>
      </w:pPr>
      <w:r>
        <w:t xml:space="preserve">Per meglio chiarire il contesto entro cui si colloca la questione dell’attribuzione allo Stato dei fatti </w:t>
      </w:r>
      <w:r w:rsidRPr="00DB36B6">
        <w:rPr>
          <w:i/>
        </w:rPr>
        <w:t>ultra vires</w:t>
      </w:r>
      <w:r>
        <w:t>, può essere innanzitutto utile considerare il dibattito dottrinale intorno al fenomeno dell’attribuzione avendo cura di mettere in rilievo il ruolo svolto dal diritto interno al fine della riferibilità di una condotta allo Stato quale soggetto internazionale. Egualmente funzionale alla successiva trattazione della possibilità di riferire allo Stato in ambito internazionale una condotta non autorizzata dei propri organi, sembra essere inoltre la trattazione dei differenti approcci seguiti in dottrina con riferimento alla definizione della nozione di organo.</w:t>
      </w:r>
    </w:p>
    <w:p w:rsidR="00FC77CE" w:rsidRDefault="00FC77CE" w:rsidP="00EB037D">
      <w:pPr>
        <w:spacing w:after="0"/>
        <w:ind w:firstLine="284"/>
        <w:jc w:val="both"/>
      </w:pPr>
    </w:p>
    <w:p w:rsidR="00FC77CE" w:rsidRDefault="00FC77CE" w:rsidP="00A207C4">
      <w:pPr>
        <w:spacing w:after="0"/>
        <w:ind w:left="284"/>
        <w:jc w:val="both"/>
      </w:pPr>
      <w:r>
        <w:t>2. Individuazione dei principali orientamenti dottrinali in tema di attribuzione di condotte allo Stato</w:t>
      </w:r>
    </w:p>
    <w:p w:rsidR="00FC77CE" w:rsidRDefault="00FC77CE" w:rsidP="00EB037D">
      <w:pPr>
        <w:spacing w:after="0"/>
        <w:ind w:firstLine="284"/>
        <w:jc w:val="both"/>
      </w:pPr>
    </w:p>
    <w:p w:rsidR="00FC77CE" w:rsidRDefault="00A207C4" w:rsidP="00A207C4">
      <w:pPr>
        <w:spacing w:after="0"/>
        <w:ind w:firstLine="708"/>
        <w:jc w:val="both"/>
      </w:pPr>
      <w:r>
        <w:t xml:space="preserve">2.1 </w:t>
      </w:r>
      <w:r w:rsidR="00FC77CE">
        <w:t>Tesi che riconoscono rilevanza esclusiva al diritto interno</w:t>
      </w:r>
    </w:p>
    <w:p w:rsidR="00FC77CE" w:rsidRDefault="00FC77CE" w:rsidP="00EB037D">
      <w:pPr>
        <w:spacing w:after="0" w:line="360" w:lineRule="auto"/>
        <w:ind w:firstLine="284"/>
        <w:jc w:val="both"/>
      </w:pPr>
    </w:p>
    <w:p w:rsidR="00FC77CE" w:rsidRDefault="00FC77CE" w:rsidP="00854BDA">
      <w:pPr>
        <w:spacing w:after="0" w:line="360" w:lineRule="auto"/>
        <w:ind w:firstLine="284"/>
        <w:jc w:val="both"/>
      </w:pPr>
      <w:r w:rsidRPr="00960DF6">
        <w:t>La dottrina si è a lungo confrontata sul problema di stabilire q</w:t>
      </w:r>
      <w:r>
        <w:t>uando una condotta o una manifestazione di vol</w:t>
      </w:r>
      <w:r w:rsidR="00880B13">
        <w:t>ontà di un individuo o ente dovrebbe</w:t>
      </w:r>
      <w:r w:rsidRPr="00960DF6">
        <w:t xml:space="preserve"> essere consi</w:t>
      </w:r>
      <w:r>
        <w:t xml:space="preserve">derata come propria </w:t>
      </w:r>
      <w:r>
        <w:lastRenderedPageBreak/>
        <w:t>dello Stato</w:t>
      </w:r>
      <w:r>
        <w:rPr>
          <w:rStyle w:val="Rimandonotaapidipagina"/>
        </w:rPr>
        <w:footnoteReference w:id="53"/>
      </w:r>
      <w:r>
        <w:t>.</w:t>
      </w:r>
      <w:r w:rsidR="00854BDA">
        <w:t xml:space="preserve"> </w:t>
      </w:r>
      <w:r>
        <w:t>Le varie soluzioni prospettate possono essere ricondotte a due orientamenti di fondo: da una parte ci sono gli autori secondo cui il problema di sapere in quali circostanze il comportamento di un individuo deve essere riferito allo Stato può essere risolto esclusivamente grazie al rifer</w:t>
      </w:r>
      <w:r w:rsidR="00291CB7">
        <w:t>imento all’ordinamento</w:t>
      </w:r>
      <w:r>
        <w:t xml:space="preserve"> interno, dall’altra ci sono invece coloro che reputano il diritto interno </w:t>
      </w:r>
      <w:r w:rsidR="000267F5">
        <w:t xml:space="preserve">solo </w:t>
      </w:r>
      <w:r>
        <w:t>uno dei vari elementi in base a cui si determina la possibilità di attribuire una condotta di individui o enti allo Stato</w:t>
      </w:r>
      <w:r>
        <w:rPr>
          <w:rStyle w:val="Rimandonotaapidipagina"/>
        </w:rPr>
        <w:footnoteReference w:id="54"/>
      </w:r>
      <w:r>
        <w:t>.</w:t>
      </w:r>
    </w:p>
    <w:p w:rsidR="00FC77CE" w:rsidRDefault="00FC77CE" w:rsidP="00EB037D">
      <w:pPr>
        <w:spacing w:after="0" w:line="360" w:lineRule="auto"/>
        <w:ind w:firstLine="284"/>
        <w:jc w:val="both"/>
      </w:pPr>
      <w:r>
        <w:t>Le tesi che attribuiscono rilevanza esclusiva al diritto interno ai fini della determinazione dei presupposti per riferire un’attività al</w:t>
      </w:r>
      <w:r w:rsidR="000267F5">
        <w:t xml:space="preserve">lo Stato riconoscono, come i </w:t>
      </w:r>
      <w:r>
        <w:t>fatti</w:t>
      </w:r>
      <w:r w:rsidR="000267F5">
        <w:t xml:space="preserve"> di quest’ultimo</w:t>
      </w:r>
      <w:r>
        <w:t xml:space="preserve">, solo le </w:t>
      </w:r>
      <w:r w:rsidR="00586DA6">
        <w:t>condotte tenute da individui o enti</w:t>
      </w:r>
      <w:r>
        <w:t xml:space="preserve"> che possiedono</w:t>
      </w:r>
      <w:r w:rsidRPr="00BE78C2">
        <w:t xml:space="preserve"> la qualità di organi in base a</w:t>
      </w:r>
      <w:r>
        <w:t>l diritto interno e che agiscono</w:t>
      </w:r>
      <w:r w:rsidRPr="00BE78C2">
        <w:t xml:space="preserve"> rispettando le competenze loro conferite dal medesimo ordinamento</w:t>
      </w:r>
      <w:r w:rsidRPr="00BE78C2">
        <w:rPr>
          <w:rStyle w:val="Rimandonotaapidipagina"/>
        </w:rPr>
        <w:footnoteReference w:id="55"/>
      </w:r>
      <w:r w:rsidRPr="00BE78C2">
        <w:t xml:space="preserve">. </w:t>
      </w:r>
    </w:p>
    <w:p w:rsidR="00FC77CE" w:rsidRDefault="00FC77CE" w:rsidP="00EB037D">
      <w:pPr>
        <w:spacing w:after="0" w:line="360" w:lineRule="auto"/>
        <w:ind w:firstLine="284"/>
        <w:jc w:val="both"/>
      </w:pPr>
      <w:r>
        <w:t>I  principali sostenitori di tale tesi, in virtù della difficoltà di trovare una giustificazione ai dati della prassi in contrasto con il principio della rilevanza esclusiva del diritto interno, hanno finito per ammettere che esigenze di certezza dell’ordinamento giuridico impongono delle eccezioni ad esso</w:t>
      </w:r>
      <w:r>
        <w:rPr>
          <w:rStyle w:val="Rimandonotaapidipagina"/>
        </w:rPr>
        <w:footnoteReference w:id="56"/>
      </w:r>
      <w:r>
        <w:t>.</w:t>
      </w:r>
    </w:p>
    <w:p w:rsidR="00FC77CE" w:rsidRDefault="0075419A" w:rsidP="007135D5">
      <w:pPr>
        <w:spacing w:after="0" w:line="360" w:lineRule="auto"/>
        <w:ind w:firstLine="284"/>
        <w:jc w:val="both"/>
      </w:pPr>
      <w:r>
        <w:t xml:space="preserve">Anche autori che ritengono che il diritto internazionale organizzi i propri soggetti </w:t>
      </w:r>
      <w:r w:rsidR="00FC77CE">
        <w:t xml:space="preserve">hanno </w:t>
      </w:r>
      <w:r>
        <w:t xml:space="preserve">sostenuto </w:t>
      </w:r>
      <w:r w:rsidR="00FC77CE">
        <w:t xml:space="preserve">che l’attribuzione di un comportamento di un individuo o ente ad un soggetto internazionale sia frutto di un’operazione giuridica regolata da norme internazionali di organizzazione che </w:t>
      </w:r>
      <w:r w:rsidR="00A259E8">
        <w:t xml:space="preserve">richiedono che vi sia </w:t>
      </w:r>
      <w:r w:rsidR="00FC77CE">
        <w:t xml:space="preserve">un legame giuridico tra l’ente collettivo e l’individuo o </w:t>
      </w:r>
      <w:r w:rsidR="00FC77CE" w:rsidRPr="00854BDA">
        <w:t xml:space="preserve">ente. </w:t>
      </w:r>
      <w:r w:rsidR="00FC77CE" w:rsidRPr="007135D5">
        <w:t>Secondo alcuni, tale legame sarebbe determinabile mediante un rinvio che il diritto internazionale opererebbe nei confronti del diritto interno</w:t>
      </w:r>
      <w:r w:rsidR="00FC77CE" w:rsidRPr="007135D5">
        <w:rPr>
          <w:rStyle w:val="Rimandonotaapidipagina"/>
        </w:rPr>
        <w:footnoteReference w:id="57"/>
      </w:r>
      <w:r w:rsidR="00FC77CE" w:rsidRPr="007135D5">
        <w:t xml:space="preserve">. Al fine di tenere conto dei dati </w:t>
      </w:r>
      <w:r w:rsidR="00FC77CE" w:rsidRPr="007135D5">
        <w:lastRenderedPageBreak/>
        <w:t>offerti dalla prassi internazionale, alcuni autori hanno riconosciuto un carattere variabile al rinvio al diritto interno</w:t>
      </w:r>
      <w:r w:rsidR="007135D5">
        <w:t>, con la conseguenza che</w:t>
      </w:r>
      <w:r w:rsidR="007135D5" w:rsidRPr="007135D5">
        <w:t xml:space="preserve"> l’eventualità che</w:t>
      </w:r>
      <w:r w:rsidR="00FC77CE" w:rsidRPr="007135D5">
        <w:t xml:space="preserve"> </w:t>
      </w:r>
      <w:r w:rsidR="007135D5">
        <w:t>il diritto internazionale faccia riferimento alle regole di diritto interno per determinare se il comportamento di individui è attribuibile allo Stato debba essere valutata caso per caso</w:t>
      </w:r>
      <w:r w:rsidR="00FC77CE">
        <w:rPr>
          <w:rStyle w:val="Rimandonotaapidipagina"/>
        </w:rPr>
        <w:footnoteReference w:id="58"/>
      </w:r>
      <w:r w:rsidR="00FC77CE">
        <w:t>.</w:t>
      </w:r>
      <w:r w:rsidR="007D2BCD">
        <w:t xml:space="preserve"> </w:t>
      </w:r>
    </w:p>
    <w:p w:rsidR="00FC77CE" w:rsidRDefault="00FC77CE" w:rsidP="00EB037D">
      <w:pPr>
        <w:spacing w:after="0" w:line="360" w:lineRule="auto"/>
        <w:ind w:firstLine="284"/>
        <w:jc w:val="both"/>
      </w:pPr>
      <w:r>
        <w:t>La principale critica che è stata mossa nei confronti delle suddette concezioni è che esse finivano in realtà per ammettere l’esistenza di ulteriori criteri di attribuzione rispetto al riferimento esclusivo al diritto interno per riuscire a superare la difficoltà di conciliare i dati della prassi con le premesse teoriche</w:t>
      </w:r>
      <w:r>
        <w:rPr>
          <w:rStyle w:val="Rimandonotaapidipagina"/>
        </w:rPr>
        <w:footnoteReference w:id="59"/>
      </w:r>
      <w:r>
        <w:t>.</w:t>
      </w:r>
    </w:p>
    <w:p w:rsidR="00FC77CE" w:rsidRDefault="00FC77CE" w:rsidP="00EB037D">
      <w:pPr>
        <w:spacing w:after="0" w:line="360" w:lineRule="auto"/>
        <w:ind w:firstLine="284"/>
        <w:jc w:val="both"/>
      </w:pPr>
      <w:r>
        <w:t>La tesi dell’</w:t>
      </w:r>
      <w:r w:rsidRPr="00BE78C2">
        <w:t>esclusiva rileva</w:t>
      </w:r>
      <w:r w:rsidR="00954AF2">
        <w:t xml:space="preserve">nza del diritto interno è stata, </w:t>
      </w:r>
      <w:r>
        <w:t>infine</w:t>
      </w:r>
      <w:r w:rsidR="00954AF2">
        <w:t>,</w:t>
      </w:r>
      <w:r>
        <w:t xml:space="preserve"> </w:t>
      </w:r>
      <w:r w:rsidRPr="00BE78C2">
        <w:t xml:space="preserve">recentemente sostenuta anche da alcuni autori che hanno individuato nel comportamento omissivo </w:t>
      </w:r>
      <w:r w:rsidR="00954AF2">
        <w:t xml:space="preserve">di altri organi </w:t>
      </w:r>
      <w:r w:rsidRPr="00BE78C2">
        <w:t>dello Stato il presupposto della sua responsabilità per i comportamenti di individui che agiscono di fatto per suo conto.</w:t>
      </w:r>
    </w:p>
    <w:p w:rsidR="00FC77CE" w:rsidRDefault="00FC77CE" w:rsidP="00EB037D">
      <w:pPr>
        <w:spacing w:after="0" w:line="360" w:lineRule="auto"/>
        <w:ind w:firstLine="284"/>
        <w:jc w:val="both"/>
      </w:pPr>
      <w:r w:rsidRPr="00BE78C2">
        <w:t xml:space="preserve"> Pur riconoscendo che nella prassi lo Stato è tenuto a rispondere dei comportamenti di individui o enti che non godono del legame organico in base al diritto interno, tali autori </w:t>
      </w:r>
      <w:r>
        <w:t xml:space="preserve">hanno sostenuto </w:t>
      </w:r>
      <w:r w:rsidRPr="00BE78C2">
        <w:t xml:space="preserve">che ciò non implica che </w:t>
      </w:r>
      <w:r w:rsidR="00791506">
        <w:t xml:space="preserve">tali comportamenti </w:t>
      </w:r>
      <w:r w:rsidRPr="00BE78C2">
        <w:t>debbano essere considerati delle condotte</w:t>
      </w:r>
      <w:r>
        <w:t xml:space="preserve"> statali</w:t>
      </w:r>
      <w:r w:rsidRPr="00BE78C2">
        <w:t xml:space="preserve">. </w:t>
      </w:r>
      <w:r w:rsidR="00350B24">
        <w:t xml:space="preserve">Nel caso in esame </w:t>
      </w:r>
      <w:r w:rsidRPr="00BE78C2">
        <w:t>la responsabilità</w:t>
      </w:r>
      <w:r>
        <w:t xml:space="preserve"> internazionale</w:t>
      </w:r>
      <w:r w:rsidRPr="00BE78C2">
        <w:t xml:space="preserve"> </w:t>
      </w:r>
      <w:r>
        <w:t xml:space="preserve">sorgerebbe in virtù </w:t>
      </w:r>
      <w:r w:rsidRPr="00BE78C2">
        <w:t>di una condotta omissiva dello Stato, il quale sarebbe venuto meno all’obbligo di assicurare un certo comportamento da parte di individui incaricati di esercitare in fatto determinate funzioni per suo conto</w:t>
      </w:r>
      <w:r w:rsidRPr="00BE78C2">
        <w:rPr>
          <w:rStyle w:val="Rimandonotaapidipagina"/>
        </w:rPr>
        <w:footnoteReference w:id="60"/>
      </w:r>
      <w:r w:rsidRPr="00BE78C2">
        <w:t>.</w:t>
      </w:r>
    </w:p>
    <w:p w:rsidR="00FC77CE" w:rsidRDefault="00FC77CE" w:rsidP="00D42DC9">
      <w:pPr>
        <w:spacing w:after="0" w:line="360" w:lineRule="auto"/>
        <w:ind w:firstLine="284"/>
        <w:jc w:val="both"/>
      </w:pPr>
      <w:r>
        <w:t xml:space="preserve">Tale concezione sembra egualmente criticabile, in quanto arriva a far dipendere la determinazione dei casi in cui la condotta di individui che hanno agito in fatto per conto dello Stato può far sorgere la sua responsabilità internazionale dal contenuto della norma primaria. Non sembra inoltre trovare riscontro nella prassi l’idea secondo cui, </w:t>
      </w:r>
      <w:r>
        <w:lastRenderedPageBreak/>
        <w:t>parallelamente ad una norma internazionale che impone allo Stato di non tenere una certa condotta, ne esista anche una che gli imponga di evitare che quel comportamento sia tenuto da individui che agiscono di fatto per suo conto, pur non godendo formalmente della qualità organica.</w:t>
      </w:r>
    </w:p>
    <w:p w:rsidR="002A2970" w:rsidRDefault="002A2970" w:rsidP="00D42DC9">
      <w:pPr>
        <w:spacing w:after="0" w:line="360" w:lineRule="auto"/>
        <w:ind w:firstLine="284"/>
        <w:jc w:val="both"/>
      </w:pPr>
    </w:p>
    <w:p w:rsidR="00FC77CE" w:rsidRDefault="00A207C4" w:rsidP="00A207C4">
      <w:pPr>
        <w:spacing w:after="0" w:line="360" w:lineRule="auto"/>
        <w:ind w:firstLine="708"/>
        <w:jc w:val="both"/>
      </w:pPr>
      <w:r>
        <w:t xml:space="preserve">2.2 </w:t>
      </w:r>
      <w:r w:rsidR="0071213C">
        <w:t>Tesi che si ispirano al</w:t>
      </w:r>
      <w:r w:rsidR="00FC77CE">
        <w:t xml:space="preserve"> criterio di effettività</w:t>
      </w:r>
    </w:p>
    <w:p w:rsidR="00FC77CE" w:rsidRDefault="00FC77CE" w:rsidP="00EB037D">
      <w:pPr>
        <w:spacing w:after="0" w:line="360" w:lineRule="auto"/>
        <w:ind w:firstLine="284"/>
        <w:jc w:val="both"/>
      </w:pPr>
    </w:p>
    <w:p w:rsidR="00FC77CE" w:rsidRDefault="00FC77CE" w:rsidP="00EB037D">
      <w:pPr>
        <w:spacing w:after="0" w:line="360" w:lineRule="auto"/>
        <w:ind w:firstLine="284"/>
        <w:jc w:val="both"/>
      </w:pPr>
      <w:r>
        <w:t>Le tesi che rifiutano le concezioni che riconoscono rilevanza esclusiva al diritto interno ai fini dell’attribuzione di condotte allo Stato si ispirano al principio di effettività, l’unico in grado di spiegare come il diritto interno ed elementi fattuali concorrano entrambi a delineare l’organizzazione dello Stato.</w:t>
      </w:r>
    </w:p>
    <w:p w:rsidR="00FC77CE" w:rsidRDefault="00FC77CE" w:rsidP="0078641D">
      <w:pPr>
        <w:spacing w:after="0" w:line="360" w:lineRule="auto"/>
        <w:ind w:firstLine="284"/>
        <w:jc w:val="both"/>
      </w:pPr>
      <w:r>
        <w:t>Partendo dal presupposto che l’organizzazione di fatt</w:t>
      </w:r>
      <w:r w:rsidR="0078641D">
        <w:t>o dello Stato coincide solitamente</w:t>
      </w:r>
      <w:r>
        <w:t xml:space="preserve"> con quanto previsto dalle norme interne, </w:t>
      </w:r>
      <w:r w:rsidR="0078641D">
        <w:t>sarà necessario in prima analisi riferirsi ai dati che si ricavano da tale ordinamento per determinare la possibilità di attribuire allo Stato un certo</w:t>
      </w:r>
      <w:r w:rsidR="00691E48">
        <w:t xml:space="preserve"> comportamento</w:t>
      </w:r>
      <w:r w:rsidR="0078641D">
        <w:t xml:space="preserve">. </w:t>
      </w:r>
      <w:r>
        <w:t>Soltanto quando tale coincidenza non sussiste, il principio dell’effettività permette di riferire allo Stato le condotte di individui che, pur non godendo della qualità organica in base al diritto interno, sono in fatto integrati nell’apparato statale.</w:t>
      </w:r>
    </w:p>
    <w:p w:rsidR="00691E48" w:rsidRDefault="00FC77CE" w:rsidP="00691E48">
      <w:pPr>
        <w:spacing w:after="0" w:line="360" w:lineRule="auto"/>
        <w:ind w:firstLine="284"/>
        <w:jc w:val="both"/>
      </w:pPr>
      <w:r>
        <w:t>Le differenti tesi che negano la rilevanza esclusiva del diritto interno al fine di determinare l’organizzazione dello</w:t>
      </w:r>
      <w:r w:rsidR="004D16F0">
        <w:t xml:space="preserve"> Stato si differenziano però </w:t>
      </w:r>
      <w:r>
        <w:t>quanto al ru</w:t>
      </w:r>
      <w:r w:rsidR="004D16F0">
        <w:t xml:space="preserve">olo affidato al principio di </w:t>
      </w:r>
      <w:r>
        <w:t>effettività con riferimento alla soluzione del problema dell’attribuzione.</w:t>
      </w:r>
      <w:r w:rsidR="00691E48">
        <w:t xml:space="preserve"> La diversa rilevanza riconosciuta in dottrina al principio di effettività ai fini della soluzione del problema dell’attribuzione</w:t>
      </w:r>
      <w:r w:rsidR="00691E48" w:rsidRPr="00691E48">
        <w:t xml:space="preserve"> </w:t>
      </w:r>
      <w:r w:rsidR="00691E48">
        <w:t>riveste attualmente un ruolo cruciale anche rispetto all’accertamento della qualità di organo</w:t>
      </w:r>
      <w:r w:rsidR="00691E48">
        <w:rPr>
          <w:rStyle w:val="Rimandonotaapidipagina"/>
        </w:rPr>
        <w:footnoteReference w:id="61"/>
      </w:r>
      <w:r w:rsidR="00691E48">
        <w:t>.</w:t>
      </w:r>
    </w:p>
    <w:p w:rsidR="001A2416" w:rsidRDefault="00FC77CE" w:rsidP="00844ED2">
      <w:pPr>
        <w:spacing w:after="0" w:line="360" w:lineRule="auto"/>
        <w:ind w:firstLine="284"/>
        <w:jc w:val="both"/>
      </w:pPr>
      <w:r>
        <w:t>Un primo orientamento accomuna le tesi che concepiscono l’attribuzione di condotte allo Stato come il mero accertamento di una situazione di fatto.</w:t>
      </w:r>
      <w:r w:rsidR="00844ED2">
        <w:t xml:space="preserve"> </w:t>
      </w:r>
      <w:r>
        <w:t xml:space="preserve">Sostenitori di tale concezione sono quegli autori secondo cui il legame giuridico tra l’ente collettivo e l’individuo viene stabilito mediante un rinvio alla sua organizzazione effettiva. </w:t>
      </w:r>
    </w:p>
    <w:p w:rsidR="00FC77CE" w:rsidRDefault="00FC77CE" w:rsidP="00844ED2">
      <w:pPr>
        <w:spacing w:after="0" w:line="360" w:lineRule="auto"/>
        <w:ind w:firstLine="284"/>
        <w:jc w:val="both"/>
      </w:pPr>
      <w:r>
        <w:t xml:space="preserve">Il diritto internazionale si limiterebbe pertanto a prendere in considerazione l’organizzazione di cui lo Stato risulta in fatto essere provvisto, senza individuare </w:t>
      </w:r>
      <w:r w:rsidRPr="00CC2DC6">
        <w:rPr>
          <w:i/>
        </w:rPr>
        <w:t>a priori</w:t>
      </w:r>
      <w:r>
        <w:t xml:space="preserve"> quali siano le condizioni</w:t>
      </w:r>
      <w:r w:rsidRPr="00BC2802">
        <w:t xml:space="preserve"> </w:t>
      </w:r>
      <w:r>
        <w:t>in presenza delle quali una</w:t>
      </w:r>
      <w:r w:rsidR="00EF0674">
        <w:t xml:space="preserve"> certa condotta debba essere ad esso</w:t>
      </w:r>
      <w:r>
        <w:t xml:space="preserve"> attribuita.</w:t>
      </w:r>
      <w:r w:rsidR="00844ED2">
        <w:t xml:space="preserve"> </w:t>
      </w:r>
      <w:r>
        <w:t xml:space="preserve">A differenza della concezione che postula un rinvio all’ordinamento interno dello </w:t>
      </w:r>
      <w:r>
        <w:lastRenderedPageBreak/>
        <w:t>Stato, questa tesi non ha riguardo al dato formale e valorizza le norme interne solo nel caso in cui servano ad individuare  l’organizzazione in fatto esistente</w:t>
      </w:r>
      <w:r>
        <w:rPr>
          <w:rStyle w:val="Rimandonotaapidipagina"/>
        </w:rPr>
        <w:footnoteReference w:id="62"/>
      </w:r>
      <w:r>
        <w:t>.</w:t>
      </w:r>
    </w:p>
    <w:p w:rsidR="00FC77CE" w:rsidRDefault="00FC77CE" w:rsidP="00844ED2">
      <w:pPr>
        <w:spacing w:after="0" w:line="360" w:lineRule="auto"/>
        <w:ind w:firstLine="284"/>
        <w:jc w:val="both"/>
      </w:pPr>
      <w:r>
        <w:t>Un approccio marcatamente fattuale è invece sostenuto da quegli autori che negano sia l’esistenza di norme internazionali di organizzazione sia che l’attribuzione allo Stato di comportamenti di individui sia un’operazione giuridica regolata da norme di diritto internazionale. L’ente collettivo è considerato un ente reale legato ai suoi agenti da un rapporto materiale, per cui l’attribuzione viene intesa come l’accertamento di un legame fattuale tra l’ente soggetto internazionale e le persone fisiche o giuridiche che agiscono effettivamente in suo conto. Entrambe le suddette tesi ritengono impossibile individuare in maniera rigida i presupposti in presenza dei quali una certa condotta può essere riferita allo Stato: il principio di effettività, difatti, riconosce all’interprete il compito di determinare caso per caso il livello di integrazione dell’individuo agente nella struttura reale dello Stato</w:t>
      </w:r>
      <w:r>
        <w:rPr>
          <w:rStyle w:val="Rimandonotaapidipagina"/>
        </w:rPr>
        <w:footnoteReference w:id="63"/>
      </w:r>
      <w:r>
        <w:t>.</w:t>
      </w:r>
    </w:p>
    <w:p w:rsidR="009F5FCC" w:rsidRDefault="00844ED2" w:rsidP="009F5FCC">
      <w:pPr>
        <w:spacing w:after="0" w:line="360" w:lineRule="auto"/>
        <w:ind w:firstLine="284"/>
        <w:jc w:val="both"/>
      </w:pPr>
      <w:r>
        <w:t xml:space="preserve">Muovendo dal presupposto che il diritto internazionale prende in considerazione esclusivamente l’organizzazione che lo Stato si è effettivamente dato al fine di determinare quali individui godono della qualità organica, </w:t>
      </w:r>
      <w:r w:rsidR="00C91882">
        <w:t xml:space="preserve">il riferimento al diritto interno </w:t>
      </w:r>
      <w:r w:rsidR="00AB669B">
        <w:t xml:space="preserve">alla luce di tali concezioni </w:t>
      </w:r>
      <w:r>
        <w:t>viene a costituire soltanto uno degli elementi idonei a determinare quale sia l’effettiva organizzazione statale.</w:t>
      </w:r>
      <w:r w:rsidR="006C0D61">
        <w:t xml:space="preserve"> Nel caso in cui ci sia un contrasto fra l’organizzazione che risulta dal riferimento al diritto interno e la sua organizzazione effettiva, il diritto internazionale farebbe riferimento a quest’ultima. Secondo tale concezione, pertanto, il riferimento al diritto interno sarebbe insufficiente a qualificare un individuo o ente come organo statale, bensì sarebbe necessario attestare che i dati che si ricavano dalla organizzazione giuridica trovino una effettiva conferma nella realtà di fatto</w:t>
      </w:r>
      <w:r w:rsidR="006C0D61">
        <w:rPr>
          <w:rStyle w:val="Rimandonotaapidipagina"/>
        </w:rPr>
        <w:footnoteReference w:id="64"/>
      </w:r>
      <w:r w:rsidR="006C0D61">
        <w:t xml:space="preserve">. </w:t>
      </w:r>
    </w:p>
    <w:p w:rsidR="00FC77CE" w:rsidRDefault="00FC77CE" w:rsidP="009F5FCC">
      <w:pPr>
        <w:spacing w:after="0" w:line="360" w:lineRule="auto"/>
        <w:ind w:firstLine="284"/>
        <w:jc w:val="both"/>
      </w:pPr>
      <w:r>
        <w:lastRenderedPageBreak/>
        <w:t>Contrapposto alle precedenti concezioni è invece l’orientamento, prevalente in dottrina, che considera l’attribuzione di un fatto illecito allo Stato come un fenomeno regolato da norme di diritto int</w:t>
      </w:r>
      <w:r w:rsidR="00B800F6">
        <w:t>ernazionale, che non si limiterebbero</w:t>
      </w:r>
      <w:r>
        <w:t xml:space="preserve"> ad operare un rinvio nei confronti dell’ordinamento interno o dell’organizzazion</w:t>
      </w:r>
      <w:r w:rsidR="00B800F6">
        <w:t>e statale effettiva, ma indicherebbero</w:t>
      </w:r>
      <w:r>
        <w:t xml:space="preserve"> i presupposti giuridici in presenza dei quali un comportamento deve essere considerato come fatto dello Stato. Tale approccio normativo reputa rilevante il dato effettivo ai fini attributivi solo nel caso in cui trovi pieno riscontro in regole giuridiche</w:t>
      </w:r>
      <w:r w:rsidR="005029AD">
        <w:t xml:space="preserve"> internazionali</w:t>
      </w:r>
      <w:r>
        <w:rPr>
          <w:rStyle w:val="Rimandonotaapidipagina"/>
        </w:rPr>
        <w:footnoteReference w:id="65"/>
      </w:r>
      <w:r>
        <w:t>.</w:t>
      </w:r>
    </w:p>
    <w:p w:rsidR="00FC77CE" w:rsidRDefault="00FC77CE" w:rsidP="009F5FCC">
      <w:pPr>
        <w:spacing w:after="0" w:line="360" w:lineRule="auto"/>
        <w:ind w:firstLine="284"/>
        <w:jc w:val="both"/>
      </w:pPr>
      <w:r>
        <w:t>La posizione accolta dalla CDI nel risolvere il problema dell’attribuzione allo Stato di un certo comportamento ai fini della responsabilità internazionale è plasmata sulle indicazioni fornite dal relatore speciale Ago, sostenitore della concezione di tipo normativo</w:t>
      </w:r>
      <w:r>
        <w:rPr>
          <w:rStyle w:val="Rimandonotaapidipagina"/>
        </w:rPr>
        <w:footnoteReference w:id="66"/>
      </w:r>
      <w:r>
        <w:t>. P</w:t>
      </w:r>
      <w:r w:rsidR="00E24C33">
        <w:t>ur p</w:t>
      </w:r>
      <w:r>
        <w:t xml:space="preserve">artendo dal presupposto che il diritto internazionale non è in grado di determinare quale sia l’organizzazione dello Stato </w:t>
      </w:r>
      <w:r w:rsidRPr="0078641D">
        <w:t xml:space="preserve">né di individuare quali individui al suo interno godono dello </w:t>
      </w:r>
      <w:r w:rsidRPr="0078641D">
        <w:rPr>
          <w:i/>
        </w:rPr>
        <w:t>status</w:t>
      </w:r>
      <w:r w:rsidR="00E177AE" w:rsidRPr="0078641D">
        <w:t xml:space="preserve"> organico, </w:t>
      </w:r>
      <w:r w:rsidRPr="0078641D">
        <w:t>Ago giungeva a sostenere che l’operazione attributiva è regolata dal diritto internazionale sulla base di criteri totalmente autonomi rispetto a quelli che disciplinano la riferibilità di una condotta allo Stato sul piano del diritto interno.</w:t>
      </w:r>
      <w:r w:rsidR="009F5FCC">
        <w:t xml:space="preserve"> </w:t>
      </w:r>
      <w:r w:rsidRPr="0078641D">
        <w:t>Ago considera difatti l’organizzazione dello Stato come un fascio di strutture reali, intendendo con ciò affermare che essa, pur essendo un dato di fatto, è sul piano del diritto internazionale una realtà  strutturata sulla base di regole giuridiche</w:t>
      </w:r>
      <w:r w:rsidRPr="0078641D">
        <w:rPr>
          <w:rStyle w:val="Rimandonotaapidipagina"/>
        </w:rPr>
        <w:footnoteReference w:id="67"/>
      </w:r>
      <w:r w:rsidRPr="0078641D">
        <w:t>.</w:t>
      </w:r>
      <w:r w:rsidR="00E24C33">
        <w:t xml:space="preserve">  </w:t>
      </w:r>
    </w:p>
    <w:p w:rsidR="00FC77CE" w:rsidRDefault="00FC77CE" w:rsidP="00EB037D">
      <w:pPr>
        <w:spacing w:after="0" w:line="360" w:lineRule="auto"/>
        <w:ind w:firstLine="284"/>
        <w:jc w:val="both"/>
      </w:pPr>
      <w:r>
        <w:t xml:space="preserve">La concezione normativa in tema di attribuzione di condotte è stata affermata anche dalla Corte internazionale di giustizia. Nella sentenza resa nel caso </w:t>
      </w:r>
      <w:r w:rsidRPr="00B87E18">
        <w:rPr>
          <w:i/>
        </w:rPr>
        <w:t>United States Diplomatic and Consular Staff in Tehran</w:t>
      </w:r>
      <w:r>
        <w:t>, la Corte ha fatto riferimento ai comportamenti giuridicamente imputabili allo Stato iraniano per verificarne la responsabilità internazionale</w:t>
      </w:r>
      <w:r>
        <w:rPr>
          <w:rStyle w:val="Rimandonotaapidipagina"/>
        </w:rPr>
        <w:footnoteReference w:id="68"/>
      </w:r>
      <w:r>
        <w:t xml:space="preserve">. </w:t>
      </w:r>
      <w:r w:rsidRPr="003C4CDA">
        <w:t xml:space="preserve">Ugualmente nella sentenza resa il 27 giugno del 1986 nel caso </w:t>
      </w:r>
      <w:r w:rsidRPr="003C4CDA">
        <w:rPr>
          <w:i/>
        </w:rPr>
        <w:t>Military and Paramilitary Activities in and against Nicaragua</w:t>
      </w:r>
      <w:r w:rsidRPr="003C4CDA">
        <w:t xml:space="preserve"> la Corte ha menziona</w:t>
      </w:r>
      <w:r>
        <w:t>to</w:t>
      </w:r>
      <w:r w:rsidRPr="003C4CDA">
        <w:t xml:space="preserve"> “</w:t>
      </w:r>
      <w:r w:rsidRPr="003C4CDA">
        <w:rPr>
          <w:i/>
        </w:rPr>
        <w:t xml:space="preserve">the legal process of imputing the act to a </w:t>
      </w:r>
      <w:r w:rsidRPr="003C4CDA">
        <w:rPr>
          <w:i/>
        </w:rPr>
        <w:lastRenderedPageBreak/>
        <w:t>particular State for the purpose of establishing responsibility…</w:t>
      </w:r>
      <w:r w:rsidRPr="003C4CDA">
        <w:t>”</w:t>
      </w:r>
      <w:r>
        <w:rPr>
          <w:rStyle w:val="Rimandonotaapidipagina"/>
        </w:rPr>
        <w:footnoteReference w:id="69"/>
      </w:r>
      <w:r w:rsidRPr="003C4CDA">
        <w:t xml:space="preserve"> </w:t>
      </w:r>
      <w:r w:rsidRPr="00535B60">
        <w:t xml:space="preserve">e nella sentenza resa </w:t>
      </w:r>
      <w:r>
        <w:t xml:space="preserve">il 27 febbraio 2007 </w:t>
      </w:r>
      <w:r w:rsidRPr="00535B60">
        <w:t xml:space="preserve">nel caso </w:t>
      </w:r>
      <w:r w:rsidRPr="00535B60">
        <w:rPr>
          <w:i/>
        </w:rPr>
        <w:t>Application of the Convention on the prevention and punishment of the crime of genocide</w:t>
      </w:r>
      <w:r w:rsidRPr="00535B60">
        <w:t xml:space="preserve"> </w:t>
      </w:r>
      <w:r>
        <w:t>essa ha riconosciuto</w:t>
      </w:r>
      <w:r w:rsidRPr="00535B60">
        <w:t xml:space="preserve"> la necessità di determinare se gli atti di genocid</w:t>
      </w:r>
      <w:r>
        <w:t>io potevano</w:t>
      </w:r>
      <w:r w:rsidRPr="00535B60">
        <w:t xml:space="preserve"> essere attribuiti </w:t>
      </w:r>
      <w:r>
        <w:t xml:space="preserve">alla allora Repubblica federale di Iugoslavia </w:t>
      </w:r>
      <w:r w:rsidRPr="00535B60">
        <w:t>“</w:t>
      </w:r>
      <w:r w:rsidRPr="00535B60">
        <w:rPr>
          <w:i/>
        </w:rPr>
        <w:t xml:space="preserve">under the rules of customary international law of State </w:t>
      </w:r>
      <w:r w:rsidRPr="003E15BF">
        <w:rPr>
          <w:i/>
        </w:rPr>
        <w:t>responsibility</w:t>
      </w:r>
      <w:r w:rsidRPr="003E15BF">
        <w:t>”</w:t>
      </w:r>
      <w:r w:rsidRPr="003E15BF">
        <w:rPr>
          <w:rStyle w:val="Rimandonotaapidipagina"/>
          <w:lang w:val="en-US"/>
        </w:rPr>
        <w:footnoteReference w:id="70"/>
      </w:r>
      <w:r w:rsidRPr="003E15BF">
        <w:t>.</w:t>
      </w:r>
    </w:p>
    <w:p w:rsidR="009F5FCC" w:rsidRDefault="009F5FCC" w:rsidP="009F5FCC">
      <w:pPr>
        <w:spacing w:after="0" w:line="360" w:lineRule="auto"/>
        <w:ind w:firstLine="284"/>
        <w:jc w:val="both"/>
      </w:pPr>
      <w:r>
        <w:t xml:space="preserve">Per quanto concerne l’accertamento della qualità organica, la concezione normativa si fonda invece sulla valorizzazione dei dati ricavabili dal riferimento all’ordinamento statale, comprensivo però anche della prassi eventualmente formatasi in deroga </w:t>
      </w:r>
      <w:r w:rsidRPr="005E2280">
        <w:t>alle norme interne di diritto positivo</w:t>
      </w:r>
      <w:r>
        <w:rPr>
          <w:rStyle w:val="Rimandonotaapidipagina"/>
        </w:rPr>
        <w:footnoteReference w:id="71"/>
      </w:r>
      <w:r>
        <w:t>.</w:t>
      </w:r>
      <w:r w:rsidRPr="009F5FCC">
        <w:t xml:space="preserve"> </w:t>
      </w:r>
      <w:r>
        <w:t xml:space="preserve">Sebbene si ammetta che la qualità organica possa essere accertata anche sulla base di elementi fattuali, l’esistenza di un legame effettivo tra un individuo o ente e lo Stato non viene riconosciuta come condizione necessaria per considerare tale individuo o ente come organo. Nel caso in cui invece lo </w:t>
      </w:r>
      <w:r w:rsidRPr="00E075E4">
        <w:rPr>
          <w:i/>
        </w:rPr>
        <w:t>status</w:t>
      </w:r>
      <w:r>
        <w:t xml:space="preserve"> organico di un individuo o ente è accertato in base al diritto interno, non si deve controllare se nella realtà elementi fattuali confutano il riconoscimento di tale qualità, essendo di per sé decisivo il dato formale</w:t>
      </w:r>
      <w:r>
        <w:rPr>
          <w:rStyle w:val="Rimandonotaapidipagina"/>
        </w:rPr>
        <w:footnoteReference w:id="72"/>
      </w:r>
      <w:r>
        <w:t>.</w:t>
      </w:r>
    </w:p>
    <w:p w:rsidR="009F5FCC" w:rsidRDefault="009F5FCC" w:rsidP="009F5FCC">
      <w:pPr>
        <w:spacing w:after="0" w:line="360" w:lineRule="auto"/>
        <w:ind w:firstLine="284"/>
        <w:jc w:val="both"/>
      </w:pPr>
      <w:r>
        <w:t>Tale tesi arriva anche ad ammettere la prevalenza del risultato derivante dal riferimento all’ordinamento interno rispetto ad eventuali indicazioni contrarie desumibili dalla situazione esistente in fatto</w:t>
      </w:r>
      <w:r>
        <w:rPr>
          <w:rStyle w:val="Rimandonotaapidipagina"/>
        </w:rPr>
        <w:footnoteReference w:id="73"/>
      </w:r>
      <w:r>
        <w:t xml:space="preserve">. La rilevanza generalmente accordata al diritto interno ai fini della determinazione della qualità organica trova giustificazione sia nella circostanza che </w:t>
      </w:r>
      <w:r>
        <w:lastRenderedPageBreak/>
        <w:t>l’organizzazione giuridica interna dello Stato e quella effettiva in larga misura coincidono, sia nell’esigenza di garantire la sicurezza delle relazioni internazionali.</w:t>
      </w:r>
    </w:p>
    <w:p w:rsidR="009F5FCC" w:rsidRDefault="009F5FCC" w:rsidP="009F5FCC">
      <w:pPr>
        <w:spacing w:after="0" w:line="360" w:lineRule="auto"/>
        <w:ind w:firstLine="284"/>
        <w:jc w:val="both"/>
      </w:pPr>
      <w:r>
        <w:t>Quando uno Stato attribuisce l’esercizio di pubbliche funzioni ad un individuo o ente e ne inserisce l’attività nella sua organizzazione di governo, induce gli altri Stati a considerare tale individuo o ente come organo.</w:t>
      </w:r>
      <w:r w:rsidR="00AB669B">
        <w:t xml:space="preserve"> </w:t>
      </w:r>
      <w:r>
        <w:t>Mediante il diritto interno lo Stato fornisce difatti delle importanti indicazioni circa il modo di essere della propria organizzazione di governo ed esigenze di certezza delle relazioni internazionali impongono pertanto di tutelare la prospettiva di altri Stati che fanno affidamento sui dati da esso derivanti</w:t>
      </w:r>
      <w:r>
        <w:rPr>
          <w:rStyle w:val="Rimandonotaapidipagina"/>
        </w:rPr>
        <w:footnoteReference w:id="74"/>
      </w:r>
      <w:r>
        <w:t>.</w:t>
      </w:r>
    </w:p>
    <w:p w:rsidR="009F5FCC" w:rsidRDefault="009F5FCC" w:rsidP="009F5FCC">
      <w:pPr>
        <w:spacing w:after="0" w:line="360" w:lineRule="auto"/>
        <w:ind w:firstLine="284"/>
        <w:jc w:val="both"/>
      </w:pPr>
      <w:r>
        <w:t>Negli ultimi decenni alcuni autori hanno invece ammesso l’attribuzione allo Stato dei fatti dei propri organi indipendentemente dal legame che qualifica giuridicamente il comportamento dell’individuo o ente nell’ordinamento statale</w:t>
      </w:r>
      <w:r>
        <w:rPr>
          <w:rStyle w:val="Rimandonotaapidipagina"/>
        </w:rPr>
        <w:footnoteReference w:id="75"/>
      </w:r>
      <w:r>
        <w:t xml:space="preserve">, mentre altri ancora sono giunti ad ammettere che l’accertamento della qualità organica possa avvenire sulla base di parametri differenti rispetto all’ordinamento statale. La qualifica di organo in base al diritto interno diverrebbe difatti soltanto uno dei possibili indizi dello </w:t>
      </w:r>
      <w:r w:rsidRPr="001E6064">
        <w:rPr>
          <w:i/>
        </w:rPr>
        <w:t>status</w:t>
      </w:r>
      <w:r>
        <w:t xml:space="preserve"> di organo dello Stato ai fini del diritto internazionale, dal momento che è l’accertamento fattualmente effettivo dell’organo che rappresenta la condizione generale per riferire dei comportamenti allo Stato sul piano internazionale</w:t>
      </w:r>
      <w:r>
        <w:rPr>
          <w:rStyle w:val="Rimandonotaapidipagina"/>
        </w:rPr>
        <w:footnoteReference w:id="76"/>
      </w:r>
      <w:r>
        <w:t>.</w:t>
      </w:r>
    </w:p>
    <w:p w:rsidR="009F5FCC" w:rsidRDefault="009F5FCC" w:rsidP="009F5FCC">
      <w:pPr>
        <w:spacing w:after="0"/>
        <w:ind w:firstLine="284"/>
        <w:jc w:val="both"/>
        <w:rPr>
          <w:color w:val="FF0000"/>
        </w:rPr>
      </w:pPr>
    </w:p>
    <w:p w:rsidR="009E4F58" w:rsidRDefault="0071213C" w:rsidP="00A207C4">
      <w:pPr>
        <w:spacing w:after="0" w:line="240" w:lineRule="auto"/>
        <w:ind w:left="284"/>
        <w:jc w:val="both"/>
      </w:pPr>
      <w:r>
        <w:t>3</w:t>
      </w:r>
      <w:r w:rsidR="00FC77CE">
        <w:t xml:space="preserve">. </w:t>
      </w:r>
      <w:r w:rsidR="009E4F58">
        <w:t xml:space="preserve">Implicazioni derivanti dall’accettazione delle due differenti tesi sull’organizzazione dello Stato dal punto di vista del diritto internazionale con riferimento alla questione dell’attribuzione allo Stato dei fatti </w:t>
      </w:r>
      <w:r w:rsidR="009E4F58" w:rsidRPr="00112032">
        <w:rPr>
          <w:i/>
        </w:rPr>
        <w:t>ultra vires</w:t>
      </w:r>
    </w:p>
    <w:p w:rsidR="00CF047B" w:rsidRDefault="00CF047B" w:rsidP="00EB037D">
      <w:pPr>
        <w:spacing w:after="0" w:line="360" w:lineRule="auto"/>
        <w:ind w:firstLine="284"/>
        <w:jc w:val="both"/>
      </w:pPr>
    </w:p>
    <w:p w:rsidR="00FC77CE" w:rsidRDefault="00FC77CE" w:rsidP="00EB037D">
      <w:pPr>
        <w:spacing w:after="0" w:line="360" w:lineRule="auto"/>
        <w:ind w:firstLine="284"/>
        <w:jc w:val="both"/>
      </w:pPr>
      <w:r>
        <w:t xml:space="preserve">L’approccio normativo e l’approccio fattuale in tema di attribuzione di condotte allo Stato si distinguono nettamente con riferimento al modo di porsi nella valutazione dei dati offerti dalla prassi internazionale. Mentre l’approccio normativo ritiene plausibile ricavare dai dati della prassi internazionale dei criteri giuridici in grado di determinare in base a quali condizioni una certa condotta di individui o enti è riferibile allo Stato quale soggetto internazionale, l’approccio fattuale non ammette che la questione attributiva possa essere risolta sulla base di criteri </w:t>
      </w:r>
      <w:r w:rsidR="00357E41">
        <w:t>giuridici astratti, in quanto ritiene che spetti</w:t>
      </w:r>
      <w:r>
        <w:t xml:space="preserve"> all’interprete determinare l’intensità del vincolo che lega l’individuo agente allo Stato sulla base della rilevazione di elementi di fatto di volta in volta  differenti.</w:t>
      </w:r>
    </w:p>
    <w:p w:rsidR="00FC77CE" w:rsidRPr="004520D3" w:rsidRDefault="00FC77CE" w:rsidP="00EB037D">
      <w:pPr>
        <w:spacing w:after="0" w:line="360" w:lineRule="auto"/>
        <w:ind w:firstLine="284"/>
        <w:jc w:val="both"/>
      </w:pPr>
      <w:r w:rsidRPr="004520D3">
        <w:lastRenderedPageBreak/>
        <w:t xml:space="preserve"> Ai fini limitati della presente indagine si preferisce non a</w:t>
      </w:r>
      <w:r w:rsidR="00F44989">
        <w:t>ccogliere</w:t>
      </w:r>
      <w:r w:rsidRPr="004520D3">
        <w:t xml:space="preserve"> </w:t>
      </w:r>
      <w:r w:rsidRPr="004520D3">
        <w:rPr>
          <w:i/>
        </w:rPr>
        <w:t>a priori</w:t>
      </w:r>
      <w:r w:rsidRPr="004520D3">
        <w:t xml:space="preserve"> alcuna delle ricostruzioni teoriche sopracitate del fenomeno dell’attribuzione del fatto illecito al soggetto internazionale.</w:t>
      </w:r>
    </w:p>
    <w:p w:rsidR="00FC77CE" w:rsidRDefault="00FC77CE" w:rsidP="00EB037D">
      <w:pPr>
        <w:spacing w:after="0" w:line="360" w:lineRule="auto"/>
        <w:ind w:firstLine="284"/>
        <w:jc w:val="both"/>
      </w:pPr>
      <w:r w:rsidRPr="004520D3">
        <w:t xml:space="preserve">Si pensa infatti che l’approfondita analisi della prassi internazionale in tema di attribuzione di fatti </w:t>
      </w:r>
      <w:r w:rsidRPr="004520D3">
        <w:rPr>
          <w:i/>
        </w:rPr>
        <w:t>ultra vires</w:t>
      </w:r>
      <w:r w:rsidRPr="004520D3">
        <w:t xml:space="preserve"> allo Stato possa essere anche l’occasione per verificare se l’operazione attributiva debba essere </w:t>
      </w:r>
      <w:r>
        <w:t>considerata un’operazione disciplinata</w:t>
      </w:r>
      <w:r w:rsidRPr="004520D3">
        <w:t xml:space="preserve"> da regole giuridiche oppure consti nel mero accertamento di un legame </w:t>
      </w:r>
      <w:r w:rsidR="00DE3BA0">
        <w:t xml:space="preserve">fattuale </w:t>
      </w:r>
      <w:r w:rsidRPr="004520D3">
        <w:t>esistente tra l’ente soggetto internazionale e le persone fisiche o giuridiche che effettivamente agiscono per suo conto.</w:t>
      </w:r>
    </w:p>
    <w:p w:rsidR="00FC77CE" w:rsidRDefault="00FC77CE" w:rsidP="00EB037D">
      <w:pPr>
        <w:spacing w:after="0" w:line="360" w:lineRule="auto"/>
        <w:ind w:firstLine="284"/>
        <w:jc w:val="both"/>
      </w:pPr>
      <w:r>
        <w:t>Come previamente accennato</w:t>
      </w:r>
      <w:r>
        <w:rPr>
          <w:rStyle w:val="Rimandonotaapidipagina"/>
        </w:rPr>
        <w:footnoteReference w:id="77"/>
      </w:r>
      <w:r>
        <w:t>, le modalità mediante cui accertare la qualità organica dipendono dalla rilevanza riconosciuta al principio di effettività ai fini della soluzione del problema dell’attribuzione. Reputando che soltanto l’esame dei dati offerti dalla prassi permetta di determinare quale tra l’approccio fattuale e quello normativo al problema dell’attribuzione di condotte allo Stato sia maggiormente aderente alla realtà, l’indagine circa la possibilità di riferire allo Stato sul piano internazionale le condotte non autorizzate dei propri organi fornisce in via indiretta l’occasione di verificare anche il ruolo del diritto interno e di elementi fattuali nell’accertamento della qualità organica.</w:t>
      </w:r>
    </w:p>
    <w:p w:rsidR="00FC77CE" w:rsidRDefault="00FC77CE" w:rsidP="00EB037D">
      <w:pPr>
        <w:spacing w:after="0" w:line="360" w:lineRule="auto"/>
        <w:ind w:firstLine="284"/>
        <w:jc w:val="both"/>
      </w:pPr>
    </w:p>
    <w:p w:rsidR="00FC77CE" w:rsidRDefault="00083E2F" w:rsidP="00EB037D">
      <w:pPr>
        <w:spacing w:after="0"/>
        <w:ind w:firstLine="284"/>
        <w:jc w:val="both"/>
        <w:rPr>
          <w:i/>
        </w:rPr>
      </w:pPr>
      <w:r>
        <w:t>4</w:t>
      </w:r>
      <w:r w:rsidR="00FC77CE">
        <w:t xml:space="preserve">. Le diverse impostazioni seguite in dottrina </w:t>
      </w:r>
      <w:r>
        <w:t xml:space="preserve">circa il </w:t>
      </w:r>
      <w:r w:rsidR="00FC77CE">
        <w:t xml:space="preserve">problema dei fatti </w:t>
      </w:r>
      <w:r>
        <w:t xml:space="preserve">illeciti </w:t>
      </w:r>
      <w:r w:rsidR="00FC77CE" w:rsidRPr="00927975">
        <w:rPr>
          <w:i/>
        </w:rPr>
        <w:t>ultra vires</w:t>
      </w:r>
    </w:p>
    <w:p w:rsidR="00FC77CE" w:rsidRDefault="00FC77CE" w:rsidP="00EB037D">
      <w:pPr>
        <w:spacing w:after="0" w:line="360" w:lineRule="auto"/>
        <w:ind w:firstLine="284"/>
        <w:jc w:val="both"/>
      </w:pPr>
    </w:p>
    <w:p w:rsidR="00FC77CE" w:rsidRDefault="002B61B4" w:rsidP="00A207C4">
      <w:pPr>
        <w:spacing w:after="0" w:line="360" w:lineRule="auto"/>
        <w:ind w:left="708"/>
      </w:pPr>
      <w:r>
        <w:t>4</w:t>
      </w:r>
      <w:r w:rsidR="00A207C4">
        <w:t xml:space="preserve">.1 </w:t>
      </w:r>
      <w:r w:rsidR="00FC77CE">
        <w:t xml:space="preserve">La tesi che rigetta l’attribuzione allo Stato dei fatti </w:t>
      </w:r>
      <w:r w:rsidR="00FC77CE" w:rsidRPr="00A207C4">
        <w:rPr>
          <w:i/>
        </w:rPr>
        <w:t>ultra vires</w:t>
      </w:r>
      <w:r w:rsidR="00FC77CE">
        <w:t xml:space="preserve"> degli organi statali sulla base della rilevanza esclusiva del diritto interno nell’organizzazione dello Stato</w:t>
      </w:r>
    </w:p>
    <w:p w:rsidR="00FC77CE" w:rsidRDefault="00FC77CE" w:rsidP="00EB037D">
      <w:pPr>
        <w:spacing w:after="0" w:line="360" w:lineRule="auto"/>
        <w:ind w:left="360" w:firstLine="284"/>
      </w:pPr>
    </w:p>
    <w:p w:rsidR="00FC77CE" w:rsidRDefault="00FC77CE" w:rsidP="00EB037D">
      <w:pPr>
        <w:spacing w:after="0" w:line="360" w:lineRule="auto"/>
        <w:ind w:firstLine="284"/>
        <w:jc w:val="both"/>
      </w:pPr>
      <w:r>
        <w:t>Durante la seconda parte del diciannovesimo secolo, numerosi autori hanno assimilato a dei semplici privati gli organi statali che nel loro agire eccedevano la competenza oppure contravvenivano alle istruzioni ricevute, sulla base del fatto che non erano in grado di rappresentare validamente la volontà statale</w:t>
      </w:r>
      <w:r>
        <w:rPr>
          <w:rStyle w:val="Rimandonotaapidipagina"/>
        </w:rPr>
        <w:footnoteReference w:id="78"/>
      </w:r>
      <w:r>
        <w:t>.</w:t>
      </w:r>
    </w:p>
    <w:p w:rsidR="00FC77CE" w:rsidRDefault="00FC77CE" w:rsidP="00EB037D">
      <w:pPr>
        <w:spacing w:after="0" w:line="360" w:lineRule="auto"/>
        <w:ind w:firstLine="284"/>
        <w:jc w:val="both"/>
      </w:pPr>
      <w:r>
        <w:t xml:space="preserve">Riconoscendo </w:t>
      </w:r>
      <w:r w:rsidRPr="00522ABC">
        <w:t>rilevanza esclusiva al diritto interno in materia di organizzazione dello Stato e di acce</w:t>
      </w:r>
      <w:r>
        <w:t>rtamento della qualità organica</w:t>
      </w:r>
      <w:r w:rsidRPr="00522ABC">
        <w:t>,</w:t>
      </w:r>
      <w:r>
        <w:t xml:space="preserve"> finivano per ammettere che </w:t>
      </w:r>
      <w:r w:rsidRPr="00522ABC">
        <w:t xml:space="preserve">tutte le condotte </w:t>
      </w:r>
      <w:r w:rsidRPr="00522ABC">
        <w:lastRenderedPageBreak/>
        <w:t xml:space="preserve">tenute </w:t>
      </w:r>
      <w:r>
        <w:t>da individui che non possedevano</w:t>
      </w:r>
      <w:r w:rsidRPr="00522ABC">
        <w:t xml:space="preserve"> tale </w:t>
      </w:r>
      <w:r w:rsidRPr="00522ABC">
        <w:rPr>
          <w:i/>
        </w:rPr>
        <w:t>status</w:t>
      </w:r>
      <w:r w:rsidRPr="00522ABC">
        <w:t xml:space="preserve"> </w:t>
      </w:r>
      <w:r>
        <w:t xml:space="preserve">in </w:t>
      </w:r>
      <w:r w:rsidRPr="00522ABC">
        <w:t>virtù del diritto statale o che, pur possedendolo, non agi</w:t>
      </w:r>
      <w:r>
        <w:t>vano</w:t>
      </w:r>
      <w:r w:rsidRPr="00522ABC">
        <w:t xml:space="preserve"> in linea con le disposizioni in tema di competenza d</w:t>
      </w:r>
      <w:r>
        <w:t>ovevano</w:t>
      </w:r>
      <w:r w:rsidRPr="00522ABC">
        <w:t xml:space="preserve"> essere considerati </w:t>
      </w:r>
      <w:r>
        <w:t xml:space="preserve">fatti </w:t>
      </w:r>
      <w:r w:rsidRPr="00522ABC">
        <w:t>di privati</w:t>
      </w:r>
      <w:r>
        <w:t>.</w:t>
      </w:r>
    </w:p>
    <w:p w:rsidR="00FC77CE" w:rsidRDefault="00FC77CE" w:rsidP="00EB037D">
      <w:pPr>
        <w:spacing w:after="0" w:line="360" w:lineRule="auto"/>
        <w:ind w:firstLine="284"/>
        <w:jc w:val="both"/>
      </w:pPr>
      <w:r>
        <w:t xml:space="preserve">La tesi secondo cui lo Stato non risponde sul piano internazionale dei comportamenti tenuti dai propri organi </w:t>
      </w:r>
      <w:r w:rsidRPr="00956206">
        <w:rPr>
          <w:i/>
        </w:rPr>
        <w:t>ultra vires</w:t>
      </w:r>
      <w:r>
        <w:t xml:space="preserve"> è stata in passato </w:t>
      </w:r>
      <w:r w:rsidR="00961FF5">
        <w:t xml:space="preserve">sostenuta, tra gli altri, </w:t>
      </w:r>
      <w:r>
        <w:t>da Bluntschli</w:t>
      </w:r>
      <w:r>
        <w:rPr>
          <w:rStyle w:val="Rimandonotaapidipagina"/>
        </w:rPr>
        <w:footnoteReference w:id="79"/>
      </w:r>
      <w:r>
        <w:t>, Calvo</w:t>
      </w:r>
      <w:r>
        <w:rPr>
          <w:rStyle w:val="Rimandonotaapidipagina"/>
        </w:rPr>
        <w:footnoteReference w:id="80"/>
      </w:r>
      <w:r>
        <w:t>, Hall</w:t>
      </w:r>
      <w:r>
        <w:rPr>
          <w:rStyle w:val="Rimandonotaapidipagina"/>
        </w:rPr>
        <w:footnoteReference w:id="81"/>
      </w:r>
      <w:r>
        <w:t>, Chrétien</w:t>
      </w:r>
      <w:r>
        <w:rPr>
          <w:rStyle w:val="Rimandonotaapidipagina"/>
        </w:rPr>
        <w:footnoteReference w:id="82"/>
      </w:r>
      <w:r>
        <w:t>, Piedelièvre</w:t>
      </w:r>
      <w:r>
        <w:rPr>
          <w:rStyle w:val="Rimandonotaapidipagina"/>
        </w:rPr>
        <w:footnoteReference w:id="83"/>
      </w:r>
      <w:r>
        <w:t>, Fiore</w:t>
      </w:r>
      <w:r>
        <w:rPr>
          <w:rStyle w:val="Rimandonotaapidipagina"/>
        </w:rPr>
        <w:footnoteReference w:id="84"/>
      </w:r>
      <w:r>
        <w:t>, Despagnet</w:t>
      </w:r>
      <w:r>
        <w:rPr>
          <w:rStyle w:val="Rimandonotaapidipagina"/>
        </w:rPr>
        <w:footnoteReference w:id="85"/>
      </w:r>
      <w:r>
        <w:t xml:space="preserve"> e Fauchille</w:t>
      </w:r>
      <w:r>
        <w:rPr>
          <w:rStyle w:val="Rimandonotaapidipagina"/>
        </w:rPr>
        <w:footnoteReference w:id="86"/>
      </w:r>
      <w:r>
        <w:t>.</w:t>
      </w:r>
    </w:p>
    <w:p w:rsidR="00FC77CE" w:rsidRDefault="00FC77CE" w:rsidP="00EB037D">
      <w:pPr>
        <w:spacing w:after="0" w:line="360" w:lineRule="auto"/>
        <w:ind w:firstLine="284"/>
        <w:jc w:val="both"/>
      </w:pPr>
      <w:r>
        <w:t>Un’ulteriore distinzione veniva operata, da parte dei suddetti autori, fra le condotte tenute dagli organi sul territorio</w:t>
      </w:r>
      <w:r w:rsidR="00BA1BBA">
        <w:t xml:space="preserve"> del proprio Stato</w:t>
      </w:r>
      <w:r>
        <w:t xml:space="preserve"> e quelle </w:t>
      </w:r>
      <w:r w:rsidR="00BA1BBA">
        <w:t xml:space="preserve">degli </w:t>
      </w:r>
      <w:r>
        <w:t>organi all’estero, nel senso di ritenere che lo Stato era tenuto a rispondere nell’ordin</w:t>
      </w:r>
      <w:r w:rsidR="00C343F1">
        <w:t>amento</w:t>
      </w:r>
      <w:r w:rsidR="00262978">
        <w:t xml:space="preserve"> internazionale </w:t>
      </w:r>
      <w:r>
        <w:t xml:space="preserve">in maniera maggiormente restrittiva dei comportamenti illeciti adottati dagli organi sul proprio territorio. </w:t>
      </w:r>
    </w:p>
    <w:p w:rsidR="00FC77CE" w:rsidRDefault="00FC77CE" w:rsidP="00EB037D">
      <w:pPr>
        <w:spacing w:after="0" w:line="360" w:lineRule="auto"/>
        <w:ind w:firstLine="284"/>
        <w:jc w:val="both"/>
      </w:pPr>
      <w:r>
        <w:t>Mentre risultavano attribuibili allo Stato tutti i comportam</w:t>
      </w:r>
      <w:r w:rsidR="00E877D4">
        <w:t xml:space="preserve">enti tenuti dagli organi che </w:t>
      </w:r>
      <w:r>
        <w:t xml:space="preserve">operavano per suo conto all’estero, i fatti </w:t>
      </w:r>
      <w:r w:rsidRPr="00D746A2">
        <w:rPr>
          <w:i/>
        </w:rPr>
        <w:t>ultra vires</w:t>
      </w:r>
      <w:r>
        <w:t xml:space="preserve"> commessi da un organo sul territorio del proprio Stato facevano sorgere una responsabilità meramente personale dell’individuo-organo. La responsabilità statale sul piano internazionale veniva in essere esclusivamente in caso di complicità o di diniego di</w:t>
      </w:r>
      <w:r w:rsidR="00E877D4">
        <w:t xml:space="preserve"> giustizia da parte di altri</w:t>
      </w:r>
      <w:r>
        <w:t xml:space="preserve"> organi dello Stato</w:t>
      </w:r>
      <w:r>
        <w:rPr>
          <w:rStyle w:val="Rimandonotaapidipagina"/>
        </w:rPr>
        <w:footnoteReference w:id="87"/>
      </w:r>
      <w:r>
        <w:t>.</w:t>
      </w:r>
    </w:p>
    <w:p w:rsidR="00FC77CE" w:rsidRDefault="00FC77CE" w:rsidP="003E7A0E">
      <w:pPr>
        <w:spacing w:after="0" w:line="360" w:lineRule="auto"/>
        <w:ind w:firstLine="284"/>
        <w:jc w:val="both"/>
      </w:pPr>
      <w:r>
        <w:t xml:space="preserve">La tesi volta ad assimilare i fatti </w:t>
      </w:r>
      <w:r w:rsidRPr="00A67016">
        <w:rPr>
          <w:i/>
        </w:rPr>
        <w:t>ultra vires</w:t>
      </w:r>
      <w:r>
        <w:t xml:space="preserve"> tenuti dagli organi statali a quell</w:t>
      </w:r>
      <w:r w:rsidR="00747FF3">
        <w:t>i di semplici privati si basava</w:t>
      </w:r>
      <w:r>
        <w:t xml:space="preserve"> presumibilmente su una applicazione analogica in diritto internazionale della teoria del mandato di diritto interno. Lo Stato pertanto non veniva considerato responsabile in diritto internazionale delle condotte </w:t>
      </w:r>
      <w:r w:rsidRPr="00330E0C">
        <w:rPr>
          <w:i/>
        </w:rPr>
        <w:t>ultra vires</w:t>
      </w:r>
      <w:r>
        <w:t xml:space="preserve"> dei propri organi in virtù del principio di diritto interno secondo cui il mandante non è responsabile delle condotte del mandatario in caso di eccesso dei limiti del mandato.</w:t>
      </w:r>
      <w:r w:rsidR="00747FF3">
        <w:t xml:space="preserve"> </w:t>
      </w:r>
      <w:r w:rsidR="00E877D4">
        <w:t xml:space="preserve">Tale assimilazione fra il rapporto </w:t>
      </w:r>
      <w:r w:rsidR="00E877D4">
        <w:lastRenderedPageBreak/>
        <w:t xml:space="preserve">organico </w:t>
      </w:r>
      <w:r>
        <w:t xml:space="preserve">ed il mandato è stata successivamente abbandonata dalla maggioranza della dottrina, sebbene anche nel corso del ventesimo secolo alcuni autori abbiano sostenuto la tesi dell’impossibilità di attribuire allo Stato i comportamenti tenuti da un organo </w:t>
      </w:r>
      <w:r w:rsidRPr="009072DB">
        <w:rPr>
          <w:i/>
        </w:rPr>
        <w:t>ultra vires</w:t>
      </w:r>
      <w:r>
        <w:t>.</w:t>
      </w:r>
    </w:p>
    <w:p w:rsidR="00FC77CE" w:rsidRDefault="00FC77CE" w:rsidP="00EB037D">
      <w:pPr>
        <w:spacing w:after="0" w:line="360" w:lineRule="auto"/>
        <w:ind w:firstLine="284"/>
        <w:jc w:val="both"/>
      </w:pPr>
      <w:r>
        <w:t>Nel 1926 tale tesi è stata ad esempio difesa da Guerrero nel quadro dei lavori di codificazione del diritto internazionale intrapresi sotto l’egida della Società delle Nazioni</w:t>
      </w:r>
      <w:r>
        <w:rPr>
          <w:rStyle w:val="Rimandonotaapidipagina"/>
        </w:rPr>
        <w:footnoteReference w:id="88"/>
      </w:r>
      <w:r>
        <w:t xml:space="preserve"> e </w:t>
      </w:r>
      <w:r w:rsidR="006E6DA3">
        <w:t xml:space="preserve">ancora </w:t>
      </w:r>
      <w:r>
        <w:t xml:space="preserve">nel 1968 Rolando Quadri ha sostenuto che la responsabilità internazionale dello Stato con riferimento a condotte </w:t>
      </w:r>
      <w:r w:rsidRPr="006758D6">
        <w:rPr>
          <w:i/>
        </w:rPr>
        <w:t>ultra vires</w:t>
      </w:r>
      <w:r>
        <w:t xml:space="preserve"> degli organi statali può sorgere esclusivamente in relazione al mancato adempimento da parte di altri organi di un obbligo di prevenzione o repressione del fatto illecito</w:t>
      </w:r>
      <w:r>
        <w:rPr>
          <w:rStyle w:val="Rimandonotaapidipagina"/>
        </w:rPr>
        <w:footnoteReference w:id="89"/>
      </w:r>
      <w:r>
        <w:t>.</w:t>
      </w:r>
    </w:p>
    <w:p w:rsidR="00FC77CE" w:rsidRDefault="00FC77CE" w:rsidP="00EB037D">
      <w:pPr>
        <w:spacing w:after="0" w:line="360" w:lineRule="auto"/>
        <w:ind w:firstLine="284"/>
        <w:jc w:val="both"/>
      </w:pPr>
    </w:p>
    <w:p w:rsidR="00761820" w:rsidRDefault="002B61B4" w:rsidP="00793863">
      <w:pPr>
        <w:spacing w:after="0" w:line="360" w:lineRule="auto"/>
        <w:ind w:left="708"/>
        <w:jc w:val="both"/>
      </w:pPr>
      <w:r>
        <w:t>4</w:t>
      </w:r>
      <w:r w:rsidR="00793863">
        <w:t xml:space="preserve">.2 </w:t>
      </w:r>
      <w:r w:rsidR="00761820" w:rsidRPr="00DD18E4">
        <w:t xml:space="preserve">La tesi che </w:t>
      </w:r>
      <w:r w:rsidR="00761820" w:rsidRPr="003E7A0E">
        <w:t xml:space="preserve">riconosce la responsabilità internazionale dello Stato per i fatti </w:t>
      </w:r>
      <w:r w:rsidR="003E7A0E" w:rsidRPr="003E7A0E">
        <w:t xml:space="preserve">illeciti </w:t>
      </w:r>
      <w:r w:rsidR="00761820" w:rsidRPr="003E7A0E">
        <w:rPr>
          <w:i/>
        </w:rPr>
        <w:t>ultra vires</w:t>
      </w:r>
      <w:r w:rsidR="00761820" w:rsidRPr="003E7A0E">
        <w:t xml:space="preserve"> dei propri organi </w:t>
      </w:r>
      <w:r w:rsidR="00A01E58" w:rsidRPr="003E7A0E">
        <w:t xml:space="preserve">sulla base </w:t>
      </w:r>
      <w:r w:rsidR="00A01E58" w:rsidRPr="004C329A">
        <w:t>d</w:t>
      </w:r>
      <w:r w:rsidR="003E7A0E" w:rsidRPr="004C329A">
        <w:t>ella te</w:t>
      </w:r>
      <w:r w:rsidR="00A01E58" w:rsidRPr="004C329A">
        <w:t>oria del rischio statale</w:t>
      </w:r>
    </w:p>
    <w:p w:rsidR="00761820" w:rsidRPr="00DD18E4" w:rsidRDefault="00761820" w:rsidP="00761820">
      <w:pPr>
        <w:spacing w:after="0" w:line="360" w:lineRule="auto"/>
        <w:ind w:left="360" w:firstLine="284"/>
        <w:jc w:val="both"/>
      </w:pPr>
    </w:p>
    <w:p w:rsidR="00761820" w:rsidRDefault="00761820" w:rsidP="00F1739A">
      <w:pPr>
        <w:spacing w:after="0" w:line="360" w:lineRule="auto"/>
        <w:ind w:firstLine="284"/>
        <w:jc w:val="both"/>
      </w:pPr>
      <w:r>
        <w:t xml:space="preserve">Nel ventesimo secolo, si è assistito in ambito dottrinale ad una progressiva affermazione del principio della responsabilità internazionale dello Stato per le condotte </w:t>
      </w:r>
      <w:r w:rsidRPr="00985B25">
        <w:rPr>
          <w:i/>
        </w:rPr>
        <w:t>ultra vires</w:t>
      </w:r>
      <w:r w:rsidR="00F1739A">
        <w:t xml:space="preserve"> dei propri organi. </w:t>
      </w:r>
      <w:r>
        <w:t>Mentre nel corso del diciannovesimo secolo la dottrina era unanime nell’assimilare a semplici privati</w:t>
      </w:r>
      <w:r w:rsidRPr="00B348BB">
        <w:t xml:space="preserve"> </w:t>
      </w:r>
      <w:r>
        <w:t xml:space="preserve">gli organi che nel loro agire eccedevano la competenza oppure contravvenivano alle istruzioni loro impartite in quanto la loro attività non poteva essere collegata alla volontà statale, a partire dal ventesimo secolo alcuni autori hanno iniziato a ritenere che lo Stato era tenuto a risponderne nell’ordinamento internazionale, nonostante tali comportamenti non potessero essere considerati dei fatti dello Stato. </w:t>
      </w:r>
    </w:p>
    <w:p w:rsidR="007A69E4" w:rsidRDefault="00761820" w:rsidP="00761820">
      <w:pPr>
        <w:spacing w:after="0" w:line="360" w:lineRule="auto"/>
        <w:ind w:firstLine="284"/>
        <w:jc w:val="both"/>
      </w:pPr>
      <w:r>
        <w:t>I principali esponenti di tale corrente dottrinale sono Heinrich Triepel</w:t>
      </w:r>
      <w:r>
        <w:rPr>
          <w:rStyle w:val="Rimandonotaapidipagina"/>
        </w:rPr>
        <w:footnoteReference w:id="90"/>
      </w:r>
      <w:r>
        <w:t>, Dionisio Anzilotti</w:t>
      </w:r>
      <w:r>
        <w:rPr>
          <w:rStyle w:val="Rimandonotaapidipagina"/>
        </w:rPr>
        <w:footnoteReference w:id="91"/>
      </w:r>
      <w:r>
        <w:t>, Karl Strupp</w:t>
      </w:r>
      <w:r>
        <w:rPr>
          <w:rStyle w:val="Rimandonotaapidipagina"/>
        </w:rPr>
        <w:footnoteReference w:id="92"/>
      </w:r>
      <w:r>
        <w:t>, Walther Burckhardt</w:t>
      </w:r>
      <w:r>
        <w:rPr>
          <w:rStyle w:val="Rimandonotaapidipagina"/>
        </w:rPr>
        <w:footnoteReference w:id="93"/>
      </w:r>
      <w:r>
        <w:t>, Charles De Visscher</w:t>
      </w:r>
      <w:r>
        <w:rPr>
          <w:rStyle w:val="Rimandonotaapidipagina"/>
        </w:rPr>
        <w:footnoteReference w:id="94"/>
      </w:r>
      <w:r>
        <w:t xml:space="preserve"> e Agostino Soldati</w:t>
      </w:r>
      <w:r>
        <w:rPr>
          <w:rStyle w:val="Rimandonotaapidipagina"/>
        </w:rPr>
        <w:footnoteReference w:id="95"/>
      </w:r>
      <w:r>
        <w:t xml:space="preserve">. </w:t>
      </w:r>
    </w:p>
    <w:p w:rsidR="00761820" w:rsidRDefault="00761820" w:rsidP="00761820">
      <w:pPr>
        <w:spacing w:after="0" w:line="360" w:lineRule="auto"/>
        <w:ind w:firstLine="284"/>
        <w:jc w:val="both"/>
      </w:pPr>
      <w:r>
        <w:t xml:space="preserve">Partendo dall’assunto che spetta all’ordinamento interno regolare i poteri e le competenze dei propri organi, tali autori arrivavano a </w:t>
      </w:r>
      <w:r w:rsidRPr="00462073">
        <w:t xml:space="preserve">concludere che soltanto le condotte </w:t>
      </w:r>
      <w:r w:rsidRPr="00462073">
        <w:lastRenderedPageBreak/>
        <w:t>tenute dagli organi statali nel rispetto delle disposizioni di diritto interno in tema di competenz</w:t>
      </w:r>
      <w:r>
        <w:t>a potevano</w:t>
      </w:r>
      <w:r w:rsidRPr="00462073">
        <w:t xml:space="preserve"> </w:t>
      </w:r>
      <w:r>
        <w:t>essere considerate fatti dello Stato</w:t>
      </w:r>
      <w:r>
        <w:rPr>
          <w:rStyle w:val="Rimandonotaapidipagina"/>
        </w:rPr>
        <w:footnoteReference w:id="96"/>
      </w:r>
      <w:r>
        <w:t xml:space="preserve">. </w:t>
      </w:r>
    </w:p>
    <w:p w:rsidR="00761820" w:rsidRDefault="00761820" w:rsidP="00761820">
      <w:pPr>
        <w:spacing w:after="0" w:line="360" w:lineRule="auto"/>
        <w:ind w:firstLine="284"/>
        <w:jc w:val="both"/>
      </w:pPr>
      <w:r>
        <w:t xml:space="preserve">La corrente dottrinale che si è sviluppata a partire dal ventesimo secolo ha però incontrato la difficoltà di conciliare le suddette premesse teoriche con i dati desumibili dalla prassi internazionale, che si erano nel frattempo orientati nel senso di ritenere lo Stato responsabile dei comportamenti </w:t>
      </w:r>
      <w:r w:rsidRPr="00A81618">
        <w:rPr>
          <w:i/>
        </w:rPr>
        <w:t>ultra vires</w:t>
      </w:r>
      <w:r>
        <w:t xml:space="preserve"> dei propri organi. La soluzione accolta nella prassi internazionale era ritenuta in contrasto con la logica giuridica e poteva, a loro parere, trovare giustificazione soltanto nella necessità di garantire la sicurezza delle relazioni internazionali</w:t>
      </w:r>
      <w:r>
        <w:rPr>
          <w:rStyle w:val="Rimandonotaapidipagina"/>
        </w:rPr>
        <w:footnoteReference w:id="97"/>
      </w:r>
      <w:r>
        <w:t>.</w:t>
      </w:r>
    </w:p>
    <w:p w:rsidR="00761820" w:rsidRDefault="00761820" w:rsidP="003E7A0E">
      <w:pPr>
        <w:spacing w:after="0" w:line="360" w:lineRule="auto"/>
        <w:ind w:firstLine="284"/>
        <w:jc w:val="both"/>
      </w:pPr>
      <w:r>
        <w:t>Non potendo procedere in ogni occasione all’esame delle disposizioni di diritto interno di un altro Stato al fine di verificare se un organo aveva rispettato nell’esercizio delle proprie funzioni i limiti della propria competenza, uno Stato non poteva negare di aver agito ogniqualvolta un organo adottava un comportamento che all’esterno appariva determinato dalla sua volontà.  Tale assunto, in chiara contraddizione con le premesse, aveva lo scopo di conciliare le conclusioni con i dati desumibili dalla prassi internazionale</w:t>
      </w:r>
      <w:r w:rsidR="003E7A0E">
        <w:t xml:space="preserve">. </w:t>
      </w:r>
      <w:r>
        <w:t xml:space="preserve">Investendo dello </w:t>
      </w:r>
      <w:r w:rsidRPr="00957AB7">
        <w:rPr>
          <w:i/>
        </w:rPr>
        <w:t>status</w:t>
      </w:r>
      <w:r>
        <w:t xml:space="preserve"> organico alcuni individui o enti e fornendo loro gli strumenti necessari all’esecuzione della propria funzione,</w:t>
      </w:r>
      <w:r w:rsidRPr="00B7375A">
        <w:t xml:space="preserve"> </w:t>
      </w:r>
      <w:r>
        <w:t>secondo tali autori, lo Stato era tenuto a rispondere nell’ordinamento internazionale</w:t>
      </w:r>
      <w:r w:rsidRPr="00B7375A">
        <w:t xml:space="preserve"> </w:t>
      </w:r>
      <w:r>
        <w:t xml:space="preserve">dell’apparenza che aveva contribuito a creare. Al fine di garantire la sicurezza delle relazioni internazionali, lo Stato era quindi tenuto a rispondere delle condotte non autorizzate dei propri organi nel caso in cui l’illecito era stato reso possibile in virtù dello </w:t>
      </w:r>
      <w:r w:rsidRPr="0028479D">
        <w:rPr>
          <w:i/>
        </w:rPr>
        <w:t>status</w:t>
      </w:r>
      <w:r>
        <w:t xml:space="preserve"> organico di cui un individuo o ente godevano o dell’autorità che derivava loro dall’esercitare una funzione ufficiale</w:t>
      </w:r>
      <w:r>
        <w:rPr>
          <w:rStyle w:val="Rimandonotaapidipagina"/>
        </w:rPr>
        <w:footnoteReference w:id="98"/>
      </w:r>
      <w:r>
        <w:t>.</w:t>
      </w:r>
    </w:p>
    <w:p w:rsidR="00761820" w:rsidRPr="00904400" w:rsidRDefault="003E7A0E" w:rsidP="00712BFB">
      <w:pPr>
        <w:spacing w:after="0" w:line="360" w:lineRule="auto"/>
        <w:ind w:firstLine="284"/>
        <w:jc w:val="both"/>
      </w:pPr>
      <w:r>
        <w:t xml:space="preserve">Pur non essendo </w:t>
      </w:r>
      <w:r w:rsidR="00DD6131">
        <w:t xml:space="preserve">attribuibili allo Stato </w:t>
      </w:r>
      <w:r>
        <w:t>sul piano internazionale</w:t>
      </w:r>
      <w:r w:rsidR="00DD6131">
        <w:t xml:space="preserve"> in quanto non conformi al diritto interno, i fatti </w:t>
      </w:r>
      <w:r w:rsidR="00DD6131" w:rsidRPr="00DD6131">
        <w:rPr>
          <w:i/>
        </w:rPr>
        <w:t>ultra vires</w:t>
      </w:r>
      <w:r w:rsidR="00DD6131">
        <w:t xml:space="preserve"> degli organi possedevano comunque le caratteristiche</w:t>
      </w:r>
      <w:r>
        <w:t xml:space="preserve"> </w:t>
      </w:r>
      <w:r w:rsidR="00DD6131">
        <w:t xml:space="preserve">tipiche del fatto statale, in quanto si collegavano all’organizzazione dello Stato e si producevano in occasione dell’esercizio di funzioni ufficiali. </w:t>
      </w:r>
      <w:r>
        <w:t>La responsabilità internazionale</w:t>
      </w:r>
      <w:r w:rsidR="00DD6131">
        <w:t xml:space="preserve"> dello Stato</w:t>
      </w:r>
      <w:r>
        <w:t xml:space="preserve">, nell’ipotesi degli illeciti </w:t>
      </w:r>
      <w:r w:rsidRPr="003E7A0E">
        <w:rPr>
          <w:i/>
        </w:rPr>
        <w:t>ultra vires</w:t>
      </w:r>
      <w:r>
        <w:t xml:space="preserve"> dei propri organi, si fondava quindi su una garanzia che </w:t>
      </w:r>
      <w:r w:rsidR="00DD6131">
        <w:t xml:space="preserve">esso </w:t>
      </w:r>
      <w:r>
        <w:t xml:space="preserve">assicurava agli altri soggetti di diritto internazionale per i fatti dannosi che derivavano dalla </w:t>
      </w:r>
      <w:r w:rsidR="00712BFB">
        <w:t>propria organizzazione interna.</w:t>
      </w:r>
    </w:p>
    <w:p w:rsidR="00FC77CE" w:rsidRDefault="002B61B4" w:rsidP="00793863">
      <w:pPr>
        <w:spacing w:after="0" w:line="360" w:lineRule="auto"/>
        <w:ind w:left="708"/>
        <w:jc w:val="both"/>
      </w:pPr>
      <w:r>
        <w:lastRenderedPageBreak/>
        <w:t>4</w:t>
      </w:r>
      <w:r w:rsidR="00793863">
        <w:t xml:space="preserve">.3 </w:t>
      </w:r>
      <w:r w:rsidR="00FC77CE">
        <w:t xml:space="preserve">La tesi che </w:t>
      </w:r>
      <w:r>
        <w:t>accoglie</w:t>
      </w:r>
      <w:r w:rsidR="00FA1BA9">
        <w:t xml:space="preserve"> </w:t>
      </w:r>
      <w:r w:rsidR="00FC77CE">
        <w:t xml:space="preserve">l’attribuzione allo Stato dei comportamenti </w:t>
      </w:r>
      <w:r w:rsidR="00FC77CE" w:rsidRPr="00A263EC">
        <w:rPr>
          <w:i/>
        </w:rPr>
        <w:t>ultra vires</w:t>
      </w:r>
      <w:r w:rsidR="00FC77CE">
        <w:t xml:space="preserve"> dei soli organi statali s</w:t>
      </w:r>
      <w:r w:rsidR="00FA1BA9">
        <w:t>uperior</w:t>
      </w:r>
      <w:r w:rsidR="00FC77CE">
        <w:t>i</w:t>
      </w:r>
      <w:r w:rsidR="00427A8B">
        <w:t xml:space="preserve"> </w:t>
      </w:r>
    </w:p>
    <w:p w:rsidR="00FC77CE" w:rsidRDefault="00FC77CE" w:rsidP="00EB037D">
      <w:pPr>
        <w:spacing w:after="0" w:line="360" w:lineRule="auto"/>
        <w:ind w:firstLine="284"/>
        <w:jc w:val="both"/>
      </w:pPr>
    </w:p>
    <w:p w:rsidR="00CA2C28" w:rsidRDefault="00FC77CE" w:rsidP="00CA2C28">
      <w:pPr>
        <w:spacing w:after="0" w:line="360" w:lineRule="auto"/>
        <w:ind w:firstLine="284"/>
        <w:jc w:val="both"/>
      </w:pPr>
      <w:r>
        <w:t xml:space="preserve">All’inizio del ventesimo secolo, parte della dottrina ha sostenuto che la volontà statale poteva essere validamente rappresentata solo dai suoi organi superiori, per cui lo Stato era tenuto a rispondere in ambito internazionale solo dei fatti </w:t>
      </w:r>
      <w:r w:rsidRPr="00195AB6">
        <w:rPr>
          <w:i/>
        </w:rPr>
        <w:t>ultra vires</w:t>
      </w:r>
      <w:r>
        <w:t xml:space="preserve"> da es</w:t>
      </w:r>
      <w:r w:rsidR="006E6DA3">
        <w:t xml:space="preserve">si tenuti, ad esclusione </w:t>
      </w:r>
      <w:r>
        <w:t xml:space="preserve">di quelli adottati dagli organi subalterni. Il principale fautore di tale teoria è Borchard, il quale sosteneva che potevano essere direttamente attribuiti allo Stato in diritto internazionale soltanto i comportamenti tenuti dagli organi superiori nell’esercizio delle proprie funzioni, che avessero agito nel rispetto dei limiti della </w:t>
      </w:r>
      <w:r w:rsidR="006E6DA3">
        <w:t xml:space="preserve">loro </w:t>
      </w:r>
      <w:r>
        <w:t>competenza o meno</w:t>
      </w:r>
      <w:r>
        <w:rPr>
          <w:rStyle w:val="Rimandonotaapidipagina"/>
        </w:rPr>
        <w:footnoteReference w:id="99"/>
      </w:r>
      <w:r>
        <w:t xml:space="preserve">. </w:t>
      </w:r>
    </w:p>
    <w:p w:rsidR="00FC77CE" w:rsidRDefault="00FC77CE" w:rsidP="00EB037D">
      <w:pPr>
        <w:spacing w:after="0" w:line="360" w:lineRule="auto"/>
        <w:ind w:firstLine="284"/>
        <w:jc w:val="both"/>
      </w:pPr>
      <w:r>
        <w:t>Gli atti e le omissioni degli organi subalterni venivano equiparati ai comportamenti di privati, per cui la responsabilità internazionale dello Stato poteva sorgere solo in caso di ratifica del comportamento, di mancata prevenzione o repressione del fatto illecito oppure per diniego di giustizia</w:t>
      </w:r>
      <w:r w:rsidR="00475104">
        <w:t xml:space="preserve"> da parte degli organi superiori</w:t>
      </w:r>
      <w:r>
        <w:rPr>
          <w:rStyle w:val="Rimandonotaapidipagina"/>
        </w:rPr>
        <w:footnoteReference w:id="100"/>
      </w:r>
      <w:r>
        <w:t>.</w:t>
      </w:r>
    </w:p>
    <w:p w:rsidR="00117B2F" w:rsidRPr="00A55C0D" w:rsidRDefault="00F707FD" w:rsidP="00F707FD">
      <w:pPr>
        <w:spacing w:after="0" w:line="360" w:lineRule="auto"/>
        <w:ind w:firstLine="284"/>
        <w:jc w:val="both"/>
      </w:pPr>
      <w:r>
        <w:rPr>
          <w:lang w:val="en-US"/>
        </w:rPr>
        <w:t>Tale concezione</w:t>
      </w:r>
      <w:r w:rsidR="00117B2F" w:rsidRPr="00117B2F">
        <w:rPr>
          <w:lang w:val="en-US"/>
        </w:rPr>
        <w:t xml:space="preserve"> è </w:t>
      </w:r>
      <w:r>
        <w:rPr>
          <w:lang w:val="en-US"/>
        </w:rPr>
        <w:t>stata affermata anche dal</w:t>
      </w:r>
      <w:r w:rsidR="00117B2F" w:rsidRPr="00117B2F">
        <w:rPr>
          <w:lang w:val="en-US"/>
        </w:rPr>
        <w:t>la</w:t>
      </w:r>
      <w:r w:rsidR="00117B2F" w:rsidRPr="00117B2F">
        <w:rPr>
          <w:i/>
          <w:lang w:val="en-US"/>
        </w:rPr>
        <w:t xml:space="preserve"> Draft Convention on the Responsibility of States for Damage Done in their Territory to the Person or Property of Foreigners </w:t>
      </w:r>
      <w:r>
        <w:rPr>
          <w:lang w:val="en-US"/>
        </w:rPr>
        <w:t xml:space="preserve">redatta nel 1929 </w:t>
      </w:r>
      <w:r w:rsidRPr="00F707FD">
        <w:rPr>
          <w:lang w:val="en-US"/>
        </w:rPr>
        <w:t xml:space="preserve">dal Professor Borchard </w:t>
      </w:r>
      <w:r>
        <w:rPr>
          <w:lang w:val="en-US"/>
        </w:rPr>
        <w:t xml:space="preserve">per la </w:t>
      </w:r>
      <w:r w:rsidR="00117B2F" w:rsidRPr="00117B2F">
        <w:rPr>
          <w:i/>
          <w:lang w:val="en-US"/>
        </w:rPr>
        <w:t>Harvard Law School</w:t>
      </w:r>
      <w:r w:rsidR="00117B2F">
        <w:rPr>
          <w:lang w:val="en-US"/>
        </w:rPr>
        <w:t xml:space="preserve">. </w:t>
      </w:r>
      <w:r w:rsidR="00117B2F" w:rsidRPr="00E65C2F">
        <w:t xml:space="preserve">L’art. 7 lett. </w:t>
      </w:r>
      <w:r w:rsidR="00117B2F" w:rsidRPr="00117B2F">
        <w:rPr>
          <w:i/>
        </w:rPr>
        <w:t>a</w:t>
      </w:r>
      <w:r w:rsidR="00117B2F">
        <w:t>)</w:t>
      </w:r>
      <w:r w:rsidR="00117B2F" w:rsidRPr="00E65C2F">
        <w:t xml:space="preserve"> </w:t>
      </w:r>
      <w:r w:rsidR="00117B2F">
        <w:t xml:space="preserve">stabiliva difatti </w:t>
      </w:r>
      <w:r w:rsidR="00117B2F" w:rsidRPr="00E65C2F">
        <w:t xml:space="preserve">che uno Stato è internazionalmente responsabile dei danni causati </w:t>
      </w:r>
      <w:r w:rsidR="00117B2F">
        <w:t xml:space="preserve">solo </w:t>
      </w:r>
      <w:r w:rsidR="00117B2F" w:rsidRPr="00E65C2F">
        <w:t xml:space="preserve">dai propri </w:t>
      </w:r>
      <w:r w:rsidR="00117B2F" w:rsidRPr="00117B2F">
        <w:t>organi superiori</w:t>
      </w:r>
      <w:r w:rsidR="00117B2F">
        <w:t xml:space="preserve"> </w:t>
      </w:r>
      <w:r w:rsidR="00117B2F" w:rsidRPr="00E65C2F">
        <w:t>nell’eserciz</w:t>
      </w:r>
      <w:r w:rsidR="00117B2F">
        <w:t>io delle funzioni</w:t>
      </w:r>
      <w:r w:rsidR="00117B2F">
        <w:rPr>
          <w:rStyle w:val="Rimandonotaapidipagina"/>
        </w:rPr>
        <w:footnoteReference w:id="101"/>
      </w:r>
      <w:r w:rsidR="00117B2F">
        <w:t xml:space="preserve">. Il </w:t>
      </w:r>
      <w:r w:rsidR="00117B2F" w:rsidRPr="00E65C2F">
        <w:t>commentario della suddetta disposizione chiariva che un</w:t>
      </w:r>
      <w:r w:rsidR="00117B2F">
        <w:t xml:space="preserve"> organo superiore che aveva tenuto un comportamento </w:t>
      </w:r>
      <w:r w:rsidR="00117B2F">
        <w:rPr>
          <w:i/>
        </w:rPr>
        <w:t>u</w:t>
      </w:r>
      <w:r w:rsidR="00117B2F" w:rsidRPr="00325550">
        <w:rPr>
          <w:i/>
        </w:rPr>
        <w:t>ltra vires</w:t>
      </w:r>
      <w:r w:rsidR="00117B2F">
        <w:t xml:space="preserve"> poteva considerarsi averlo adottato nella sua qualità ufficiale a condizione che avesse agito entro il quadro generale delle sue funzioni</w:t>
      </w:r>
      <w:r w:rsidR="00117B2F">
        <w:rPr>
          <w:rStyle w:val="Rimandonotaapidipagina"/>
        </w:rPr>
        <w:footnoteReference w:id="102"/>
      </w:r>
      <w:r w:rsidR="00117B2F">
        <w:t>. In base alla condizione attributiva della competenza generale, lo Stato doveva rispondere internazionalment</w:t>
      </w:r>
      <w:r w:rsidR="007A69E4">
        <w:t xml:space="preserve">e di tutte le condotte degli </w:t>
      </w:r>
      <w:r w:rsidR="00117B2F">
        <w:t>organi che, pur non avendo nello specifico la competenza ad adottare il comportamento generatore dell’illecito, godevano comunque della competenza a tenere dei comportamenti dello stesso genere o tipologia</w:t>
      </w:r>
    </w:p>
    <w:p w:rsidR="00FC77CE" w:rsidRDefault="00FC77CE" w:rsidP="00EB037D">
      <w:pPr>
        <w:spacing w:after="0" w:line="360" w:lineRule="auto"/>
        <w:ind w:firstLine="284"/>
        <w:jc w:val="both"/>
      </w:pPr>
      <w:r>
        <w:lastRenderedPageBreak/>
        <w:t>Il sorgere di tale tesi è stata con grande probabilità influenzato dalla distinzione operata fra organi superiori e organi subordinati rinven</w:t>
      </w:r>
      <w:r w:rsidR="00C343F1">
        <w:t>ibile nell’ordinamento</w:t>
      </w:r>
      <w:r>
        <w:t xml:space="preserve"> interno degli Stati Uniti e di alcuni paesi dell’America latina</w:t>
      </w:r>
      <w:r>
        <w:rPr>
          <w:rStyle w:val="Rimandonotaapidipagina"/>
        </w:rPr>
        <w:footnoteReference w:id="103"/>
      </w:r>
      <w:r>
        <w:t>.  Negli Stati Uniti, ad esempio, il diritto interno prevede che la parte lesa da una condo</w:t>
      </w:r>
      <w:r w:rsidR="00427A8B">
        <w:t>tta di un organo subordinato possa</w:t>
      </w:r>
      <w:r>
        <w:t xml:space="preserve"> presentare un ricorso per far valere i propri diritti solo nei confronti dell’individuo organo colpevole e non dell’amministrazione dello Stato. Parimenti la giurisprudenza ha per lungo tempo operato una distinzione tra due categorie di organi, gli “</w:t>
      </w:r>
      <w:r w:rsidRPr="00E81662">
        <w:rPr>
          <w:i/>
        </w:rPr>
        <w:t>officers</w:t>
      </w:r>
      <w:r>
        <w:t>” e gli “</w:t>
      </w:r>
      <w:r w:rsidRPr="00E81662">
        <w:rPr>
          <w:i/>
        </w:rPr>
        <w:t>employees</w:t>
      </w:r>
      <w:r>
        <w:t>”, reputando l’attività statale costituita soltanto dai comportamenti adottati dai primi.</w:t>
      </w:r>
    </w:p>
    <w:p w:rsidR="00FC77CE" w:rsidRDefault="00FC77CE" w:rsidP="00EB037D">
      <w:pPr>
        <w:spacing w:after="0" w:line="360" w:lineRule="auto"/>
        <w:ind w:firstLine="284"/>
        <w:jc w:val="both"/>
      </w:pPr>
      <w:r>
        <w:t>In realtà ad una attenta analisi dei casi giurisprudenziali citati da Borchard al fine di dimostrare la validità della sua tesi</w:t>
      </w:r>
      <w:r>
        <w:rPr>
          <w:rStyle w:val="Rimandonotaapidipagina"/>
        </w:rPr>
        <w:footnoteReference w:id="104"/>
      </w:r>
      <w:r>
        <w:t>, si può notare come la ragione che ha spinto gli arbitri a rigettare le richieste di risarcimento non risiede tanto nell’impossibilità di riferire allo Stato i comportamenti adottati dagli organi subordinati quanto nel mancato previo esaurimento dei ricorsi interni ad opera della parte lesa e nel conseguente rigetto della possibilità di esercitare la protezione diplomatica</w:t>
      </w:r>
      <w:r>
        <w:rPr>
          <w:rStyle w:val="Rimandonotaapidipagina"/>
        </w:rPr>
        <w:footnoteReference w:id="105"/>
      </w:r>
      <w:r>
        <w:t>.</w:t>
      </w:r>
    </w:p>
    <w:p w:rsidR="001E7C61" w:rsidRDefault="00FC77CE" w:rsidP="001E7C61">
      <w:pPr>
        <w:spacing w:after="0" w:line="360" w:lineRule="auto"/>
        <w:ind w:firstLine="284"/>
        <w:jc w:val="both"/>
      </w:pPr>
      <w:r>
        <w:t xml:space="preserve">La teoria secondo cui sarebbe necessario operare una distinzione nell’attribuzione di comportamenti allo Stato in funzione del rango superiore o subalterno dell’organo è stata superata </w:t>
      </w:r>
      <w:r w:rsidR="001E7C61">
        <w:t xml:space="preserve">nelle prassi diplomatica </w:t>
      </w:r>
      <w:r w:rsidR="00341D9D">
        <w:t xml:space="preserve">e </w:t>
      </w:r>
      <w:r>
        <w:t>nella giurisprudenza arbitrale del ventesimo secolo</w:t>
      </w:r>
      <w:r>
        <w:rPr>
          <w:rStyle w:val="Rimandonotaapidipagina"/>
        </w:rPr>
        <w:footnoteReference w:id="106"/>
      </w:r>
      <w:r>
        <w:t xml:space="preserve">. </w:t>
      </w:r>
    </w:p>
    <w:p w:rsidR="00341D9D" w:rsidRPr="00D03AAA" w:rsidRDefault="00341D9D" w:rsidP="001E7C61">
      <w:pPr>
        <w:spacing w:after="0" w:line="360" w:lineRule="auto"/>
        <w:ind w:firstLine="284"/>
        <w:jc w:val="both"/>
      </w:pPr>
      <w:r>
        <w:t>Durante i lavori di codificazione intrapresi sotto l’egida della Società delle Nazioni il Governo tedesco, nel rispondere ad un quesito</w:t>
      </w:r>
      <w:r w:rsidRPr="00341D9D">
        <w:t xml:space="preserve"> </w:t>
      </w:r>
      <w:r>
        <w:t xml:space="preserve">riguardante i comportamenti degli organi superiori dell’esecutivo, ha sostenuto che gli illeciti </w:t>
      </w:r>
      <w:r w:rsidRPr="0028565D">
        <w:rPr>
          <w:i/>
        </w:rPr>
        <w:t>ultra vires</w:t>
      </w:r>
      <w:r>
        <w:t xml:space="preserve"> commessi dagli organi subalterni devono essere attribuiti allo Stato in ambito internazionale</w:t>
      </w:r>
      <w:r w:rsidR="00D03AAA">
        <w:rPr>
          <w:rStyle w:val="Rimandonotaapidipagina"/>
        </w:rPr>
        <w:footnoteReference w:id="107"/>
      </w:r>
      <w:r>
        <w:t xml:space="preserve">. </w:t>
      </w:r>
    </w:p>
    <w:p w:rsidR="00FC77CE" w:rsidRDefault="00FC77CE" w:rsidP="00EB037D">
      <w:pPr>
        <w:spacing w:after="0" w:line="360" w:lineRule="auto"/>
        <w:ind w:firstLine="284"/>
        <w:jc w:val="both"/>
      </w:pPr>
      <w:r>
        <w:lastRenderedPageBreak/>
        <w:t xml:space="preserve">Nella sentenza resa nel 1927 dalla Commissione generale dei reclami fra Messico e Stati Uniti nel caso </w:t>
      </w:r>
      <w:r w:rsidRPr="0002698F">
        <w:rPr>
          <w:i/>
        </w:rPr>
        <w:t>Massey</w:t>
      </w:r>
      <w:r>
        <w:t>, ad esempio, il commissario Nielsen ha rig</w:t>
      </w:r>
      <w:r w:rsidR="00F27F9B">
        <w:t>ettato l’argomentazione che il G</w:t>
      </w:r>
      <w:r>
        <w:t>overno messicano, al fine di negare la propria responsabilità internazionale, incentra sul rango subordinato dell’organo che aveva permesso l’evasione di un detenuto colpevole di aver ucciso un cittadino statunitense</w:t>
      </w:r>
      <w:r>
        <w:rPr>
          <w:rStyle w:val="Rimandonotaapidipagina"/>
        </w:rPr>
        <w:footnoteReference w:id="108"/>
      </w:r>
      <w:r>
        <w:t>.</w:t>
      </w:r>
    </w:p>
    <w:p w:rsidR="00FC77CE" w:rsidRDefault="00FC77CE" w:rsidP="00EB037D">
      <w:pPr>
        <w:spacing w:after="0" w:line="360" w:lineRule="auto"/>
        <w:ind w:firstLine="284"/>
        <w:jc w:val="both"/>
      </w:pPr>
      <w:r>
        <w:t xml:space="preserve">Egualmente la Commissione europea dei diritti dell’uomo in un rapporto del 25 marzo 1976 nel caso </w:t>
      </w:r>
      <w:r w:rsidRPr="0002698F">
        <w:rPr>
          <w:i/>
        </w:rPr>
        <w:t>Irlanda c. Regno</w:t>
      </w:r>
      <w:r>
        <w:t xml:space="preserve"> </w:t>
      </w:r>
      <w:r w:rsidRPr="0002698F">
        <w:rPr>
          <w:i/>
        </w:rPr>
        <w:t xml:space="preserve">Unito </w:t>
      </w:r>
      <w:r>
        <w:t>ha reputato senza fondamento la tesi de</w:t>
      </w:r>
      <w:r w:rsidR="00F27F9B">
        <w:t>l Regno Unito che negava</w:t>
      </w:r>
      <w:r>
        <w:t xml:space="preserve"> la propria responsabilità internazionale per la violazione dell’art. 3 della Convenzione europea dei diritti dell’uomo sulla base dell’impossibilità di considerare come fatti dello Stato i comportamenti tenuti dagli organi subordinati</w:t>
      </w:r>
      <w:r>
        <w:rPr>
          <w:rStyle w:val="Rimandonotaapidipagina"/>
        </w:rPr>
        <w:footnoteReference w:id="109"/>
      </w:r>
      <w:r>
        <w:t>.</w:t>
      </w:r>
    </w:p>
    <w:p w:rsidR="00793863" w:rsidRDefault="00FC77CE" w:rsidP="00643857">
      <w:pPr>
        <w:spacing w:after="0" w:line="360" w:lineRule="auto"/>
        <w:ind w:firstLine="284"/>
        <w:jc w:val="both"/>
      </w:pPr>
      <w:r>
        <w:t>Alla luce degli sviluppi della prassi internazionale, lo stesso Borchard in un articolo pubblicato nel 1929</w:t>
      </w:r>
      <w:r w:rsidR="007E1E1E">
        <w:rPr>
          <w:rStyle w:val="Rimandonotaapidipagina"/>
        </w:rPr>
        <w:footnoteReference w:id="110"/>
      </w:r>
      <w:r>
        <w:t xml:space="preserve"> ha negato la pertinenza di una distinzione nell’attribuzione di comportamenti allo Stato in funzione del rango dell’organo, riconoscendo che qualunque individuo o ente che gode dello </w:t>
      </w:r>
      <w:r w:rsidRPr="00344868">
        <w:rPr>
          <w:i/>
        </w:rPr>
        <w:t>status</w:t>
      </w:r>
      <w:r>
        <w:t xml:space="preserve"> organico in virtù del diritto interno deve essere considerato un organo dello Stato e i suoi comportamenti sono suscettibili di essere attribuiti allo Stato stesso</w:t>
      </w:r>
      <w:r>
        <w:rPr>
          <w:rStyle w:val="Rimandonotaapidipagina"/>
        </w:rPr>
        <w:footnoteReference w:id="111"/>
      </w:r>
      <w:r>
        <w:t>.</w:t>
      </w:r>
    </w:p>
    <w:p w:rsidR="00117B2F" w:rsidRDefault="00117B2F" w:rsidP="00643857">
      <w:pPr>
        <w:spacing w:after="0" w:line="360" w:lineRule="auto"/>
        <w:ind w:firstLine="284"/>
        <w:jc w:val="both"/>
      </w:pPr>
    </w:p>
    <w:p w:rsidR="002B61B4" w:rsidRPr="00904400" w:rsidRDefault="002B61B4" w:rsidP="00643857">
      <w:pPr>
        <w:spacing w:after="0" w:line="360" w:lineRule="auto"/>
        <w:ind w:firstLine="284"/>
        <w:jc w:val="both"/>
      </w:pPr>
    </w:p>
    <w:p w:rsidR="00D31379" w:rsidRPr="00401664" w:rsidRDefault="002B61B4" w:rsidP="00793863">
      <w:pPr>
        <w:spacing w:after="0" w:line="240" w:lineRule="auto"/>
        <w:ind w:left="708"/>
        <w:jc w:val="both"/>
      </w:pPr>
      <w:r>
        <w:lastRenderedPageBreak/>
        <w:t>4</w:t>
      </w:r>
      <w:r w:rsidR="00793863">
        <w:t xml:space="preserve">.4 </w:t>
      </w:r>
      <w:r w:rsidR="00D31379" w:rsidRPr="00401664">
        <w:t xml:space="preserve">La tesi che ammette </w:t>
      </w:r>
      <w:r w:rsidR="00761820">
        <w:t xml:space="preserve">in generale </w:t>
      </w:r>
      <w:r w:rsidR="00D31379" w:rsidRPr="00401664">
        <w:t xml:space="preserve">l’attribuzione allo Stato dei fatti </w:t>
      </w:r>
      <w:r w:rsidR="00D31379" w:rsidRPr="00793863">
        <w:rPr>
          <w:i/>
        </w:rPr>
        <w:t>ultra vires</w:t>
      </w:r>
      <w:r w:rsidR="00D31379" w:rsidRPr="00401664">
        <w:t xml:space="preserve"> degli organi statali </w:t>
      </w:r>
    </w:p>
    <w:p w:rsidR="001A2416" w:rsidRDefault="001A2416" w:rsidP="00EB037D">
      <w:pPr>
        <w:spacing w:after="0" w:line="360" w:lineRule="auto"/>
        <w:ind w:left="705" w:firstLine="284"/>
        <w:jc w:val="both"/>
      </w:pPr>
    </w:p>
    <w:p w:rsidR="00FC77CE" w:rsidRPr="001A2416" w:rsidRDefault="00FC77CE" w:rsidP="00EB037D">
      <w:pPr>
        <w:spacing w:after="0" w:line="360" w:lineRule="auto"/>
        <w:ind w:firstLine="284"/>
        <w:jc w:val="both"/>
      </w:pPr>
      <w:r>
        <w:rPr>
          <w:rFonts w:cstheme="minorHAnsi"/>
        </w:rPr>
        <w:t xml:space="preserve">Nel corso del ventesimo secolo, la dottrina </w:t>
      </w:r>
      <w:r w:rsidR="00052AD1">
        <w:rPr>
          <w:rFonts w:cstheme="minorHAnsi"/>
        </w:rPr>
        <w:t xml:space="preserve">si è sempre più orientata ad ammettere </w:t>
      </w:r>
      <w:r w:rsidRPr="00C30B8E">
        <w:rPr>
          <w:rFonts w:cstheme="minorHAnsi"/>
        </w:rPr>
        <w:t>la responsabilità internazionale dello Sta</w:t>
      </w:r>
      <w:r>
        <w:rPr>
          <w:rFonts w:cstheme="minorHAnsi"/>
        </w:rPr>
        <w:t xml:space="preserve">to per le condotte tenute dai propri </w:t>
      </w:r>
      <w:r w:rsidRPr="00C30B8E">
        <w:rPr>
          <w:rFonts w:cstheme="minorHAnsi"/>
        </w:rPr>
        <w:t>organi eccedendo i limiti della competenza oppure contravvenendo alle istruzioni</w:t>
      </w:r>
      <w:r>
        <w:rPr>
          <w:rFonts w:cstheme="minorHAnsi"/>
        </w:rPr>
        <w:t xml:space="preserve"> ricevute</w:t>
      </w:r>
      <w:r w:rsidR="00543053">
        <w:rPr>
          <w:rFonts w:cstheme="minorHAnsi"/>
        </w:rPr>
        <w:t>, e ciò li ha indotti ad abbandonare la tesi del rilievo esclusivo del diritto interno</w:t>
      </w:r>
      <w:r w:rsidRPr="00C30B8E">
        <w:rPr>
          <w:rStyle w:val="Rimandonotaapidipagina"/>
        </w:rPr>
        <w:footnoteReference w:id="112"/>
      </w:r>
      <w:r w:rsidRPr="00C30B8E">
        <w:rPr>
          <w:rFonts w:cstheme="minorHAnsi"/>
        </w:rPr>
        <w:t xml:space="preserve">. </w:t>
      </w:r>
    </w:p>
    <w:p w:rsidR="00FC77CE" w:rsidRDefault="00B5545E" w:rsidP="00EB037D">
      <w:pPr>
        <w:autoSpaceDE w:val="0"/>
        <w:autoSpaceDN w:val="0"/>
        <w:adjustRightInd w:val="0"/>
        <w:spacing w:after="0" w:line="360" w:lineRule="auto"/>
        <w:ind w:firstLine="284"/>
        <w:jc w:val="both"/>
        <w:rPr>
          <w:rFonts w:cstheme="minorHAnsi"/>
        </w:rPr>
      </w:pPr>
      <w:r>
        <w:rPr>
          <w:rFonts w:cstheme="minorHAnsi"/>
        </w:rPr>
        <w:t>Secondo questo filone dottrinale</w:t>
      </w:r>
      <w:r w:rsidR="00FC77CE" w:rsidRPr="00F47020">
        <w:rPr>
          <w:rFonts w:cstheme="minorHAnsi"/>
        </w:rPr>
        <w:t xml:space="preserve">, l’attribuzione di una condotta allo Stato quale soggetto internazionale consta in un’operazione totalmente indipendente rispetto alla sua attribuzione </w:t>
      </w:r>
      <w:r w:rsidR="00FC77CE">
        <w:rPr>
          <w:rFonts w:cstheme="minorHAnsi"/>
        </w:rPr>
        <w:t xml:space="preserve">allo Stato </w:t>
      </w:r>
      <w:r w:rsidR="00FC77CE" w:rsidRPr="00F47020">
        <w:rPr>
          <w:rFonts w:cstheme="minorHAnsi"/>
        </w:rPr>
        <w:t xml:space="preserve">nell’ordinamento interno. </w:t>
      </w:r>
      <w:r w:rsidR="00FC77CE">
        <w:rPr>
          <w:rFonts w:cstheme="minorHAnsi"/>
        </w:rPr>
        <w:t xml:space="preserve">Partendo dal presupposto che il diritto internazionale è in grado di individuare secondo </w:t>
      </w:r>
      <w:r w:rsidR="00FC77CE" w:rsidRPr="00F47020">
        <w:rPr>
          <w:rFonts w:cstheme="minorHAnsi"/>
        </w:rPr>
        <w:t>propri criteri quando una condotta deve essere considerata un fatto statale sul piano internazionale,</w:t>
      </w:r>
      <w:r w:rsidR="00FC77CE">
        <w:rPr>
          <w:rFonts w:cstheme="minorHAnsi"/>
        </w:rPr>
        <w:t xml:space="preserve"> tali autori arrivavano a sostenere che, al fine di garantire la sicurezza delle relazioni internazionali, un comportamento non autorizzato di un organo è comunque da considerare un fatto attribuibile allo S</w:t>
      </w:r>
      <w:r w:rsidR="00C343F1">
        <w:rPr>
          <w:rFonts w:cstheme="minorHAnsi"/>
        </w:rPr>
        <w:t xml:space="preserve">tato nell’ordinamento </w:t>
      </w:r>
      <w:r w:rsidR="00FC77CE">
        <w:rPr>
          <w:rFonts w:cstheme="minorHAnsi"/>
        </w:rPr>
        <w:t>internazionale, nonostante non possa dirsi riflettere la “volontà” statale.</w:t>
      </w:r>
    </w:p>
    <w:p w:rsidR="00FC77CE" w:rsidRDefault="00FC77CE" w:rsidP="00EB037D">
      <w:pPr>
        <w:autoSpaceDE w:val="0"/>
        <w:autoSpaceDN w:val="0"/>
        <w:adjustRightInd w:val="0"/>
        <w:spacing w:after="0" w:line="360" w:lineRule="auto"/>
        <w:ind w:firstLine="284"/>
        <w:jc w:val="both"/>
        <w:rPr>
          <w:rFonts w:cstheme="minorHAnsi"/>
        </w:rPr>
      </w:pPr>
      <w:r>
        <w:rPr>
          <w:rFonts w:cstheme="minorHAnsi"/>
        </w:rPr>
        <w:t xml:space="preserve">Un orientamento leggermente differente è stato seguito da Condorelli. Secondo tale autore, lo Stato esercita il proprio diritto ad auto-organizzarsi nel momento in cui affida ad una persona fisica o giuridica l’esercizio di pubbliche funzioni. Dovendo sopportare le conseguenze di tale scelta, lo Stato si troverebbe in una situazione di </w:t>
      </w:r>
      <w:r w:rsidRPr="00AB6E91">
        <w:rPr>
          <w:rFonts w:cstheme="minorHAnsi"/>
          <w:i/>
        </w:rPr>
        <w:t>estoppel</w:t>
      </w:r>
      <w:r>
        <w:rPr>
          <w:rFonts w:cstheme="minorHAnsi"/>
        </w:rPr>
        <w:t xml:space="preserve"> che gli impedirebbe di contraddirsi nel sostenere di non aver agito nel caso in cui uno degli organi </w:t>
      </w:r>
      <w:r>
        <w:rPr>
          <w:rFonts w:cstheme="minorHAnsi"/>
        </w:rPr>
        <w:lastRenderedPageBreak/>
        <w:t xml:space="preserve">da lui designati ha adottato un comportamento nell’esercizio delle sue funzioni, ma </w:t>
      </w:r>
      <w:r w:rsidRPr="00776B25">
        <w:rPr>
          <w:rFonts w:cstheme="minorHAnsi"/>
          <w:i/>
        </w:rPr>
        <w:t>ultra vires</w:t>
      </w:r>
      <w:r w:rsidRPr="00776B25">
        <w:rPr>
          <w:rStyle w:val="Rimandonotaapidipagina"/>
          <w:rFonts w:cstheme="minorHAnsi"/>
        </w:rPr>
        <w:footnoteReference w:id="113"/>
      </w:r>
      <w:r w:rsidRPr="00776B25">
        <w:rPr>
          <w:rFonts w:cstheme="minorHAnsi"/>
        </w:rPr>
        <w:t>.</w:t>
      </w:r>
    </w:p>
    <w:p w:rsidR="00FC77CE" w:rsidRDefault="00FC77CE" w:rsidP="00EB037D">
      <w:pPr>
        <w:autoSpaceDE w:val="0"/>
        <w:autoSpaceDN w:val="0"/>
        <w:adjustRightInd w:val="0"/>
        <w:spacing w:after="0" w:line="360" w:lineRule="auto"/>
        <w:ind w:firstLine="284"/>
        <w:jc w:val="both"/>
        <w:rPr>
          <w:rFonts w:cstheme="minorHAnsi"/>
        </w:rPr>
      </w:pPr>
      <w:r>
        <w:rPr>
          <w:rFonts w:cstheme="minorHAnsi"/>
        </w:rPr>
        <w:t xml:space="preserve">È opportuno osservare che è ormai del tutto prevalente la tesi che lo Stato sia tenuto a rispondere in diritto internazionale di tutti i comportamenti adottati dai propri organi, indipendentemente dalla circostanza che essi abbiano ecceduto i limiti della competenza come previsti dal diritto interno o abbiano contravvenuto alle istruzioni ricevute, e ciò sulla base del fatto che abbiano agito </w:t>
      </w:r>
      <w:r w:rsidRPr="00DB19E8">
        <w:rPr>
          <w:rFonts w:cstheme="minorHAnsi"/>
          <w:i/>
        </w:rPr>
        <w:t>ex qualitate</w:t>
      </w:r>
      <w:r>
        <w:rPr>
          <w:rStyle w:val="Rimandonotaapidipagina"/>
          <w:rFonts w:cstheme="minorHAnsi"/>
        </w:rPr>
        <w:footnoteReference w:id="114"/>
      </w:r>
      <w:r>
        <w:rPr>
          <w:rFonts w:cstheme="minorHAnsi"/>
        </w:rPr>
        <w:t xml:space="preserve">. Restano peraltro controverse le precise circostanze in cui sono da attribuire i fatti </w:t>
      </w:r>
      <w:r w:rsidRPr="00AB6E91">
        <w:rPr>
          <w:rFonts w:cstheme="minorHAnsi"/>
          <w:i/>
        </w:rPr>
        <w:t>ultra vires</w:t>
      </w:r>
      <w:r>
        <w:rPr>
          <w:rFonts w:cstheme="minorHAnsi"/>
        </w:rPr>
        <w:t>.</w:t>
      </w:r>
    </w:p>
    <w:p w:rsidR="006E47A5" w:rsidRDefault="006E47A5" w:rsidP="00EB037D">
      <w:pPr>
        <w:autoSpaceDE w:val="0"/>
        <w:autoSpaceDN w:val="0"/>
        <w:adjustRightInd w:val="0"/>
        <w:spacing w:after="0" w:line="360" w:lineRule="auto"/>
        <w:ind w:firstLine="284"/>
        <w:jc w:val="both"/>
        <w:rPr>
          <w:rFonts w:cstheme="minorHAnsi"/>
        </w:rPr>
      </w:pPr>
    </w:p>
    <w:p w:rsidR="006E47A5" w:rsidRPr="00100C50" w:rsidRDefault="002B61B4" w:rsidP="001E2D02">
      <w:pPr>
        <w:spacing w:after="0" w:line="360" w:lineRule="auto"/>
        <w:ind w:left="708"/>
        <w:jc w:val="both"/>
      </w:pPr>
      <w:r>
        <w:t>4</w:t>
      </w:r>
      <w:r w:rsidR="007C1F12" w:rsidRPr="00E854BE">
        <w:t>.</w:t>
      </w:r>
      <w:r w:rsidR="00BD3FBA" w:rsidRPr="00E854BE">
        <w:t>5</w:t>
      </w:r>
      <w:r w:rsidR="007C1F12" w:rsidRPr="00E854BE">
        <w:t xml:space="preserve"> </w:t>
      </w:r>
      <w:r w:rsidR="006E47A5" w:rsidRPr="00E854BE">
        <w:t xml:space="preserve"> </w:t>
      </w:r>
      <w:r w:rsidR="00E854BE" w:rsidRPr="00E854BE">
        <w:t xml:space="preserve">L’attribuzione allo Stato dei fatti </w:t>
      </w:r>
      <w:r w:rsidR="00E854BE" w:rsidRPr="00E854BE">
        <w:rPr>
          <w:i/>
        </w:rPr>
        <w:t>ultra vires</w:t>
      </w:r>
      <w:r w:rsidR="00E854BE" w:rsidRPr="00E854BE">
        <w:t xml:space="preserve"> nei progetti di codificazione elaborati da istituzioni private</w:t>
      </w:r>
    </w:p>
    <w:p w:rsidR="006E47A5" w:rsidRDefault="006E47A5" w:rsidP="006E47A5">
      <w:pPr>
        <w:spacing w:after="0" w:line="360" w:lineRule="auto"/>
        <w:ind w:firstLine="284"/>
      </w:pPr>
    </w:p>
    <w:p w:rsidR="006E47A5" w:rsidRDefault="006E47A5" w:rsidP="006E47A5">
      <w:pPr>
        <w:spacing w:after="0" w:line="360" w:lineRule="auto"/>
        <w:ind w:firstLine="284"/>
        <w:jc w:val="both"/>
      </w:pPr>
      <w:r>
        <w:t>In tutti i progetti di codificazione elaborati dalle istituzioni private nel periodo antecedente la Conferenza di codificazione del 1930 viene</w:t>
      </w:r>
      <w:r w:rsidR="00200B5F">
        <w:t xml:space="preserve"> riconosciuto il principio della responsabilità internazionale dello</w:t>
      </w:r>
      <w:r w:rsidR="007A69E4">
        <w:t xml:space="preserve"> Stato per </w:t>
      </w:r>
      <w:r>
        <w:t xml:space="preserve">i comportamenti </w:t>
      </w:r>
      <w:r w:rsidRPr="00114BA9">
        <w:rPr>
          <w:i/>
        </w:rPr>
        <w:t>ultra vires</w:t>
      </w:r>
      <w:r w:rsidR="007A69E4">
        <w:t xml:space="preserve"> dei propri organi sulla base della loro riferibilità allo Stato sul piano internazionale.</w:t>
      </w:r>
    </w:p>
    <w:p w:rsidR="006E47A5" w:rsidRPr="00A12029" w:rsidRDefault="006E47A5" w:rsidP="006E47A5">
      <w:pPr>
        <w:spacing w:after="0" w:line="360" w:lineRule="auto"/>
        <w:ind w:firstLine="284"/>
        <w:jc w:val="both"/>
      </w:pPr>
      <w:r>
        <w:t>Ne</w:t>
      </w:r>
      <w:r w:rsidRPr="00EC21BE">
        <w:t xml:space="preserve">l secondo capitolo del </w:t>
      </w:r>
      <w:r w:rsidRPr="00EC21BE">
        <w:rPr>
          <w:i/>
        </w:rPr>
        <w:t>Draft Code of International Law</w:t>
      </w:r>
      <w:r w:rsidRPr="00EC21BE">
        <w:t xml:space="preserve"> inerente le </w:t>
      </w:r>
      <w:r w:rsidRPr="00EC21BE">
        <w:rPr>
          <w:i/>
        </w:rPr>
        <w:t>Rules Concerning Responsibility of a State in Relation to the Life, Person and Property of Aliens</w:t>
      </w:r>
      <w:r>
        <w:rPr>
          <w:i/>
        </w:rPr>
        <w:t xml:space="preserve"> </w:t>
      </w:r>
      <w:r w:rsidRPr="00EC21BE">
        <w:t>elaborato nel 1926 dal ramo giapponese dell’</w:t>
      </w:r>
      <w:r w:rsidRPr="00EC21BE">
        <w:rPr>
          <w:i/>
        </w:rPr>
        <w:t>International Law Association</w:t>
      </w:r>
      <w:r w:rsidRPr="00EC21BE">
        <w:t xml:space="preserve"> congiuntamente alla </w:t>
      </w:r>
      <w:r w:rsidRPr="00606D5E">
        <w:t>Associazione di diritto internazionale del Giappone</w:t>
      </w:r>
      <w:r>
        <w:rPr>
          <w:i/>
        </w:rPr>
        <w:t xml:space="preserve"> </w:t>
      </w:r>
      <w:r>
        <w:t xml:space="preserve">veniva stabilita </w:t>
      </w:r>
      <w:r w:rsidR="007A69E4">
        <w:t xml:space="preserve">la responsabilità internazionale dello Stato per </w:t>
      </w:r>
      <w:r>
        <w:t>tutti i comportamenti tenuti dagli organi nella loro qualità ufficiale.</w:t>
      </w:r>
      <w:r w:rsidRPr="00A12029">
        <w:t xml:space="preserve"> </w:t>
      </w:r>
      <w:r w:rsidRPr="00A12029">
        <w:rPr>
          <w:lang w:val="en-US"/>
        </w:rPr>
        <w:t>L’ar</w:t>
      </w:r>
      <w:r>
        <w:rPr>
          <w:lang w:val="en-US"/>
        </w:rPr>
        <w:t xml:space="preserve">t. </w:t>
      </w:r>
      <w:r w:rsidRPr="00A12029">
        <w:rPr>
          <w:lang w:val="en-US"/>
        </w:rPr>
        <w:t>1 del secondo capitolo, intitolato “</w:t>
      </w:r>
      <w:r w:rsidRPr="00A12029">
        <w:rPr>
          <w:i/>
          <w:lang w:val="en-US"/>
        </w:rPr>
        <w:t>Rules Concerning the Responsibility of a State in Relation to the Life, Person and Property of Aliens</w:t>
      </w:r>
      <w:r>
        <w:rPr>
          <w:lang w:val="en-US"/>
        </w:rPr>
        <w:t>”, affermava</w:t>
      </w:r>
      <w:r w:rsidRPr="00A12029">
        <w:rPr>
          <w:lang w:val="en-US"/>
        </w:rPr>
        <w:t xml:space="preserve"> che </w:t>
      </w:r>
      <w:r w:rsidRPr="004756B4">
        <w:rPr>
          <w:lang w:val="en-US"/>
        </w:rPr>
        <w:t>“A State is responsible for injuries suffered by aliens…through willful act, default or negligence of the official authorities in the discharge of their official functions…”</w:t>
      </w:r>
      <w:r w:rsidRPr="004756B4">
        <w:rPr>
          <w:rStyle w:val="Rimandonotaapidipagina"/>
        </w:rPr>
        <w:footnoteReference w:id="115"/>
      </w:r>
      <w:r w:rsidRPr="004756B4">
        <w:t>.</w:t>
      </w:r>
      <w:r w:rsidRPr="00A12029">
        <w:t xml:space="preserve"> </w:t>
      </w:r>
    </w:p>
    <w:p w:rsidR="006E47A5" w:rsidRDefault="006E47A5" w:rsidP="006E47A5">
      <w:pPr>
        <w:spacing w:after="0" w:line="360" w:lineRule="auto"/>
        <w:ind w:firstLine="284"/>
        <w:jc w:val="both"/>
      </w:pPr>
      <w:r w:rsidRPr="00A12029">
        <w:t>Affermando che lo Stato è tenuto a rispondere</w:t>
      </w:r>
      <w:r>
        <w:t xml:space="preserve"> dei comportamenti adottati dagli organi nell’esercizio delle loro funzioni ufficiali, tale disposizione ammetteva implicitamente che la </w:t>
      </w:r>
      <w:r>
        <w:lastRenderedPageBreak/>
        <w:t>responsabilità internazionale dello Stato sussisteva anche nel caso in cui le condotte non fossero state autorizzate.</w:t>
      </w:r>
    </w:p>
    <w:p w:rsidR="006E47A5" w:rsidRDefault="006E47A5" w:rsidP="006E47A5">
      <w:pPr>
        <w:spacing w:after="0" w:line="360" w:lineRule="auto"/>
        <w:ind w:firstLine="284"/>
        <w:jc w:val="both"/>
      </w:pPr>
      <w:r w:rsidRPr="00481DA3">
        <w:t>In maniera più esplicita l’art. 1 della risoluzione adottata nel 1927 dall’</w:t>
      </w:r>
      <w:r w:rsidRPr="00481DA3">
        <w:rPr>
          <w:i/>
        </w:rPr>
        <w:t xml:space="preserve">Institut de Droit International </w:t>
      </w:r>
      <w:r>
        <w:t>sul</w:t>
      </w:r>
      <w:r w:rsidRPr="00481DA3">
        <w:t xml:space="preserve">la </w:t>
      </w:r>
      <w:r w:rsidRPr="00481DA3">
        <w:rPr>
          <w:i/>
        </w:rPr>
        <w:t>Responsabilité internationale des Etats à raison des dommages causés sur leur territoire à la personne et aux biens des étrangers</w:t>
      </w:r>
      <w:r w:rsidRPr="00481DA3">
        <w:t xml:space="preserve"> ammetteva la responsabilità internazionale dello Stato</w:t>
      </w:r>
      <w:r>
        <w:t xml:space="preserve"> in caso di illecito commesso </w:t>
      </w:r>
      <w:r w:rsidRPr="002336AC">
        <w:t xml:space="preserve">dagli organi </w:t>
      </w:r>
      <w:r>
        <w:t>nella loro qualità ufficiale anche nel caso in cui avessero agito non rispettando le disposizioni di diritto interno in tema di competenza e avessero abusato dei mezzi messi loro a disposizione in virtù della funzione svolta:</w:t>
      </w:r>
    </w:p>
    <w:p w:rsidR="006E47A5" w:rsidRDefault="006E47A5" w:rsidP="006E47A5">
      <w:pPr>
        <w:spacing w:after="0" w:line="360" w:lineRule="auto"/>
        <w:ind w:firstLine="284"/>
        <w:jc w:val="both"/>
      </w:pPr>
    </w:p>
    <w:p w:rsidR="006E47A5" w:rsidRDefault="006E47A5" w:rsidP="006E47A5">
      <w:pPr>
        <w:spacing w:after="0" w:line="360" w:lineRule="auto"/>
        <w:ind w:left="567" w:right="567" w:firstLine="284"/>
        <w:jc w:val="both"/>
        <w:rPr>
          <w:lang w:val="fr-FR"/>
        </w:rPr>
      </w:pPr>
      <w:r w:rsidRPr="004756B4">
        <w:rPr>
          <w:lang w:val="fr-FR"/>
        </w:rPr>
        <w:t>“</w:t>
      </w:r>
      <w:r w:rsidR="007C2E32" w:rsidRPr="007C2E32">
        <w:rPr>
          <w:lang w:val="fr-FR"/>
        </w:rPr>
        <w:t xml:space="preserve"> </w:t>
      </w:r>
      <w:r w:rsidR="007C2E32" w:rsidRPr="00FD3080">
        <w:rPr>
          <w:lang w:val="fr-FR"/>
        </w:rPr>
        <w:t>L'Etat est responsable des dommages qu'il cause aux étrangers par toute action ou omission contraire à ses obligations internationales, quelle que soit l'autorité de l'Etat dont elle procède: constituante, législative, gouvernementale ou judiciaire.</w:t>
      </w:r>
      <w:r w:rsidR="00A3533E">
        <w:rPr>
          <w:lang w:val="fr-FR"/>
        </w:rPr>
        <w:t xml:space="preserve"> </w:t>
      </w:r>
      <w:r w:rsidRPr="004756B4">
        <w:rPr>
          <w:lang w:val="fr-FR"/>
        </w:rPr>
        <w:t>Cette responsabilité de l’Etat existe, soit que ses organes aient agi conformément, soit qu’ils aient agi contrairement à la loi ou à l’ordre d’une autorité supérieure. Elle existe également lorsque ces organes agissent en dehors de leur compétence, en se couvrant de leur qualité d’organes de l’Etat, et en se servant des moyens mis, à ce titre, à leur disposition”</w:t>
      </w:r>
      <w:r w:rsidRPr="004756B4">
        <w:rPr>
          <w:rStyle w:val="Rimandonotaapidipagina"/>
        </w:rPr>
        <w:footnoteReference w:id="116"/>
      </w:r>
      <w:r w:rsidRPr="004756B4">
        <w:rPr>
          <w:lang w:val="fr-FR"/>
        </w:rPr>
        <w:t>.</w:t>
      </w:r>
    </w:p>
    <w:p w:rsidR="006E47A5" w:rsidRPr="002013CD" w:rsidRDefault="006E47A5" w:rsidP="007C2E32">
      <w:pPr>
        <w:spacing w:after="0" w:line="360" w:lineRule="auto"/>
        <w:ind w:right="567"/>
        <w:jc w:val="both"/>
        <w:rPr>
          <w:lang w:val="fr-FR"/>
        </w:rPr>
      </w:pPr>
    </w:p>
    <w:p w:rsidR="006E47A5" w:rsidRDefault="006E47A5" w:rsidP="006E47A5">
      <w:pPr>
        <w:spacing w:after="0" w:line="360" w:lineRule="auto"/>
        <w:ind w:firstLine="284"/>
        <w:jc w:val="both"/>
      </w:pPr>
      <w:r>
        <w:t xml:space="preserve">Lo Stato era quindi tenuto a rispondere in ambito internazionale dei comportamenti </w:t>
      </w:r>
      <w:r w:rsidRPr="0001449D">
        <w:rPr>
          <w:i/>
        </w:rPr>
        <w:t>ultra vires</w:t>
      </w:r>
      <w:r>
        <w:t xml:space="preserve"> adottati dai suoi organi anche nei casi in cui neanche in apparenza potevano sembrare rientrare nel quadro della loro competenza, allorché il compimento dei fatti illeciti nella qualità di organi dello Stato era stato reso possibile dall’uso abusivo degli strumenti messi loro a disposizione per il regolare esercizio delle pubbliche funzioni. Il considerare tali condotte dei fatti statali nell’ordinamento internazionale trovava pertanto giustificazione nell’esistenza di un rapporto tra il comportamento che aveva generato l’illecito e i mezzi messi a disposizione per lo svolgimento delle mansioni attribuite.</w:t>
      </w:r>
    </w:p>
    <w:p w:rsidR="007A69E4" w:rsidRDefault="007A69E4" w:rsidP="007A69E4">
      <w:pPr>
        <w:spacing w:after="0" w:line="360" w:lineRule="auto"/>
        <w:ind w:firstLine="284"/>
        <w:jc w:val="both"/>
      </w:pPr>
      <w:r>
        <w:t xml:space="preserve">Anche il </w:t>
      </w:r>
      <w:r w:rsidRPr="00072D02">
        <w:t xml:space="preserve">Progetto di Convenzione sulla responsabilità degli Stati per i danni causati sul loro territorio alla persona o ai </w:t>
      </w:r>
      <w:r>
        <w:t xml:space="preserve">beni degli stranieri, </w:t>
      </w:r>
      <w:r w:rsidRPr="00072D02">
        <w:t xml:space="preserve">elaborato nel 1930 da parte della </w:t>
      </w:r>
      <w:r>
        <w:rPr>
          <w:i/>
        </w:rPr>
        <w:lastRenderedPageBreak/>
        <w:t>Deutsche Gesellschaft f</w:t>
      </w:r>
      <w:r>
        <w:rPr>
          <w:rFonts w:cstheme="minorHAnsi"/>
          <w:i/>
        </w:rPr>
        <w:t>ü</w:t>
      </w:r>
      <w:r>
        <w:rPr>
          <w:i/>
        </w:rPr>
        <w:t>r V</w:t>
      </w:r>
      <w:r>
        <w:rPr>
          <w:rFonts w:cstheme="minorHAnsi"/>
          <w:i/>
        </w:rPr>
        <w:t>ö</w:t>
      </w:r>
      <w:r>
        <w:rPr>
          <w:i/>
        </w:rPr>
        <w:t>lkerrecht,</w:t>
      </w:r>
      <w:r>
        <w:t xml:space="preserve"> disponeva all’art. 4, par. 1, che la responsabilità di uno Stato nell’ordinamento internazionale non poteva venire meno per il fatto che un organo avesse agito nel mancato rispetto delle proprie competenze come stabilite dal diritto interno</w:t>
      </w:r>
      <w:r>
        <w:rPr>
          <w:rStyle w:val="Rimandonotaapidipagina"/>
        </w:rPr>
        <w:footnoteReference w:id="117"/>
      </w:r>
      <w:r>
        <w:t xml:space="preserve">. </w:t>
      </w:r>
    </w:p>
    <w:p w:rsidR="006E47A5" w:rsidRDefault="006E47A5" w:rsidP="006E47A5">
      <w:pPr>
        <w:spacing w:after="0" w:line="360" w:lineRule="auto"/>
        <w:ind w:firstLine="284"/>
        <w:jc w:val="both"/>
      </w:pPr>
      <w:r>
        <w:t xml:space="preserve">Su suggerimento della Commissione del diritto internazionale, la </w:t>
      </w:r>
      <w:r>
        <w:rPr>
          <w:i/>
        </w:rPr>
        <w:t>Harvard Law School</w:t>
      </w:r>
      <w:r>
        <w:t xml:space="preserve"> ha deciso di rivedere negli anni cinquanta il progetto di codificazione redatto dal </w:t>
      </w:r>
      <w:r w:rsidRPr="0019628A">
        <w:t>Professor Borchard nel 1929</w:t>
      </w:r>
      <w:r w:rsidR="00F707FD">
        <w:rPr>
          <w:rStyle w:val="Rimandonotaapidipagina"/>
        </w:rPr>
        <w:footnoteReference w:id="118"/>
      </w:r>
      <w:r w:rsidRPr="0019628A">
        <w:t xml:space="preserve"> e ha</w:t>
      </w:r>
      <w:r>
        <w:t xml:space="preserve"> delegato tale compito ai Professori Sohn e Baxter. La </w:t>
      </w:r>
      <w:r>
        <w:rPr>
          <w:i/>
        </w:rPr>
        <w:t>Draft Convention on the International Responsibility of States for Injuries to Aliens</w:t>
      </w:r>
      <w:r>
        <w:t>, pubblicata nel 1961, riconosce all’art. 15 che un fatto illecito commesso da un organo può essere attribuito allo Stato nel caso in cui abbia agito “</w:t>
      </w:r>
      <w:r w:rsidRPr="00692D96">
        <w:rPr>
          <w:i/>
        </w:rPr>
        <w:t>within the scope of the actual or apparent authority or within the scope of the function</w:t>
      </w:r>
      <w:r>
        <w:t>”</w:t>
      </w:r>
      <w:r>
        <w:rPr>
          <w:rStyle w:val="Rimandonotaapidipagina"/>
        </w:rPr>
        <w:footnoteReference w:id="119"/>
      </w:r>
      <w:r>
        <w:t>.</w:t>
      </w:r>
    </w:p>
    <w:p w:rsidR="00203CBA" w:rsidRDefault="00203CBA" w:rsidP="00200B5F">
      <w:pPr>
        <w:spacing w:after="0" w:line="360" w:lineRule="auto"/>
        <w:ind w:firstLine="284"/>
        <w:jc w:val="both"/>
      </w:pPr>
      <w:r>
        <w:t xml:space="preserve">Il principio della responsabilità internazionale dello Stato per i fatti illeciti </w:t>
      </w:r>
      <w:r w:rsidRPr="00867306">
        <w:rPr>
          <w:i/>
        </w:rPr>
        <w:t>ultra vires</w:t>
      </w:r>
      <w:r>
        <w:t xml:space="preserve"> degli organi statali è stato </w:t>
      </w:r>
      <w:r w:rsidR="00A132A5">
        <w:t>infine</w:t>
      </w:r>
      <w:r>
        <w:t xml:space="preserve"> affermato nel 1965 </w:t>
      </w:r>
      <w:r w:rsidRPr="00CD5A4A">
        <w:t>dall’</w:t>
      </w:r>
      <w:r w:rsidRPr="00F420EA">
        <w:rPr>
          <w:i/>
        </w:rPr>
        <w:t>American Law Institute</w:t>
      </w:r>
      <w:r>
        <w:t xml:space="preserve"> nel paragrafo 169 del </w:t>
      </w:r>
      <w:r w:rsidRPr="00F420EA">
        <w:rPr>
          <w:i/>
        </w:rPr>
        <w:t>Restatement of the Law on Responsibility of States for Injuries to Aliens</w:t>
      </w:r>
      <w:r>
        <w:t>, secondo cui un comportamento adottato da un organo può essere attribuito allo Stato nel caso in cui abbia agito nell’ambito della sua competenza reale o apparente. Il paragrafo 207 lett. c)</w:t>
      </w:r>
      <w:r w:rsidR="00CD5A4A">
        <w:t>,</w:t>
      </w:r>
      <w:r>
        <w:t xml:space="preserve"> del progetto adottato sempre dall’</w:t>
      </w:r>
      <w:r w:rsidRPr="00F420EA">
        <w:rPr>
          <w:i/>
        </w:rPr>
        <w:t>American Law Institute</w:t>
      </w:r>
      <w:r w:rsidR="00AB79D5">
        <w:t xml:space="preserve"> nel 1986</w:t>
      </w:r>
      <w:r>
        <w:t xml:space="preserve"> afferma invece che lo Stato è responsabile delle violazioni degli obblighi da esso assunti in diritto internazionale risultanti da condotte dei propri organi “</w:t>
      </w:r>
      <w:r w:rsidRPr="00F420EA">
        <w:rPr>
          <w:i/>
        </w:rPr>
        <w:t>acting within the scope of authority or under colour of such authority</w:t>
      </w:r>
      <w:r>
        <w:t xml:space="preserve">”. </w:t>
      </w:r>
    </w:p>
    <w:p w:rsidR="00A132A5" w:rsidRDefault="00203CBA" w:rsidP="00200B5F">
      <w:pPr>
        <w:spacing w:after="0" w:line="360" w:lineRule="auto"/>
        <w:ind w:firstLine="284"/>
        <w:jc w:val="both"/>
        <w:rPr>
          <w:lang w:val="en-US"/>
        </w:rPr>
      </w:pPr>
      <w:r>
        <w:t xml:space="preserve">Il commentario di tale disposizione precisa inoltre che risulta irrilevante ai fini del sorgere della responsabilità internazionale che le condotte non siano state autorizzate o conosciute dall’autorità nazionale responsabile, oppure che siano contrarie alle disposizioni del diritto interno. </w:t>
      </w:r>
      <w:r w:rsidRPr="00203CBA">
        <w:rPr>
          <w:lang w:val="en-US"/>
        </w:rPr>
        <w:t xml:space="preserve">Vi si legge: </w:t>
      </w:r>
    </w:p>
    <w:p w:rsidR="00A132A5" w:rsidRDefault="00A132A5" w:rsidP="00200B5F">
      <w:pPr>
        <w:spacing w:after="0" w:line="360" w:lineRule="auto"/>
        <w:ind w:firstLine="284"/>
        <w:jc w:val="both"/>
        <w:rPr>
          <w:lang w:val="en-US"/>
        </w:rPr>
      </w:pPr>
    </w:p>
    <w:p w:rsidR="00EE2287" w:rsidRDefault="00203CBA" w:rsidP="00712BFB">
      <w:pPr>
        <w:spacing w:after="0" w:line="360" w:lineRule="auto"/>
        <w:ind w:left="567" w:right="567" w:firstLine="284"/>
        <w:jc w:val="both"/>
        <w:rPr>
          <w:lang w:val="en-US"/>
        </w:rPr>
      </w:pPr>
      <w:r w:rsidRPr="00203CBA">
        <w:rPr>
          <w:lang w:val="en-US"/>
        </w:rPr>
        <w:t>“A State is responsible for acts of officials and officials bodies, national or local, even if the acts were not authorized or known to the responsible national authority, indeed even if expressly forbidden by law, decree or instruction”</w:t>
      </w:r>
      <w:r w:rsidR="00427ABB">
        <w:rPr>
          <w:rStyle w:val="Rimandonotaapidipagina"/>
          <w:lang w:val="en-US"/>
        </w:rPr>
        <w:footnoteReference w:id="120"/>
      </w:r>
      <w:r w:rsidR="00427ABB">
        <w:rPr>
          <w:lang w:val="en-US"/>
        </w:rPr>
        <w:t>.</w:t>
      </w:r>
    </w:p>
    <w:p w:rsidR="00F707FD" w:rsidRPr="00685A68" w:rsidRDefault="00F707FD" w:rsidP="00685A68">
      <w:pPr>
        <w:spacing w:after="0" w:line="360" w:lineRule="auto"/>
        <w:ind w:firstLine="284"/>
        <w:jc w:val="both"/>
        <w:rPr>
          <w:lang w:val="en-US"/>
        </w:rPr>
      </w:pPr>
    </w:p>
    <w:p w:rsidR="00970F76" w:rsidRPr="003932A4" w:rsidRDefault="00970F76" w:rsidP="00EB037D">
      <w:pPr>
        <w:spacing w:after="0" w:line="240" w:lineRule="auto"/>
        <w:ind w:firstLine="284"/>
        <w:jc w:val="both"/>
        <w:rPr>
          <w:lang w:val="en-US"/>
        </w:rPr>
      </w:pPr>
    </w:p>
    <w:p w:rsidR="00970F76" w:rsidRPr="003932A4" w:rsidRDefault="00970F76" w:rsidP="00EB037D">
      <w:pPr>
        <w:spacing w:after="0" w:line="240" w:lineRule="auto"/>
        <w:ind w:firstLine="284"/>
        <w:jc w:val="both"/>
        <w:rPr>
          <w:lang w:val="en-US"/>
        </w:rPr>
      </w:pPr>
    </w:p>
    <w:p w:rsidR="00FC77CE" w:rsidRDefault="002B61B4" w:rsidP="00EB037D">
      <w:pPr>
        <w:spacing w:after="0" w:line="240" w:lineRule="auto"/>
        <w:ind w:firstLine="284"/>
        <w:jc w:val="both"/>
      </w:pPr>
      <w:r>
        <w:lastRenderedPageBreak/>
        <w:t>5</w:t>
      </w:r>
      <w:r w:rsidR="00FC77CE" w:rsidRPr="00B72FE3">
        <w:t>. Piano generale dell’indagine</w:t>
      </w:r>
    </w:p>
    <w:p w:rsidR="00FC77CE" w:rsidRDefault="00FC77CE" w:rsidP="00EB037D">
      <w:pPr>
        <w:autoSpaceDE w:val="0"/>
        <w:autoSpaceDN w:val="0"/>
        <w:adjustRightInd w:val="0"/>
        <w:spacing w:after="0" w:line="360" w:lineRule="auto"/>
        <w:ind w:firstLine="284"/>
        <w:jc w:val="both"/>
        <w:rPr>
          <w:rFonts w:cstheme="minorHAnsi"/>
        </w:rPr>
      </w:pPr>
    </w:p>
    <w:p w:rsidR="00FC77CE" w:rsidRDefault="00FC77CE" w:rsidP="00FE4D25">
      <w:pPr>
        <w:autoSpaceDE w:val="0"/>
        <w:autoSpaceDN w:val="0"/>
        <w:adjustRightInd w:val="0"/>
        <w:spacing w:after="0" w:line="360" w:lineRule="auto"/>
        <w:ind w:firstLine="284"/>
        <w:jc w:val="both"/>
        <w:rPr>
          <w:rFonts w:cstheme="minorHAnsi"/>
        </w:rPr>
      </w:pPr>
      <w:r>
        <w:rPr>
          <w:rFonts w:cstheme="minorHAnsi"/>
        </w:rPr>
        <w:t>La presente indagine intende verificare l’esistenza in diritto internazionale di un principio che riconosce la responsabilità dello Stato per i fatti illeciti tenuti nel mancato rispetto della propria competenza o delle istruzioni ricevute</w:t>
      </w:r>
      <w:r w:rsidRPr="005C64C8">
        <w:rPr>
          <w:rFonts w:cstheme="minorHAnsi"/>
        </w:rPr>
        <w:t xml:space="preserve"> </w:t>
      </w:r>
      <w:r>
        <w:rPr>
          <w:rFonts w:cstheme="minorHAnsi"/>
        </w:rPr>
        <w:t>da parte di individui o enti inte</w:t>
      </w:r>
      <w:r w:rsidR="00643857">
        <w:rPr>
          <w:rFonts w:cstheme="minorHAnsi"/>
        </w:rPr>
        <w:t xml:space="preserve">grati nel suo apparato statale. </w:t>
      </w:r>
      <w:r>
        <w:rPr>
          <w:rFonts w:cstheme="minorHAnsi"/>
        </w:rPr>
        <w:t xml:space="preserve">Nell’analizzare i dati ricavabili dalla prassi internazionale, oltre a verificare se una condotta tenuta da un organo </w:t>
      </w:r>
      <w:r w:rsidRPr="00F60BED">
        <w:rPr>
          <w:rFonts w:cstheme="minorHAnsi"/>
          <w:i/>
        </w:rPr>
        <w:t>ultra vires</w:t>
      </w:r>
      <w:r w:rsidR="001373C4">
        <w:rPr>
          <w:rFonts w:cstheme="minorHAnsi"/>
        </w:rPr>
        <w:t xml:space="preserve">  sia</w:t>
      </w:r>
      <w:r>
        <w:rPr>
          <w:rFonts w:cstheme="minorHAnsi"/>
        </w:rPr>
        <w:t xml:space="preserve"> o meno attribuibile allo Stato,</w:t>
      </w:r>
      <w:r w:rsidRPr="003D2BE2">
        <w:rPr>
          <w:rFonts w:cstheme="minorHAnsi"/>
        </w:rPr>
        <w:t xml:space="preserve"> </w:t>
      </w:r>
      <w:r w:rsidR="00FE4D25">
        <w:rPr>
          <w:rFonts w:cstheme="minorHAnsi"/>
        </w:rPr>
        <w:t xml:space="preserve">si intende effettuare un’analisi critica delle condizioni attributive, </w:t>
      </w:r>
      <w:r w:rsidR="00FE4D25" w:rsidRPr="00E126EC">
        <w:t xml:space="preserve">come i criteri in base ai quali una condotta non autorizzata di un organo deve essere </w:t>
      </w:r>
      <w:r w:rsidR="00FE4D25">
        <w:t xml:space="preserve">reputata </w:t>
      </w:r>
      <w:r w:rsidR="00FE4D25" w:rsidRPr="00E126EC">
        <w:t>un fatto statale nell’ordinamento internazionale e in quali circostanze, invece, deve essere assimilata ad un</w:t>
      </w:r>
      <w:r w:rsidR="00FE4D25">
        <w:t xml:space="preserve"> fatto</w:t>
      </w:r>
      <w:r w:rsidR="00FE4D25" w:rsidRPr="00E126EC">
        <w:t xml:space="preserve"> di un privato</w:t>
      </w:r>
      <w:r w:rsidR="00FE4D25">
        <w:t>.</w:t>
      </w:r>
    </w:p>
    <w:p w:rsidR="00FC77CE" w:rsidRPr="00FE4D25" w:rsidRDefault="00FC77CE" w:rsidP="00EB037D">
      <w:pPr>
        <w:autoSpaceDE w:val="0"/>
        <w:autoSpaceDN w:val="0"/>
        <w:adjustRightInd w:val="0"/>
        <w:spacing w:after="0" w:line="360" w:lineRule="auto"/>
        <w:ind w:firstLine="284"/>
        <w:jc w:val="both"/>
      </w:pPr>
      <w:r w:rsidRPr="00B96170">
        <w:rPr>
          <w:rFonts w:cstheme="minorHAnsi"/>
        </w:rPr>
        <w:t xml:space="preserve">L’indagine si </w:t>
      </w:r>
      <w:r w:rsidRPr="00FE4D25">
        <w:rPr>
          <w:rFonts w:cstheme="minorHAnsi"/>
        </w:rPr>
        <w:t xml:space="preserve">colloca inoltre nella prospettiva di esaminare se il problema dell’attribuzione dei fatti </w:t>
      </w:r>
      <w:r w:rsidRPr="00FE4D25">
        <w:rPr>
          <w:rFonts w:cstheme="minorHAnsi"/>
          <w:i/>
        </w:rPr>
        <w:t>ultra vires</w:t>
      </w:r>
      <w:r w:rsidRPr="00FE4D25">
        <w:rPr>
          <w:rFonts w:cstheme="minorHAnsi"/>
        </w:rPr>
        <w:t xml:space="preserve"> si pone soltanto con riferimento ad individui o enti che godono dello </w:t>
      </w:r>
      <w:r w:rsidRPr="00FE4D25">
        <w:rPr>
          <w:rFonts w:cstheme="minorHAnsi"/>
          <w:i/>
        </w:rPr>
        <w:t>status</w:t>
      </w:r>
      <w:r w:rsidRPr="00FE4D25">
        <w:rPr>
          <w:rFonts w:cstheme="minorHAnsi"/>
        </w:rPr>
        <w:t xml:space="preserve"> organico in base al diritto interno oppure se si estende anche a coloro che sono integrati nell’apparato statale sulla base di elementi fattuali. In tal modo si avrà cura di </w:t>
      </w:r>
      <w:r w:rsidRPr="00FE4D25">
        <w:t>approfondire il ruolo giocato dal diritto interno sia con riferimento all’operazione di attribuzione di condotte allo Stato nell’ordinamento internazionale sia rispetto all’accertamento della qualità organica.</w:t>
      </w:r>
    </w:p>
    <w:p w:rsidR="00FC77CE" w:rsidRPr="00FE4D25" w:rsidRDefault="00FC77CE" w:rsidP="00EB037D">
      <w:pPr>
        <w:spacing w:after="0" w:line="360" w:lineRule="auto"/>
        <w:ind w:firstLine="284"/>
        <w:jc w:val="both"/>
        <w:rPr>
          <w:color w:val="FF0000"/>
        </w:rPr>
      </w:pPr>
      <w:r w:rsidRPr="00FE4D25">
        <w:t>Se infatt</w:t>
      </w:r>
      <w:r w:rsidR="00AF7251" w:rsidRPr="00FE4D25">
        <w:t>i si suppone che il principio dell’</w:t>
      </w:r>
      <w:r w:rsidRPr="00FE4D25">
        <w:t xml:space="preserve">attribuzione di fatti </w:t>
      </w:r>
      <w:r w:rsidRPr="00FE4D25">
        <w:rPr>
          <w:i/>
        </w:rPr>
        <w:t>ultra vires</w:t>
      </w:r>
      <w:r w:rsidRPr="00FE4D25">
        <w:t xml:space="preserve"> allo Stato sia una regola attributiva individuata dal diritto internazionale soltanto in connessione alla categoria generale di organo, la presente indagine può costituire anche l’occasione per verificare se la qualità organica può essere accertata non soltanto grazie al riferimento al diritto interno, ma anche sulla base della rilevazione di un legame effettivo dell’individuo o ente con lo Stato</w:t>
      </w:r>
      <w:r w:rsidRPr="00FE4D25">
        <w:rPr>
          <w:color w:val="FF0000"/>
        </w:rPr>
        <w:t>.</w:t>
      </w:r>
      <w:r w:rsidR="009F4FD8" w:rsidRPr="00FE4D25">
        <w:rPr>
          <w:color w:val="FF0000"/>
        </w:rPr>
        <w:t xml:space="preserve"> </w:t>
      </w:r>
    </w:p>
    <w:p w:rsidR="00FC77CE" w:rsidRPr="004639A6" w:rsidRDefault="00FC77CE" w:rsidP="00EB037D">
      <w:pPr>
        <w:autoSpaceDE w:val="0"/>
        <w:autoSpaceDN w:val="0"/>
        <w:adjustRightInd w:val="0"/>
        <w:spacing w:after="0" w:line="360" w:lineRule="auto"/>
        <w:ind w:firstLine="284"/>
        <w:jc w:val="both"/>
      </w:pPr>
      <w:r w:rsidRPr="00FE4D25">
        <w:t>Se il rinvio all’ordinamento statale consente indubbiamente di ottenere informazioni puntuali</w:t>
      </w:r>
      <w:r w:rsidRPr="004639A6">
        <w:t xml:space="preserve"> circa il contenuto e i limiti delle funzioni, nel caso degli organi di fatto la questione dell’attribuzione di condotte </w:t>
      </w:r>
      <w:r w:rsidRPr="004639A6">
        <w:rPr>
          <w:i/>
        </w:rPr>
        <w:t>ultra vires</w:t>
      </w:r>
      <w:r w:rsidRPr="004639A6">
        <w:t xml:space="preserve"> allo Stato finirebbe per assumere una minore rilevanza dal momento che il ris</w:t>
      </w:r>
      <w:r w:rsidR="00AF771C">
        <w:t>petto delle competenze risulterebbe</w:t>
      </w:r>
      <w:r w:rsidRPr="004639A6">
        <w:t xml:space="preserve"> inglobato nel problema dell’accertamento della qualità di organo, trattandosi di stabilire se il grado di controllo esercitato dallo Stato sulle condotte di un individuo è sufficiente a giustificarne l’attribuzione.</w:t>
      </w:r>
    </w:p>
    <w:p w:rsidR="00FC77CE" w:rsidRPr="004639A6" w:rsidRDefault="00FC77CE" w:rsidP="00EB037D">
      <w:pPr>
        <w:autoSpaceDE w:val="0"/>
        <w:autoSpaceDN w:val="0"/>
        <w:adjustRightInd w:val="0"/>
        <w:spacing w:after="0" w:line="360" w:lineRule="auto"/>
        <w:ind w:firstLine="284"/>
        <w:jc w:val="both"/>
      </w:pPr>
      <w:r w:rsidRPr="004639A6">
        <w:t xml:space="preserve">Se si arrivasse alla conclusione che </w:t>
      </w:r>
      <w:r w:rsidRPr="004639A6">
        <w:rPr>
          <w:rFonts w:cstheme="minorHAnsi"/>
        </w:rPr>
        <w:t>i criteri attributivi che si fondano sulla qualità</w:t>
      </w:r>
      <w:r>
        <w:rPr>
          <w:rFonts w:cstheme="minorHAnsi"/>
        </w:rPr>
        <w:t xml:space="preserve"> formale di organo di un individuo agente non possono essere applicati ad individui che sono legati allo Stato da un rapporto di fatto a causa del necessario riferimento al diritto interno per la </w:t>
      </w:r>
      <w:r>
        <w:rPr>
          <w:rFonts w:cstheme="minorHAnsi"/>
        </w:rPr>
        <w:lastRenderedPageBreak/>
        <w:t xml:space="preserve">determinazione delle funzioni lui spettanti, si potrebbe asserire che il diritto internazionale assicura al diritto interno una sorta di riserva di campo non soltanto </w:t>
      </w:r>
      <w:r>
        <w:t xml:space="preserve">in relazione alla </w:t>
      </w:r>
      <w:r w:rsidRPr="004639A6">
        <w:t>definizione dell’organizzazione dello Stato ma anche in merito alla determinazione del contenuto e dei limiti di tali funzioni</w:t>
      </w:r>
      <w:r w:rsidRPr="004639A6">
        <w:rPr>
          <w:rStyle w:val="Rimandonotaapidipagina"/>
        </w:rPr>
        <w:footnoteReference w:id="121"/>
      </w:r>
      <w:r w:rsidRPr="004639A6">
        <w:t>.</w:t>
      </w:r>
    </w:p>
    <w:p w:rsidR="00FC77CE" w:rsidRPr="004639A6" w:rsidRDefault="00FC77CE" w:rsidP="00EB037D">
      <w:pPr>
        <w:autoSpaceDE w:val="0"/>
        <w:autoSpaceDN w:val="0"/>
        <w:adjustRightInd w:val="0"/>
        <w:spacing w:after="0" w:line="360" w:lineRule="auto"/>
        <w:ind w:firstLine="284"/>
        <w:jc w:val="both"/>
      </w:pPr>
      <w:r w:rsidRPr="004639A6">
        <w:t>La validità di tale visione formalistica circa gli elementi necessari per determinare quali siano le funzioni svolte da un individuo o ente all’interno dell’organizzazione</w:t>
      </w:r>
      <w:r>
        <w:t xml:space="preserve"> dello Stato verrà vagliata alla luce dei dati desumibili dalla prassi internazionale. In linea di principio, infatti, regole di attribuzione analoghe a quelle precedentemente descritte potrebbero ritenersi applicabili anche con riferimento ad individui non formalmente integrati all’interno dell’apparato statale, sulla base del fatto che la determinazione delle co</w:t>
      </w:r>
      <w:r w:rsidRPr="004639A6">
        <w:t>mpetenze assegnate può essere condotta mediante un rinvio ai vari elementi di fatto che attestano il loro stretto legame con lo Stato.</w:t>
      </w:r>
    </w:p>
    <w:p w:rsidR="00FC77CE" w:rsidRDefault="00FC77CE" w:rsidP="00EB037D">
      <w:pPr>
        <w:autoSpaceDE w:val="0"/>
        <w:autoSpaceDN w:val="0"/>
        <w:adjustRightInd w:val="0"/>
        <w:spacing w:after="0" w:line="360" w:lineRule="auto"/>
        <w:ind w:firstLine="284"/>
        <w:jc w:val="both"/>
        <w:rPr>
          <w:rFonts w:cstheme="minorHAnsi"/>
        </w:rPr>
      </w:pPr>
      <w:r w:rsidRPr="004639A6">
        <w:rPr>
          <w:rFonts w:cstheme="minorHAnsi"/>
        </w:rPr>
        <w:t xml:space="preserve">La dimostrazione della validità di questa ipotesi di lavoro sembra passare attraverso la soluzione di </w:t>
      </w:r>
      <w:r w:rsidR="009F4FD8">
        <w:rPr>
          <w:rFonts w:cstheme="minorHAnsi"/>
        </w:rPr>
        <w:t xml:space="preserve">due </w:t>
      </w:r>
      <w:r w:rsidRPr="004639A6">
        <w:rPr>
          <w:rFonts w:cstheme="minorHAnsi"/>
        </w:rPr>
        <w:t xml:space="preserve">distinte questioni: da una parte si tratta di stabilire se trova effettivamente riscontro nella prassi internazionale l’esistenza di un principio che riconosce la responsabilità internazionale dello Stato per i fatti illeciti </w:t>
      </w:r>
      <w:r w:rsidRPr="004639A6">
        <w:rPr>
          <w:rFonts w:cstheme="minorHAnsi"/>
          <w:i/>
        </w:rPr>
        <w:t xml:space="preserve">ultra vires </w:t>
      </w:r>
      <w:r w:rsidRPr="004639A6">
        <w:rPr>
          <w:rFonts w:cstheme="minorHAnsi"/>
        </w:rPr>
        <w:t xml:space="preserve">di individui o enti che possiedono lo </w:t>
      </w:r>
      <w:r w:rsidRPr="004639A6">
        <w:rPr>
          <w:rFonts w:cstheme="minorHAnsi"/>
          <w:i/>
        </w:rPr>
        <w:t>status</w:t>
      </w:r>
      <w:r w:rsidRPr="004639A6">
        <w:rPr>
          <w:rFonts w:cstheme="minorHAnsi"/>
        </w:rPr>
        <w:t xml:space="preserve"> organico e, in caso positivo, quali siano i criteri in base ai quali una condotta non autorizzata di un organo deve reputarsi un fatto statale nell’ordinamento internazionale e in quali </w:t>
      </w:r>
      <w:r w:rsidRPr="00F14FF9">
        <w:rPr>
          <w:rFonts w:cstheme="minorHAnsi"/>
        </w:rPr>
        <w:t xml:space="preserve">circostanze, viceversa, deve essere assimilata ad un comportamento di un semplice privato; dall’altra si vuole invece determinare se, alla luce delle soluzioni preconizzate dalla prassi internazionale, il medesimo criterio attributivo trovi applicazione anche </w:t>
      </w:r>
      <w:r w:rsidRPr="00F14FF9">
        <w:t>con riferimento ad individui non formalmente integrati all’interno dell’apparato statale.</w:t>
      </w:r>
      <w:r>
        <w:rPr>
          <w:rFonts w:cstheme="minorHAnsi"/>
        </w:rPr>
        <w:t xml:space="preserve"> </w:t>
      </w:r>
    </w:p>
    <w:p w:rsidR="00FC77CE" w:rsidRDefault="00FC77CE" w:rsidP="00EB037D">
      <w:pPr>
        <w:autoSpaceDE w:val="0"/>
        <w:autoSpaceDN w:val="0"/>
        <w:adjustRightInd w:val="0"/>
        <w:spacing w:after="0" w:line="360" w:lineRule="auto"/>
        <w:ind w:firstLine="284"/>
        <w:jc w:val="both"/>
        <w:rPr>
          <w:rFonts w:cstheme="minorHAnsi"/>
        </w:rPr>
      </w:pPr>
      <w:r>
        <w:rPr>
          <w:rFonts w:cstheme="minorHAnsi"/>
        </w:rPr>
        <w:t>Attraverso l’esame del primo dei due problemi ci si propone quindi di approfondire il ruolo giocato dal diritto interno con riferimento all’operazione di attribuzione di condotte allo Stato e all’accertamento della qualità organica. L’esame del secondo mira invece a verificare se le regole di attribuzione che si fondano sulla qualità di organo dell’individuo agente si prestano ad essere applicate anche con riferimento ad individui le cui funzioni sono determinate sulla base di elementi fattuali.</w:t>
      </w:r>
    </w:p>
    <w:p w:rsidR="00FC77CE" w:rsidRDefault="00FC77CE" w:rsidP="00EB037D">
      <w:pPr>
        <w:autoSpaceDE w:val="0"/>
        <w:autoSpaceDN w:val="0"/>
        <w:adjustRightInd w:val="0"/>
        <w:spacing w:after="0" w:line="360" w:lineRule="auto"/>
        <w:ind w:firstLine="284"/>
        <w:jc w:val="both"/>
        <w:rPr>
          <w:rFonts w:cstheme="minorHAnsi"/>
        </w:rPr>
      </w:pPr>
      <w:r>
        <w:rPr>
          <w:rFonts w:cstheme="minorHAnsi"/>
        </w:rPr>
        <w:lastRenderedPageBreak/>
        <w:t xml:space="preserve">Come già precedentemente rilevato, l’esame delle suddette questioni sarà condotto a partire dallo studio dei dati ricavabili dalla prassi internazionale. Oltre che soddisfare esigenze di carattere metodologico, tale approccio risulta preferibile in quanto consente di analizzare il problema dell’attribuzione allo Stato dei fatti </w:t>
      </w:r>
      <w:r w:rsidRPr="00D11A0E">
        <w:rPr>
          <w:rFonts w:cstheme="minorHAnsi"/>
          <w:i/>
        </w:rPr>
        <w:t>ultra vires</w:t>
      </w:r>
      <w:r>
        <w:rPr>
          <w:rFonts w:cstheme="minorHAnsi"/>
        </w:rPr>
        <w:t xml:space="preserve"> alla luce di una prospettiva poco esplorata.  L’attenzione prestata dalla dottrina alla ricostruzione del modo in cui si atteggia la prassi con riferimento al problema dell’attribuzione allo Stato nell’ordinamento internazionale di condotte tenute nel mancato rispetto delle competenza appare infatti limitata ai soli organi </w:t>
      </w:r>
      <w:r w:rsidRPr="009359AF">
        <w:rPr>
          <w:rFonts w:cstheme="minorHAnsi"/>
          <w:i/>
        </w:rPr>
        <w:t>de jure</w:t>
      </w:r>
      <w:r>
        <w:rPr>
          <w:rFonts w:cstheme="minorHAnsi"/>
          <w:i/>
        </w:rPr>
        <w:t xml:space="preserve"> </w:t>
      </w:r>
      <w:r>
        <w:rPr>
          <w:rFonts w:cstheme="minorHAnsi"/>
        </w:rPr>
        <w:t>e trova spesso origine in valutazioni di carattere teorico.</w:t>
      </w:r>
    </w:p>
    <w:p w:rsidR="003729A1" w:rsidRDefault="00FC77CE" w:rsidP="00E04DBB">
      <w:pPr>
        <w:autoSpaceDE w:val="0"/>
        <w:autoSpaceDN w:val="0"/>
        <w:adjustRightInd w:val="0"/>
        <w:spacing w:after="0" w:line="360" w:lineRule="auto"/>
        <w:ind w:firstLine="284"/>
        <w:jc w:val="both"/>
        <w:rPr>
          <w:rFonts w:cstheme="minorHAnsi"/>
        </w:rPr>
      </w:pPr>
      <w:r>
        <w:rPr>
          <w:rFonts w:cstheme="minorHAnsi"/>
        </w:rPr>
        <w:t xml:space="preserve">L’indagine sarà divisa </w:t>
      </w:r>
      <w:r w:rsidRPr="00EF3676">
        <w:rPr>
          <w:rFonts w:cstheme="minorHAnsi"/>
        </w:rPr>
        <w:t xml:space="preserve">in tre </w:t>
      </w:r>
      <w:r w:rsidR="00EF3676" w:rsidRPr="00EF3676">
        <w:rPr>
          <w:rFonts w:cstheme="minorHAnsi"/>
        </w:rPr>
        <w:t>parti</w:t>
      </w:r>
      <w:r w:rsidRPr="00EF3676">
        <w:rPr>
          <w:rFonts w:cstheme="minorHAnsi"/>
        </w:rPr>
        <w:t>.</w:t>
      </w:r>
      <w:r>
        <w:rPr>
          <w:rFonts w:cstheme="minorHAnsi"/>
        </w:rPr>
        <w:t xml:space="preserve"> </w:t>
      </w:r>
      <w:r w:rsidR="00813F4A">
        <w:rPr>
          <w:rFonts w:cstheme="minorHAnsi"/>
        </w:rPr>
        <w:t>Seguendo un criterio cronologico, l</w:t>
      </w:r>
      <w:r>
        <w:rPr>
          <w:rFonts w:cstheme="minorHAnsi"/>
        </w:rPr>
        <w:t xml:space="preserve">a prima sarà </w:t>
      </w:r>
      <w:r w:rsidR="00813F4A">
        <w:rPr>
          <w:rFonts w:cstheme="minorHAnsi"/>
        </w:rPr>
        <w:t xml:space="preserve">dedicata all’analisi </w:t>
      </w:r>
      <w:r>
        <w:rPr>
          <w:rFonts w:cstheme="minorHAnsi"/>
        </w:rPr>
        <w:t>della prassi internazionale anteriore ai lavori di codificazione della Commissione del diritto internazionale al fine di evidenziare le diverse tappe che hanno portato dal rigetto al progressivo riconoscimento del principio de</w:t>
      </w:r>
      <w:r w:rsidR="000015CB">
        <w:rPr>
          <w:rFonts w:cstheme="minorHAnsi"/>
        </w:rPr>
        <w:t>ll</w:t>
      </w:r>
      <w:r w:rsidR="009F4FD8">
        <w:rPr>
          <w:rFonts w:cstheme="minorHAnsi"/>
        </w:rPr>
        <w:t>a responsabilità</w:t>
      </w:r>
      <w:r w:rsidR="000015CB">
        <w:rPr>
          <w:rFonts w:cstheme="minorHAnsi"/>
        </w:rPr>
        <w:t xml:space="preserve"> allo Stato dei fatti </w:t>
      </w:r>
      <w:r w:rsidRPr="00F266B4">
        <w:rPr>
          <w:rFonts w:cstheme="minorHAnsi"/>
          <w:i/>
        </w:rPr>
        <w:t>ultra vires</w:t>
      </w:r>
      <w:r>
        <w:rPr>
          <w:rFonts w:cstheme="minorHAnsi"/>
        </w:rPr>
        <w:t xml:space="preserve"> dei propri organi, avendo cura di considerare le condizioni in funzione delle quali un</w:t>
      </w:r>
      <w:r w:rsidR="000015CB">
        <w:rPr>
          <w:rFonts w:cstheme="minorHAnsi"/>
        </w:rPr>
        <w:t>a condotta</w:t>
      </w:r>
      <w:r>
        <w:rPr>
          <w:rFonts w:cstheme="minorHAnsi"/>
        </w:rPr>
        <w:t xml:space="preserve"> </w:t>
      </w:r>
      <w:r w:rsidRPr="00F178A4">
        <w:rPr>
          <w:rFonts w:cstheme="minorHAnsi"/>
          <w:i/>
        </w:rPr>
        <w:t>ultra vires</w:t>
      </w:r>
      <w:r>
        <w:rPr>
          <w:rFonts w:cstheme="minorHAnsi"/>
        </w:rPr>
        <w:t xml:space="preserve"> deve essere ritenuto un fatto dello Stato nell’ordinamento internazionale e, in quali circostanze, un </w:t>
      </w:r>
      <w:r w:rsidR="000015CB">
        <w:rPr>
          <w:rFonts w:cstheme="minorHAnsi"/>
        </w:rPr>
        <w:t xml:space="preserve">fatto </w:t>
      </w:r>
      <w:r>
        <w:rPr>
          <w:rFonts w:cstheme="minorHAnsi"/>
        </w:rPr>
        <w:t xml:space="preserve">di un organo deve essere assimilato ad un </w:t>
      </w:r>
      <w:r w:rsidR="000015CB">
        <w:rPr>
          <w:rFonts w:cstheme="minorHAnsi"/>
        </w:rPr>
        <w:t xml:space="preserve">fatto </w:t>
      </w:r>
      <w:r>
        <w:rPr>
          <w:rFonts w:cstheme="minorHAnsi"/>
        </w:rPr>
        <w:t xml:space="preserve">di un privato ad </w:t>
      </w:r>
      <w:r w:rsidRPr="004C7A03">
        <w:rPr>
          <w:rFonts w:cstheme="minorHAnsi"/>
        </w:rPr>
        <w:t>esso non attribuibile. La seconda, invece, sarà dedicata a</w:t>
      </w:r>
      <w:r w:rsidRPr="004C7A03">
        <w:t xml:space="preserve">lla codificazione del principio dell’attribuzione allo Stato delle condotte </w:t>
      </w:r>
      <w:r w:rsidRPr="004C7A03">
        <w:rPr>
          <w:i/>
        </w:rPr>
        <w:t>ultra vires</w:t>
      </w:r>
      <w:r w:rsidRPr="004C7A03">
        <w:t xml:space="preserve"> dei propri organi da parte della Commissione del diritto internazionale</w:t>
      </w:r>
      <w:r w:rsidRPr="004C7A03">
        <w:rPr>
          <w:rFonts w:cstheme="minorHAnsi"/>
        </w:rPr>
        <w:t xml:space="preserve"> e all’esame della prassi più </w:t>
      </w:r>
      <w:r w:rsidRPr="00EF3676">
        <w:rPr>
          <w:rFonts w:cstheme="minorHAnsi"/>
        </w:rPr>
        <w:t>recente.</w:t>
      </w:r>
      <w:r>
        <w:rPr>
          <w:rFonts w:cstheme="minorHAnsi"/>
        </w:rPr>
        <w:t xml:space="preserve"> L’ultima intende infine analizzare i risultati acquisiti avendo cura di approfondire la nozione di organo ai fini dell’attribuzione e </w:t>
      </w:r>
      <w:r w:rsidRPr="007A3D11">
        <w:rPr>
          <w:rFonts w:cstheme="minorHAnsi"/>
        </w:rPr>
        <w:t xml:space="preserve">di rilevare se il principio dell’attribuzione dei fatti </w:t>
      </w:r>
      <w:r w:rsidRPr="008912B4">
        <w:rPr>
          <w:rFonts w:cstheme="minorHAnsi"/>
          <w:i/>
        </w:rPr>
        <w:t>ultra vires</w:t>
      </w:r>
      <w:r w:rsidRPr="007A3D11">
        <w:rPr>
          <w:rFonts w:cstheme="minorHAnsi"/>
        </w:rPr>
        <w:t xml:space="preserve"> allo Stato trovi applicazione anche con riferimento ad individui o enti ad esso legati da un rapporto fattuale.</w:t>
      </w:r>
    </w:p>
    <w:p w:rsidR="00E04DBB" w:rsidRPr="00E04DBB" w:rsidRDefault="00E04DBB" w:rsidP="00E04DBB">
      <w:pPr>
        <w:autoSpaceDE w:val="0"/>
        <w:autoSpaceDN w:val="0"/>
        <w:adjustRightInd w:val="0"/>
        <w:spacing w:after="0" w:line="360" w:lineRule="auto"/>
        <w:ind w:firstLine="284"/>
        <w:jc w:val="both"/>
        <w:rPr>
          <w:rFonts w:cstheme="minorHAnsi"/>
        </w:rPr>
      </w:pPr>
    </w:p>
    <w:p w:rsidR="002A2970" w:rsidRDefault="002A2970" w:rsidP="00D448C4">
      <w:pPr>
        <w:autoSpaceDE w:val="0"/>
        <w:autoSpaceDN w:val="0"/>
        <w:adjustRightInd w:val="0"/>
        <w:spacing w:after="0" w:line="360" w:lineRule="auto"/>
        <w:ind w:firstLine="284"/>
        <w:jc w:val="center"/>
        <w:rPr>
          <w:smallCaps/>
        </w:rPr>
      </w:pPr>
    </w:p>
    <w:p w:rsidR="002A2970" w:rsidRDefault="002A2970" w:rsidP="00D448C4">
      <w:pPr>
        <w:autoSpaceDE w:val="0"/>
        <w:autoSpaceDN w:val="0"/>
        <w:adjustRightInd w:val="0"/>
        <w:spacing w:after="0" w:line="360" w:lineRule="auto"/>
        <w:ind w:firstLine="284"/>
        <w:jc w:val="center"/>
        <w:rPr>
          <w:smallCaps/>
        </w:rPr>
      </w:pPr>
    </w:p>
    <w:p w:rsidR="002A2970" w:rsidRDefault="002A2970" w:rsidP="00D448C4">
      <w:pPr>
        <w:autoSpaceDE w:val="0"/>
        <w:autoSpaceDN w:val="0"/>
        <w:adjustRightInd w:val="0"/>
        <w:spacing w:after="0" w:line="360" w:lineRule="auto"/>
        <w:ind w:firstLine="284"/>
        <w:jc w:val="center"/>
        <w:rPr>
          <w:smallCaps/>
        </w:rPr>
      </w:pPr>
    </w:p>
    <w:p w:rsidR="002A2970" w:rsidRDefault="002A2970" w:rsidP="00D448C4">
      <w:pPr>
        <w:autoSpaceDE w:val="0"/>
        <w:autoSpaceDN w:val="0"/>
        <w:adjustRightInd w:val="0"/>
        <w:spacing w:after="0" w:line="360" w:lineRule="auto"/>
        <w:ind w:firstLine="284"/>
        <w:jc w:val="center"/>
        <w:rPr>
          <w:smallCaps/>
        </w:rPr>
      </w:pPr>
    </w:p>
    <w:p w:rsidR="00357714" w:rsidRDefault="00357714" w:rsidP="00D448C4">
      <w:pPr>
        <w:autoSpaceDE w:val="0"/>
        <w:autoSpaceDN w:val="0"/>
        <w:adjustRightInd w:val="0"/>
        <w:spacing w:after="0" w:line="360" w:lineRule="auto"/>
        <w:ind w:firstLine="284"/>
        <w:jc w:val="center"/>
        <w:rPr>
          <w:smallCaps/>
        </w:rPr>
      </w:pPr>
    </w:p>
    <w:p w:rsidR="00357714" w:rsidRDefault="00357714" w:rsidP="00D448C4">
      <w:pPr>
        <w:autoSpaceDE w:val="0"/>
        <w:autoSpaceDN w:val="0"/>
        <w:adjustRightInd w:val="0"/>
        <w:spacing w:after="0" w:line="360" w:lineRule="auto"/>
        <w:ind w:firstLine="284"/>
        <w:jc w:val="center"/>
        <w:rPr>
          <w:smallCaps/>
        </w:rPr>
      </w:pPr>
    </w:p>
    <w:p w:rsidR="00970F76" w:rsidRDefault="00970F76" w:rsidP="00D448C4">
      <w:pPr>
        <w:autoSpaceDE w:val="0"/>
        <w:autoSpaceDN w:val="0"/>
        <w:adjustRightInd w:val="0"/>
        <w:spacing w:after="0" w:line="360" w:lineRule="auto"/>
        <w:ind w:firstLine="284"/>
        <w:jc w:val="center"/>
        <w:rPr>
          <w:smallCaps/>
        </w:rPr>
      </w:pPr>
    </w:p>
    <w:p w:rsidR="00970F76" w:rsidRDefault="00970F76" w:rsidP="00D448C4">
      <w:pPr>
        <w:autoSpaceDE w:val="0"/>
        <w:autoSpaceDN w:val="0"/>
        <w:adjustRightInd w:val="0"/>
        <w:spacing w:after="0" w:line="360" w:lineRule="auto"/>
        <w:ind w:firstLine="284"/>
        <w:jc w:val="center"/>
        <w:rPr>
          <w:smallCaps/>
        </w:rPr>
      </w:pPr>
    </w:p>
    <w:p w:rsidR="00970F76" w:rsidRDefault="00970F76" w:rsidP="00D448C4">
      <w:pPr>
        <w:autoSpaceDE w:val="0"/>
        <w:autoSpaceDN w:val="0"/>
        <w:adjustRightInd w:val="0"/>
        <w:spacing w:after="0" w:line="360" w:lineRule="auto"/>
        <w:ind w:firstLine="284"/>
        <w:jc w:val="center"/>
        <w:rPr>
          <w:smallCaps/>
        </w:rPr>
      </w:pPr>
    </w:p>
    <w:p w:rsidR="00970F76" w:rsidRDefault="00970F76" w:rsidP="00D448C4">
      <w:pPr>
        <w:autoSpaceDE w:val="0"/>
        <w:autoSpaceDN w:val="0"/>
        <w:adjustRightInd w:val="0"/>
        <w:spacing w:after="0" w:line="360" w:lineRule="auto"/>
        <w:ind w:firstLine="284"/>
        <w:jc w:val="center"/>
        <w:rPr>
          <w:smallCaps/>
        </w:rPr>
      </w:pPr>
    </w:p>
    <w:p w:rsidR="00CA5718" w:rsidRPr="004676E2" w:rsidRDefault="004676E2" w:rsidP="00D448C4">
      <w:pPr>
        <w:autoSpaceDE w:val="0"/>
        <w:autoSpaceDN w:val="0"/>
        <w:adjustRightInd w:val="0"/>
        <w:spacing w:after="0" w:line="360" w:lineRule="auto"/>
        <w:ind w:firstLine="284"/>
        <w:jc w:val="center"/>
        <w:rPr>
          <w:rFonts w:cstheme="minorHAnsi"/>
          <w:smallCaps/>
        </w:rPr>
      </w:pPr>
      <w:r w:rsidRPr="004676E2">
        <w:rPr>
          <w:smallCaps/>
        </w:rPr>
        <w:lastRenderedPageBreak/>
        <w:t>CAPITOLO II</w:t>
      </w:r>
    </w:p>
    <w:p w:rsidR="00CA5718" w:rsidRDefault="00CA5718" w:rsidP="00EB037D">
      <w:pPr>
        <w:spacing w:after="0"/>
        <w:ind w:firstLine="284"/>
        <w:jc w:val="center"/>
      </w:pPr>
    </w:p>
    <w:p w:rsidR="00CA5718" w:rsidRDefault="004676E2" w:rsidP="00EB037D">
      <w:pPr>
        <w:spacing w:after="0"/>
        <w:ind w:firstLine="284"/>
        <w:jc w:val="center"/>
      </w:pPr>
      <w:r>
        <w:t xml:space="preserve">IL PRINCIPIO DELL’ATTRIBUZIONE ALLO STATO DEI FATTI </w:t>
      </w:r>
      <w:r w:rsidRPr="000404F3">
        <w:rPr>
          <w:i/>
        </w:rPr>
        <w:t>ULTRA VIRES</w:t>
      </w:r>
      <w:r>
        <w:t xml:space="preserve"> DEI PROPRI ORGANI NELLA PRASSI E NEL</w:t>
      </w:r>
      <w:r w:rsidR="00FB145C">
        <w:t>LA GIURISPRUDENZA INTERNAZIONALI PIÙ ANTICHE</w:t>
      </w:r>
    </w:p>
    <w:p w:rsidR="00CA5718" w:rsidRDefault="00CA5718" w:rsidP="00EB037D">
      <w:pPr>
        <w:spacing w:after="0"/>
        <w:ind w:firstLine="284"/>
        <w:jc w:val="both"/>
      </w:pPr>
    </w:p>
    <w:p w:rsidR="00CA5718" w:rsidRPr="00432BD3" w:rsidRDefault="00CA5718" w:rsidP="00DF65C8">
      <w:pPr>
        <w:ind w:firstLine="284"/>
        <w:jc w:val="both"/>
        <w:rPr>
          <w:sz w:val="16"/>
          <w:szCs w:val="16"/>
        </w:rPr>
      </w:pPr>
      <w:r w:rsidRPr="00BE33E5">
        <w:rPr>
          <w:sz w:val="16"/>
          <w:szCs w:val="16"/>
        </w:rPr>
        <w:t xml:space="preserve">SOMMARIO: 1. </w:t>
      </w:r>
      <w:r w:rsidR="0076235B">
        <w:rPr>
          <w:sz w:val="16"/>
          <w:szCs w:val="16"/>
        </w:rPr>
        <w:t>Considerazioni introduttive cirva l’i</w:t>
      </w:r>
      <w:r w:rsidRPr="00BE33E5">
        <w:rPr>
          <w:sz w:val="16"/>
          <w:szCs w:val="16"/>
        </w:rPr>
        <w:t xml:space="preserve">ndividuazione della prassi </w:t>
      </w:r>
      <w:r w:rsidR="004D0535">
        <w:rPr>
          <w:sz w:val="16"/>
          <w:szCs w:val="16"/>
        </w:rPr>
        <w:t>e della giurisprudenza rilevanti</w:t>
      </w:r>
      <w:r w:rsidRPr="00BE33E5">
        <w:rPr>
          <w:sz w:val="16"/>
          <w:szCs w:val="16"/>
        </w:rPr>
        <w:t xml:space="preserve">. </w:t>
      </w:r>
      <w:r w:rsidRPr="00D448C4">
        <w:rPr>
          <w:i/>
          <w:sz w:val="16"/>
          <w:szCs w:val="16"/>
        </w:rPr>
        <w:t xml:space="preserve">Sezione </w:t>
      </w:r>
      <w:r w:rsidR="004676E2">
        <w:rPr>
          <w:i/>
          <w:sz w:val="16"/>
          <w:szCs w:val="16"/>
        </w:rPr>
        <w:t>I</w:t>
      </w:r>
      <w:r w:rsidRPr="00BE33E5">
        <w:rPr>
          <w:sz w:val="16"/>
          <w:szCs w:val="16"/>
        </w:rPr>
        <w:t>. L’iniziale mancato riconoscimento del principio dell’attribuzio</w:t>
      </w:r>
      <w:r w:rsidR="00890EBE">
        <w:rPr>
          <w:sz w:val="16"/>
          <w:szCs w:val="16"/>
        </w:rPr>
        <w:t xml:space="preserve">ne allo Stato delle condotte </w:t>
      </w:r>
      <w:r w:rsidRPr="00BE33E5">
        <w:rPr>
          <w:i/>
          <w:sz w:val="16"/>
          <w:szCs w:val="16"/>
        </w:rPr>
        <w:t>ultra vires</w:t>
      </w:r>
      <w:r w:rsidRPr="00BE33E5">
        <w:rPr>
          <w:sz w:val="16"/>
          <w:szCs w:val="16"/>
        </w:rPr>
        <w:t xml:space="preserve"> dei propri organi:</w:t>
      </w:r>
      <w:r w:rsidR="002313F7">
        <w:rPr>
          <w:sz w:val="16"/>
          <w:szCs w:val="16"/>
        </w:rPr>
        <w:t xml:space="preserve"> 1. Considerazioni </w:t>
      </w:r>
      <w:r w:rsidRPr="00BE33E5">
        <w:rPr>
          <w:sz w:val="16"/>
          <w:szCs w:val="16"/>
        </w:rPr>
        <w:t xml:space="preserve">sulla prassi degli Stati nel diciannovesimo secolo – 2. In particolare, la prassi degli Stati Uniti – 3. </w:t>
      </w:r>
      <w:r w:rsidR="00F27169">
        <w:rPr>
          <w:sz w:val="16"/>
          <w:szCs w:val="16"/>
        </w:rPr>
        <w:t>Segue: la prassi degli Stati latinoamericani</w:t>
      </w:r>
      <w:r w:rsidRPr="00BE33E5">
        <w:rPr>
          <w:sz w:val="16"/>
          <w:szCs w:val="16"/>
        </w:rPr>
        <w:t xml:space="preserve"> – 4. La giurisprudenza arbitrale del dic</w:t>
      </w:r>
      <w:r w:rsidR="00C85257">
        <w:rPr>
          <w:sz w:val="16"/>
          <w:szCs w:val="16"/>
        </w:rPr>
        <w:t>iannovesimo secolo – 5.  Conclusioni</w:t>
      </w:r>
      <w:r w:rsidRPr="00BE33E5">
        <w:rPr>
          <w:sz w:val="16"/>
          <w:szCs w:val="16"/>
        </w:rPr>
        <w:t xml:space="preserve"> circa la prassi </w:t>
      </w:r>
      <w:r w:rsidR="00C85257">
        <w:rPr>
          <w:sz w:val="16"/>
          <w:szCs w:val="16"/>
        </w:rPr>
        <w:t>e la giurisprudenza esaminate</w:t>
      </w:r>
      <w:r w:rsidRPr="00BE33E5">
        <w:rPr>
          <w:sz w:val="16"/>
          <w:szCs w:val="16"/>
        </w:rPr>
        <w:t xml:space="preserve">. </w:t>
      </w:r>
      <w:r w:rsidRPr="00D448C4">
        <w:rPr>
          <w:i/>
          <w:sz w:val="16"/>
          <w:szCs w:val="16"/>
        </w:rPr>
        <w:t xml:space="preserve">Sezione </w:t>
      </w:r>
      <w:r w:rsidR="004676E2">
        <w:rPr>
          <w:i/>
          <w:sz w:val="16"/>
          <w:szCs w:val="16"/>
        </w:rPr>
        <w:t>II</w:t>
      </w:r>
      <w:r w:rsidRPr="00D448C4">
        <w:rPr>
          <w:i/>
          <w:sz w:val="16"/>
          <w:szCs w:val="16"/>
        </w:rPr>
        <w:t>.</w:t>
      </w:r>
      <w:r w:rsidRPr="00BE33E5">
        <w:rPr>
          <w:sz w:val="16"/>
          <w:szCs w:val="16"/>
        </w:rPr>
        <w:t xml:space="preserve"> La graduale affermazione ed il consolidamento del principio de</w:t>
      </w:r>
      <w:r w:rsidR="00D45D91">
        <w:rPr>
          <w:sz w:val="16"/>
          <w:szCs w:val="16"/>
        </w:rPr>
        <w:t>ll’</w:t>
      </w:r>
      <w:r w:rsidRPr="00BE33E5">
        <w:rPr>
          <w:sz w:val="16"/>
          <w:szCs w:val="16"/>
        </w:rPr>
        <w:t xml:space="preserve">attribuzione allo Stato dei fatti </w:t>
      </w:r>
      <w:r w:rsidRPr="00532919">
        <w:rPr>
          <w:i/>
          <w:sz w:val="16"/>
          <w:szCs w:val="16"/>
        </w:rPr>
        <w:t>ultra vires</w:t>
      </w:r>
      <w:r w:rsidR="00D45D91">
        <w:rPr>
          <w:sz w:val="16"/>
          <w:szCs w:val="16"/>
        </w:rPr>
        <w:t xml:space="preserve"> </w:t>
      </w:r>
      <w:r w:rsidR="00F27169">
        <w:rPr>
          <w:sz w:val="16"/>
          <w:szCs w:val="16"/>
        </w:rPr>
        <w:t xml:space="preserve">dei propri organi </w:t>
      </w:r>
      <w:r w:rsidR="00D45D91">
        <w:rPr>
          <w:sz w:val="16"/>
          <w:szCs w:val="16"/>
        </w:rPr>
        <w:t>nella prima metà del ventesimo secolo</w:t>
      </w:r>
      <w:r w:rsidRPr="00BE33E5">
        <w:rPr>
          <w:sz w:val="16"/>
          <w:szCs w:val="16"/>
        </w:rPr>
        <w:t xml:space="preserve">: 1. La </w:t>
      </w:r>
      <w:r w:rsidR="003E245F">
        <w:rPr>
          <w:sz w:val="16"/>
          <w:szCs w:val="16"/>
        </w:rPr>
        <w:t xml:space="preserve">prassi degli Stati Uniti </w:t>
      </w:r>
      <w:r w:rsidRPr="00BE33E5">
        <w:rPr>
          <w:sz w:val="16"/>
          <w:szCs w:val="16"/>
        </w:rPr>
        <w:t xml:space="preserve">– 2. La prassi </w:t>
      </w:r>
      <w:r w:rsidR="00F70EBD">
        <w:rPr>
          <w:sz w:val="16"/>
          <w:szCs w:val="16"/>
        </w:rPr>
        <w:t>degli Stati latinoamericani</w:t>
      </w:r>
      <w:r w:rsidRPr="00BE33E5">
        <w:rPr>
          <w:sz w:val="16"/>
          <w:szCs w:val="16"/>
        </w:rPr>
        <w:t xml:space="preserve"> – 3. La prassi </w:t>
      </w:r>
      <w:r w:rsidR="00646729">
        <w:rPr>
          <w:sz w:val="16"/>
          <w:szCs w:val="16"/>
        </w:rPr>
        <w:t>degli Stati europei</w:t>
      </w:r>
      <w:r w:rsidRPr="00BE33E5">
        <w:rPr>
          <w:sz w:val="16"/>
          <w:szCs w:val="16"/>
        </w:rPr>
        <w:t xml:space="preserve"> – 4. </w:t>
      </w:r>
      <w:r w:rsidR="00D11BE9">
        <w:rPr>
          <w:sz w:val="16"/>
          <w:szCs w:val="16"/>
        </w:rPr>
        <w:t>La</w:t>
      </w:r>
      <w:r w:rsidR="00646729">
        <w:rPr>
          <w:sz w:val="16"/>
          <w:szCs w:val="16"/>
        </w:rPr>
        <w:t xml:space="preserve"> giurisprudenza arbitrale dei primi anni del secolo: gli arbitrati nei casi venezuelani</w:t>
      </w:r>
      <w:r w:rsidR="001415DA">
        <w:rPr>
          <w:sz w:val="16"/>
          <w:szCs w:val="16"/>
        </w:rPr>
        <w:t xml:space="preserve"> – 5. </w:t>
      </w:r>
      <w:r w:rsidR="004B6D79">
        <w:rPr>
          <w:sz w:val="16"/>
          <w:szCs w:val="16"/>
        </w:rPr>
        <w:t>Segue: l</w:t>
      </w:r>
      <w:r w:rsidR="001415DA">
        <w:rPr>
          <w:sz w:val="16"/>
          <w:szCs w:val="16"/>
        </w:rPr>
        <w:t xml:space="preserve">e </w:t>
      </w:r>
      <w:r w:rsidR="00D63EBE">
        <w:rPr>
          <w:sz w:val="16"/>
          <w:szCs w:val="16"/>
        </w:rPr>
        <w:t xml:space="preserve">sentenze nei casi </w:t>
      </w:r>
      <w:r w:rsidR="00D63EBE" w:rsidRPr="00D63EBE">
        <w:rPr>
          <w:i/>
          <w:sz w:val="16"/>
          <w:szCs w:val="16"/>
        </w:rPr>
        <w:t>La Masica</w:t>
      </w:r>
      <w:r w:rsidR="00D63EBE">
        <w:rPr>
          <w:sz w:val="16"/>
          <w:szCs w:val="16"/>
        </w:rPr>
        <w:t xml:space="preserve"> e </w:t>
      </w:r>
      <w:r w:rsidR="00D63EBE" w:rsidRPr="00D63EBE">
        <w:rPr>
          <w:i/>
          <w:sz w:val="16"/>
          <w:szCs w:val="16"/>
        </w:rPr>
        <w:t>The Coquitlam</w:t>
      </w:r>
      <w:r w:rsidR="00D63EBE">
        <w:rPr>
          <w:sz w:val="16"/>
          <w:szCs w:val="16"/>
        </w:rPr>
        <w:t xml:space="preserve"> </w:t>
      </w:r>
      <w:r w:rsidR="001415DA">
        <w:rPr>
          <w:sz w:val="16"/>
          <w:szCs w:val="16"/>
        </w:rPr>
        <w:t xml:space="preserve">– 6. </w:t>
      </w:r>
      <w:r w:rsidR="00BC2444">
        <w:rPr>
          <w:sz w:val="16"/>
          <w:szCs w:val="16"/>
        </w:rPr>
        <w:t xml:space="preserve">La giurisprudenza degli anni venti: le sentenze della Commissione generale dei reclami Stati Uniti/Messico nel caso </w:t>
      </w:r>
      <w:r w:rsidR="00BC2444" w:rsidRPr="00677015">
        <w:rPr>
          <w:i/>
          <w:sz w:val="16"/>
          <w:szCs w:val="16"/>
        </w:rPr>
        <w:t>Youmans</w:t>
      </w:r>
      <w:r w:rsidR="00BC2444">
        <w:rPr>
          <w:sz w:val="16"/>
          <w:szCs w:val="16"/>
        </w:rPr>
        <w:t xml:space="preserve"> e della Commissione Francia/Messico nel caso </w:t>
      </w:r>
      <w:r w:rsidR="00BC2444" w:rsidRPr="00677015">
        <w:rPr>
          <w:i/>
          <w:sz w:val="16"/>
          <w:szCs w:val="16"/>
        </w:rPr>
        <w:t>Caire</w:t>
      </w:r>
      <w:r w:rsidR="00BC2444">
        <w:rPr>
          <w:sz w:val="16"/>
          <w:szCs w:val="16"/>
        </w:rPr>
        <w:t xml:space="preserve"> </w:t>
      </w:r>
      <w:r w:rsidRPr="00BE33E5">
        <w:rPr>
          <w:sz w:val="16"/>
          <w:szCs w:val="16"/>
        </w:rPr>
        <w:t xml:space="preserve">– 7. </w:t>
      </w:r>
      <w:r w:rsidR="00EA71CD" w:rsidRPr="00BE33E5">
        <w:rPr>
          <w:sz w:val="16"/>
          <w:szCs w:val="16"/>
        </w:rPr>
        <w:t xml:space="preserve">Le altre </w:t>
      </w:r>
      <w:r w:rsidR="000C1833">
        <w:rPr>
          <w:sz w:val="16"/>
          <w:szCs w:val="16"/>
        </w:rPr>
        <w:t xml:space="preserve">decisioni </w:t>
      </w:r>
      <w:r w:rsidR="00EA71CD" w:rsidRPr="00BE33E5">
        <w:rPr>
          <w:sz w:val="16"/>
          <w:szCs w:val="16"/>
        </w:rPr>
        <w:t>rese dalla Commissione generale dei reclami Stati Uniti/Me</w:t>
      </w:r>
      <w:r w:rsidR="00EA71CD">
        <w:rPr>
          <w:sz w:val="16"/>
          <w:szCs w:val="16"/>
        </w:rPr>
        <w:t>ssico tra il 1926 ed il 1930</w:t>
      </w:r>
      <w:r w:rsidR="009B638B">
        <w:rPr>
          <w:sz w:val="16"/>
          <w:szCs w:val="16"/>
        </w:rPr>
        <w:t xml:space="preserve"> – 8. </w:t>
      </w:r>
      <w:r w:rsidR="00EA71CD">
        <w:rPr>
          <w:sz w:val="16"/>
          <w:szCs w:val="16"/>
        </w:rPr>
        <w:t xml:space="preserve">Segue: la sentenza resa nel caso </w:t>
      </w:r>
      <w:r w:rsidR="00EA71CD" w:rsidRPr="009B638B">
        <w:rPr>
          <w:i/>
          <w:sz w:val="16"/>
          <w:szCs w:val="16"/>
        </w:rPr>
        <w:t>Sthephens</w:t>
      </w:r>
      <w:r w:rsidR="00EA71CD">
        <w:rPr>
          <w:i/>
          <w:sz w:val="16"/>
          <w:szCs w:val="16"/>
        </w:rPr>
        <w:t xml:space="preserve">, </w:t>
      </w:r>
      <w:r w:rsidR="00EA71CD" w:rsidRPr="00EA71CD">
        <w:rPr>
          <w:sz w:val="16"/>
          <w:szCs w:val="16"/>
        </w:rPr>
        <w:t xml:space="preserve">un caso di responsabilità per comportamenti di organi di fatto che hanno agito contrariamente alle istruzioni ricevute </w:t>
      </w:r>
      <w:r w:rsidR="009B638B">
        <w:rPr>
          <w:sz w:val="16"/>
          <w:szCs w:val="16"/>
        </w:rPr>
        <w:t>– 9</w:t>
      </w:r>
      <w:r w:rsidR="000C1833">
        <w:rPr>
          <w:sz w:val="16"/>
          <w:szCs w:val="16"/>
        </w:rPr>
        <w:t>. Sentenze rese da altre commissioni arbitrali negli anni 1930/1950</w:t>
      </w:r>
      <w:r w:rsidR="009B638B">
        <w:rPr>
          <w:sz w:val="16"/>
          <w:szCs w:val="16"/>
        </w:rPr>
        <w:t xml:space="preserve"> – 10</w:t>
      </w:r>
      <w:r w:rsidR="00E36DAF">
        <w:rPr>
          <w:sz w:val="16"/>
          <w:szCs w:val="16"/>
        </w:rPr>
        <w:t>. Il parere reso dalla Corte internazionale di giustizia</w:t>
      </w:r>
      <w:r w:rsidRPr="00BE33E5">
        <w:rPr>
          <w:sz w:val="16"/>
          <w:szCs w:val="16"/>
        </w:rPr>
        <w:t xml:space="preserve"> nel caso </w:t>
      </w:r>
      <w:r w:rsidRPr="00532919">
        <w:rPr>
          <w:i/>
          <w:sz w:val="16"/>
          <w:szCs w:val="16"/>
        </w:rPr>
        <w:t>Certaines dépenses des Nations Unies</w:t>
      </w:r>
      <w:r w:rsidRPr="00532919">
        <w:rPr>
          <w:sz w:val="16"/>
          <w:szCs w:val="16"/>
        </w:rPr>
        <w:t>.</w:t>
      </w:r>
      <w:r w:rsidRPr="00D448C4">
        <w:rPr>
          <w:i/>
          <w:sz w:val="16"/>
          <w:szCs w:val="16"/>
        </w:rPr>
        <w:t xml:space="preserve"> Sezione </w:t>
      </w:r>
      <w:r w:rsidR="004676E2">
        <w:rPr>
          <w:i/>
          <w:sz w:val="16"/>
          <w:szCs w:val="16"/>
        </w:rPr>
        <w:t>III</w:t>
      </w:r>
      <w:r>
        <w:rPr>
          <w:sz w:val="16"/>
          <w:szCs w:val="16"/>
        </w:rPr>
        <w:t xml:space="preserve">. </w:t>
      </w:r>
      <w:r w:rsidR="00D54E8A" w:rsidRPr="00D54E8A">
        <w:rPr>
          <w:sz w:val="16"/>
          <w:szCs w:val="16"/>
        </w:rPr>
        <w:t xml:space="preserve">La questione della responsabilità dello Stato per fatti illeciti </w:t>
      </w:r>
      <w:r w:rsidR="00D54E8A" w:rsidRPr="00D54E8A">
        <w:rPr>
          <w:i/>
          <w:sz w:val="16"/>
          <w:szCs w:val="16"/>
        </w:rPr>
        <w:t>ultra vires</w:t>
      </w:r>
      <w:r w:rsidR="000475E0">
        <w:rPr>
          <w:sz w:val="16"/>
          <w:szCs w:val="16"/>
        </w:rPr>
        <w:t xml:space="preserve"> nei lavori di codificazione intrapresi tra il 1926 ed il 1930 sotto l’egida della Società delle Nazioni</w:t>
      </w:r>
      <w:r w:rsidR="00DC0B01">
        <w:rPr>
          <w:sz w:val="16"/>
          <w:szCs w:val="16"/>
        </w:rPr>
        <w:t>:</w:t>
      </w:r>
      <w:r w:rsidR="009309F6">
        <w:rPr>
          <w:sz w:val="16"/>
          <w:szCs w:val="16"/>
        </w:rPr>
        <w:t xml:space="preserve"> </w:t>
      </w:r>
      <w:r w:rsidR="00EB1932">
        <w:rPr>
          <w:sz w:val="16"/>
          <w:szCs w:val="16"/>
        </w:rPr>
        <w:t>1.</w:t>
      </w:r>
      <w:r>
        <w:rPr>
          <w:sz w:val="16"/>
          <w:szCs w:val="16"/>
        </w:rPr>
        <w:t xml:space="preserve"> </w:t>
      </w:r>
      <w:r w:rsidRPr="00532919">
        <w:rPr>
          <w:sz w:val="16"/>
          <w:szCs w:val="16"/>
        </w:rPr>
        <w:t>Il rapporto del Sottocomitato</w:t>
      </w:r>
      <w:r w:rsidR="00DC0B01">
        <w:rPr>
          <w:sz w:val="16"/>
          <w:szCs w:val="16"/>
        </w:rPr>
        <w:t xml:space="preserve"> </w:t>
      </w:r>
      <w:r w:rsidR="009921B2">
        <w:rPr>
          <w:sz w:val="16"/>
          <w:szCs w:val="16"/>
        </w:rPr>
        <w:t xml:space="preserve">del Comitato di esperti </w:t>
      </w:r>
      <w:r w:rsidR="00EB1932">
        <w:rPr>
          <w:sz w:val="16"/>
          <w:szCs w:val="16"/>
        </w:rPr>
        <w:t>– 2</w:t>
      </w:r>
      <w:r>
        <w:rPr>
          <w:sz w:val="16"/>
          <w:szCs w:val="16"/>
        </w:rPr>
        <w:t xml:space="preserve">. </w:t>
      </w:r>
      <w:r w:rsidRPr="00532919">
        <w:rPr>
          <w:sz w:val="16"/>
          <w:szCs w:val="16"/>
        </w:rPr>
        <w:t>Le risposte degli Stati a</w:t>
      </w:r>
      <w:r w:rsidR="001415DA">
        <w:rPr>
          <w:sz w:val="16"/>
          <w:szCs w:val="16"/>
        </w:rPr>
        <w:t xml:space="preserve">i punti V, n. 2 b) e 2 c) del questionario </w:t>
      </w:r>
      <w:r w:rsidR="00B946E9">
        <w:rPr>
          <w:sz w:val="16"/>
          <w:szCs w:val="16"/>
        </w:rPr>
        <w:t>redatto dal Comitato di esperti</w:t>
      </w:r>
      <w:r w:rsidR="00EB1932">
        <w:rPr>
          <w:sz w:val="16"/>
          <w:szCs w:val="16"/>
        </w:rPr>
        <w:t xml:space="preserve"> – 2</w:t>
      </w:r>
      <w:r w:rsidR="005C5AC7">
        <w:rPr>
          <w:sz w:val="16"/>
          <w:szCs w:val="16"/>
        </w:rPr>
        <w:t>.</w:t>
      </w:r>
      <w:r w:rsidR="009309F6">
        <w:rPr>
          <w:sz w:val="16"/>
          <w:szCs w:val="16"/>
        </w:rPr>
        <w:t>1</w:t>
      </w:r>
      <w:r>
        <w:rPr>
          <w:sz w:val="16"/>
          <w:szCs w:val="16"/>
        </w:rPr>
        <w:t xml:space="preserve"> </w:t>
      </w:r>
      <w:r w:rsidR="00EB1932">
        <w:rPr>
          <w:sz w:val="16"/>
          <w:szCs w:val="16"/>
        </w:rPr>
        <w:t>Le risposte negative – 2</w:t>
      </w:r>
      <w:r w:rsidR="005C5AC7">
        <w:rPr>
          <w:sz w:val="16"/>
          <w:szCs w:val="16"/>
        </w:rPr>
        <w:t>.</w:t>
      </w:r>
      <w:r w:rsidR="009309F6">
        <w:rPr>
          <w:sz w:val="16"/>
          <w:szCs w:val="16"/>
        </w:rPr>
        <w:t>2</w:t>
      </w:r>
      <w:r w:rsidRPr="00532919">
        <w:rPr>
          <w:sz w:val="16"/>
          <w:szCs w:val="16"/>
        </w:rPr>
        <w:t xml:space="preserve"> Le risposte positive</w:t>
      </w:r>
      <w:r>
        <w:rPr>
          <w:sz w:val="16"/>
          <w:szCs w:val="16"/>
        </w:rPr>
        <w:t xml:space="preserve"> – </w:t>
      </w:r>
      <w:r w:rsidR="00EB1932">
        <w:rPr>
          <w:sz w:val="16"/>
          <w:szCs w:val="16"/>
        </w:rPr>
        <w:t>3</w:t>
      </w:r>
      <w:r w:rsidR="00230521">
        <w:rPr>
          <w:sz w:val="16"/>
          <w:szCs w:val="16"/>
        </w:rPr>
        <w:t xml:space="preserve">. La base di discussione </w:t>
      </w:r>
      <w:r w:rsidR="00083F7D">
        <w:rPr>
          <w:sz w:val="16"/>
          <w:szCs w:val="16"/>
        </w:rPr>
        <w:t xml:space="preserve">N° </w:t>
      </w:r>
      <w:r w:rsidR="00230521">
        <w:rPr>
          <w:sz w:val="16"/>
          <w:szCs w:val="16"/>
        </w:rPr>
        <w:t>13 elaborata dal Comitato preparatorio della Conferenza per la codificazione progres</w:t>
      </w:r>
      <w:r w:rsidR="00CA51D0">
        <w:rPr>
          <w:sz w:val="16"/>
          <w:szCs w:val="16"/>
        </w:rPr>
        <w:t>siva del diritto internazionale</w:t>
      </w:r>
      <w:r w:rsidR="00230521">
        <w:rPr>
          <w:sz w:val="16"/>
          <w:szCs w:val="16"/>
        </w:rPr>
        <w:t xml:space="preserve"> e le posizioni degli Stati nella Conferenza</w:t>
      </w:r>
      <w:r w:rsidR="00EB1932">
        <w:rPr>
          <w:sz w:val="16"/>
          <w:szCs w:val="16"/>
        </w:rPr>
        <w:t xml:space="preserve"> – 3</w:t>
      </w:r>
      <w:r w:rsidR="00DF65C8">
        <w:rPr>
          <w:sz w:val="16"/>
          <w:szCs w:val="16"/>
        </w:rPr>
        <w:t>.</w:t>
      </w:r>
      <w:r w:rsidR="009309F6">
        <w:rPr>
          <w:sz w:val="16"/>
          <w:szCs w:val="16"/>
        </w:rPr>
        <w:t>1</w:t>
      </w:r>
      <w:r w:rsidR="00DF65C8">
        <w:rPr>
          <w:sz w:val="16"/>
          <w:szCs w:val="16"/>
        </w:rPr>
        <w:t xml:space="preserve"> Le posizioni critiche rispetto all’attribuzione allo Stato dei fatti </w:t>
      </w:r>
      <w:r w:rsidR="00DF65C8" w:rsidRPr="00DF65C8">
        <w:rPr>
          <w:i/>
          <w:sz w:val="16"/>
          <w:szCs w:val="16"/>
        </w:rPr>
        <w:t>ultra vires</w:t>
      </w:r>
      <w:r w:rsidR="00DF65C8">
        <w:rPr>
          <w:i/>
          <w:sz w:val="16"/>
          <w:szCs w:val="16"/>
        </w:rPr>
        <w:t xml:space="preserve"> </w:t>
      </w:r>
      <w:r w:rsidR="00DF65C8">
        <w:rPr>
          <w:sz w:val="16"/>
          <w:szCs w:val="16"/>
        </w:rPr>
        <w:t>–</w:t>
      </w:r>
      <w:r w:rsidR="00DF65C8" w:rsidRPr="00DF65C8">
        <w:rPr>
          <w:sz w:val="16"/>
          <w:szCs w:val="16"/>
        </w:rPr>
        <w:t xml:space="preserve"> </w:t>
      </w:r>
      <w:r w:rsidR="00EB1932">
        <w:rPr>
          <w:sz w:val="16"/>
          <w:szCs w:val="16"/>
        </w:rPr>
        <w:t>3</w:t>
      </w:r>
      <w:r w:rsidR="00DF65C8">
        <w:rPr>
          <w:sz w:val="16"/>
          <w:szCs w:val="16"/>
        </w:rPr>
        <w:t>.</w:t>
      </w:r>
      <w:r w:rsidR="009309F6">
        <w:rPr>
          <w:sz w:val="16"/>
          <w:szCs w:val="16"/>
        </w:rPr>
        <w:t>2</w:t>
      </w:r>
      <w:r w:rsidR="00DF65C8">
        <w:rPr>
          <w:sz w:val="16"/>
          <w:szCs w:val="16"/>
        </w:rPr>
        <w:t xml:space="preserve"> </w:t>
      </w:r>
      <w:r w:rsidRPr="00532919">
        <w:rPr>
          <w:sz w:val="16"/>
          <w:szCs w:val="16"/>
        </w:rPr>
        <w:t xml:space="preserve">L’orientamento favorevole al principio dell’attribuzione dei fatti </w:t>
      </w:r>
      <w:r w:rsidRPr="00532919">
        <w:rPr>
          <w:i/>
          <w:sz w:val="16"/>
          <w:szCs w:val="16"/>
        </w:rPr>
        <w:t>ultra vires</w:t>
      </w:r>
      <w:r w:rsidRPr="00532919">
        <w:rPr>
          <w:sz w:val="16"/>
          <w:szCs w:val="16"/>
        </w:rPr>
        <w:t xml:space="preserve"> </w:t>
      </w:r>
      <w:r w:rsidR="00DF65C8">
        <w:rPr>
          <w:sz w:val="16"/>
          <w:szCs w:val="16"/>
        </w:rPr>
        <w:t>accolto nel</w:t>
      </w:r>
      <w:r w:rsidR="00EB1932">
        <w:rPr>
          <w:sz w:val="16"/>
          <w:szCs w:val="16"/>
        </w:rPr>
        <w:t>la base di discussione N° 13 – 3</w:t>
      </w:r>
      <w:r w:rsidRPr="00532919">
        <w:rPr>
          <w:sz w:val="16"/>
          <w:szCs w:val="16"/>
        </w:rPr>
        <w:t>.</w:t>
      </w:r>
      <w:r w:rsidR="009309F6">
        <w:rPr>
          <w:sz w:val="16"/>
          <w:szCs w:val="16"/>
        </w:rPr>
        <w:t>3</w:t>
      </w:r>
      <w:r w:rsidRPr="00532919">
        <w:rPr>
          <w:sz w:val="16"/>
          <w:szCs w:val="16"/>
        </w:rPr>
        <w:t xml:space="preserve"> L’emendamento proposto dalla delegazione svizzera</w:t>
      </w:r>
      <w:r w:rsidR="00EB1932">
        <w:rPr>
          <w:sz w:val="16"/>
          <w:szCs w:val="16"/>
        </w:rPr>
        <w:t xml:space="preserve"> – 3</w:t>
      </w:r>
      <w:r>
        <w:rPr>
          <w:sz w:val="16"/>
          <w:szCs w:val="16"/>
        </w:rPr>
        <w:t>.</w:t>
      </w:r>
      <w:r w:rsidR="009309F6">
        <w:rPr>
          <w:sz w:val="16"/>
          <w:szCs w:val="16"/>
        </w:rPr>
        <w:t>4</w:t>
      </w:r>
      <w:r>
        <w:rPr>
          <w:sz w:val="16"/>
          <w:szCs w:val="16"/>
        </w:rPr>
        <w:t xml:space="preserve"> </w:t>
      </w:r>
      <w:r w:rsidR="00F479A7">
        <w:rPr>
          <w:sz w:val="16"/>
          <w:szCs w:val="16"/>
        </w:rPr>
        <w:t>L’articolo 8 par. 2, al.1</w:t>
      </w:r>
      <w:r w:rsidRPr="00D8087F">
        <w:rPr>
          <w:sz w:val="16"/>
          <w:szCs w:val="16"/>
        </w:rPr>
        <w:t xml:space="preserve"> adottato in prima let</w:t>
      </w:r>
      <w:r w:rsidR="00EB1932">
        <w:rPr>
          <w:sz w:val="16"/>
          <w:szCs w:val="16"/>
        </w:rPr>
        <w:t>tura dalla Terza Commissione – 4</w:t>
      </w:r>
      <w:r w:rsidRPr="00D8087F">
        <w:rPr>
          <w:sz w:val="16"/>
          <w:szCs w:val="16"/>
        </w:rPr>
        <w:t xml:space="preserve">. </w:t>
      </w:r>
      <w:r w:rsidR="001415DA" w:rsidRPr="00D8087F">
        <w:rPr>
          <w:sz w:val="16"/>
          <w:szCs w:val="16"/>
        </w:rPr>
        <w:t xml:space="preserve">Riflessioni conclusive </w:t>
      </w:r>
      <w:r w:rsidR="00431F81">
        <w:rPr>
          <w:sz w:val="16"/>
          <w:szCs w:val="16"/>
        </w:rPr>
        <w:t xml:space="preserve">circa </w:t>
      </w:r>
      <w:r w:rsidRPr="00D8087F">
        <w:rPr>
          <w:sz w:val="16"/>
          <w:szCs w:val="16"/>
        </w:rPr>
        <w:t>l’evoluzione della prassi internazionale</w:t>
      </w:r>
      <w:r w:rsidR="00E04DBB">
        <w:rPr>
          <w:sz w:val="16"/>
          <w:szCs w:val="16"/>
        </w:rPr>
        <w:t>.</w:t>
      </w:r>
    </w:p>
    <w:p w:rsidR="00CA5718" w:rsidRDefault="00CA5718" w:rsidP="00EB037D">
      <w:pPr>
        <w:spacing w:after="0"/>
        <w:ind w:firstLine="284"/>
        <w:jc w:val="both"/>
        <w:rPr>
          <w:sz w:val="16"/>
          <w:szCs w:val="16"/>
        </w:rPr>
      </w:pPr>
    </w:p>
    <w:p w:rsidR="00EB3AB5" w:rsidRDefault="00EB3AB5" w:rsidP="00EB3AB5">
      <w:pPr>
        <w:spacing w:after="0" w:line="360" w:lineRule="auto"/>
        <w:jc w:val="both"/>
        <w:rPr>
          <w:sz w:val="16"/>
          <w:szCs w:val="16"/>
        </w:rPr>
      </w:pPr>
    </w:p>
    <w:p w:rsidR="00CA5718" w:rsidRPr="00BF1694" w:rsidRDefault="00CA5718" w:rsidP="008629FF">
      <w:pPr>
        <w:pStyle w:val="Paragrafoelenco"/>
        <w:numPr>
          <w:ilvl w:val="0"/>
          <w:numId w:val="7"/>
        </w:numPr>
        <w:spacing w:after="0" w:line="360" w:lineRule="auto"/>
        <w:jc w:val="both"/>
      </w:pPr>
      <w:r>
        <w:t>Considerazioni introduttive circa l’i</w:t>
      </w:r>
      <w:r w:rsidRPr="00BF1694">
        <w:t xml:space="preserve">ndividuazione della prassi </w:t>
      </w:r>
      <w:r w:rsidR="00B8181E">
        <w:t>e della giurisprudenza rilevanti</w:t>
      </w:r>
    </w:p>
    <w:p w:rsidR="00CA5718" w:rsidRDefault="00CA5718" w:rsidP="00EB037D">
      <w:pPr>
        <w:pStyle w:val="Paragrafoelenco"/>
        <w:spacing w:after="0" w:line="360" w:lineRule="auto"/>
        <w:ind w:firstLine="284"/>
        <w:jc w:val="both"/>
        <w:rPr>
          <w:i/>
        </w:rPr>
      </w:pPr>
    </w:p>
    <w:p w:rsidR="00CA5718" w:rsidRPr="00D6448F" w:rsidRDefault="00CA5718" w:rsidP="00D6448F">
      <w:pPr>
        <w:spacing w:after="0" w:line="360" w:lineRule="auto"/>
        <w:ind w:firstLine="284"/>
        <w:jc w:val="both"/>
      </w:pPr>
      <w:r w:rsidRPr="00813F4A">
        <w:t>Prima di procedere all’esame</w:t>
      </w:r>
      <w:r w:rsidR="00813F4A">
        <w:t xml:space="preserve"> delle prese di posizione degli Stati e della giurisprudenza</w:t>
      </w:r>
      <w:r w:rsidRPr="00813F4A">
        <w:t xml:space="preserve">, </w:t>
      </w:r>
      <w:r w:rsidR="00813F4A" w:rsidRPr="00813F4A">
        <w:t>sembra opportuno</w:t>
      </w:r>
      <w:r w:rsidR="00813F4A">
        <w:t xml:space="preserve"> </w:t>
      </w:r>
      <w:r w:rsidR="00D6448F">
        <w:t xml:space="preserve">individuare la prassi rilevante con riferimento alla questione della responsabilità dello Stato per i fatti illeciti </w:t>
      </w:r>
      <w:r w:rsidR="00D6448F" w:rsidRPr="00D6448F">
        <w:rPr>
          <w:i/>
        </w:rPr>
        <w:t>ultra vires</w:t>
      </w:r>
      <w:r w:rsidR="00D6448F">
        <w:t xml:space="preserve">, al fine di evitare </w:t>
      </w:r>
      <w:r w:rsidR="00807D50">
        <w:t xml:space="preserve">eventuali </w:t>
      </w:r>
      <w:r w:rsidR="00D6448F">
        <w:t>errori interpretativi</w:t>
      </w:r>
      <w:r>
        <w:rPr>
          <w:rStyle w:val="Rimandonotaapidipagina"/>
        </w:rPr>
        <w:footnoteReference w:id="122"/>
      </w:r>
      <w:r>
        <w:t>.</w:t>
      </w:r>
      <w:r w:rsidR="009F4FD8">
        <w:t xml:space="preserve"> </w:t>
      </w:r>
    </w:p>
    <w:p w:rsidR="00CA5718" w:rsidRDefault="00807D50" w:rsidP="00EB037D">
      <w:pPr>
        <w:spacing w:after="0" w:line="360" w:lineRule="auto"/>
        <w:ind w:firstLine="284"/>
        <w:jc w:val="both"/>
      </w:pPr>
      <w:r>
        <w:t xml:space="preserve">La circostanza </w:t>
      </w:r>
      <w:r w:rsidR="00CA5718">
        <w:t>che uno Stato venga chiamato a risarcire un danno causato da un individuo agente eccedendo la</w:t>
      </w:r>
      <w:r w:rsidR="0054279B">
        <w:t xml:space="preserve"> propria competenza</w:t>
      </w:r>
      <w:r w:rsidR="00CA5718">
        <w:t xml:space="preserve"> non può considerarsi </w:t>
      </w:r>
      <w:r w:rsidR="0054279B">
        <w:t xml:space="preserve">sempre </w:t>
      </w:r>
      <w:r w:rsidR="00CA5718">
        <w:t xml:space="preserve">un elemento sufficiente per concludere che tale condotta </w:t>
      </w:r>
      <w:r w:rsidR="0054279B">
        <w:t>è stata considerata un fatto statale ad esso</w:t>
      </w:r>
      <w:r w:rsidR="00CA5718">
        <w:t xml:space="preserve"> attribuito.</w:t>
      </w:r>
    </w:p>
    <w:p w:rsidR="00CA5718" w:rsidRDefault="00CA5718" w:rsidP="00EB037D">
      <w:pPr>
        <w:spacing w:after="0" w:line="360" w:lineRule="auto"/>
        <w:ind w:firstLine="284"/>
        <w:jc w:val="both"/>
      </w:pPr>
      <w:r>
        <w:lastRenderedPageBreak/>
        <w:t>E’ ben possibile, infatti, c</w:t>
      </w:r>
      <w:r w:rsidR="00807D50">
        <w:t xml:space="preserve">he in tale circostanza si sia </w:t>
      </w:r>
      <w:r>
        <w:t xml:space="preserve">reputato che l’individuo non avesse agito nella sua qualità ufficiale, bensì in quanto privato, </w:t>
      </w:r>
      <w:r w:rsidR="00552132">
        <w:t xml:space="preserve">ma che </w:t>
      </w:r>
      <w:r>
        <w:t>lo Stato sia stato considerato responsabile</w:t>
      </w:r>
      <w:r w:rsidR="00552132">
        <w:t xml:space="preserve"> del danno causato</w:t>
      </w:r>
      <w:r>
        <w:t xml:space="preserve"> in ragione del mancato rispetto degli obblighi di prevenzione o rep</w:t>
      </w:r>
      <w:r w:rsidR="00FD3C47">
        <w:t xml:space="preserve">ressione spettanti ad altri </w:t>
      </w:r>
      <w:r>
        <w:t>organi</w:t>
      </w:r>
      <w:r>
        <w:rPr>
          <w:rStyle w:val="Rimandonotaapidipagina"/>
        </w:rPr>
        <w:footnoteReference w:id="123"/>
      </w:r>
      <w:r>
        <w:t>.</w:t>
      </w:r>
    </w:p>
    <w:p w:rsidR="00CA5718" w:rsidRDefault="00CA5718" w:rsidP="00807D50">
      <w:pPr>
        <w:spacing w:after="0" w:line="360" w:lineRule="auto"/>
        <w:ind w:firstLine="284"/>
        <w:jc w:val="both"/>
        <w:rPr>
          <w:rFonts w:cstheme="minorHAnsi"/>
        </w:rPr>
      </w:pPr>
      <w:r>
        <w:t>Al fine di asserire con certezza che uno Stato sia stato ritenuto internaz</w:t>
      </w:r>
      <w:r w:rsidR="00FD3C47">
        <w:t xml:space="preserve">ionalmente responsabile </w:t>
      </w:r>
      <w:r>
        <w:t xml:space="preserve">di un fatto illecito tenuto </w:t>
      </w:r>
      <w:r w:rsidRPr="00D50496">
        <w:rPr>
          <w:i/>
        </w:rPr>
        <w:t>ultra vires</w:t>
      </w:r>
      <w:r>
        <w:t xml:space="preserve"> da un</w:t>
      </w:r>
      <w:r w:rsidR="00FD3C47">
        <w:t xml:space="preserve"> suo organo, è inoltre necessario</w:t>
      </w:r>
      <w:r>
        <w:t xml:space="preserve"> verificare che la condotta</w:t>
      </w:r>
      <w:r w:rsidRPr="0021311A">
        <w:rPr>
          <w:rFonts w:cstheme="minorHAnsi"/>
        </w:rPr>
        <w:t xml:space="preserve"> tenu</w:t>
      </w:r>
      <w:r>
        <w:rPr>
          <w:rFonts w:cstheme="minorHAnsi"/>
        </w:rPr>
        <w:t>ta</w:t>
      </w:r>
      <w:r w:rsidRPr="0021311A">
        <w:rPr>
          <w:rFonts w:cstheme="minorHAnsi"/>
        </w:rPr>
        <w:t xml:space="preserve"> nella qualità ufficiale</w:t>
      </w:r>
      <w:r>
        <w:rPr>
          <w:rFonts w:cstheme="minorHAnsi"/>
        </w:rPr>
        <w:t>,</w:t>
      </w:r>
      <w:r w:rsidRPr="0021311A">
        <w:rPr>
          <w:rFonts w:cstheme="minorHAnsi"/>
        </w:rPr>
        <w:t xml:space="preserve"> ma eccedendo i limiti della competenza oppure contravvenendo alle istruzioni </w:t>
      </w:r>
      <w:r>
        <w:rPr>
          <w:rFonts w:cstheme="minorHAnsi"/>
        </w:rPr>
        <w:t>impartite, non sia stata successivamente approvata da organi aventi l’</w:t>
      </w:r>
      <w:r w:rsidR="00807D50">
        <w:rPr>
          <w:rFonts w:cstheme="minorHAnsi"/>
        </w:rPr>
        <w:t xml:space="preserve">autorità di riparare il torto. </w:t>
      </w:r>
      <w:r w:rsidR="00FD3C47">
        <w:rPr>
          <w:rFonts w:cstheme="minorHAnsi"/>
        </w:rPr>
        <w:t>In tale ipotesi occorre</w:t>
      </w:r>
      <w:r>
        <w:rPr>
          <w:rFonts w:cstheme="minorHAnsi"/>
        </w:rPr>
        <w:t xml:space="preserve"> verificare che la violazione non sia stata </w:t>
      </w:r>
      <w:r w:rsidR="00FD3C47">
        <w:rPr>
          <w:rFonts w:cstheme="minorHAnsi"/>
        </w:rPr>
        <w:t xml:space="preserve">sanata </w:t>
      </w:r>
      <w:r>
        <w:rPr>
          <w:rFonts w:cstheme="minorHAnsi"/>
        </w:rPr>
        <w:t xml:space="preserve">in virtù di una legittimazione della condotta </w:t>
      </w:r>
      <w:r w:rsidRPr="00B52AE8">
        <w:rPr>
          <w:rFonts w:cstheme="minorHAnsi"/>
          <w:i/>
        </w:rPr>
        <w:t>ex post facto</w:t>
      </w:r>
      <w:r>
        <w:rPr>
          <w:rFonts w:cstheme="minorHAnsi"/>
        </w:rPr>
        <w:t xml:space="preserve"> da parte di organi che ne avevano l’autorità.</w:t>
      </w:r>
    </w:p>
    <w:p w:rsidR="00CA5718" w:rsidRDefault="00FD3C47" w:rsidP="00EB037D">
      <w:pPr>
        <w:spacing w:after="0" w:line="360" w:lineRule="auto"/>
        <w:ind w:firstLine="284"/>
        <w:jc w:val="both"/>
      </w:pPr>
      <w:r>
        <w:t>Si cons</w:t>
      </w:r>
      <w:r w:rsidR="0062648E">
        <w:t>i</w:t>
      </w:r>
      <w:r>
        <w:t xml:space="preserve">deri ad esempio il </w:t>
      </w:r>
      <w:r w:rsidR="00CA5718" w:rsidRPr="00164902">
        <w:t xml:space="preserve">caso </w:t>
      </w:r>
      <w:r w:rsidR="00CA5718" w:rsidRPr="00164902">
        <w:rPr>
          <w:i/>
        </w:rPr>
        <w:t>Straughan v. United States</w:t>
      </w:r>
      <w:r>
        <w:t>. U</w:t>
      </w:r>
      <w:r w:rsidR="00CA5718" w:rsidRPr="00164902">
        <w:t>n ufficiale della marina britannica aveva illegittimamente arresta</w:t>
      </w:r>
      <w:r w:rsidR="00CA5718">
        <w:t xml:space="preserve">to alcuni disertori a bordo di </w:t>
      </w:r>
      <w:r w:rsidR="00CA5718" w:rsidRPr="00164902">
        <w:t xml:space="preserve">un’imbarcazione americana. La </w:t>
      </w:r>
      <w:r w:rsidR="00CA5718" w:rsidRPr="00164902">
        <w:rPr>
          <w:i/>
        </w:rPr>
        <w:t xml:space="preserve">United States Court of Claims, </w:t>
      </w:r>
      <w:r>
        <w:t>nel considerare la Gran Bretagna</w:t>
      </w:r>
      <w:r w:rsidR="00CA5718" w:rsidRPr="00164902">
        <w:t xml:space="preserve"> responsabile dell’illecito,</w:t>
      </w:r>
      <w:r w:rsidR="00CA5718">
        <w:t xml:space="preserve"> ha posto l’accento sul fatto che il</w:t>
      </w:r>
      <w:r w:rsidR="00CA5718" w:rsidRPr="00164902">
        <w:t xml:space="preserve"> mancato rispetto delle disposizioni di diritto interno in termini di competenza era stato sanato </w:t>
      </w:r>
      <w:r w:rsidR="00CA5718" w:rsidRPr="00164902">
        <w:rPr>
          <w:i/>
        </w:rPr>
        <w:t>a posteriori</w:t>
      </w:r>
      <w:r w:rsidR="00CA5718" w:rsidRPr="00164902">
        <w:t xml:space="preserve"> dallo stesso Governo britannico, il quale si era opposto al loro rilascio</w:t>
      </w:r>
      <w:r w:rsidR="00CA5718">
        <w:t>, reso</w:t>
      </w:r>
      <w:r w:rsidR="00CA5718" w:rsidRPr="00164902">
        <w:t xml:space="preserve"> possibile solo a </w:t>
      </w:r>
      <w:r w:rsidR="00CA5718">
        <w:t>seguito di 5 anni di negoziat</w:t>
      </w:r>
      <w:r w:rsidR="00CA5718" w:rsidRPr="00164902">
        <w:t>i tra i due Governi</w:t>
      </w:r>
      <w:r w:rsidR="00CA5718">
        <w:rPr>
          <w:rStyle w:val="Rimandonotaapidipagina"/>
        </w:rPr>
        <w:footnoteReference w:id="124"/>
      </w:r>
      <w:r w:rsidR="00CA5718" w:rsidRPr="00164902">
        <w:t>.</w:t>
      </w:r>
      <w:r>
        <w:t xml:space="preserve"> Questo caso non può dunque essere citato a favore della tesi della responsabilità statale per fatti illeciti internazionali </w:t>
      </w:r>
      <w:r w:rsidRPr="00FD3C47">
        <w:rPr>
          <w:i/>
        </w:rPr>
        <w:t>ultra vires</w:t>
      </w:r>
      <w:r>
        <w:t>.</w:t>
      </w:r>
    </w:p>
    <w:p w:rsidR="00CA5718" w:rsidRDefault="00CA5718" w:rsidP="00EB037D">
      <w:pPr>
        <w:spacing w:after="0" w:line="360" w:lineRule="auto"/>
        <w:ind w:firstLine="284"/>
        <w:jc w:val="both"/>
        <w:rPr>
          <w:rFonts w:cstheme="minorHAnsi"/>
        </w:rPr>
      </w:pPr>
      <w:r>
        <w:t xml:space="preserve">Ugualmente, nel caso </w:t>
      </w:r>
      <w:r w:rsidRPr="00CE1C49">
        <w:rPr>
          <w:i/>
        </w:rPr>
        <w:t>Poggioli</w:t>
      </w:r>
      <w:r>
        <w:t xml:space="preserve">, lo Stato italiano ha sostenuto la responsabilità internazionale del Venezuela per danni causati da organi statali nel mancato rispetto delle istruzioni ricevute, non tanto </w:t>
      </w:r>
      <w:r w:rsidR="00127F47">
        <w:t xml:space="preserve">perché i fatti erano comunque riferibili </w:t>
      </w:r>
      <w:r>
        <w:t>allo Stato</w:t>
      </w:r>
      <w:r w:rsidR="00127F47">
        <w:t>,</w:t>
      </w:r>
      <w:r>
        <w:t xml:space="preserve"> quanto per la loro successiva approvazione da parte delle autorità superiori</w:t>
      </w:r>
      <w:r>
        <w:rPr>
          <w:rStyle w:val="Rimandonotaapidipagina"/>
        </w:rPr>
        <w:footnoteReference w:id="125"/>
      </w:r>
      <w:r>
        <w:t>.</w:t>
      </w:r>
    </w:p>
    <w:p w:rsidR="00CA5718" w:rsidRDefault="00CA5718" w:rsidP="00EB037D">
      <w:pPr>
        <w:spacing w:after="0" w:line="360" w:lineRule="auto"/>
        <w:ind w:firstLine="284"/>
        <w:jc w:val="both"/>
        <w:rPr>
          <w:rFonts w:cstheme="minorHAnsi"/>
        </w:rPr>
      </w:pPr>
      <w:r>
        <w:rPr>
          <w:rFonts w:cstheme="minorHAnsi"/>
        </w:rPr>
        <w:t xml:space="preserve">Nella prassi statale meno recente, la questione dell’attribuzione allo Stato di fatti </w:t>
      </w:r>
      <w:r w:rsidRPr="00183642">
        <w:rPr>
          <w:rFonts w:cstheme="minorHAnsi"/>
          <w:i/>
        </w:rPr>
        <w:t>ultra vires</w:t>
      </w:r>
      <w:r>
        <w:rPr>
          <w:rFonts w:cstheme="minorHAnsi"/>
        </w:rPr>
        <w:t xml:space="preserve"> è stata inoltre spesso confusa con il problema dell’attribuzione allo Stato delle condotte degli organi subordinati, talora non reputati fatti dello S</w:t>
      </w:r>
      <w:r w:rsidR="00C343F1">
        <w:rPr>
          <w:rFonts w:cstheme="minorHAnsi"/>
        </w:rPr>
        <w:t xml:space="preserve">tato nell’ordinamento </w:t>
      </w:r>
      <w:r>
        <w:rPr>
          <w:rFonts w:cstheme="minorHAnsi"/>
        </w:rPr>
        <w:t xml:space="preserve">internazionale. </w:t>
      </w:r>
    </w:p>
    <w:p w:rsidR="00CA5718" w:rsidRDefault="00CA5718" w:rsidP="00EB037D">
      <w:pPr>
        <w:spacing w:after="0" w:line="360" w:lineRule="auto"/>
        <w:ind w:firstLine="284"/>
        <w:jc w:val="both"/>
        <w:rPr>
          <w:rFonts w:cstheme="minorHAnsi"/>
        </w:rPr>
      </w:pPr>
      <w:r>
        <w:rPr>
          <w:rFonts w:cstheme="minorHAnsi"/>
        </w:rPr>
        <w:lastRenderedPageBreak/>
        <w:t xml:space="preserve">Ciò porterebbe a spiegare perché il Governo ricorrente, al fine di rendere più certo l’accertamento della responsabilità internazionale, tendeva a </w:t>
      </w:r>
      <w:r w:rsidR="00785F21">
        <w:rPr>
          <w:rFonts w:cstheme="minorHAnsi"/>
        </w:rPr>
        <w:t xml:space="preserve">mettere in luce </w:t>
      </w:r>
      <w:r>
        <w:rPr>
          <w:rFonts w:cstheme="minorHAnsi"/>
        </w:rPr>
        <w:t>il fatto che l’illecito dell’organo subalterno fosse stato successivamente ratificato da parte dell’autorità centrale.</w:t>
      </w:r>
    </w:p>
    <w:p w:rsidR="00CA5718" w:rsidRDefault="00CA5718" w:rsidP="00EB037D">
      <w:pPr>
        <w:spacing w:after="0" w:line="360" w:lineRule="auto"/>
        <w:ind w:firstLine="284"/>
        <w:jc w:val="both"/>
        <w:rPr>
          <w:rFonts w:cstheme="minorHAnsi"/>
        </w:rPr>
      </w:pPr>
      <w:r>
        <w:rPr>
          <w:rFonts w:cstheme="minorHAnsi"/>
        </w:rPr>
        <w:t xml:space="preserve">Sarebbe infine errato interpretare come un’assimilazione della condotta </w:t>
      </w:r>
      <w:r w:rsidRPr="00D867B8">
        <w:rPr>
          <w:rFonts w:cstheme="minorHAnsi"/>
          <w:i/>
        </w:rPr>
        <w:t>ultra vires</w:t>
      </w:r>
      <w:r>
        <w:rPr>
          <w:rFonts w:cstheme="minorHAnsi"/>
        </w:rPr>
        <w:t xml:space="preserve"> ad un fatto di un privato la circostanza </w:t>
      </w:r>
      <w:r w:rsidR="00785F21">
        <w:rPr>
          <w:rFonts w:cstheme="minorHAnsi"/>
        </w:rPr>
        <w:t xml:space="preserve">che </w:t>
      </w:r>
      <w:r>
        <w:rPr>
          <w:rFonts w:cstheme="minorHAnsi"/>
        </w:rPr>
        <w:t>uno Stato o un t</w:t>
      </w:r>
      <w:r w:rsidR="00785F21">
        <w:rPr>
          <w:rFonts w:cstheme="minorHAnsi"/>
        </w:rPr>
        <w:t>ribunale internazionale respinga</w:t>
      </w:r>
      <w:r>
        <w:rPr>
          <w:rFonts w:cstheme="minorHAnsi"/>
        </w:rPr>
        <w:t>no un ricorso presentato da uno Stato per conto di un proprio cittadino che ha subito un torto da parte di un organo agente al di fuori della propria competenza</w:t>
      </w:r>
      <w:r w:rsidR="00807D50">
        <w:rPr>
          <w:rFonts w:cstheme="minorHAnsi"/>
        </w:rPr>
        <w:t>,</w:t>
      </w:r>
      <w:r>
        <w:rPr>
          <w:rFonts w:cstheme="minorHAnsi"/>
        </w:rPr>
        <w:t xml:space="preserve"> invitandolo a </w:t>
      </w:r>
      <w:r w:rsidR="00785F21">
        <w:rPr>
          <w:rFonts w:cstheme="minorHAnsi"/>
        </w:rPr>
        <w:t xml:space="preserve">rivolgersi </w:t>
      </w:r>
      <w:r>
        <w:rPr>
          <w:rFonts w:cstheme="minorHAnsi"/>
        </w:rPr>
        <w:t>alle corti nazionali.</w:t>
      </w:r>
    </w:p>
    <w:p w:rsidR="00CA5718" w:rsidRDefault="00CA5718" w:rsidP="00EB037D">
      <w:pPr>
        <w:spacing w:after="0" w:line="360" w:lineRule="auto"/>
        <w:ind w:firstLine="284"/>
        <w:jc w:val="both"/>
        <w:rPr>
          <w:rFonts w:cstheme="minorHAnsi"/>
        </w:rPr>
      </w:pPr>
      <w:r>
        <w:rPr>
          <w:rFonts w:cstheme="minorHAnsi"/>
        </w:rPr>
        <w:t xml:space="preserve">Un tale atteggiamento potrebbe essere interpretato nel senso dell’impossibilità di invocare la responsabilità internazionale di uno Stato senza </w:t>
      </w:r>
      <w:r w:rsidR="004D33ED">
        <w:rPr>
          <w:rFonts w:cstheme="minorHAnsi"/>
        </w:rPr>
        <w:t xml:space="preserve">aver prima esaurito i </w:t>
      </w:r>
      <w:r>
        <w:rPr>
          <w:rFonts w:cstheme="minorHAnsi"/>
        </w:rPr>
        <w:t xml:space="preserve">ricorsi interni, piuttosto che come negazione dell’attribuzione allo Stato di un fatto </w:t>
      </w:r>
      <w:r w:rsidRPr="00352093">
        <w:rPr>
          <w:rFonts w:cstheme="minorHAnsi"/>
          <w:i/>
        </w:rPr>
        <w:t>ultra vires</w:t>
      </w:r>
      <w:r>
        <w:rPr>
          <w:rFonts w:cstheme="minorHAnsi"/>
        </w:rPr>
        <w:t>.</w:t>
      </w:r>
    </w:p>
    <w:p w:rsidR="000D3B3A" w:rsidRPr="001B49AC" w:rsidRDefault="004D33ED" w:rsidP="00EB037D">
      <w:pPr>
        <w:spacing w:after="0" w:line="360" w:lineRule="auto"/>
        <w:ind w:firstLine="284"/>
        <w:jc w:val="both"/>
        <w:rPr>
          <w:rFonts w:cstheme="minorHAnsi"/>
          <w:lang w:val="en-US"/>
        </w:rPr>
      </w:pPr>
      <w:r>
        <w:rPr>
          <w:rFonts w:cstheme="minorHAnsi"/>
        </w:rPr>
        <w:t>Un esempio in tal senso ci è fornito</w:t>
      </w:r>
      <w:r w:rsidR="00CA5718">
        <w:rPr>
          <w:rFonts w:cstheme="minorHAnsi"/>
        </w:rPr>
        <w:t xml:space="preserve"> </w:t>
      </w:r>
      <w:r>
        <w:rPr>
          <w:rFonts w:cstheme="minorHAnsi"/>
        </w:rPr>
        <w:t>da</w:t>
      </w:r>
      <w:r w:rsidR="00CA5718">
        <w:rPr>
          <w:rFonts w:cstheme="minorHAnsi"/>
        </w:rPr>
        <w:t>l</w:t>
      </w:r>
      <w:r w:rsidR="006178B7">
        <w:rPr>
          <w:rFonts w:cstheme="minorHAnsi"/>
        </w:rPr>
        <w:t>l</w:t>
      </w:r>
      <w:r w:rsidR="00CA5718">
        <w:rPr>
          <w:rFonts w:cstheme="minorHAnsi"/>
        </w:rPr>
        <w:t>a lettera inviata dal Ministro degli Stati Uniti in Austria ad un cittadino statunitense che sosteneva di essere stato vittima di una illecita aggressione da parte delle forze di polizia austriache</w:t>
      </w:r>
      <w:r w:rsidR="00EE18B6">
        <w:rPr>
          <w:rFonts w:cstheme="minorHAnsi"/>
        </w:rPr>
        <w:t xml:space="preserve"> e che aveva richies</w:t>
      </w:r>
      <w:r w:rsidR="000D3B3A">
        <w:rPr>
          <w:rFonts w:cstheme="minorHAnsi"/>
        </w:rPr>
        <w:t>to al Governo statunitense di fa</w:t>
      </w:r>
      <w:r w:rsidR="00EE18B6">
        <w:rPr>
          <w:rFonts w:cstheme="minorHAnsi"/>
        </w:rPr>
        <w:t>r valere la responsabilità internazionale dell’Austria</w:t>
      </w:r>
      <w:r w:rsidR="00CA5718">
        <w:rPr>
          <w:rFonts w:cstheme="minorHAnsi"/>
        </w:rPr>
        <w:t xml:space="preserve">. </w:t>
      </w:r>
      <w:r w:rsidR="00BD05B4" w:rsidRPr="001B49AC">
        <w:rPr>
          <w:rFonts w:cstheme="minorHAnsi"/>
          <w:lang w:val="en-US"/>
        </w:rPr>
        <w:t>Secondo il Ministro:</w:t>
      </w:r>
    </w:p>
    <w:p w:rsidR="000D3B3A" w:rsidRPr="001B49AC" w:rsidRDefault="000D3B3A" w:rsidP="00EB037D">
      <w:pPr>
        <w:spacing w:after="0" w:line="360" w:lineRule="auto"/>
        <w:ind w:firstLine="284"/>
        <w:jc w:val="both"/>
        <w:rPr>
          <w:rFonts w:cstheme="minorHAnsi"/>
          <w:lang w:val="en-US"/>
        </w:rPr>
      </w:pPr>
    </w:p>
    <w:p w:rsidR="000D3B3A" w:rsidRDefault="000D3B3A" w:rsidP="009D36EC">
      <w:pPr>
        <w:spacing w:after="0" w:line="360" w:lineRule="auto"/>
        <w:ind w:left="567" w:right="567" w:firstLine="284"/>
        <w:jc w:val="both"/>
        <w:rPr>
          <w:rFonts w:cstheme="minorHAnsi"/>
          <w:lang w:val="en-US"/>
        </w:rPr>
      </w:pPr>
      <w:r>
        <w:rPr>
          <w:rFonts w:cstheme="minorHAnsi"/>
          <w:lang w:val="en-US"/>
        </w:rPr>
        <w:t>“..</w:t>
      </w:r>
      <w:r w:rsidRPr="000D3B3A">
        <w:rPr>
          <w:rFonts w:cstheme="minorHAnsi"/>
          <w:lang w:val="en-US"/>
        </w:rPr>
        <w:t>. A Government can only be hel</w:t>
      </w:r>
      <w:r>
        <w:rPr>
          <w:rFonts w:cstheme="minorHAnsi"/>
          <w:lang w:val="en-US"/>
        </w:rPr>
        <w:t xml:space="preserve">d responsible when it sanctions </w:t>
      </w:r>
      <w:r w:rsidRPr="000D3B3A">
        <w:rPr>
          <w:rFonts w:cstheme="minorHAnsi"/>
          <w:lang w:val="en-US"/>
        </w:rPr>
        <w:t>the action of its officials, done in vi</w:t>
      </w:r>
      <w:r>
        <w:rPr>
          <w:rFonts w:cstheme="minorHAnsi"/>
          <w:lang w:val="en-US"/>
        </w:rPr>
        <w:t xml:space="preserve">olation of law; it ought not to </w:t>
      </w:r>
      <w:r w:rsidRPr="000D3B3A">
        <w:rPr>
          <w:rFonts w:cstheme="minorHAnsi"/>
          <w:lang w:val="en-US"/>
        </w:rPr>
        <w:t>be held responsible for unau</w:t>
      </w:r>
      <w:r>
        <w:rPr>
          <w:rFonts w:cstheme="minorHAnsi"/>
          <w:lang w:val="en-US"/>
        </w:rPr>
        <w:t xml:space="preserve">thorized acts which it promptly </w:t>
      </w:r>
      <w:r w:rsidRPr="000D3B3A">
        <w:rPr>
          <w:rFonts w:cstheme="minorHAnsi"/>
          <w:lang w:val="en-US"/>
        </w:rPr>
        <w:t>disowns upon being cognizant thereof; the re</w:t>
      </w:r>
      <w:r>
        <w:rPr>
          <w:rFonts w:cstheme="minorHAnsi"/>
          <w:lang w:val="en-US"/>
        </w:rPr>
        <w:t xml:space="preserve">sponsibility in such </w:t>
      </w:r>
      <w:r w:rsidRPr="000D3B3A">
        <w:rPr>
          <w:rFonts w:cstheme="minorHAnsi"/>
          <w:lang w:val="en-US"/>
        </w:rPr>
        <w:t>case falls upon the offending official</w:t>
      </w:r>
      <w:r>
        <w:rPr>
          <w:rFonts w:cstheme="minorHAnsi"/>
          <w:lang w:val="en-US"/>
        </w:rPr>
        <w:t xml:space="preserve">. Your remedy lies in a private </w:t>
      </w:r>
      <w:r w:rsidRPr="000D3B3A">
        <w:rPr>
          <w:rFonts w:cstheme="minorHAnsi"/>
          <w:lang w:val="en-US"/>
        </w:rPr>
        <w:t>action against the municipal off</w:t>
      </w:r>
      <w:r>
        <w:rPr>
          <w:rFonts w:cstheme="minorHAnsi"/>
          <w:lang w:val="en-US"/>
        </w:rPr>
        <w:t xml:space="preserve">icers who committed the outrage </w:t>
      </w:r>
      <w:r w:rsidRPr="000D3B3A">
        <w:rPr>
          <w:rFonts w:cstheme="minorHAnsi"/>
          <w:lang w:val="en-US"/>
        </w:rPr>
        <w:t>upon you wilfully or through ov</w:t>
      </w:r>
      <w:r>
        <w:rPr>
          <w:rFonts w:cstheme="minorHAnsi"/>
          <w:lang w:val="en-US"/>
        </w:rPr>
        <w:t xml:space="preserve">er-zeal in the performance of a </w:t>
      </w:r>
      <w:r w:rsidRPr="000D3B3A">
        <w:rPr>
          <w:rFonts w:cstheme="minorHAnsi"/>
          <w:lang w:val="en-US"/>
        </w:rPr>
        <w:t>supposed duty</w:t>
      </w:r>
      <w:r>
        <w:rPr>
          <w:rFonts w:cstheme="minorHAnsi"/>
          <w:lang w:val="en-US"/>
        </w:rPr>
        <w:t>”</w:t>
      </w:r>
      <w:r w:rsidR="00BD05B4">
        <w:rPr>
          <w:rStyle w:val="Rimandonotaapidipagina"/>
          <w:rFonts w:cstheme="minorHAnsi"/>
          <w:lang w:val="en-US"/>
        </w:rPr>
        <w:footnoteReference w:id="126"/>
      </w:r>
      <w:r>
        <w:rPr>
          <w:rFonts w:cstheme="minorHAnsi"/>
          <w:lang w:val="en-US"/>
        </w:rPr>
        <w:t>.</w:t>
      </w:r>
    </w:p>
    <w:p w:rsidR="000D3B3A" w:rsidRPr="000D3B3A" w:rsidRDefault="000D3B3A" w:rsidP="000D3B3A">
      <w:pPr>
        <w:spacing w:after="0" w:line="360" w:lineRule="auto"/>
        <w:ind w:firstLine="284"/>
        <w:jc w:val="both"/>
        <w:rPr>
          <w:rFonts w:cstheme="minorHAnsi"/>
          <w:lang w:val="en-US"/>
        </w:rPr>
      </w:pPr>
    </w:p>
    <w:p w:rsidR="00CA5718" w:rsidRDefault="00CA5718" w:rsidP="001F25FC">
      <w:pPr>
        <w:spacing w:after="0" w:line="360" w:lineRule="auto"/>
        <w:ind w:firstLine="284"/>
        <w:jc w:val="both"/>
        <w:rPr>
          <w:rFonts w:cstheme="minorHAnsi"/>
        </w:rPr>
      </w:pPr>
      <w:r>
        <w:rPr>
          <w:rFonts w:cstheme="minorHAnsi"/>
        </w:rPr>
        <w:t>Nonostante a prima vista la lettera sembri affermare il principio dell’impossibilità di riferire allo Stato le condotte non autorizzate di organi e sembri paragonarle a fatti di privati, un’attenta lettura suggerisce che in realtà viene affermata l’esigenza del previo esaurimento dei ricorsi interni</w:t>
      </w:r>
      <w:r w:rsidR="001F25FC">
        <w:rPr>
          <w:rFonts w:cstheme="minorHAnsi"/>
        </w:rPr>
        <w:t xml:space="preserve">. </w:t>
      </w:r>
      <w:r>
        <w:rPr>
          <w:rFonts w:cstheme="minorHAnsi"/>
        </w:rPr>
        <w:t>Il riferimento al necessario previo esaurimento dei ricorsi interni indica implicitamente l’impossibilità di rivendicare la responsabilità internazionale finché non ci si assicura che l’adempimento dell’obbligo internazionale non può essere garantito facendo ricorso ai rimedi messi a disposizione dall’ordinamento interno</w:t>
      </w:r>
      <w:r w:rsidR="001F25FC">
        <w:rPr>
          <w:rStyle w:val="Rimandonotaapidipagina"/>
          <w:rFonts w:cstheme="minorHAnsi"/>
        </w:rPr>
        <w:footnoteReference w:id="127"/>
      </w:r>
      <w:r>
        <w:rPr>
          <w:rFonts w:cstheme="minorHAnsi"/>
        </w:rPr>
        <w:t>.</w:t>
      </w:r>
    </w:p>
    <w:p w:rsidR="00D9626F" w:rsidRDefault="00D9626F" w:rsidP="001F25FC">
      <w:pPr>
        <w:spacing w:after="0" w:line="360" w:lineRule="auto"/>
        <w:ind w:firstLine="284"/>
        <w:jc w:val="both"/>
        <w:rPr>
          <w:rFonts w:cstheme="minorHAnsi"/>
        </w:rPr>
      </w:pPr>
      <w:r>
        <w:rPr>
          <w:rFonts w:cstheme="minorHAnsi"/>
        </w:rPr>
        <w:lastRenderedPageBreak/>
        <w:t>Ai fini di una corretta valutazione della prassi internazionale sembra inoltre opportu</w:t>
      </w:r>
      <w:r w:rsidR="00F365D8">
        <w:rPr>
          <w:rFonts w:cstheme="minorHAnsi"/>
        </w:rPr>
        <w:t>n</w:t>
      </w:r>
      <w:r>
        <w:rPr>
          <w:rFonts w:cstheme="minorHAnsi"/>
        </w:rPr>
        <w:t>o anticipare che, fino agli anni trenta d</w:t>
      </w:r>
      <w:r w:rsidR="00EA34A4">
        <w:rPr>
          <w:rFonts w:cstheme="minorHAnsi"/>
        </w:rPr>
        <w:t>el ventesimo secolo, nelle prese</w:t>
      </w:r>
      <w:r>
        <w:rPr>
          <w:rFonts w:cstheme="minorHAnsi"/>
        </w:rPr>
        <w:t xml:space="preserve"> di posizione degli Stati e nella giurisprudenza non si fa menzione della possibilità di attribuire i fatti </w:t>
      </w:r>
      <w:r w:rsidRPr="00D9626F">
        <w:rPr>
          <w:rFonts w:cstheme="minorHAnsi"/>
          <w:i/>
        </w:rPr>
        <w:t>ultra vires</w:t>
      </w:r>
      <w:r>
        <w:rPr>
          <w:rFonts w:cstheme="minorHAnsi"/>
        </w:rPr>
        <w:t xml:space="preserve"> allo Stato, quanto piuttosto solo </w:t>
      </w:r>
      <w:r w:rsidR="00B16358">
        <w:rPr>
          <w:rFonts w:cstheme="minorHAnsi"/>
        </w:rPr>
        <w:t>della responsablità o meno dello Stato per i fatti in questione.</w:t>
      </w:r>
    </w:p>
    <w:p w:rsidR="004676E2" w:rsidRDefault="004676E2" w:rsidP="004676E2">
      <w:pPr>
        <w:spacing w:after="0" w:line="360" w:lineRule="auto"/>
        <w:ind w:firstLine="284"/>
        <w:jc w:val="center"/>
        <w:rPr>
          <w:i/>
        </w:rPr>
      </w:pPr>
    </w:p>
    <w:p w:rsidR="004676E2" w:rsidRPr="004676E2" w:rsidRDefault="00CA5718" w:rsidP="004676E2">
      <w:pPr>
        <w:spacing w:after="0" w:line="360" w:lineRule="auto"/>
        <w:ind w:firstLine="284"/>
        <w:jc w:val="center"/>
        <w:rPr>
          <w:i/>
        </w:rPr>
      </w:pPr>
      <w:r w:rsidRPr="004676E2">
        <w:rPr>
          <w:i/>
        </w:rPr>
        <w:t xml:space="preserve">Sezione </w:t>
      </w:r>
      <w:r w:rsidR="004676E2" w:rsidRPr="004676E2">
        <w:rPr>
          <w:i/>
        </w:rPr>
        <w:t>I</w:t>
      </w:r>
    </w:p>
    <w:p w:rsidR="00CA5718" w:rsidRDefault="004676E2" w:rsidP="004676E2">
      <w:pPr>
        <w:spacing w:after="0" w:line="360" w:lineRule="auto"/>
        <w:ind w:firstLine="284"/>
        <w:jc w:val="center"/>
      </w:pPr>
      <w:r>
        <w:t xml:space="preserve">L’INIZIALE MANCATO RICONOSCIMENTO DEL PRINCIPIO DELL’ATTRIBUZIONE ALLO STATO DELLE CONDOTTE </w:t>
      </w:r>
      <w:r w:rsidRPr="006A2BB6">
        <w:rPr>
          <w:i/>
        </w:rPr>
        <w:t>ULTRA VIRES</w:t>
      </w:r>
      <w:r>
        <w:t xml:space="preserve"> DEI PROPRI ORGANI</w:t>
      </w:r>
    </w:p>
    <w:p w:rsidR="00CA5718" w:rsidRDefault="00CA5718" w:rsidP="00EB037D">
      <w:pPr>
        <w:spacing w:after="0" w:line="360" w:lineRule="auto"/>
        <w:ind w:firstLine="284"/>
      </w:pPr>
    </w:p>
    <w:p w:rsidR="00CA5718" w:rsidRDefault="00CA5718" w:rsidP="00D24241">
      <w:pPr>
        <w:pStyle w:val="Paragrafoelenco"/>
        <w:numPr>
          <w:ilvl w:val="0"/>
          <w:numId w:val="1"/>
        </w:numPr>
        <w:spacing w:after="0" w:line="360" w:lineRule="auto"/>
        <w:ind w:firstLine="284"/>
      </w:pPr>
      <w:r>
        <w:t>Considerazioni sull</w:t>
      </w:r>
      <w:r w:rsidR="007C2F16">
        <w:t xml:space="preserve">a prassi degli Stati </w:t>
      </w:r>
      <w:r>
        <w:t>nel diciannovesimo secolo</w:t>
      </w:r>
    </w:p>
    <w:p w:rsidR="00CA5718" w:rsidRDefault="00CA5718" w:rsidP="00EB037D">
      <w:pPr>
        <w:spacing w:after="0" w:line="360" w:lineRule="auto"/>
        <w:ind w:firstLine="284"/>
        <w:jc w:val="both"/>
      </w:pPr>
    </w:p>
    <w:p w:rsidR="00CA5718" w:rsidRDefault="00CA5718" w:rsidP="002A515A">
      <w:pPr>
        <w:spacing w:after="0" w:line="360" w:lineRule="auto"/>
        <w:ind w:firstLine="284"/>
        <w:jc w:val="both"/>
      </w:pPr>
      <w:r>
        <w:t xml:space="preserve">Nel 19° secolo le prese di posizione degli Stati in tema di attribuzione di comportamenti </w:t>
      </w:r>
      <w:r w:rsidRPr="00EE56C7">
        <w:rPr>
          <w:i/>
        </w:rPr>
        <w:t>ultra vires</w:t>
      </w:r>
      <w:r>
        <w:t xml:space="preserve"> degli organi </w:t>
      </w:r>
      <w:r w:rsidRPr="00EA4E0D">
        <w:t>s</w:t>
      </w:r>
      <w:r w:rsidR="002A515A">
        <w:t xml:space="preserve">tatali non sono uniformi. </w:t>
      </w:r>
      <w:r>
        <w:t xml:space="preserve">Nella prassi nordamericana e latinoamericana, ad esempio, </w:t>
      </w:r>
      <w:r w:rsidR="002A515A">
        <w:t>si rinvengono più volte prese di posizione in cui si afferma l’impossibilità di rendere lo Stato responsabile de</w:t>
      </w:r>
      <w:r>
        <w:t xml:space="preserve">i comportamenti tenuti dagli organi in contraddizione alle disposizioni del </w:t>
      </w:r>
      <w:r w:rsidR="00C343F1">
        <w:t>rispettivo ordinamento</w:t>
      </w:r>
      <w:r>
        <w:t xml:space="preserve"> interno.</w:t>
      </w:r>
    </w:p>
    <w:p w:rsidR="00CA5718" w:rsidRDefault="00CA5718" w:rsidP="00EB037D">
      <w:pPr>
        <w:spacing w:after="0" w:line="360" w:lineRule="auto"/>
        <w:ind w:firstLine="284"/>
        <w:jc w:val="both"/>
      </w:pPr>
      <w:r>
        <w:t xml:space="preserve">Nella prassi nordamericana l’assimilazione dei comportamenti </w:t>
      </w:r>
      <w:r w:rsidRPr="006F6798">
        <w:rPr>
          <w:i/>
        </w:rPr>
        <w:t>ultra vires</w:t>
      </w:r>
      <w:r>
        <w:t xml:space="preserve"> degli organi statali a condotte di privati veniva affermata sulla base di una trasposizione in diritto internazionale di norme vigenti nel sistema giuridico interno, mentre per gli Stati latinoamericani la ragione deve piuttosto essere ricercata nel contesto storico di riferimento</w:t>
      </w:r>
      <w:r>
        <w:rPr>
          <w:rStyle w:val="Rimandonotaapidipagina"/>
        </w:rPr>
        <w:footnoteReference w:id="128"/>
      </w:r>
      <w:r>
        <w:t>.</w:t>
      </w:r>
    </w:p>
    <w:p w:rsidR="00CA5718" w:rsidRDefault="00CA5718" w:rsidP="00EB037D">
      <w:pPr>
        <w:spacing w:after="0" w:line="360" w:lineRule="auto"/>
        <w:ind w:firstLine="284"/>
        <w:jc w:val="both"/>
      </w:pPr>
      <w:r>
        <w:t>Convinti che non fosse rispettato nelle relazioni internazionali il principio dell’eguaglianza fra Stati sovrani, gli Stati latinoamericani hanno inserito nella propria Costituzione delle clausole che prevedevano il primato del diritto interno sul diritto internazionale al fine di limitare i casi in cui potesse sorgere la loro responsabilità a quelli previsti d</w:t>
      </w:r>
      <w:r w:rsidR="00C343F1">
        <w:t>al proprio ordinamento</w:t>
      </w:r>
      <w:r>
        <w:t>.</w:t>
      </w:r>
    </w:p>
    <w:p w:rsidR="00CA5718" w:rsidRDefault="00CA5718" w:rsidP="00EB037D">
      <w:pPr>
        <w:spacing w:after="0" w:line="360" w:lineRule="auto"/>
        <w:ind w:firstLine="284"/>
        <w:jc w:val="both"/>
      </w:pPr>
      <w:r>
        <w:t>Per le medesime ragioni hanno anche affermato di non essere tenuti al rispetto di regole di diritto internazionale consuetudinario sviluppate dalle potenze coloniali, in quanto finalizzate esclusivamente a cristallizzare il loro potere. Nei contratti di concessione conclusi tra uno Stato latinoamericano e un concessionario estero era inoltre usuale inserire la clausola Calvo.</w:t>
      </w:r>
    </w:p>
    <w:p w:rsidR="00CA5718" w:rsidRDefault="00CA5718" w:rsidP="00EB037D">
      <w:pPr>
        <w:spacing w:after="0" w:line="360" w:lineRule="auto"/>
        <w:ind w:firstLine="284"/>
        <w:jc w:val="both"/>
      </w:pPr>
      <w:r>
        <w:lastRenderedPageBreak/>
        <w:t>In base a tale clausola il concessionario si impegnava a sottomettere le eventuali controversie</w:t>
      </w:r>
      <w:r w:rsidR="005C674A">
        <w:t xml:space="preserve"> nate fra le parti </w:t>
      </w:r>
      <w:r>
        <w:t>alle corti dello Stato che aveva accordato la concessione</w:t>
      </w:r>
      <w:r w:rsidR="001D2263">
        <w:t xml:space="preserve"> e a farle</w:t>
      </w:r>
      <w:r w:rsidR="005F0807">
        <w:t xml:space="preserve"> </w:t>
      </w:r>
      <w:r w:rsidR="001D2263">
        <w:t>risolvere in base al diritto di tale Stato</w:t>
      </w:r>
      <w:r>
        <w:t>, rinunciando pertanto ad un eventuale intervento in protezione diplomat</w:t>
      </w:r>
      <w:r w:rsidR="00635854">
        <w:t>ica del proprio Stato</w:t>
      </w:r>
      <w:r>
        <w:rPr>
          <w:rStyle w:val="Rimandonotaapidipagina"/>
        </w:rPr>
        <w:footnoteReference w:id="129"/>
      </w:r>
      <w:r>
        <w:t>.</w:t>
      </w:r>
    </w:p>
    <w:p w:rsidR="004379C0" w:rsidRDefault="004379C0" w:rsidP="00EB037D">
      <w:pPr>
        <w:spacing w:after="0" w:line="360" w:lineRule="auto"/>
        <w:ind w:firstLine="284"/>
        <w:jc w:val="both"/>
      </w:pPr>
    </w:p>
    <w:p w:rsidR="00CA5718" w:rsidRDefault="00CA5718" w:rsidP="00EB037D">
      <w:pPr>
        <w:spacing w:after="0" w:line="360" w:lineRule="auto"/>
        <w:ind w:firstLine="284"/>
        <w:jc w:val="both"/>
      </w:pPr>
      <w:r>
        <w:t>2. In particolare, la prassi degli Stati Uniti</w:t>
      </w:r>
    </w:p>
    <w:p w:rsidR="00CA5718" w:rsidRDefault="00CA5718" w:rsidP="00EB037D">
      <w:pPr>
        <w:spacing w:after="0" w:line="360" w:lineRule="auto"/>
        <w:ind w:firstLine="284"/>
        <w:jc w:val="both"/>
      </w:pPr>
    </w:p>
    <w:p w:rsidR="00CA5718" w:rsidRDefault="00CA5718" w:rsidP="00EB037D">
      <w:pPr>
        <w:spacing w:after="0" w:line="360" w:lineRule="auto"/>
        <w:ind w:firstLine="284"/>
        <w:jc w:val="both"/>
      </w:pPr>
      <w:r>
        <w:t xml:space="preserve">Uno dei casi della prassi più significativi in cui viene asserito il principio secondo cui un comportamento tenuto </w:t>
      </w:r>
      <w:r w:rsidRPr="00A07921">
        <w:rPr>
          <w:i/>
        </w:rPr>
        <w:t>ultra vires</w:t>
      </w:r>
      <w:r>
        <w:t xml:space="preserve"> da parte di un organo statale deve essere assimilato ad una condotta privata è il caso </w:t>
      </w:r>
      <w:r w:rsidRPr="0043756D">
        <w:rPr>
          <w:i/>
        </w:rPr>
        <w:t xml:space="preserve">Tunstall </w:t>
      </w:r>
      <w:r>
        <w:t>risalente al</w:t>
      </w:r>
      <w:r w:rsidR="00635854">
        <w:t xml:space="preserve"> 1885. Un cittadino britannico</w:t>
      </w:r>
      <w:r>
        <w:t xml:space="preserve"> di nome Tunstall aveva tentato nel 1878 di fuggire dallo Stato del Nuovo Messico in cui risiedeva a seguito della </w:t>
      </w:r>
      <w:r w:rsidR="00635854">
        <w:t>comunicazione da parte del vice-</w:t>
      </w:r>
      <w:r>
        <w:t xml:space="preserve">sceriffo del luogo di un ordine di sequestro del suo bestiame. Nel tentativo </w:t>
      </w:r>
      <w:r w:rsidR="00635854">
        <w:t>di fermare la sua fuga, il vice-sceriffo aveva formato</w:t>
      </w:r>
      <w:r w:rsidR="00657446">
        <w:t xml:space="preserve"> una squadra</w:t>
      </w:r>
      <w:r>
        <w:t>,</w:t>
      </w:r>
      <w:r w:rsidRPr="004E0774">
        <w:t xml:space="preserve"> </w:t>
      </w:r>
      <w:r>
        <w:t>i cui componenti erano in parte nemici personali del fuggiasco. Una volta che essi lo</w:t>
      </w:r>
      <w:r w:rsidR="00657446">
        <w:t xml:space="preserve"> ebbero raggiunto, lo uccisero</w:t>
      </w:r>
      <w:r>
        <w:t xml:space="preserve">. </w:t>
      </w:r>
    </w:p>
    <w:p w:rsidR="00701D37" w:rsidRDefault="00CA5718" w:rsidP="00EB037D">
      <w:pPr>
        <w:spacing w:after="0" w:line="360" w:lineRule="auto"/>
        <w:ind w:firstLine="284"/>
        <w:jc w:val="both"/>
      </w:pPr>
      <w:r>
        <w:t>Attribuendo la responsabilità della morte di un proprio cittad</w:t>
      </w:r>
      <w:r w:rsidR="00C84A7E">
        <w:t>ino allo sceriffo, il G</w:t>
      </w:r>
      <w:r>
        <w:t>overno britannico presentò una richiesta di risarcimento al Governo degli Stati Uniti.</w:t>
      </w:r>
      <w:r w:rsidRPr="009B5D03">
        <w:t xml:space="preserve"> </w:t>
      </w:r>
      <w:r>
        <w:t>In una nota diplomatica del 1° giugno del 1885, il Segretario di Stato americano Bayard rigettò tale richiesta sostenendo che la responsabilità internazionale di uno Stato non può sorgere nel caso in cui un organo tenga nella sua qualità ufficiale un com</w:t>
      </w:r>
      <w:r w:rsidR="007468BC">
        <w:t>portamento in contravvenzione a</w:t>
      </w:r>
      <w:r>
        <w:t xml:space="preserve">gli ordini lui impartiti, soprattutto se spinto da motivazioni di astio personale. </w:t>
      </w:r>
    </w:p>
    <w:p w:rsidR="00CA5718" w:rsidRPr="00B64677" w:rsidRDefault="00C84A7E" w:rsidP="00EB037D">
      <w:pPr>
        <w:spacing w:after="0" w:line="360" w:lineRule="auto"/>
        <w:ind w:firstLine="284"/>
        <w:jc w:val="both"/>
        <w:rPr>
          <w:lang w:val="en-US"/>
        </w:rPr>
      </w:pPr>
      <w:r>
        <w:t xml:space="preserve">La </w:t>
      </w:r>
      <w:r w:rsidR="00CA5718">
        <w:t xml:space="preserve">circostanza che la condotta fosse stata tenuta dall’organo statale nell’esercizio delle proprie funzioni risultava irrilevante in virtù della motivazione puramente personale che lo aveva spinto ad agire. </w:t>
      </w:r>
      <w:r w:rsidR="00CA5718">
        <w:rPr>
          <w:lang w:val="en-US"/>
        </w:rPr>
        <w:t>A</w:t>
      </w:r>
      <w:r>
        <w:rPr>
          <w:lang w:val="en-US"/>
        </w:rPr>
        <w:t>d avviso di Bayard</w:t>
      </w:r>
      <w:r w:rsidR="00CA5718">
        <w:rPr>
          <w:lang w:val="en-US"/>
        </w:rPr>
        <w:t>:</w:t>
      </w:r>
    </w:p>
    <w:p w:rsidR="00CA5718" w:rsidRDefault="00CA5718" w:rsidP="00EB037D">
      <w:pPr>
        <w:spacing w:after="0" w:line="360" w:lineRule="auto"/>
        <w:ind w:firstLine="284"/>
        <w:jc w:val="both"/>
        <w:rPr>
          <w:lang w:val="en-US"/>
        </w:rPr>
      </w:pPr>
    </w:p>
    <w:p w:rsidR="00CA5718" w:rsidRDefault="00CA5718" w:rsidP="00EB037D">
      <w:pPr>
        <w:spacing w:after="0" w:line="360" w:lineRule="auto"/>
        <w:ind w:left="567" w:right="567" w:firstLine="284"/>
        <w:jc w:val="both"/>
      </w:pPr>
      <w:r w:rsidRPr="00C84A7E">
        <w:rPr>
          <w:lang w:val="en-US"/>
        </w:rPr>
        <w:t xml:space="preserve">“Killing in personal malice, by an officer, of a defendant in a civil process in such officer’s hands, such killing being subsequent to the execution of the writ, is as collateral to the official action of the officer as would be the commission of arson against the dwelling, or rape of a member of the family, of the party (defendant) by such an officer after the civil process has been served…..for the </w:t>
      </w:r>
      <w:r w:rsidRPr="00C84A7E">
        <w:rPr>
          <w:lang w:val="en-US"/>
        </w:rPr>
        <w:lastRenderedPageBreak/>
        <w:t>personal motive which may prompt an agent to do unlawful act not within the scope of his agency, and entirely collateral to it, can in no wise affect the question of the alleged responsibility of the principal for the agent’s acts</w:t>
      </w:r>
      <w:r>
        <w:rPr>
          <w:lang w:val="en-US"/>
        </w:rPr>
        <w:t>…”</w:t>
      </w:r>
      <w:r>
        <w:rPr>
          <w:rStyle w:val="Rimandonotaapidipagina"/>
          <w:lang w:val="en-US"/>
        </w:rPr>
        <w:footnoteReference w:id="130"/>
      </w:r>
      <w:r w:rsidRPr="00345392">
        <w:t>.</w:t>
      </w:r>
    </w:p>
    <w:p w:rsidR="00CA5718" w:rsidRPr="00BD465E" w:rsidRDefault="00CA5718" w:rsidP="00EB037D">
      <w:pPr>
        <w:spacing w:after="0" w:line="360" w:lineRule="auto"/>
        <w:ind w:left="567" w:right="567" w:firstLine="284"/>
        <w:jc w:val="both"/>
        <w:rPr>
          <w:i/>
        </w:rPr>
      </w:pPr>
    </w:p>
    <w:p w:rsidR="004379C0" w:rsidRDefault="00CA5718" w:rsidP="00EB037D">
      <w:pPr>
        <w:spacing w:after="0" w:line="360" w:lineRule="auto"/>
        <w:ind w:firstLine="284"/>
        <w:jc w:val="both"/>
      </w:pPr>
      <w:r>
        <w:t>I comportamenti adottati da un organo nell’esercizio delle proprie funzioni ma in contravvenzione alle istruzioni ricevute o alle disposizioni di diritto interno in tema di competenza dovevano a suo parere essere assimilati agli atti di semplici privati, di cui lo Stato non è tenuto a rispon</w:t>
      </w:r>
      <w:r w:rsidR="00C343F1">
        <w:t>dere nell’ordinamento</w:t>
      </w:r>
      <w:r>
        <w:t xml:space="preserve"> internazionale</w:t>
      </w:r>
      <w:r>
        <w:rPr>
          <w:rStyle w:val="Rimandonotaapidipagina"/>
        </w:rPr>
        <w:footnoteReference w:id="131"/>
      </w:r>
      <w:r>
        <w:t xml:space="preserve">. Dal momento che la condotta non poteva considerarsi un fatto statale sul piano interno, in quanto tenuta nel mancato rispetto degli ordini ricevuti, la </w:t>
      </w:r>
      <w:r w:rsidR="00AD3683">
        <w:t xml:space="preserve">responsabilità statale </w:t>
      </w:r>
      <w:r>
        <w:t xml:space="preserve">risultava impossibile anche nell’ambito dell’ordinamento internazionale. </w:t>
      </w:r>
    </w:p>
    <w:p w:rsidR="00CA5718" w:rsidRDefault="00CA5718" w:rsidP="00EB037D">
      <w:pPr>
        <w:spacing w:after="0" w:line="360" w:lineRule="auto"/>
        <w:ind w:firstLine="284"/>
        <w:jc w:val="both"/>
      </w:pPr>
      <w:r>
        <w:t>Alla luce del caso sopracitato, l’ordinamento interno sembra pertanto assumere un ruolo fondamentale ai fini della riferibilità di comportamenti allo Stato in quanto una condotta può ritenersi ad esso attribuibile soltanto nel caso in cui sia stata tenuta da un organo nel rispetto delle disposizioni di diritto interno volte a definirne le funzioni e la portata della sua competenza.</w:t>
      </w:r>
    </w:p>
    <w:p w:rsidR="00CA5718" w:rsidRDefault="00CA5718" w:rsidP="00EB037D">
      <w:pPr>
        <w:tabs>
          <w:tab w:val="left" w:pos="6865"/>
        </w:tabs>
        <w:spacing w:after="0" w:line="360" w:lineRule="auto"/>
        <w:ind w:firstLine="284"/>
        <w:jc w:val="both"/>
      </w:pPr>
      <w:r>
        <w:t xml:space="preserve">Il principio </w:t>
      </w:r>
      <w:r w:rsidR="007C2F16">
        <w:t xml:space="preserve">della responsabilità dello Stato per le </w:t>
      </w:r>
      <w:r>
        <w:t xml:space="preserve">condotte tenute </w:t>
      </w:r>
      <w:r w:rsidRPr="00D0187D">
        <w:rPr>
          <w:i/>
        </w:rPr>
        <w:t>ultra vires</w:t>
      </w:r>
      <w:r>
        <w:t xml:space="preserve"> da un proprio organo è stato </w:t>
      </w:r>
      <w:r w:rsidR="007C2F16">
        <w:t xml:space="preserve">nuovamente negato </w:t>
      </w:r>
      <w:r>
        <w:t xml:space="preserve">dal Segretario di Stato Bayard nel caso </w:t>
      </w:r>
      <w:r w:rsidRPr="00D0187D">
        <w:rPr>
          <w:i/>
        </w:rPr>
        <w:t>American Bible Society</w:t>
      </w:r>
      <w:r>
        <w:t xml:space="preserve"> del 1885. In tale circostanza egli affermò che il diritto internazionale non prevede che uno Stato risponda dei danni causati da un proprio organo ad uno straniero nel caso in cui il comportamento risulta essere stato adottato al di fuori del quadro della sua competenza sia reale che apparente</w:t>
      </w:r>
      <w:r>
        <w:rPr>
          <w:rStyle w:val="Rimandonotaapidipagina"/>
        </w:rPr>
        <w:footnoteReference w:id="132"/>
      </w:r>
      <w:r>
        <w:t xml:space="preserve">. </w:t>
      </w:r>
    </w:p>
    <w:p w:rsidR="00CA5718" w:rsidRDefault="00CA5718" w:rsidP="00EB037D">
      <w:pPr>
        <w:tabs>
          <w:tab w:val="left" w:pos="6865"/>
        </w:tabs>
        <w:spacing w:after="0" w:line="360" w:lineRule="auto"/>
        <w:ind w:firstLine="284"/>
        <w:jc w:val="both"/>
      </w:pPr>
      <w:r>
        <w:t xml:space="preserve">Non potevano pertanto considerarsi fatti dello Stato quale soggetto internazionale non soltanto i comportamenti adottati dall’organo realmente al di fuori della propria </w:t>
      </w:r>
      <w:r>
        <w:lastRenderedPageBreak/>
        <w:t>competenza, ma anche quelli che apparivano ai terzi come tenuti nel suo rispetto, nonostante il reale superamento dei limiti delle proprie funzioni.</w:t>
      </w:r>
    </w:p>
    <w:p w:rsidR="00701D37" w:rsidRDefault="00CA5718" w:rsidP="00EB037D">
      <w:pPr>
        <w:tabs>
          <w:tab w:val="left" w:pos="6865"/>
        </w:tabs>
        <w:spacing w:after="0" w:line="360" w:lineRule="auto"/>
        <w:ind w:firstLine="284"/>
        <w:jc w:val="both"/>
      </w:pPr>
      <w:r>
        <w:t>Il riferimento alla competenza non soltanto reale ma anche apparente dell’organo è stata ripresa da</w:t>
      </w:r>
      <w:r w:rsidR="00E124A3">
        <w:t xml:space="preserve">l Segretario di Stato americano </w:t>
      </w:r>
      <w:r>
        <w:t xml:space="preserve">Adee in una lettera del 14 agosto 1900 indirizzata all’ambasciatore italiano a Washington Baron Fava. </w:t>
      </w:r>
    </w:p>
    <w:p w:rsidR="00CA5718" w:rsidRDefault="00CA5718" w:rsidP="00EB037D">
      <w:pPr>
        <w:tabs>
          <w:tab w:val="left" w:pos="6865"/>
        </w:tabs>
        <w:spacing w:after="0" w:line="360" w:lineRule="auto"/>
        <w:ind w:firstLine="284"/>
        <w:jc w:val="both"/>
      </w:pPr>
      <w:r w:rsidRPr="00AF2E2D">
        <w:t>Nonostante prendesse in considerazione esclusivamente i comportamenti adottati dagli organi subordinati, egli sostenne che:</w:t>
      </w:r>
    </w:p>
    <w:p w:rsidR="00CA5718" w:rsidRPr="00AF2E2D" w:rsidRDefault="00CA5718" w:rsidP="00EB037D">
      <w:pPr>
        <w:tabs>
          <w:tab w:val="left" w:pos="6865"/>
        </w:tabs>
        <w:spacing w:after="0" w:line="360" w:lineRule="auto"/>
        <w:ind w:firstLine="284"/>
        <w:jc w:val="both"/>
      </w:pPr>
    </w:p>
    <w:p w:rsidR="00CA5718" w:rsidRDefault="00CA5718" w:rsidP="00EB037D">
      <w:pPr>
        <w:tabs>
          <w:tab w:val="left" w:pos="6865"/>
        </w:tabs>
        <w:spacing w:after="0" w:line="360" w:lineRule="auto"/>
        <w:ind w:left="567" w:right="567" w:firstLine="284"/>
        <w:jc w:val="both"/>
        <w:rPr>
          <w:lang w:val="en-US"/>
        </w:rPr>
      </w:pPr>
      <w:r w:rsidRPr="006531ED">
        <w:rPr>
          <w:lang w:val="en-US"/>
        </w:rPr>
        <w:t>“the general rule of international law observed by the United States is that sovereigns are not liable in diplomatic procedure for damages occasioned by misconduct of petty officials and agents acting out of the range not only of their real but of their apparent authority</w:t>
      </w:r>
      <w:r w:rsidRPr="00F27EDE">
        <w:rPr>
          <w:lang w:val="en-US"/>
        </w:rPr>
        <w:t>”</w:t>
      </w:r>
      <w:r>
        <w:rPr>
          <w:rStyle w:val="Rimandonotaapidipagina"/>
          <w:lang w:val="en-US"/>
        </w:rPr>
        <w:footnoteReference w:id="133"/>
      </w:r>
      <w:r>
        <w:rPr>
          <w:lang w:val="en-US"/>
        </w:rPr>
        <w:t>.</w:t>
      </w:r>
    </w:p>
    <w:p w:rsidR="00CA5718" w:rsidRDefault="00CA5718" w:rsidP="00EB037D">
      <w:pPr>
        <w:tabs>
          <w:tab w:val="left" w:pos="6865"/>
        </w:tabs>
        <w:spacing w:after="0" w:line="360" w:lineRule="auto"/>
        <w:ind w:firstLine="284"/>
        <w:jc w:val="both"/>
        <w:rPr>
          <w:lang w:val="en-US"/>
        </w:rPr>
      </w:pPr>
    </w:p>
    <w:p w:rsidR="004379C0" w:rsidRDefault="00CA5718" w:rsidP="00EB037D">
      <w:pPr>
        <w:tabs>
          <w:tab w:val="left" w:pos="6865"/>
        </w:tabs>
        <w:spacing w:after="0" w:line="360" w:lineRule="auto"/>
        <w:ind w:firstLine="284"/>
        <w:jc w:val="both"/>
      </w:pPr>
      <w:r w:rsidRPr="001A06D6">
        <w:t xml:space="preserve">La circostanza che un comportamento tenuto da un organo </w:t>
      </w:r>
      <w:r w:rsidRPr="001A06D6">
        <w:rPr>
          <w:i/>
        </w:rPr>
        <w:t>ultra vires</w:t>
      </w:r>
      <w:r w:rsidRPr="001A06D6">
        <w:t xml:space="preserve"> </w:t>
      </w:r>
      <w:r>
        <w:t>non poteva considerarsi un fatto dello Stato sul piano internazionale è stato infine ribadito il me</w:t>
      </w:r>
      <w:r w:rsidR="006531ED">
        <w:t>desimo anno dal Ministro della g</w:t>
      </w:r>
      <w:r>
        <w:t xml:space="preserve">iustizia </w:t>
      </w:r>
      <w:r w:rsidR="006531ED">
        <w:t xml:space="preserve">statunitense </w:t>
      </w:r>
      <w:r>
        <w:t xml:space="preserve">Griggs nell’ambito del caso </w:t>
      </w:r>
      <w:r w:rsidR="006531ED">
        <w:rPr>
          <w:i/>
        </w:rPr>
        <w:t>Seal Fisher</w:t>
      </w:r>
      <w:r w:rsidRPr="001A06D6">
        <w:rPr>
          <w:i/>
        </w:rPr>
        <w:t>ies Behring Sea</w:t>
      </w:r>
      <w:r w:rsidRPr="00387035">
        <w:rPr>
          <w:rStyle w:val="Rimandonotaapidipagina"/>
        </w:rPr>
        <w:footnoteReference w:id="134"/>
      </w:r>
      <w:r w:rsidRPr="00387035">
        <w:t>.</w:t>
      </w:r>
      <w:r>
        <w:t xml:space="preserve"> </w:t>
      </w:r>
    </w:p>
    <w:p w:rsidR="00CA5718" w:rsidRPr="00E24071" w:rsidRDefault="00CA5718" w:rsidP="00EB037D">
      <w:pPr>
        <w:tabs>
          <w:tab w:val="left" w:pos="6865"/>
        </w:tabs>
        <w:spacing w:after="0" w:line="360" w:lineRule="auto"/>
        <w:ind w:firstLine="284"/>
        <w:jc w:val="both"/>
      </w:pPr>
      <w:r>
        <w:t xml:space="preserve">Dopo aver ammesso il carattere illecito di un sequestro di armi operato da alcuni organi degli Stati Uniti a bordo di una imbarcazione straniera, Griggs ha </w:t>
      </w:r>
      <w:r w:rsidR="00E24071">
        <w:t xml:space="preserve">asserito che </w:t>
      </w:r>
      <w:r>
        <w:t xml:space="preserve">tale condotta </w:t>
      </w:r>
      <w:r w:rsidRPr="00142456">
        <w:rPr>
          <w:i/>
        </w:rPr>
        <w:t>ultra vires</w:t>
      </w:r>
      <w:r>
        <w:t xml:space="preserve"> </w:t>
      </w:r>
      <w:r w:rsidR="00E24071">
        <w:t>era da assimilare al</w:t>
      </w:r>
      <w:r>
        <w:t xml:space="preserve"> fatto di un semplice privato dichiarando che </w:t>
      </w:r>
      <w:r w:rsidRPr="00E24071">
        <w:t>“the torts of an officer may subject him to suit, but, not being within the orders as agent of the Governament, the latter is not responsible for them”</w:t>
      </w:r>
      <w:r w:rsidRPr="00E24071">
        <w:rPr>
          <w:rStyle w:val="Rimandonotaapidipagina"/>
        </w:rPr>
        <w:footnoteReference w:id="135"/>
      </w:r>
      <w:r w:rsidRPr="00E24071">
        <w:t>.</w:t>
      </w:r>
    </w:p>
    <w:p w:rsidR="00D8464B" w:rsidRPr="001A06D6" w:rsidRDefault="00D8464B" w:rsidP="00D8464B">
      <w:pPr>
        <w:tabs>
          <w:tab w:val="left" w:pos="6865"/>
        </w:tabs>
        <w:spacing w:after="0" w:line="360" w:lineRule="auto"/>
        <w:jc w:val="both"/>
      </w:pPr>
    </w:p>
    <w:p w:rsidR="00CA5718" w:rsidRDefault="002E090A" w:rsidP="00EB037D">
      <w:pPr>
        <w:tabs>
          <w:tab w:val="left" w:pos="6865"/>
        </w:tabs>
        <w:spacing w:after="0" w:line="360" w:lineRule="auto"/>
        <w:ind w:firstLine="284"/>
        <w:jc w:val="both"/>
      </w:pPr>
      <w:r>
        <w:t>3. Segue: l</w:t>
      </w:r>
      <w:r w:rsidR="00CA5718">
        <w:t xml:space="preserve">a prassi </w:t>
      </w:r>
      <w:r w:rsidR="003B3ED3">
        <w:t>degli Stati latinoamericani</w:t>
      </w:r>
    </w:p>
    <w:p w:rsidR="00CA5718" w:rsidRDefault="00CA5718" w:rsidP="00EB037D">
      <w:pPr>
        <w:tabs>
          <w:tab w:val="left" w:pos="6865"/>
        </w:tabs>
        <w:spacing w:after="0" w:line="360" w:lineRule="auto"/>
        <w:ind w:firstLine="284"/>
        <w:jc w:val="both"/>
      </w:pPr>
    </w:p>
    <w:p w:rsidR="00CA5718" w:rsidRDefault="00CA5718" w:rsidP="00EB037D">
      <w:pPr>
        <w:spacing w:after="0" w:line="360" w:lineRule="auto"/>
        <w:ind w:firstLine="284"/>
        <w:jc w:val="both"/>
        <w:rPr>
          <w:rFonts w:cstheme="minorHAnsi"/>
        </w:rPr>
      </w:pPr>
      <w:r>
        <w:rPr>
          <w:rFonts w:cstheme="minorHAnsi"/>
        </w:rPr>
        <w:t>Anche nella prassi latinoamericana più risalente vi sono dei casi in cui viene asserita l’impossi</w:t>
      </w:r>
      <w:r w:rsidR="00715960">
        <w:rPr>
          <w:rFonts w:cstheme="minorHAnsi"/>
        </w:rPr>
        <w:t>bilità di riconoscere come fatti</w:t>
      </w:r>
      <w:r>
        <w:rPr>
          <w:rFonts w:cstheme="minorHAnsi"/>
        </w:rPr>
        <w:t xml:space="preserve"> dello Stato in virtù del diritto internazionale i comportamenti non autorizzati dei propri organi.</w:t>
      </w:r>
    </w:p>
    <w:p w:rsidR="00CA5718" w:rsidRDefault="00CA5718" w:rsidP="00EB037D">
      <w:pPr>
        <w:spacing w:after="0" w:line="360" w:lineRule="auto"/>
        <w:ind w:firstLine="284"/>
        <w:jc w:val="both"/>
      </w:pPr>
      <w:r>
        <w:rPr>
          <w:rFonts w:cstheme="minorHAnsi"/>
        </w:rPr>
        <w:t>Un primo caso degno di nota riguarda una vicenda relat</w:t>
      </w:r>
      <w:r w:rsidR="00D8464B">
        <w:rPr>
          <w:rFonts w:cstheme="minorHAnsi"/>
        </w:rPr>
        <w:t>iva alla decisione del Governo c</w:t>
      </w:r>
      <w:r>
        <w:rPr>
          <w:rFonts w:cstheme="minorHAnsi"/>
        </w:rPr>
        <w:t xml:space="preserve">olombiano di sospendere la pubblicazione dei quotidiani per un periodo di sei mesi a </w:t>
      </w:r>
      <w:r>
        <w:rPr>
          <w:rFonts w:cstheme="minorHAnsi"/>
        </w:rPr>
        <w:lastRenderedPageBreak/>
        <w:t xml:space="preserve">seguito di alcune sommosse interne. Grazie ad un decreto del Presidente della Repubblica della Colombia venne comunque concessa la diffusione di un periodico statunitense pubblicato a Panama (all’epoca provincia colombiana) dal nome </w:t>
      </w:r>
      <w:r w:rsidRPr="001775BF">
        <w:rPr>
          <w:i/>
        </w:rPr>
        <w:t>Star and Herald</w:t>
      </w:r>
      <w:r>
        <w:t xml:space="preserve"> </w:t>
      </w:r>
      <w:r w:rsidRPr="00CE51F1">
        <w:t>a patto che si occupasse con cautela di questioni politiche</w:t>
      </w:r>
      <w:r>
        <w:t>.</w:t>
      </w:r>
    </w:p>
    <w:p w:rsidR="00CA5718" w:rsidRDefault="00CA5718" w:rsidP="00EB037D">
      <w:pPr>
        <w:spacing w:after="0" w:line="360" w:lineRule="auto"/>
        <w:ind w:firstLine="284"/>
        <w:jc w:val="both"/>
      </w:pPr>
      <w:r>
        <w:t>Una settimana prima che venisse ripristinata la libertà di stampa, un ulteriore decreto presidenziale ordinò al Governatore di Panama di avvisare il quotidiano americano di porre fine al suo atteggiamento critico rispetto all’operato del Governo, pena la sua sospensione.</w:t>
      </w:r>
    </w:p>
    <w:p w:rsidR="00CA5718" w:rsidRDefault="00CA5718" w:rsidP="00EB037D">
      <w:pPr>
        <w:spacing w:after="0" w:line="360" w:lineRule="auto"/>
        <w:ind w:firstLine="284"/>
        <w:jc w:val="both"/>
      </w:pPr>
      <w:r>
        <w:t>A causa del rifiuto del periodico di pubblicare alcuni documenti che erano stati inviati all’editore dal Govern</w:t>
      </w:r>
      <w:r w:rsidR="00D8464B">
        <w:t>atore p</w:t>
      </w:r>
      <w:r>
        <w:t>anamense, quest’ultimo decise di dare seguito all’</w:t>
      </w:r>
      <w:r w:rsidRPr="00CE51F1">
        <w:t xml:space="preserve">ordine ricevuto dal governo centrale </w:t>
      </w:r>
      <w:r>
        <w:t>e di sospendere</w:t>
      </w:r>
      <w:r w:rsidRPr="00CE51F1">
        <w:t xml:space="preserve"> per due mes</w:t>
      </w:r>
      <w:r w:rsidR="00D8464B">
        <w:t xml:space="preserve">i la </w:t>
      </w:r>
      <w:r>
        <w:t>pubblicazione</w:t>
      </w:r>
      <w:r w:rsidR="00D8464B">
        <w:t xml:space="preserve"> del giornale</w:t>
      </w:r>
      <w:r>
        <w:t xml:space="preserve"> nonostante la libertà di stampa fosse stata reintrodotta da qualche settimana.</w:t>
      </w:r>
    </w:p>
    <w:p w:rsidR="00CA5718" w:rsidRDefault="00CA5718" w:rsidP="00EB037D">
      <w:pPr>
        <w:spacing w:after="0" w:line="360" w:lineRule="auto"/>
        <w:ind w:firstLine="284"/>
        <w:jc w:val="both"/>
      </w:pPr>
      <w:r w:rsidRPr="005F0807">
        <w:t>A seguito delle proteste degli Stati Uniti, il Governo colom</w:t>
      </w:r>
      <w:r w:rsidR="00094D45">
        <w:t>biano ordinò al generale Vila</w:t>
      </w:r>
      <w:r w:rsidRPr="005F0807">
        <w:t xml:space="preserve"> di procedere </w:t>
      </w:r>
      <w:r w:rsidR="00EF6DC7" w:rsidRPr="005F0807">
        <w:t xml:space="preserve">senza indugio </w:t>
      </w:r>
      <w:r w:rsidR="00EF6DC7">
        <w:t>alla</w:t>
      </w:r>
      <w:r w:rsidRPr="005F0807">
        <w:t xml:space="preserve"> revoca</w:t>
      </w:r>
      <w:r w:rsidR="00EF6DC7">
        <w:t xml:space="preserve"> della sospensione</w:t>
      </w:r>
      <w:r w:rsidRPr="005F0807">
        <w:t xml:space="preserve">. Il generale si rifiutò di dare seguito </w:t>
      </w:r>
      <w:r w:rsidR="00094D45">
        <w:t>alle istruz</w:t>
      </w:r>
      <w:r w:rsidR="005F0807" w:rsidRPr="005F0807">
        <w:t>ioni ricevute</w:t>
      </w:r>
      <w:r w:rsidRPr="005F0807">
        <w:t xml:space="preserve"> dal proprio Governo e il 25 maggio 1886, una volta spirato il termine della sospensione, presentò le proprie dimissioni.</w:t>
      </w:r>
    </w:p>
    <w:p w:rsidR="00CA5718" w:rsidRDefault="00CA5718" w:rsidP="00EB037D">
      <w:pPr>
        <w:pStyle w:val="Paragrafoelenco"/>
        <w:spacing w:line="360" w:lineRule="auto"/>
        <w:ind w:left="0" w:firstLine="284"/>
        <w:jc w:val="both"/>
      </w:pPr>
      <w:r>
        <w:t>In</w:t>
      </w:r>
      <w:r w:rsidR="00D8464B">
        <w:t>teressa qui notare il diverso</w:t>
      </w:r>
      <w:r>
        <w:t xml:space="preserve"> atteggiamento adottato dalle parti rispetto alla necessità di distinguere ai fini attributivi se una condotta di un organo è stata tenuta nel rispetto o meno dei limiti della competenza. </w:t>
      </w:r>
      <w:r w:rsidRPr="00AC4527">
        <w:t>Il Governo colombiano ha negato di essere resp</w:t>
      </w:r>
      <w:r w:rsidR="009160F4">
        <w:t>onsabile del comportamento del G</w:t>
      </w:r>
      <w:r w:rsidRPr="00AC4527">
        <w:t xml:space="preserve">overnatore di Panama facendo valere la tesi secondo cui uno Stato non è chiamato a rispondere delle condotte </w:t>
      </w:r>
      <w:r w:rsidRPr="00AC4527">
        <w:rPr>
          <w:i/>
        </w:rPr>
        <w:t>ultra vires</w:t>
      </w:r>
      <w:r w:rsidRPr="00AC4527">
        <w:t xml:space="preserve"> dei propri organi:</w:t>
      </w:r>
    </w:p>
    <w:p w:rsidR="00CA5718" w:rsidRPr="00AC4527" w:rsidRDefault="00CA5718" w:rsidP="00EB037D">
      <w:pPr>
        <w:pStyle w:val="Paragrafoelenco"/>
        <w:spacing w:line="360" w:lineRule="auto"/>
        <w:ind w:left="0" w:firstLine="284"/>
        <w:jc w:val="both"/>
      </w:pPr>
    </w:p>
    <w:p w:rsidR="00CA5718" w:rsidRDefault="00CA5718" w:rsidP="00EB037D">
      <w:pPr>
        <w:pStyle w:val="Paragrafoelenco"/>
        <w:spacing w:line="360" w:lineRule="auto"/>
        <w:ind w:left="567" w:right="567" w:firstLine="284"/>
        <w:jc w:val="both"/>
        <w:rPr>
          <w:lang w:val="en-US"/>
        </w:rPr>
      </w:pPr>
      <w:r w:rsidRPr="004E7E36">
        <w:t xml:space="preserve"> </w:t>
      </w:r>
      <w:r w:rsidRPr="004E7E36">
        <w:rPr>
          <w:lang w:val="en-US"/>
        </w:rPr>
        <w:t>“according to the practice of nations and international law, no Government is responsible for acts of its agents or subalterns which are not in perfect accord with the faculties conferred upon them by law or the instructions which the government itself may have given them...if, disobeying the laws or legal instructions, they should adopt some procedure or take some me</w:t>
      </w:r>
      <w:r w:rsidR="007824B8" w:rsidRPr="004E7E36">
        <w:rPr>
          <w:lang w:val="en-US"/>
        </w:rPr>
        <w:t>a</w:t>
      </w:r>
      <w:r w:rsidRPr="004E7E36">
        <w:rPr>
          <w:lang w:val="en-US"/>
        </w:rPr>
        <w:t xml:space="preserve">sure that is beyond their powers, their acts are illegal, arbitrary, and make them personally responsible for the consequences... For a government to share with its agents the responsibility of acts of this nature it would be necessary that, having been able to avoid them, it has not done so: that once accomplished, it has not attempted to frustrate their effects: that it had not disapproved the conduct of </w:t>
      </w:r>
      <w:r w:rsidRPr="004E7E36">
        <w:rPr>
          <w:lang w:val="en-US"/>
        </w:rPr>
        <w:lastRenderedPageBreak/>
        <w:t>the agent: in a word, that it had ratified or sanctioned them in some manner</w:t>
      </w:r>
      <w:r>
        <w:rPr>
          <w:lang w:val="en-US"/>
        </w:rPr>
        <w:t xml:space="preserve">” </w:t>
      </w:r>
      <w:r>
        <w:rPr>
          <w:rStyle w:val="Rimandonotaapidipagina"/>
        </w:rPr>
        <w:footnoteReference w:id="136"/>
      </w:r>
      <w:r w:rsidRPr="003A31E6">
        <w:rPr>
          <w:lang w:val="en-US"/>
        </w:rPr>
        <w:t>.</w:t>
      </w:r>
      <w:r>
        <w:rPr>
          <w:lang w:val="en-US"/>
        </w:rPr>
        <w:t xml:space="preserve"> </w:t>
      </w:r>
    </w:p>
    <w:p w:rsidR="00CA5718" w:rsidRDefault="00CA5718" w:rsidP="00EB037D">
      <w:pPr>
        <w:pStyle w:val="Paragrafoelenco"/>
        <w:spacing w:line="360" w:lineRule="auto"/>
        <w:ind w:left="567" w:right="567" w:firstLine="284"/>
        <w:jc w:val="both"/>
        <w:rPr>
          <w:lang w:val="en-US"/>
        </w:rPr>
      </w:pPr>
    </w:p>
    <w:p w:rsidR="00CA5718" w:rsidRPr="00FF59E3" w:rsidRDefault="00CA5718" w:rsidP="00EB037D">
      <w:pPr>
        <w:pStyle w:val="Paragrafoelenco"/>
        <w:spacing w:line="360" w:lineRule="auto"/>
        <w:ind w:left="0" w:firstLine="284"/>
        <w:jc w:val="both"/>
      </w:pPr>
      <w:r w:rsidRPr="00E756FA">
        <w:t>La condotta tenuta da un organo</w:t>
      </w:r>
      <w:r>
        <w:t xml:space="preserve"> nel mancato rispetto</w:t>
      </w:r>
      <w:r w:rsidRPr="00E756FA">
        <w:t xml:space="preserve"> delle istruzioni ricevute viene </w:t>
      </w:r>
      <w:r>
        <w:t xml:space="preserve">in tale circostanza </w:t>
      </w:r>
      <w:r w:rsidRPr="001B6A77">
        <w:t>assimilata ad un comportamento di un privato. Ne deriva l’impossibilità di attribuire tale fatto allo Stato, la cui responsabilità internazionale può sorgere in tale occasione soltanto in ragione del m</w:t>
      </w:r>
      <w:r>
        <w:t xml:space="preserve">ancato rispetto degli obblighi </w:t>
      </w:r>
      <w:r w:rsidRPr="001B6A77">
        <w:t xml:space="preserve">di protezione, cioè </w:t>
      </w:r>
      <w:r>
        <w:t xml:space="preserve">del fatto </w:t>
      </w:r>
      <w:r w:rsidRPr="001B6A77">
        <w:t>che altri organi statali non hanno preso le misure idonee a prevenire o a reprimere tali atti.</w:t>
      </w:r>
    </w:p>
    <w:p w:rsidR="00CA5718" w:rsidRDefault="00CA5718" w:rsidP="00EB037D">
      <w:pPr>
        <w:pStyle w:val="Paragrafoelenco"/>
        <w:spacing w:line="360" w:lineRule="auto"/>
        <w:ind w:left="0" w:firstLine="284"/>
        <w:jc w:val="both"/>
      </w:pPr>
      <w:r>
        <w:t>In una successiva nota diplomatica del 10 novembre 1896 il Ministro degli affari esteri colombiano ha tentato invece di fondare la mancanza di responsabilità internazionale dello Stato sulla distinzione tra organi subordinati e superiori:</w:t>
      </w:r>
    </w:p>
    <w:p w:rsidR="00CA5718" w:rsidRDefault="00CA5718" w:rsidP="00EB037D">
      <w:pPr>
        <w:pStyle w:val="Paragrafoelenco"/>
        <w:spacing w:line="360" w:lineRule="auto"/>
        <w:ind w:left="0" w:firstLine="284"/>
        <w:jc w:val="both"/>
      </w:pPr>
    </w:p>
    <w:p w:rsidR="00CA5718" w:rsidRPr="004022AF" w:rsidRDefault="00CA5718" w:rsidP="00EB037D">
      <w:pPr>
        <w:pStyle w:val="Paragrafoelenco"/>
        <w:spacing w:line="360" w:lineRule="auto"/>
        <w:ind w:left="567" w:right="567" w:firstLine="284"/>
        <w:jc w:val="both"/>
        <w:rPr>
          <w:lang w:val="en-US"/>
        </w:rPr>
      </w:pPr>
      <w:r w:rsidRPr="004022AF">
        <w:rPr>
          <w:lang w:val="en-US"/>
        </w:rPr>
        <w:t>“…..according to the practice of nations and national legislation, no government is responsible for the acts of its agents or subalterns which are not in perfect accord with the faculties conferred upon them by law or the instructions which the government itself may give them…..If there is any responsibility, it must not be exacted from the Government, but from the functionary who exceeded the powers with which he was invested through the courts of Colombia”</w:t>
      </w:r>
      <w:r w:rsidRPr="004022AF">
        <w:rPr>
          <w:rStyle w:val="Rimandonotaapidipagina"/>
          <w:lang w:val="en-US"/>
        </w:rPr>
        <w:footnoteReference w:id="137"/>
      </w:r>
      <w:r w:rsidRPr="004022AF">
        <w:rPr>
          <w:lang w:val="en-US"/>
        </w:rPr>
        <w:t>.</w:t>
      </w:r>
    </w:p>
    <w:p w:rsidR="00CA5718" w:rsidRPr="00BD465E" w:rsidRDefault="00CA5718" w:rsidP="00EB037D">
      <w:pPr>
        <w:pStyle w:val="Paragrafoelenco"/>
        <w:spacing w:line="360" w:lineRule="auto"/>
        <w:ind w:left="0" w:firstLine="284"/>
        <w:jc w:val="both"/>
        <w:rPr>
          <w:lang w:val="en-US"/>
        </w:rPr>
      </w:pPr>
    </w:p>
    <w:p w:rsidR="00CA5718" w:rsidRDefault="00CA5718" w:rsidP="00EB037D">
      <w:pPr>
        <w:pStyle w:val="Paragrafoelenco"/>
        <w:spacing w:line="360" w:lineRule="auto"/>
        <w:ind w:left="0" w:firstLine="284"/>
        <w:jc w:val="both"/>
      </w:pPr>
      <w:r>
        <w:t>Le condotte tenute da un organo subordinato nella sua qualità ufficiale ma nel mancato rispetto dei limiti della propria competenza non potevano a suo parere essere riferite allo Stato in quanto assimilabili alle condotte di semplici privati. Ne derivava soltanto la responsabilità personale dell’individuo-or</w:t>
      </w:r>
      <w:r w:rsidR="004022AF">
        <w:t>gano che, non conformandosi alla competenza lui conferitagli</w:t>
      </w:r>
      <w:r>
        <w:t xml:space="preserve"> dall’ordinamento interno, non era in grado di rappresentare validamente la volontà statale.</w:t>
      </w:r>
    </w:p>
    <w:p w:rsidR="00CA5718" w:rsidRDefault="00CA5718" w:rsidP="00EB037D">
      <w:pPr>
        <w:pStyle w:val="Paragrafoelenco"/>
        <w:spacing w:line="360" w:lineRule="auto"/>
        <w:ind w:left="0" w:firstLine="284"/>
        <w:jc w:val="both"/>
      </w:pPr>
      <w:r>
        <w:t xml:space="preserve">Un ulteriore caso in cui un Governo latinoamericano ha rifiutato di riconoscere che uno Stato è tenuto a rispondere internazionalmente dei comportamenti non autorizzati dei </w:t>
      </w:r>
      <w:r>
        <w:lastRenderedPageBreak/>
        <w:t xml:space="preserve">propri organi è </w:t>
      </w:r>
      <w:r w:rsidR="002847D4">
        <w:t xml:space="preserve">rinvenibile </w:t>
      </w:r>
      <w:r>
        <w:t>n</w:t>
      </w:r>
      <w:r w:rsidRPr="00522ABC">
        <w:t>ell’a</w:t>
      </w:r>
      <w:r>
        <w:t>m</w:t>
      </w:r>
      <w:r w:rsidRPr="00522ABC">
        <w:t>bito delle controversie sorte tra Italia e Perù per il r</w:t>
      </w:r>
      <w:r>
        <w:t>isarcimento dei danni subiti da alcuni</w:t>
      </w:r>
      <w:r w:rsidRPr="00522ABC">
        <w:t xml:space="preserve"> cittadini italiani durante la guerra</w:t>
      </w:r>
      <w:r>
        <w:t xml:space="preserve"> civile peruviana del 1894-1895.</w:t>
      </w:r>
    </w:p>
    <w:p w:rsidR="00CA5718" w:rsidRDefault="00CA5718" w:rsidP="00EB037D">
      <w:pPr>
        <w:pStyle w:val="Paragrafoelenco"/>
        <w:spacing w:line="360" w:lineRule="auto"/>
        <w:ind w:left="0" w:firstLine="284"/>
        <w:jc w:val="both"/>
      </w:pPr>
      <w:r>
        <w:t>I</w:t>
      </w:r>
      <w:r w:rsidRPr="00522ABC">
        <w:t>l Min</w:t>
      </w:r>
      <w:r w:rsidR="002847D4">
        <w:t>istro degli affari e</w:t>
      </w:r>
      <w:r>
        <w:t>steri peruviano aveva indirizzato</w:t>
      </w:r>
      <w:r w:rsidRPr="00522ABC">
        <w:t xml:space="preserve"> una nota diplomatica </w:t>
      </w:r>
      <w:r>
        <w:t xml:space="preserve">a </w:t>
      </w:r>
      <w:r w:rsidRPr="00522ABC">
        <w:t xml:space="preserve">diversi </w:t>
      </w:r>
      <w:r>
        <w:t xml:space="preserve">Stati </w:t>
      </w:r>
      <w:r w:rsidRPr="00522ABC">
        <w:t>stranieri, fra cui l’Italia,</w:t>
      </w:r>
      <w:r>
        <w:t xml:space="preserve"> in cui respingeva</w:t>
      </w:r>
      <w:r w:rsidRPr="00522ABC">
        <w:t xml:space="preserve"> la </w:t>
      </w:r>
      <w:r>
        <w:t xml:space="preserve">propria </w:t>
      </w:r>
      <w:r w:rsidRPr="00522ABC">
        <w:t>responsabilità internazionale</w:t>
      </w:r>
      <w:r>
        <w:t xml:space="preserve"> per gli illeciti commessi </w:t>
      </w:r>
      <w:r w:rsidRPr="00E02A04">
        <w:rPr>
          <w:i/>
        </w:rPr>
        <w:t>ultra vires</w:t>
      </w:r>
      <w:r>
        <w:t xml:space="preserve"> dalle autorità civili e militari del proprio paese in ragione dell’impossibilità di riconoscere come fatti statali le condotte che non avevano alcun legame con le loro competenze come stabilite dal diritto interno. </w:t>
      </w:r>
    </w:p>
    <w:p w:rsidR="00CA5718" w:rsidRDefault="00CA5718" w:rsidP="00EB037D">
      <w:pPr>
        <w:pStyle w:val="Paragrafoelenco"/>
        <w:spacing w:line="360" w:lineRule="auto"/>
        <w:ind w:left="0" w:firstLine="284"/>
        <w:jc w:val="both"/>
      </w:pPr>
      <w:r w:rsidRPr="00286460">
        <w:t>Secondo il Perù, uno Stato non poteva essere considerato</w:t>
      </w:r>
      <w:r>
        <w:t xml:space="preserve"> internazionalmente</w:t>
      </w:r>
      <w:r w:rsidRPr="00286460">
        <w:t xml:space="preserve"> responsabile</w:t>
      </w:r>
      <w:r>
        <w:t>:</w:t>
      </w:r>
    </w:p>
    <w:p w:rsidR="00CA5718" w:rsidRPr="00286460" w:rsidRDefault="00CA5718" w:rsidP="00EB037D">
      <w:pPr>
        <w:pStyle w:val="Paragrafoelenco"/>
        <w:spacing w:line="360" w:lineRule="auto"/>
        <w:ind w:left="0" w:firstLine="284"/>
        <w:jc w:val="both"/>
      </w:pPr>
    </w:p>
    <w:p w:rsidR="00CA5718" w:rsidRDefault="00CA5718" w:rsidP="00EB037D">
      <w:pPr>
        <w:pStyle w:val="Paragrafoelenco"/>
        <w:spacing w:after="0" w:line="360" w:lineRule="auto"/>
        <w:ind w:left="567" w:right="567" w:firstLine="284"/>
        <w:jc w:val="both"/>
        <w:rPr>
          <w:lang w:val="en-US"/>
        </w:rPr>
      </w:pPr>
      <w:r w:rsidRPr="008B75E0">
        <w:rPr>
          <w:lang w:val="en-US"/>
        </w:rPr>
        <w:t>“…for damage caused by agents of the authority by virtue of acts unrelated to their legal functions, if the Government disapproves of and censures their conduct and subjects the offending official to appropriate proceedings to give effect, in accordance with the law, to the civil and criminal responsibility he has incurred….the State incurs responsibility and a diplomatic claim is justified only in cases where damage and injuries are inflicted on aliens by acts contrary to the provisions of treaties or, in the absence of these, to the law of nations, which are committed by the Government or its civil and military agents in the performance of their functions, on the orders or with the approval of the Government and…by an absolute denial of justice</w:t>
      </w:r>
      <w:r>
        <w:rPr>
          <w:i/>
          <w:lang w:val="en-US"/>
        </w:rPr>
        <w:t>”</w:t>
      </w:r>
      <w:r>
        <w:rPr>
          <w:lang w:val="en-US"/>
        </w:rPr>
        <w:t xml:space="preserve"> </w:t>
      </w:r>
      <w:r>
        <w:rPr>
          <w:rStyle w:val="Rimandonotaapidipagina"/>
        </w:rPr>
        <w:footnoteReference w:id="138"/>
      </w:r>
      <w:r w:rsidRPr="00562369">
        <w:rPr>
          <w:lang w:val="en-US"/>
        </w:rPr>
        <w:t>.</w:t>
      </w:r>
    </w:p>
    <w:p w:rsidR="00CA5718" w:rsidRDefault="00CA5718" w:rsidP="00EB037D">
      <w:pPr>
        <w:pStyle w:val="Paragrafoelenco"/>
        <w:spacing w:line="360" w:lineRule="auto"/>
        <w:ind w:left="0" w:firstLine="284"/>
        <w:jc w:val="both"/>
        <w:rPr>
          <w:lang w:val="en-US"/>
        </w:rPr>
      </w:pPr>
    </w:p>
    <w:p w:rsidR="00CA5718" w:rsidRPr="00583594" w:rsidRDefault="00CA5718" w:rsidP="00EB037D">
      <w:pPr>
        <w:pStyle w:val="Paragrafoelenco"/>
        <w:spacing w:line="360" w:lineRule="auto"/>
        <w:ind w:left="0" w:firstLine="284"/>
        <w:jc w:val="both"/>
      </w:pPr>
      <w:r w:rsidRPr="00583594">
        <w:t>La responsabilità internazionale di uno Stato poteva pertanto sorgere nel caso in cui</w:t>
      </w:r>
      <w:r>
        <w:t xml:space="preserve"> i suoi organi commettevano, nell’esercizio delle proprie funzioni, un fatto illecito tenuto nel rispetto delle istruzioni ricevute</w:t>
      </w:r>
      <w:r w:rsidRPr="007A275E">
        <w:t xml:space="preserve"> </w:t>
      </w:r>
      <w:r>
        <w:t>in quanto ad esso attribuibile sul piano internazionale. N</w:t>
      </w:r>
      <w:r w:rsidR="007C443A">
        <w:t xml:space="preserve">ell’eventualità in cui, invece, </w:t>
      </w:r>
      <w:r>
        <w:t>un organo adottava un comportamento in violazione delle istruzioni ricevute conformemente al diritto interno o violava la propria competenza secondo il diritto interno, si era in presenza di una condotta di un semplice privato non attribuibile allo Stato, che poteva però essere l’occasione del sorgere della sua responsabilità internazionale nel caso in cui ulteriori organi non rispettavano eventuali obblighi di prevenzione o repressione loro spettanti.</w:t>
      </w:r>
    </w:p>
    <w:p w:rsidR="00CA5718" w:rsidRDefault="00CA5718" w:rsidP="00EB037D">
      <w:pPr>
        <w:pStyle w:val="Paragrafoelenco"/>
        <w:spacing w:line="360" w:lineRule="auto"/>
        <w:ind w:left="0" w:firstLine="284"/>
        <w:jc w:val="both"/>
      </w:pPr>
      <w:r>
        <w:lastRenderedPageBreak/>
        <w:t>Con riferimento a tale controversia, assume particolare rilevanza anche l’atteggiamento contrario assunto dai Governi italiano e spagnolo</w:t>
      </w:r>
      <w:r w:rsidR="008B75E0">
        <w:rPr>
          <w:rStyle w:val="Rimandonotaapidipagina"/>
        </w:rPr>
        <w:footnoteReference w:id="139"/>
      </w:r>
      <w:r>
        <w:t>. Le prese di posizione degli Stati europei mirano principalmente a rigettare l’ipotesi che sia possibile richiedere un indennizzo per un danno subito da un proprio cittadino solo se viene provato che gli organi responsabili dell’illecito hanno agito su diretti ordini del Governo</w:t>
      </w:r>
      <w:r>
        <w:rPr>
          <w:rStyle w:val="Rimandonotaapidipagina"/>
        </w:rPr>
        <w:footnoteReference w:id="140"/>
      </w:r>
      <w:r>
        <w:t>.</w:t>
      </w:r>
    </w:p>
    <w:p w:rsidR="00CA5718" w:rsidRDefault="00CA5718" w:rsidP="00EB037D">
      <w:pPr>
        <w:pStyle w:val="Paragrafoelenco"/>
        <w:spacing w:after="0" w:line="360" w:lineRule="auto"/>
        <w:ind w:left="0" w:firstLine="284"/>
        <w:jc w:val="both"/>
      </w:pPr>
      <w:r>
        <w:t>Non essendo riusciti a risolvere la controversia mediante vie diplomatiche, i Governi peruviano e italiano hanno firmato il 25 novembre 1899 un accordo con cui sottomettere i reclami all’arbitrato del Ministro di Spagna a Lima Gil de Ur</w:t>
      </w:r>
      <w:r>
        <w:rPr>
          <w:rFonts w:cstheme="minorHAnsi"/>
        </w:rPr>
        <w:t>í</w:t>
      </w:r>
      <w:r>
        <w:t>barri.</w:t>
      </w:r>
    </w:p>
    <w:p w:rsidR="00CA5718" w:rsidRDefault="00CA5718" w:rsidP="00EB037D">
      <w:pPr>
        <w:pStyle w:val="Paragrafoelenco"/>
        <w:spacing w:after="0" w:line="360" w:lineRule="auto"/>
        <w:ind w:left="0" w:firstLine="284"/>
        <w:jc w:val="both"/>
      </w:pPr>
    </w:p>
    <w:p w:rsidR="00CA5718" w:rsidRDefault="00CA5718" w:rsidP="00EB037D">
      <w:pPr>
        <w:spacing w:after="0" w:line="360" w:lineRule="auto"/>
        <w:ind w:firstLine="284"/>
      </w:pPr>
      <w:r>
        <w:t xml:space="preserve">4. La giurisprudenza arbitrale del diciannovesimo secolo </w:t>
      </w:r>
      <w:r>
        <w:tab/>
      </w:r>
    </w:p>
    <w:p w:rsidR="00CA5718" w:rsidRDefault="00CA5718" w:rsidP="00EB037D">
      <w:pPr>
        <w:pStyle w:val="Paragrafoelenco"/>
        <w:spacing w:after="0" w:line="360" w:lineRule="auto"/>
        <w:ind w:left="0" w:firstLine="284"/>
        <w:jc w:val="both"/>
      </w:pPr>
    </w:p>
    <w:p w:rsidR="00CA5718" w:rsidRDefault="00B87810" w:rsidP="00EB037D">
      <w:pPr>
        <w:pStyle w:val="Paragrafoelenco"/>
        <w:spacing w:after="0" w:line="360" w:lineRule="auto"/>
        <w:ind w:left="0" w:firstLine="284"/>
        <w:jc w:val="both"/>
      </w:pPr>
      <w:r>
        <w:t>La responsabilità</w:t>
      </w:r>
      <w:r w:rsidR="00CA5718">
        <w:t xml:space="preserve"> </w:t>
      </w:r>
      <w:r>
        <w:t xml:space="preserve">internazionale dello Stato per </w:t>
      </w:r>
      <w:r w:rsidR="00CA5718">
        <w:t>i comportamenti tenuti dagli organi in contraddizione alle disposizioni d</w:t>
      </w:r>
      <w:r w:rsidR="00C343F1">
        <w:t>el proprio ordinamento</w:t>
      </w:r>
      <w:r>
        <w:t xml:space="preserve"> interno è stata negata</w:t>
      </w:r>
      <w:r w:rsidR="00CA5718">
        <w:t xml:space="preserve"> nel diciannovesimo secolo anche in alcune sentenze arbitrali. </w:t>
      </w:r>
    </w:p>
    <w:p w:rsidR="00CA5718" w:rsidRDefault="00CA5718" w:rsidP="00EB037D">
      <w:pPr>
        <w:pStyle w:val="Paragrafoelenco"/>
        <w:spacing w:after="0" w:line="360" w:lineRule="auto"/>
        <w:ind w:left="0" w:firstLine="284"/>
        <w:jc w:val="both"/>
      </w:pPr>
      <w:r>
        <w:t>Nel caso</w:t>
      </w:r>
      <w:r w:rsidRPr="003911AF">
        <w:rPr>
          <w:i/>
        </w:rPr>
        <w:t xml:space="preserve"> Lacaze</w:t>
      </w:r>
      <w:r>
        <w:t xml:space="preserve"> un cittadino francese lamentava che il suo arresto avvenuto nel 1858 e la messa sotto sequestro della sua impresa da parte delle autorità doganali di Concordia fossero avvenute secondo una procedura contraria alle disposizioni del diritto interno argentino.</w:t>
      </w:r>
    </w:p>
    <w:p w:rsidR="003906E2" w:rsidRPr="00141967" w:rsidRDefault="00CA5718" w:rsidP="00EB037D">
      <w:pPr>
        <w:autoSpaceDE w:val="0"/>
        <w:autoSpaceDN w:val="0"/>
        <w:adjustRightInd w:val="0"/>
        <w:spacing w:after="0" w:line="360" w:lineRule="auto"/>
        <w:ind w:firstLine="284"/>
        <w:jc w:val="both"/>
      </w:pPr>
      <w:r>
        <w:t xml:space="preserve">Lacaze richiese un risarcimento al Governo argentino, il quale dopo alcuni anni accettò di sottomettere la controversia ad arbitrato. </w:t>
      </w:r>
      <w:r w:rsidR="00D91E17">
        <w:t>Sebbene</w:t>
      </w:r>
      <w:r w:rsidRPr="00141967">
        <w:t xml:space="preserve"> la Commissione arbitrale abbia riconosciuto la responsabilità internazionale dello Stato, nelle motivazioni della sentenza </w:t>
      </w:r>
      <w:r w:rsidR="00D91E17">
        <w:t xml:space="preserve">è contenuta </w:t>
      </w:r>
      <w:r w:rsidRPr="00141967">
        <w:t xml:space="preserve">una considerazione di ambigua interpretazione: </w:t>
      </w:r>
    </w:p>
    <w:p w:rsidR="003906E2" w:rsidRPr="00141967" w:rsidRDefault="003906E2" w:rsidP="00EB037D">
      <w:pPr>
        <w:autoSpaceDE w:val="0"/>
        <w:autoSpaceDN w:val="0"/>
        <w:adjustRightInd w:val="0"/>
        <w:spacing w:after="0" w:line="360" w:lineRule="auto"/>
        <w:ind w:firstLine="284"/>
        <w:jc w:val="both"/>
      </w:pPr>
    </w:p>
    <w:p w:rsidR="00CA5718" w:rsidRDefault="00CA5718" w:rsidP="00EB037D">
      <w:pPr>
        <w:autoSpaceDE w:val="0"/>
        <w:autoSpaceDN w:val="0"/>
        <w:adjustRightInd w:val="0"/>
        <w:spacing w:after="0" w:line="360" w:lineRule="auto"/>
        <w:ind w:left="567" w:right="567" w:firstLine="284"/>
        <w:jc w:val="both"/>
        <w:rPr>
          <w:lang w:val="en-US"/>
        </w:rPr>
      </w:pPr>
      <w:r w:rsidRPr="006B084E">
        <w:rPr>
          <w:lang w:val="en-US"/>
        </w:rPr>
        <w:t>“...Whereas, although this indemnity should have been claimed before the courts of ordinary law directly from the employee who caused the injury by an abuse of his powers, the Argentine Government, by agreeing to diplomatic intervention in this case and by consenting to its referral to arbitration, has assumed responsibility for the reparation due</w:t>
      </w:r>
      <w:r w:rsidRPr="006E1669">
        <w:rPr>
          <w:i/>
          <w:lang w:val="en-US"/>
        </w:rPr>
        <w:t>”</w:t>
      </w:r>
      <w:r w:rsidRPr="006E1669">
        <w:rPr>
          <w:rStyle w:val="Rimandonotaapidipagina"/>
          <w:lang w:val="fr-FR"/>
        </w:rPr>
        <w:footnoteReference w:id="141"/>
      </w:r>
      <w:r w:rsidRPr="006E1669">
        <w:rPr>
          <w:lang w:val="en-US"/>
        </w:rPr>
        <w:t>. </w:t>
      </w:r>
    </w:p>
    <w:p w:rsidR="003906E2" w:rsidRDefault="003906E2" w:rsidP="00EB037D">
      <w:pPr>
        <w:autoSpaceDE w:val="0"/>
        <w:autoSpaceDN w:val="0"/>
        <w:adjustRightInd w:val="0"/>
        <w:spacing w:after="0" w:line="360" w:lineRule="auto"/>
        <w:ind w:firstLine="284"/>
        <w:jc w:val="both"/>
        <w:rPr>
          <w:lang w:val="en-US"/>
        </w:rPr>
      </w:pPr>
    </w:p>
    <w:p w:rsidR="00CA5718" w:rsidRPr="00925656" w:rsidRDefault="00CA5718" w:rsidP="00EB037D">
      <w:pPr>
        <w:autoSpaceDE w:val="0"/>
        <w:autoSpaceDN w:val="0"/>
        <w:adjustRightInd w:val="0"/>
        <w:spacing w:after="0" w:line="360" w:lineRule="auto"/>
        <w:ind w:firstLine="284"/>
        <w:jc w:val="both"/>
      </w:pPr>
      <w:r w:rsidRPr="00925656">
        <w:t xml:space="preserve">Risulta difficile chiarire se con tale dichiarazione </w:t>
      </w:r>
      <w:r w:rsidR="00B61D8A" w:rsidRPr="00925656">
        <w:t>la Commissione arbitrale abbia</w:t>
      </w:r>
      <w:r w:rsidRPr="00925656">
        <w:t xml:space="preserve"> voluto ricordare che nel caso di specie il Governo argentino aveva rinunciato ad esigere dal ricorrente il previo esaurimento de</w:t>
      </w:r>
      <w:r w:rsidR="002224E0" w:rsidRPr="00925656">
        <w:t>i ricorsi interni, oppure abbia</w:t>
      </w:r>
      <w:r w:rsidRPr="00925656">
        <w:t xml:space="preserve"> ritenuto che una condotta </w:t>
      </w:r>
      <w:r w:rsidRPr="00925656">
        <w:rPr>
          <w:i/>
        </w:rPr>
        <w:lastRenderedPageBreak/>
        <w:t>ultra vires</w:t>
      </w:r>
      <w:r w:rsidRPr="00925656">
        <w:t xml:space="preserve"> di un or</w:t>
      </w:r>
      <w:r w:rsidR="00B87810" w:rsidRPr="00925656">
        <w:t xml:space="preserve">gano subordinato non può far sorgere la responsabilità dello </w:t>
      </w:r>
      <w:r w:rsidRPr="00925656">
        <w:t>Stato nell’ordinamento internazionale</w:t>
      </w:r>
      <w:r w:rsidRPr="00925656">
        <w:rPr>
          <w:rStyle w:val="Rimandonotaapidipagina"/>
        </w:rPr>
        <w:footnoteReference w:id="142"/>
      </w:r>
      <w:r w:rsidRPr="00925656">
        <w:t xml:space="preserve">. </w:t>
      </w:r>
    </w:p>
    <w:p w:rsidR="00CA5718" w:rsidRPr="00925656" w:rsidRDefault="00CA5718" w:rsidP="00EB037D">
      <w:pPr>
        <w:autoSpaceDE w:val="0"/>
        <w:autoSpaceDN w:val="0"/>
        <w:adjustRightInd w:val="0"/>
        <w:spacing w:after="0" w:line="360" w:lineRule="auto"/>
        <w:ind w:firstLine="284"/>
        <w:jc w:val="both"/>
      </w:pPr>
      <w:r w:rsidRPr="00925656">
        <w:t>Tale ultima tesi era stata sostenuta dal pr</w:t>
      </w:r>
      <w:r w:rsidR="00E63737" w:rsidRPr="00925656">
        <w:t>ocuratore della Confederazione a</w:t>
      </w:r>
      <w:r w:rsidRPr="00925656">
        <w:t>rgentina che in un rapporto del 21 maggio 1860 aveva affermato che nel caso in cui la condotta dell’amministratore della dogana di Concordia fosse stata contraria al diritto interno, sarebbe sorta soltanto la responsabilità personale dell’organo e non quella della Confederazione</w:t>
      </w:r>
      <w:r w:rsidRPr="00925656">
        <w:rPr>
          <w:rStyle w:val="Rimandonotaapidipagina"/>
        </w:rPr>
        <w:footnoteReference w:id="143"/>
      </w:r>
      <w:r w:rsidRPr="00925656">
        <w:t>.</w:t>
      </w:r>
    </w:p>
    <w:p w:rsidR="00CA5718" w:rsidRPr="00925656" w:rsidRDefault="00CA5718" w:rsidP="00EB037D">
      <w:pPr>
        <w:autoSpaceDE w:val="0"/>
        <w:autoSpaceDN w:val="0"/>
        <w:adjustRightInd w:val="0"/>
        <w:spacing w:after="0" w:line="360" w:lineRule="auto"/>
        <w:ind w:firstLine="284"/>
        <w:jc w:val="both"/>
      </w:pPr>
      <w:r w:rsidRPr="00925656">
        <w:t xml:space="preserve">Una sentenza che è stata spesso erroneamente citata come una pronuncia in cui viene asserita l’impossibilità di </w:t>
      </w:r>
      <w:r w:rsidR="00B87810" w:rsidRPr="00925656">
        <w:t xml:space="preserve">riconoscere lo Stato internazionalmente responsabile per </w:t>
      </w:r>
      <w:r w:rsidRPr="00925656">
        <w:t xml:space="preserve">i fatti </w:t>
      </w:r>
      <w:r w:rsidRPr="00925656">
        <w:rPr>
          <w:i/>
        </w:rPr>
        <w:t>ultra vires</w:t>
      </w:r>
      <w:r w:rsidRPr="00925656">
        <w:t xml:space="preserve"> dei propri organi è quella resa</w:t>
      </w:r>
      <w:r w:rsidR="00CC219F" w:rsidRPr="00925656">
        <w:t xml:space="preserve"> </w:t>
      </w:r>
      <w:r w:rsidRPr="00925656">
        <w:t>nel caso</w:t>
      </w:r>
      <w:r w:rsidRPr="00925656">
        <w:rPr>
          <w:i/>
        </w:rPr>
        <w:t xml:space="preserve"> Joseph Forrest v The United States of Venezuela</w:t>
      </w:r>
      <w:r w:rsidRPr="00925656">
        <w:rPr>
          <w:rStyle w:val="Rimandonotaapidipagina"/>
        </w:rPr>
        <w:footnoteReference w:id="144"/>
      </w:r>
      <w:r w:rsidRPr="00925656">
        <w:t xml:space="preserve">. La Commissione arbitrale istituita tra Stati Uniti e Venezuela ha rigettato la richiesta di risarcimento formulata da un ricorrente americano sulla base del fatto che il ritardato scarico da parte delle autorità portuali venezuelane di una grande quantità di farina di una imbarcazione dal nome </w:t>
      </w:r>
      <w:r w:rsidRPr="00925656">
        <w:rPr>
          <w:i/>
        </w:rPr>
        <w:t>William Yeaton</w:t>
      </w:r>
      <w:r w:rsidRPr="00925656">
        <w:t xml:space="preserve"> che, a seguito della riconquista del territorio da parte delle forze spagnole, era stata sequestrata, non poteva essere considerato un fatto statale sul piano internazionale.</w:t>
      </w:r>
    </w:p>
    <w:p w:rsidR="00CA5718" w:rsidRPr="00925656" w:rsidRDefault="00CA5718" w:rsidP="00EB037D">
      <w:pPr>
        <w:autoSpaceDE w:val="0"/>
        <w:autoSpaceDN w:val="0"/>
        <w:adjustRightInd w:val="0"/>
        <w:spacing w:after="0" w:line="360" w:lineRule="auto"/>
        <w:ind w:firstLine="284"/>
        <w:jc w:val="both"/>
      </w:pPr>
      <w:r w:rsidRPr="00925656">
        <w:t>Il commissari</w:t>
      </w:r>
      <w:r w:rsidR="009E6980" w:rsidRPr="00925656">
        <w:t>o venezuelano Andrade motivò</w:t>
      </w:r>
      <w:r w:rsidRPr="00925656">
        <w:t xml:space="preserve"> la</w:t>
      </w:r>
      <w:r w:rsidR="009E6980" w:rsidRPr="00925656">
        <w:t xml:space="preserve"> decisione della Commissione richiamando la tesi di </w:t>
      </w:r>
      <w:r w:rsidRPr="00925656">
        <w:t>Calvo secondo cui lo Stato incorre solo in una responsabilità morale per tutte le azioni ed omissioni tenute dai propri organi nell’adempimento delle proprie funzioni pubbliche:</w:t>
      </w:r>
    </w:p>
    <w:p w:rsidR="00CA5718" w:rsidRDefault="00CA5718" w:rsidP="00EB037D">
      <w:pPr>
        <w:autoSpaceDE w:val="0"/>
        <w:autoSpaceDN w:val="0"/>
        <w:adjustRightInd w:val="0"/>
        <w:spacing w:after="0" w:line="360" w:lineRule="auto"/>
        <w:ind w:firstLine="284"/>
        <w:jc w:val="both"/>
        <w:rPr>
          <w:sz w:val="20"/>
          <w:szCs w:val="20"/>
        </w:rPr>
      </w:pPr>
    </w:p>
    <w:p w:rsidR="00CA5718" w:rsidRPr="00925656" w:rsidRDefault="00CA5718" w:rsidP="00EB037D">
      <w:pPr>
        <w:autoSpaceDE w:val="0"/>
        <w:autoSpaceDN w:val="0"/>
        <w:adjustRightInd w:val="0"/>
        <w:spacing w:after="0" w:line="360" w:lineRule="auto"/>
        <w:ind w:left="567" w:right="567" w:firstLine="284"/>
        <w:jc w:val="both"/>
        <w:rPr>
          <w:lang w:val="en-US"/>
        </w:rPr>
      </w:pPr>
      <w:r w:rsidRPr="00A41CB6">
        <w:rPr>
          <w:lang w:val="en-US"/>
        </w:rPr>
        <w:t xml:space="preserve">“it is a principle of International law well recognized by civilized nations, that governments are not ordinarily at least, held to be responsible, pecuniarily for the </w:t>
      </w:r>
      <w:r w:rsidRPr="00925656">
        <w:rPr>
          <w:lang w:val="en-US"/>
        </w:rPr>
        <w:t>acts of their officers in the exercise of their public duties, a principle more than once supported by the opinion of the most prominent American jurisconsults”</w:t>
      </w:r>
      <w:r w:rsidRPr="00925656">
        <w:rPr>
          <w:rStyle w:val="Rimandonotaapidipagina"/>
        </w:rPr>
        <w:footnoteReference w:id="145"/>
      </w:r>
      <w:r w:rsidRPr="00925656">
        <w:rPr>
          <w:lang w:val="en-US"/>
        </w:rPr>
        <w:t xml:space="preserve">. </w:t>
      </w:r>
    </w:p>
    <w:p w:rsidR="00CA5718" w:rsidRPr="00925656" w:rsidRDefault="00CA5718" w:rsidP="00400170">
      <w:pPr>
        <w:autoSpaceDE w:val="0"/>
        <w:autoSpaceDN w:val="0"/>
        <w:adjustRightInd w:val="0"/>
        <w:spacing w:after="0" w:line="360" w:lineRule="auto"/>
        <w:jc w:val="both"/>
        <w:rPr>
          <w:lang w:val="en-US"/>
        </w:rPr>
      </w:pPr>
    </w:p>
    <w:p w:rsidR="00CA5718" w:rsidRPr="00925656" w:rsidRDefault="00B87810" w:rsidP="00EB037D">
      <w:pPr>
        <w:autoSpaceDE w:val="0"/>
        <w:autoSpaceDN w:val="0"/>
        <w:adjustRightInd w:val="0"/>
        <w:spacing w:after="0" w:line="360" w:lineRule="auto"/>
        <w:ind w:firstLine="284"/>
        <w:jc w:val="both"/>
      </w:pPr>
      <w:r w:rsidRPr="00925656">
        <w:t xml:space="preserve">L’impossibilità di riconoscere lo Stato responsabile sul piano internazionale </w:t>
      </w:r>
      <w:r w:rsidR="00CA5718" w:rsidRPr="00925656">
        <w:t>non</w:t>
      </w:r>
      <w:r w:rsidRPr="00925656">
        <w:t xml:space="preserve"> sembra qui però essere limitata</w:t>
      </w:r>
      <w:r w:rsidR="00CA5718" w:rsidRPr="00925656">
        <w:t xml:space="preserve"> esclusivamente ai fatti </w:t>
      </w:r>
      <w:r w:rsidR="00CA5718" w:rsidRPr="00925656">
        <w:rPr>
          <w:i/>
        </w:rPr>
        <w:t>ultra vires</w:t>
      </w:r>
      <w:r w:rsidR="00CA5718" w:rsidRPr="00925656">
        <w:t>, ma a qualsiasi condotta tenuta da organi statali.</w:t>
      </w:r>
    </w:p>
    <w:p w:rsidR="00CA5718" w:rsidRPr="00925656" w:rsidRDefault="00CA5718" w:rsidP="00EB037D">
      <w:pPr>
        <w:autoSpaceDE w:val="0"/>
        <w:autoSpaceDN w:val="0"/>
        <w:adjustRightInd w:val="0"/>
        <w:spacing w:after="0" w:line="360" w:lineRule="auto"/>
        <w:ind w:firstLine="284"/>
        <w:jc w:val="both"/>
      </w:pPr>
      <w:r w:rsidRPr="00925656">
        <w:t>L’ultima sentenza arbitrale in cui è stata espressamente ammessa la tesi</w:t>
      </w:r>
      <w:r w:rsidR="00B87810" w:rsidRPr="00925656">
        <w:t xml:space="preserve"> dell’impossibilità di riconoscere </w:t>
      </w:r>
      <w:r w:rsidRPr="00925656">
        <w:t>lo Stato</w:t>
      </w:r>
      <w:r w:rsidR="00B87810" w:rsidRPr="00925656">
        <w:t xml:space="preserve"> responsabile per</w:t>
      </w:r>
      <w:r w:rsidRPr="00925656">
        <w:t xml:space="preserve"> i fatti </w:t>
      </w:r>
      <w:r w:rsidRPr="00925656">
        <w:rPr>
          <w:i/>
        </w:rPr>
        <w:t>ultra vires</w:t>
      </w:r>
      <w:r w:rsidRPr="00925656">
        <w:t xml:space="preserve"> dei propri organi è stata resa il 30 settembre 1901 nel caso </w:t>
      </w:r>
      <w:r w:rsidRPr="00925656">
        <w:rPr>
          <w:i/>
        </w:rPr>
        <w:t>Gadino</w:t>
      </w:r>
      <w:r w:rsidRPr="00925656">
        <w:t>, nel quadro dell’arbitrato istituito tra Italia e Perù nel 1899 per il risarcimento dei danni subiti da alcuni cittadini italiani durante la guerra civile peruviana del 1894-1895. Il reclamo numero 20 f</w:t>
      </w:r>
      <w:r w:rsidR="00AE1AEC" w:rsidRPr="00925656">
        <w:t xml:space="preserve">u presentato dal ricorrente </w:t>
      </w:r>
      <w:r w:rsidRPr="00925656">
        <w:t xml:space="preserve">Jacinto Gadino il quale lamentava di essere stato detenuto e torturato da alcuni agenti di polizia. </w:t>
      </w:r>
    </w:p>
    <w:p w:rsidR="00CA5718" w:rsidRPr="00925656" w:rsidRDefault="00CA5718" w:rsidP="00EB037D">
      <w:pPr>
        <w:autoSpaceDE w:val="0"/>
        <w:autoSpaceDN w:val="0"/>
        <w:adjustRightInd w:val="0"/>
        <w:spacing w:after="0" w:line="360" w:lineRule="auto"/>
        <w:ind w:firstLine="284"/>
        <w:jc w:val="both"/>
        <w:rPr>
          <w:lang w:val="fr-FR"/>
        </w:rPr>
      </w:pPr>
      <w:r w:rsidRPr="00925656">
        <w:t>Dopo aver riconosciuto la contrarietà delle condott</w:t>
      </w:r>
      <w:r w:rsidR="00C343F1" w:rsidRPr="00925656">
        <w:t>e all’ordinamento</w:t>
      </w:r>
      <w:r w:rsidRPr="00925656">
        <w:t xml:space="preserve"> interno peruviano</w:t>
      </w:r>
      <w:r w:rsidRPr="00925656">
        <w:rPr>
          <w:rStyle w:val="Rimandonotaapidipagina"/>
        </w:rPr>
        <w:footnoteReference w:id="146"/>
      </w:r>
      <w:r w:rsidRPr="00925656">
        <w:t xml:space="preserve">, l’arbitro ha ritenuto che il Perù non fosse tenuto a risponderne in ambito internazionale in quanto aveva provveduto a dare inizio a dei procedimenti penali </w:t>
      </w:r>
      <w:r w:rsidR="00D43E19" w:rsidRPr="00925656">
        <w:t xml:space="preserve">nei confronti dei responsabili. </w:t>
      </w:r>
      <w:r w:rsidRPr="00925656">
        <w:rPr>
          <w:lang w:val="fr-FR"/>
        </w:rPr>
        <w:t>Secondo l’arbitro Gil de Ur</w:t>
      </w:r>
      <w:r w:rsidRPr="00925656">
        <w:rPr>
          <w:rFonts w:cstheme="minorHAnsi"/>
          <w:lang w:val="fr-FR"/>
        </w:rPr>
        <w:t>í</w:t>
      </w:r>
      <w:r w:rsidRPr="00925656">
        <w:rPr>
          <w:lang w:val="fr-FR"/>
        </w:rPr>
        <w:t>barri :</w:t>
      </w:r>
    </w:p>
    <w:p w:rsidR="00CA5718" w:rsidRPr="00925656" w:rsidRDefault="00CA5718" w:rsidP="00EB037D">
      <w:pPr>
        <w:autoSpaceDE w:val="0"/>
        <w:autoSpaceDN w:val="0"/>
        <w:adjustRightInd w:val="0"/>
        <w:spacing w:after="0" w:line="360" w:lineRule="auto"/>
        <w:ind w:firstLine="284"/>
        <w:jc w:val="both"/>
        <w:rPr>
          <w:lang w:val="fr-FR"/>
        </w:rPr>
      </w:pPr>
    </w:p>
    <w:p w:rsidR="00CA5718" w:rsidRPr="00925656" w:rsidRDefault="00CA5718" w:rsidP="00EB037D">
      <w:pPr>
        <w:autoSpaceDE w:val="0"/>
        <w:autoSpaceDN w:val="0"/>
        <w:adjustRightInd w:val="0"/>
        <w:spacing w:after="0" w:line="360" w:lineRule="auto"/>
        <w:ind w:left="567" w:right="567" w:firstLine="284"/>
        <w:jc w:val="both"/>
        <w:rPr>
          <w:lang w:val="fr-FR"/>
        </w:rPr>
      </w:pPr>
      <w:r w:rsidRPr="00925656">
        <w:rPr>
          <w:lang w:val="fr-FR"/>
        </w:rPr>
        <w:t>“un principe de droit international, universellement reconnu, veut que lorsqu’un Gouvernement n’emploie pas les moyens en son pouvoir pour emp</w:t>
      </w:r>
      <w:r w:rsidRPr="00925656">
        <w:rPr>
          <w:rFonts w:cstheme="minorHAnsi"/>
          <w:lang w:val="fr-FR"/>
        </w:rPr>
        <w:t>ê</w:t>
      </w:r>
      <w:r w:rsidRPr="00925656">
        <w:rPr>
          <w:lang w:val="fr-FR"/>
        </w:rPr>
        <w:t xml:space="preserve">cher une agression contre un </w:t>
      </w:r>
      <w:r w:rsidRPr="00925656">
        <w:rPr>
          <w:rFonts w:cstheme="minorHAnsi"/>
          <w:lang w:val="fr-FR"/>
        </w:rPr>
        <w:t>é</w:t>
      </w:r>
      <w:r w:rsidRPr="00925656">
        <w:rPr>
          <w:lang w:val="fr-FR"/>
        </w:rPr>
        <w:t>tranger neutre qui respecte et observe les lois du pays o</w:t>
      </w:r>
      <w:r w:rsidRPr="00925656">
        <w:rPr>
          <w:rFonts w:cstheme="minorHAnsi"/>
          <w:lang w:val="fr-FR"/>
        </w:rPr>
        <w:t>ù</w:t>
      </w:r>
      <w:r w:rsidRPr="00925656">
        <w:rPr>
          <w:lang w:val="fr-FR"/>
        </w:rPr>
        <w:t xml:space="preserve"> il réside, ou ne ch</w:t>
      </w:r>
      <w:r w:rsidRPr="00925656">
        <w:rPr>
          <w:rFonts w:cstheme="minorHAnsi"/>
          <w:lang w:val="fr-FR"/>
        </w:rPr>
        <w:t>â</w:t>
      </w:r>
      <w:r w:rsidRPr="00925656">
        <w:rPr>
          <w:lang w:val="fr-FR"/>
        </w:rPr>
        <w:t>tie pas les délinquants, il engage sa responsabilité internationale, et que par conséquent l’étranger outragé a le droit de réclamer la réparation du préjudice causé selon le cas; mais que le m</w:t>
      </w:r>
      <w:r w:rsidRPr="00925656">
        <w:rPr>
          <w:rFonts w:cstheme="minorHAnsi"/>
          <w:lang w:val="fr-FR"/>
        </w:rPr>
        <w:t>ê</w:t>
      </w:r>
      <w:r w:rsidRPr="00925656">
        <w:rPr>
          <w:lang w:val="fr-FR"/>
        </w:rPr>
        <w:t>me principe décharge de toute responsabilité le Gouvernement qui a satisfait à l’un ou l’autre de ces devoirs”</w:t>
      </w:r>
      <w:r w:rsidRPr="00925656">
        <w:rPr>
          <w:rStyle w:val="Rimandonotaapidipagina"/>
          <w:lang w:val="fr-FR"/>
        </w:rPr>
        <w:footnoteReference w:id="147"/>
      </w:r>
      <w:r w:rsidRPr="00925656">
        <w:rPr>
          <w:lang w:val="fr-FR"/>
        </w:rPr>
        <w:t>. </w:t>
      </w:r>
    </w:p>
    <w:p w:rsidR="00CA5718" w:rsidRPr="00925656" w:rsidRDefault="00CA5718" w:rsidP="00EB037D">
      <w:pPr>
        <w:autoSpaceDE w:val="0"/>
        <w:autoSpaceDN w:val="0"/>
        <w:adjustRightInd w:val="0"/>
        <w:spacing w:after="0" w:line="360" w:lineRule="auto"/>
        <w:ind w:left="567" w:right="567" w:firstLine="284"/>
        <w:jc w:val="both"/>
        <w:rPr>
          <w:lang w:val="fr-FR"/>
        </w:rPr>
      </w:pPr>
    </w:p>
    <w:p w:rsidR="00CA5718" w:rsidRDefault="00CA5718" w:rsidP="00EB037D">
      <w:pPr>
        <w:autoSpaceDE w:val="0"/>
        <w:autoSpaceDN w:val="0"/>
        <w:adjustRightInd w:val="0"/>
        <w:spacing w:after="0" w:line="360" w:lineRule="auto"/>
        <w:ind w:firstLine="284"/>
        <w:jc w:val="both"/>
      </w:pPr>
      <w:r w:rsidRPr="00925656">
        <w:t xml:space="preserve">Anche </w:t>
      </w:r>
      <w:r w:rsidR="00B06EB5" w:rsidRPr="00925656">
        <w:t>in tale circostanza l’arbitro ha quindi ritenuto</w:t>
      </w:r>
      <w:r w:rsidRPr="00925656">
        <w:t xml:space="preserve"> che la responsabilità internazionale in caso di un comportamento </w:t>
      </w:r>
      <w:r w:rsidRPr="00925656">
        <w:rPr>
          <w:i/>
        </w:rPr>
        <w:t>ultra vires</w:t>
      </w:r>
      <w:r w:rsidRPr="00925656">
        <w:t xml:space="preserve"> di un organo statale può sorgere esclusivamente in caso di un mancato adempimento da parte dello Stato dell’obbligo di prevenzione o di repressione del</w:t>
      </w:r>
      <w:r>
        <w:t xml:space="preserve"> fatto illecito che aveva causato un danno allo straniero, equiparando pertanto il comportamento di un organo incompetente a quello di un privato.</w:t>
      </w:r>
    </w:p>
    <w:p w:rsidR="00CA5718" w:rsidRDefault="00CA5718" w:rsidP="00B87810">
      <w:pPr>
        <w:spacing w:after="0" w:line="360" w:lineRule="auto"/>
        <w:ind w:firstLine="284"/>
        <w:jc w:val="both"/>
      </w:pPr>
      <w:r>
        <w:lastRenderedPageBreak/>
        <w:t>La giurisprudenza arbitrale del diciannovesimo secolo è però caratterizzata da un elevato grado di ince</w:t>
      </w:r>
      <w:r w:rsidR="00B06EB5">
        <w:t xml:space="preserve">rtezza: mentre alcuni tribunali, come quelli appena menzionati, </w:t>
      </w:r>
      <w:r>
        <w:t xml:space="preserve">hanno rigettato l’idea che lo Stato sia tenuto a rispondere sul piano internazionale dei comportamenti </w:t>
      </w:r>
      <w:r w:rsidRPr="00681E16">
        <w:rPr>
          <w:i/>
        </w:rPr>
        <w:t>ultra vires</w:t>
      </w:r>
      <w:r>
        <w:t xml:space="preserve"> degli organi, altri l’hanno esplicitamente o implicitamente ammessa. Una implicita ammissione della validità del suddetto principio è ad esempio rinvenibile nella sentenza resa nel 1870 nel caso</w:t>
      </w:r>
      <w:r w:rsidRPr="00236DD5">
        <w:rPr>
          <w:i/>
        </w:rPr>
        <w:t xml:space="preserve"> Canada </w:t>
      </w:r>
      <w:r>
        <w:t>da parte dell’arbitro Thornton, chiamato a dirimere una controversia sorta tra Brasile e Stati Uniti</w:t>
      </w:r>
      <w:r>
        <w:rPr>
          <w:rStyle w:val="Rimandonotaapidipagina"/>
        </w:rPr>
        <w:footnoteReference w:id="148"/>
      </w:r>
      <w:r w:rsidR="00B87810">
        <w:t xml:space="preserve">. </w:t>
      </w:r>
      <w:r>
        <w:t xml:space="preserve">Un’imbarcazione brasiliana, denominata </w:t>
      </w:r>
      <w:r w:rsidRPr="007F1B1C">
        <w:rPr>
          <w:i/>
        </w:rPr>
        <w:t>Canada</w:t>
      </w:r>
      <w:r>
        <w:t xml:space="preserve">, si era incagliata nelle acque territoriali brasiliane. Il tentativo di salvare la nave intrapreso dal capitano e dal suo equipaggio è stato </w:t>
      </w:r>
      <w:r w:rsidR="00B06EB5">
        <w:t>impedito</w:t>
      </w:r>
      <w:r>
        <w:t xml:space="preserve"> con l’uso della forza dall’intervento di un ufficiale brasiliano insieme ad alcuni soldati in armi.  </w:t>
      </w:r>
    </w:p>
    <w:p w:rsidR="00CA5718" w:rsidRDefault="00CA5718" w:rsidP="00EB037D">
      <w:pPr>
        <w:spacing w:after="0" w:line="360" w:lineRule="auto"/>
        <w:ind w:firstLine="284"/>
        <w:jc w:val="both"/>
      </w:pPr>
      <w:r>
        <w:t>A seguito della perdita dell’imbarcazione, il capitano li ha ritenuti responsabili dell’accaduto. Il Governo brasiliano ha declinato la sua responsabilità e, dopo essersi rifiutato di pagare agli Stati Uniti una somma di denaro a titolo di risarcimento, ha deciso di accettare di sottoporre la controversia all’arbitro di Thornton. Abbracciando la tesi sostenuta dal Governo degli Stati Uniti secondo cui la condotta degli organi brasiliani costituiva un eccesso di potere di cui il Brasile doveva rispon</w:t>
      </w:r>
      <w:r w:rsidR="00C343F1">
        <w:t xml:space="preserve">dere nell’ordinamento </w:t>
      </w:r>
      <w:r>
        <w:t>internazionale</w:t>
      </w:r>
      <w:r>
        <w:rPr>
          <w:rStyle w:val="Rimandonotaapidipagina"/>
        </w:rPr>
        <w:footnoteReference w:id="149"/>
      </w:r>
      <w:r w:rsidR="00B06EB5">
        <w:t>, l’arbitro pur riconoscendo</w:t>
      </w:r>
      <w:r>
        <w:t xml:space="preserve"> che la condotta era stata tenuta </w:t>
      </w:r>
      <w:r w:rsidRPr="009A78DB">
        <w:rPr>
          <w:i/>
        </w:rPr>
        <w:t>ultra vires</w:t>
      </w:r>
      <w:r w:rsidR="00B06EB5">
        <w:t xml:space="preserve"> </w:t>
      </w:r>
      <w:r>
        <w:t>ha condannato il Brasile al pagamento di un risarcimento per i danni causati</w:t>
      </w:r>
      <w:r>
        <w:rPr>
          <w:rStyle w:val="Rimandonotaapidipagina"/>
        </w:rPr>
        <w:footnoteReference w:id="150"/>
      </w:r>
      <w:r>
        <w:t>.</w:t>
      </w:r>
    </w:p>
    <w:p w:rsidR="00CA5718" w:rsidRDefault="00CA5718" w:rsidP="00EB037D">
      <w:pPr>
        <w:spacing w:after="0" w:line="360" w:lineRule="auto"/>
        <w:ind w:firstLine="284"/>
        <w:jc w:val="both"/>
      </w:pPr>
      <w:r>
        <w:t>Nonostante l’arbitro non abbia esplicitato le ragioni che lo avevano portato a pronunciarsi in tal senso, sembra plausibile sostenere che abbia giocato un ruolo determinante il fatto che gli organi statali si erano avvalsi dei poteri loro conferiti rendendo impossibile all’equipaggio di opporsi all’evento dannoso.</w:t>
      </w:r>
    </w:p>
    <w:p w:rsidR="00CA5718" w:rsidRDefault="00CA5718" w:rsidP="00EB037D">
      <w:pPr>
        <w:spacing w:after="0" w:line="360" w:lineRule="auto"/>
        <w:ind w:firstLine="284"/>
        <w:jc w:val="both"/>
      </w:pPr>
      <w:r>
        <w:t>Valorizzando tale e</w:t>
      </w:r>
      <w:r w:rsidR="00B06EB5">
        <w:t>lemento, sembra che Thornton</w:t>
      </w:r>
      <w:r>
        <w:t xml:space="preserve"> abbia voluto sottolineare che lo Stato è tenuto a rispondere in ambito internazionale dei fatti </w:t>
      </w:r>
      <w:r w:rsidRPr="00B43F0D">
        <w:rPr>
          <w:i/>
        </w:rPr>
        <w:t>ultra vires</w:t>
      </w:r>
      <w:r>
        <w:t xml:space="preserve"> degli organi statali anche quando neanche in apparenza possono rientrare nel quadro della propria competenza allorché il compimento delle condotte illecite sia stato reso possibile da un uso abusivo dei mezzi messi a disposizione dell’organo in virtù della funzione svolta.</w:t>
      </w:r>
    </w:p>
    <w:p w:rsidR="00CA5718" w:rsidRDefault="00CA5718" w:rsidP="00EB037D">
      <w:pPr>
        <w:spacing w:after="0" w:line="360" w:lineRule="auto"/>
        <w:ind w:firstLine="284"/>
        <w:jc w:val="both"/>
      </w:pPr>
      <w:r>
        <w:t xml:space="preserve">Una sentenza in cui si è avuta una chiara enunciazione del principio secondo cui lo Stato deve rispondere internazionalmente dei comportamenti dei propri organi anche se tenuti </w:t>
      </w:r>
      <w:r>
        <w:lastRenderedPageBreak/>
        <w:t xml:space="preserve">nel mancato rispetto delle prescrizioni di diritto interno in tema di competenza o delle istruzioni loro impartite è quella resa nel caso </w:t>
      </w:r>
      <w:r w:rsidRPr="00271883">
        <w:rPr>
          <w:i/>
        </w:rPr>
        <w:t>Speyers</w:t>
      </w:r>
      <w:r>
        <w:t xml:space="preserve"> dalla Commissione arbitrale costituita tra Stati Uniti e Messico in virtù di una Convenzione del 4 luglio 1868.</w:t>
      </w:r>
    </w:p>
    <w:p w:rsidR="00CA5718" w:rsidRDefault="00CA5718" w:rsidP="00EB037D">
      <w:pPr>
        <w:spacing w:after="0" w:line="360" w:lineRule="auto"/>
        <w:ind w:firstLine="284"/>
        <w:jc w:val="both"/>
      </w:pPr>
      <w:r>
        <w:t>Un cittadino americano aveva importato dei beni in Messico adempiendo al pagamento di alcune tasse alle importazioni imposte da un regolamento doganale promulgato dal generale a capo delle forze militari della regione in cui risiedeva. A seguito dell’abrogazione del regolamento in quanto confliggente con una legge messicana adottata dal Congresso, le autorità messicane hanno confiscato i beni sostenendo che la loro importazione era avvenuta nel mancato rispetto del diritto interno.</w:t>
      </w:r>
    </w:p>
    <w:p w:rsidR="00CA5718" w:rsidRDefault="00CA5718" w:rsidP="00EB037D">
      <w:pPr>
        <w:spacing w:after="0" w:line="360" w:lineRule="auto"/>
        <w:ind w:firstLine="284"/>
        <w:jc w:val="both"/>
      </w:pPr>
      <w:r>
        <w:t>Il membro messicano della Commissione sosteneva che l’importazione dei beni era stata illegittima in quanto lo Stato messicano non poteva dirsi vincolato da un regolamento che il generale non aveva la competenza di promulgare in base al testo della Costituzione messicana. L’importazione dei beni risultava illegale alla luce della legge messicana vigente, per cui il sequestro risultava essere pienamente giustificato.</w:t>
      </w:r>
    </w:p>
    <w:p w:rsidR="00CA5718" w:rsidRDefault="00CA5718" w:rsidP="00EB037D">
      <w:pPr>
        <w:spacing w:after="0" w:line="360" w:lineRule="auto"/>
        <w:ind w:firstLine="284"/>
        <w:jc w:val="both"/>
      </w:pPr>
      <w:r>
        <w:t xml:space="preserve">Il membro americano della Commissione ha invece sostenuto che i beni erano stati importati in maniera regolare, dal momento che il regolamento doganale del generale Avalos  impegnava il Governo messicano. </w:t>
      </w:r>
    </w:p>
    <w:p w:rsidR="007C443A" w:rsidRPr="007C443A" w:rsidRDefault="00CA5718" w:rsidP="00EB037D">
      <w:pPr>
        <w:spacing w:after="0" w:line="360" w:lineRule="auto"/>
        <w:ind w:firstLine="284"/>
        <w:jc w:val="both"/>
      </w:pPr>
      <w:r w:rsidRPr="007C443A">
        <w:t xml:space="preserve">Il superarbitro Lieber ha rigettato l’argomentazione addotta dal Governo messicano al fine di negare la </w:t>
      </w:r>
      <w:r w:rsidR="006B028D">
        <w:t xml:space="preserve">propria responsabilità internazionale, </w:t>
      </w:r>
      <w:r w:rsidRPr="007C443A">
        <w:t>dal momento che</w:t>
      </w:r>
      <w:r w:rsidR="007C443A" w:rsidRPr="007C443A">
        <w:t>:</w:t>
      </w:r>
    </w:p>
    <w:p w:rsidR="007C443A" w:rsidRDefault="007C443A" w:rsidP="00EB037D">
      <w:pPr>
        <w:spacing w:after="0" w:line="360" w:lineRule="auto"/>
        <w:ind w:firstLine="284"/>
        <w:jc w:val="both"/>
      </w:pPr>
    </w:p>
    <w:p w:rsidR="00CA5718" w:rsidRPr="00B06EB5" w:rsidRDefault="00CA5718" w:rsidP="00EB037D">
      <w:pPr>
        <w:spacing w:after="0" w:line="360" w:lineRule="auto"/>
        <w:ind w:left="567" w:right="567" w:firstLine="284"/>
        <w:jc w:val="both"/>
      </w:pPr>
      <w:r w:rsidRPr="00B06EB5">
        <w:t xml:space="preserve"> </w:t>
      </w:r>
      <w:r w:rsidRPr="00B06EB5">
        <w:rPr>
          <w:lang w:val="en-US"/>
        </w:rPr>
        <w:t>“what can a private individual do if the military commander of a whole State, pressed by rebellion,  prescribes a tariff (…), if this tariff, contradictory to the general law of the land though it be, is openly maintained for a long time and apparently countenanced  by the general government (…)”</w:t>
      </w:r>
      <w:r w:rsidRPr="00B06EB5">
        <w:rPr>
          <w:rStyle w:val="Rimandonotaapidipagina"/>
          <w:lang w:val="en-US"/>
        </w:rPr>
        <w:footnoteReference w:id="151"/>
      </w:r>
      <w:r w:rsidRPr="00B06EB5">
        <w:t>.</w:t>
      </w:r>
    </w:p>
    <w:p w:rsidR="007C443A" w:rsidRPr="00634E1A" w:rsidRDefault="007C443A" w:rsidP="00EB037D">
      <w:pPr>
        <w:spacing w:after="0" w:line="360" w:lineRule="auto"/>
        <w:ind w:firstLine="284"/>
        <w:jc w:val="both"/>
      </w:pPr>
    </w:p>
    <w:p w:rsidR="00CA5718" w:rsidRDefault="00CA5718" w:rsidP="00EB037D">
      <w:pPr>
        <w:spacing w:after="0" w:line="360" w:lineRule="auto"/>
        <w:ind w:firstLine="284"/>
        <w:jc w:val="both"/>
      </w:pPr>
      <w:r w:rsidRPr="00634E1A">
        <w:t>U</w:t>
      </w:r>
      <w:r>
        <w:t>no straniero residente in Messico</w:t>
      </w:r>
      <w:r w:rsidRPr="00634E1A">
        <w:t xml:space="preserve"> </w:t>
      </w:r>
      <w:r>
        <w:t>non poteva difatti sottrarsi dal rispettare un regolamento ufficiale in vigore nel territorio di uno Stato e apparentemente approvato dal Governo, dal momento che era per lui impossibile valutarne la liceità o</w:t>
      </w:r>
      <w:r w:rsidR="00C343F1">
        <w:t xml:space="preserve"> meno rispetto all’ordinamento</w:t>
      </w:r>
      <w:r>
        <w:t xml:space="preserve"> interno</w:t>
      </w:r>
      <w:r>
        <w:rPr>
          <w:rStyle w:val="Rimandonotaapidipagina"/>
        </w:rPr>
        <w:footnoteReference w:id="152"/>
      </w:r>
      <w:r>
        <w:t xml:space="preserve">.  </w:t>
      </w:r>
    </w:p>
    <w:p w:rsidR="00CA5718" w:rsidRDefault="00CA5718" w:rsidP="00DA2EB0">
      <w:pPr>
        <w:spacing w:after="0" w:line="360" w:lineRule="auto"/>
        <w:ind w:firstLine="284"/>
        <w:jc w:val="both"/>
      </w:pPr>
      <w:r>
        <w:lastRenderedPageBreak/>
        <w:t xml:space="preserve">In tale circostanza l’elemento valorizzato dall’arbitro al fine di ritenere </w:t>
      </w:r>
      <w:r w:rsidR="00CA1770">
        <w:t xml:space="preserve">lo Stato responsabile sul piano internazionale per </w:t>
      </w:r>
      <w:r>
        <w:t xml:space="preserve">la condotta </w:t>
      </w:r>
      <w:r w:rsidRPr="00CD28ED">
        <w:rPr>
          <w:i/>
        </w:rPr>
        <w:t>ultra vires</w:t>
      </w:r>
      <w:r>
        <w:t xml:space="preserve"> </w:t>
      </w:r>
      <w:r w:rsidR="00CA1770">
        <w:t xml:space="preserve">dei propri organi </w:t>
      </w:r>
      <w:r>
        <w:t>sembra essere il fatto che agli occhi della vittima il comportamento era apparso come tenuto dall’organo nel rispetto della competenza, nonostante il reale superamento dei limiti delle proprie funzioni. Viene difatti dato rilievo al punto di vista della vittima che, al momento del compimento del fatto illecito da parte dell’organo</w:t>
      </w:r>
      <w:r w:rsidR="00B94E9D">
        <w:t>,</w:t>
      </w:r>
      <w:r>
        <w:t xml:space="preserve"> ha commesso in buona fede un plausibile errore di apprezzamento.</w:t>
      </w:r>
    </w:p>
    <w:p w:rsidR="006B028D" w:rsidRDefault="006B028D" w:rsidP="00DA2EB0">
      <w:pPr>
        <w:spacing w:after="0" w:line="360" w:lineRule="auto"/>
        <w:ind w:firstLine="284"/>
        <w:jc w:val="both"/>
      </w:pPr>
    </w:p>
    <w:p w:rsidR="00CA5718" w:rsidRDefault="00CA5718" w:rsidP="00EB037D">
      <w:pPr>
        <w:spacing w:after="0"/>
        <w:ind w:firstLine="284"/>
        <w:jc w:val="both"/>
      </w:pPr>
      <w:r>
        <w:t xml:space="preserve">5. </w:t>
      </w:r>
      <w:r w:rsidR="008F0972">
        <w:t xml:space="preserve">Conclusioni </w:t>
      </w:r>
      <w:r>
        <w:t xml:space="preserve">circa la prassi </w:t>
      </w:r>
      <w:r w:rsidR="008F0972">
        <w:t>e la giurisprudenza esaminate</w:t>
      </w:r>
      <w:r w:rsidR="00B62DCD">
        <w:t xml:space="preserve"> </w:t>
      </w:r>
    </w:p>
    <w:p w:rsidR="00B74D9C" w:rsidRDefault="00B74D9C" w:rsidP="004676E2">
      <w:pPr>
        <w:tabs>
          <w:tab w:val="left" w:pos="1507"/>
        </w:tabs>
        <w:spacing w:after="0"/>
        <w:ind w:firstLine="284"/>
        <w:jc w:val="both"/>
      </w:pPr>
    </w:p>
    <w:p w:rsidR="00CB5BF7" w:rsidRDefault="00CA5718" w:rsidP="00503D98">
      <w:pPr>
        <w:spacing w:after="0" w:line="360" w:lineRule="auto"/>
        <w:ind w:firstLine="284"/>
        <w:jc w:val="both"/>
      </w:pPr>
      <w:r w:rsidRPr="00B74D9C">
        <w:rPr>
          <w:bCs/>
        </w:rPr>
        <w:t>Nel corso del diciannovesimo secolo, le prese di posizione degli Stati e la giurisprudenza internazionale hanno in diverse occasioni rigettato l</w:t>
      </w:r>
      <w:r w:rsidR="00DA2EB0" w:rsidRPr="00B74D9C">
        <w:rPr>
          <w:bCs/>
        </w:rPr>
        <w:t>a responsabilità dello Stato per i</w:t>
      </w:r>
      <w:r w:rsidRPr="00B74D9C">
        <w:rPr>
          <w:bCs/>
        </w:rPr>
        <w:t xml:space="preserve"> comportamen</w:t>
      </w:r>
      <w:r w:rsidR="008D13B9">
        <w:rPr>
          <w:bCs/>
        </w:rPr>
        <w:t>ti adottati dai propri organi</w:t>
      </w:r>
      <w:r w:rsidRPr="00B74D9C">
        <w:rPr>
          <w:bCs/>
        </w:rPr>
        <w:t xml:space="preserve"> </w:t>
      </w:r>
      <w:r w:rsidRPr="00B74D9C">
        <w:rPr>
          <w:bCs/>
          <w:i/>
        </w:rPr>
        <w:t>ultra vires</w:t>
      </w:r>
      <w:r w:rsidRPr="00B74D9C">
        <w:rPr>
          <w:bCs/>
        </w:rPr>
        <w:t xml:space="preserve">. </w:t>
      </w:r>
      <w:r w:rsidR="00B74D9C">
        <w:rPr>
          <w:bCs/>
        </w:rPr>
        <w:t xml:space="preserve">A tal riguardo </w:t>
      </w:r>
      <w:r w:rsidR="00B74D9C">
        <w:t xml:space="preserve">è opportuno notare come nella prassi più antica la questione dei fatti </w:t>
      </w:r>
      <w:r w:rsidR="00B74D9C" w:rsidRPr="00B74D9C">
        <w:rPr>
          <w:i/>
        </w:rPr>
        <w:t>ultra vires</w:t>
      </w:r>
      <w:r w:rsidR="00B74D9C">
        <w:t xml:space="preserve"> degli organi statali non </w:t>
      </w:r>
      <w:r w:rsidR="00E04DBB">
        <w:t xml:space="preserve">veniva </w:t>
      </w:r>
      <w:r w:rsidR="00B74D9C">
        <w:t>trattata in funzione della loro attribuibilità allo Stato quale soggetto di diritto internazionale, ma soltanto nel s</w:t>
      </w:r>
      <w:r w:rsidR="00DB6021">
        <w:t>enso di indagare se lo Stato ne fosse internazionalmente responsabile.</w:t>
      </w:r>
      <w:r w:rsidR="00CB5BF7">
        <w:t xml:space="preserve"> Nonostante non se ne facesse una esplicita menzione, nei pochi casi in cui la responsabilità internazionale dello Stato per i fatti illeciti </w:t>
      </w:r>
      <w:r w:rsidR="00CB5BF7" w:rsidRPr="00CB5BF7">
        <w:rPr>
          <w:i/>
        </w:rPr>
        <w:t>ultra vires</w:t>
      </w:r>
      <w:r w:rsidR="00CB5BF7">
        <w:rPr>
          <w:i/>
        </w:rPr>
        <w:t xml:space="preserve"> </w:t>
      </w:r>
      <w:r w:rsidR="00CB5BF7">
        <w:t xml:space="preserve">è stata ammessa, ha </w:t>
      </w:r>
      <w:r w:rsidR="00503D98">
        <w:t xml:space="preserve">presumibilmente </w:t>
      </w:r>
      <w:r w:rsidR="00CB5BF7">
        <w:t>trovato fondamento sulla loro attribuzione allo Stato quale soggetto internazionale.</w:t>
      </w:r>
    </w:p>
    <w:p w:rsidR="00CA5718" w:rsidRPr="00E04DBB" w:rsidRDefault="00503D98" w:rsidP="00E04DBB">
      <w:pPr>
        <w:spacing w:after="0" w:line="360" w:lineRule="auto"/>
        <w:ind w:firstLine="284"/>
        <w:jc w:val="both"/>
      </w:pPr>
      <w:r>
        <w:rPr>
          <w:bCs/>
        </w:rPr>
        <w:t>Alla luce dei dati della prassi finora esaminata, l</w:t>
      </w:r>
      <w:r w:rsidR="00CA5718" w:rsidRPr="00E04DBB">
        <w:rPr>
          <w:bCs/>
        </w:rPr>
        <w:t xml:space="preserve">e condotte tenute da un organo nel mancato rispetto delle disposizioni di diritto interno o delle istruzioni ricevute venivano assimilate ai comportamenti adottati da un semplice privato, di cui lo Stato non era tenuto a rispondere sul piano internazionale, se non per il fatto, imputabile ad ulteriori organi, di non aver prevenuto o represso tali condotte pur essendo in grado di farlo. </w:t>
      </w:r>
    </w:p>
    <w:p w:rsidR="00CA5718" w:rsidRDefault="00D038B5" w:rsidP="00DB6021">
      <w:pPr>
        <w:spacing w:after="0" w:line="360" w:lineRule="auto"/>
        <w:ind w:firstLine="284"/>
        <w:jc w:val="both"/>
      </w:pPr>
      <w:r>
        <w:t>L’ordinamento</w:t>
      </w:r>
      <w:r w:rsidR="00CA5718">
        <w:t xml:space="preserve"> interno finiva per assumere un ruolo decisivo ai fini dell’attribuzione di condotte allo Stato quale soggetto internazionale, in virtù della confusione </w:t>
      </w:r>
      <w:r w:rsidR="00DB6021">
        <w:t>del</w:t>
      </w:r>
      <w:r w:rsidR="00CA5718">
        <w:t>la determinazione delle persone fisiche o giuridiche facent</w:t>
      </w:r>
      <w:r w:rsidR="00DB6021">
        <w:t xml:space="preserve">i parte della macchina statale </w:t>
      </w:r>
      <w:r w:rsidR="00CA5718">
        <w:t>con l’operazione di attribuzione allo Stato dei comportamenti adottati in determinate condizioni dalle persone facen</w:t>
      </w:r>
      <w:r w:rsidR="00DB6021">
        <w:t xml:space="preserve">ti parte la sua organizzazione. </w:t>
      </w:r>
      <w:r w:rsidR="00CA5718">
        <w:t>Veniva inoltre operata una identificazione tra la definizione di un dato comportamento di un organo come fatto attribuibile allo Stato nel diritto interno e la corrispondente defini</w:t>
      </w:r>
      <w:r w:rsidR="00C343F1">
        <w:t>zione nell’ordinamento</w:t>
      </w:r>
      <w:r w:rsidR="00CA5718">
        <w:t xml:space="preserve"> internazionale. Secondo tale concezione, al fine di comprendere quando una condotta poteva essere attribuita allo Stato sul piano internazionale, il diritto internazionale doveva rifarsi all’organizzazione statale e alla ripart</w:t>
      </w:r>
      <w:r w:rsidR="000D2409">
        <w:t>izione delle competenze previste</w:t>
      </w:r>
      <w:r w:rsidR="00CA5718">
        <w:t xml:space="preserve"> dal diritto interno.</w:t>
      </w:r>
    </w:p>
    <w:p w:rsidR="00CA5718" w:rsidRDefault="00CA5718" w:rsidP="00DB6021">
      <w:pPr>
        <w:spacing w:after="0" w:line="360" w:lineRule="auto"/>
        <w:ind w:firstLine="284"/>
        <w:jc w:val="both"/>
      </w:pPr>
      <w:r>
        <w:lastRenderedPageBreak/>
        <w:t>In base a tali presupposti, una condotta poteva essere considerata attribuibile allo Stato sul piano internazionale soltanto nel caso in cui era stata tenuta da un organo statale in conformità con le disposizioni di diritto interno volte a definirne le funzioni e l</w:t>
      </w:r>
      <w:r w:rsidR="00DB6021">
        <w:t xml:space="preserve">a portata della sua competenza. </w:t>
      </w:r>
      <w:r>
        <w:t xml:space="preserve">Nel caso in cui adottava un comportamento </w:t>
      </w:r>
      <w:r w:rsidRPr="005A6456">
        <w:rPr>
          <w:i/>
        </w:rPr>
        <w:t>ultra vires</w:t>
      </w:r>
      <w:r>
        <w:t>, un organo non era invece ritenuto in grado di rappresentare validamente la volontà statale dal momento che ave</w:t>
      </w:r>
      <w:r w:rsidR="002A6F4A">
        <w:t xml:space="preserve">va oltrepassato le funzioni </w:t>
      </w:r>
      <w:r>
        <w:t>conferite</w:t>
      </w:r>
      <w:r w:rsidR="002A6F4A">
        <w:t>gli</w:t>
      </w:r>
      <w:r>
        <w:t xml:space="preserve"> dal diritto interno.</w:t>
      </w:r>
    </w:p>
    <w:p w:rsidR="00CA5718" w:rsidRDefault="00CA5718" w:rsidP="00EB037D">
      <w:pPr>
        <w:spacing w:after="0" w:line="360" w:lineRule="auto"/>
        <w:ind w:firstLine="284"/>
        <w:jc w:val="both"/>
      </w:pPr>
      <w:r>
        <w:t xml:space="preserve">I fatti </w:t>
      </w:r>
      <w:r w:rsidRPr="00BB333F">
        <w:rPr>
          <w:i/>
        </w:rPr>
        <w:t>ultra vires</w:t>
      </w:r>
      <w:r>
        <w:t xml:space="preserve"> degli organi statali erano pertanto assimilati ai comportamenti di semplici privati, in occasione dei quali uno Stato poteva essere ritenuto internazionalmente responsabile esclusivamente per un suo eventuale mancato adempimento ad un obbligo di prevenzione o repressione di tali condotte, cioè per il mancato rispetto di un proprio obbligo di diligenza.</w:t>
      </w:r>
    </w:p>
    <w:p w:rsidR="00CA5718" w:rsidRDefault="00CA5718" w:rsidP="00EB037D">
      <w:pPr>
        <w:spacing w:after="0" w:line="360" w:lineRule="auto"/>
        <w:ind w:firstLine="284"/>
        <w:jc w:val="both"/>
      </w:pPr>
      <w:r>
        <w:t xml:space="preserve">È opportuno comunque notare come già alla fine del diciannovesimo secolo alcuni tribunali hanno esplicitamente o implicitamente ammesso la possibilità che lo Stato sia tenuto a rispondere sul piano internazionale dei comportamenti </w:t>
      </w:r>
      <w:r w:rsidRPr="00681E16">
        <w:rPr>
          <w:i/>
        </w:rPr>
        <w:t>ultra vires</w:t>
      </w:r>
      <w:r>
        <w:t xml:space="preserve"> dei propri organi. Pur ammettendo che l’organizzazione statale tende di regola a coincidere con quanto risulta dall’applicazione delle norme interne, l’operazione di attribuzione allo Stato nell’ordinamento internazionale dei comportamenti adottati in determinate condizioni dalle persone facenti parte la sua organizzazione inizia ad essere concepita come autonoma rispetto alla definizione di quali possano considerarsi sue condotte sul piano interno. L’abbandono della tesi che attribuiva rilevanza esclusiva al diritto interno al fine di determinare l’organizzazione dello Stato permetteva di ampliare notevolmente il novero degli individui o enti le cui condotte erano ad esso attribuibili. Potevano pertanto riconoscersi come propri dello Stato anche quei comportamenti di individui che godevano della qualità organica in base al diritto interno nel caso in cui non avevano agito nel rispetto delle competenze loro attribuite in base a tale ordinamento oppure delle istruzioni loro impartite.</w:t>
      </w:r>
    </w:p>
    <w:p w:rsidR="00352863" w:rsidRDefault="00352863" w:rsidP="00EB037D">
      <w:pPr>
        <w:spacing w:after="0" w:line="360" w:lineRule="auto"/>
        <w:ind w:firstLine="284"/>
        <w:jc w:val="both"/>
      </w:pPr>
      <w:r>
        <w:t xml:space="preserve">Sembra comunque opportuno notare come nella prassi più antica la </w:t>
      </w:r>
      <w:r w:rsidR="00DB6021">
        <w:t xml:space="preserve">responsailità dello Stato per </w:t>
      </w:r>
      <w:r>
        <w:t xml:space="preserve">i fatti </w:t>
      </w:r>
      <w:r w:rsidR="002A6F4A">
        <w:t xml:space="preserve">illeciti </w:t>
      </w:r>
      <w:r w:rsidRPr="00352863">
        <w:rPr>
          <w:i/>
        </w:rPr>
        <w:t>ultra vires</w:t>
      </w:r>
      <w:r>
        <w:t xml:space="preserve"> venga preconizzata soltanto con riferimento ad individui o enti che godono della qual</w:t>
      </w:r>
      <w:r w:rsidR="00DB6021">
        <w:t xml:space="preserve">ità organica in base al diritto </w:t>
      </w:r>
      <w:r>
        <w:t>interno</w:t>
      </w:r>
      <w:r w:rsidR="00F446E4">
        <w:t>, in quanto si ritiene</w:t>
      </w:r>
      <w:r>
        <w:t xml:space="preserve"> necessario un rinvio al diritto interno dello Stato </w:t>
      </w:r>
      <w:r w:rsidR="00F446E4">
        <w:t xml:space="preserve">al fine di determinare </w:t>
      </w:r>
      <w:r>
        <w:t>quali siano le funzioni esercitate</w:t>
      </w:r>
      <w:r w:rsidR="000D2409">
        <w:t>.</w:t>
      </w:r>
    </w:p>
    <w:p w:rsidR="000040BF" w:rsidRDefault="00CA5718" w:rsidP="00DB6021">
      <w:pPr>
        <w:spacing w:after="0" w:line="360" w:lineRule="auto"/>
        <w:ind w:firstLine="284"/>
        <w:jc w:val="both"/>
      </w:pPr>
      <w:r>
        <w:t xml:space="preserve">I dati desumibili dalla prassi internazionale suggeriscono inoltre che gli elementi valorizzati dall’interprete al fine di ritenere </w:t>
      </w:r>
      <w:r w:rsidR="00D038B5">
        <w:t>lo Stato responsabile del</w:t>
      </w:r>
      <w:r>
        <w:t xml:space="preserve">le condotte </w:t>
      </w:r>
      <w:r w:rsidRPr="00F86CE2">
        <w:rPr>
          <w:i/>
        </w:rPr>
        <w:t>ultra vires</w:t>
      </w:r>
      <w:r>
        <w:t xml:space="preserve"> degli organi statali sono spesso stati la circostanza che il comportamento era stato reso </w:t>
      </w:r>
      <w:r>
        <w:lastRenderedPageBreak/>
        <w:t xml:space="preserve">possibile in virtù dello </w:t>
      </w:r>
      <w:r w:rsidRPr="00DE013D">
        <w:rPr>
          <w:i/>
        </w:rPr>
        <w:t>status</w:t>
      </w:r>
      <w:r>
        <w:t xml:space="preserve"> organico di cui un individuo o ente godevano e dell’autorità che derivava loro dall’esercitare una funzione ufficiale. </w:t>
      </w:r>
      <w:r w:rsidR="00D038B5">
        <w:t xml:space="preserve">Lo Stato doveva pertanto rispondere </w:t>
      </w:r>
      <w:r>
        <w:t>soltanto</w:t>
      </w:r>
      <w:r w:rsidR="00D038B5">
        <w:t xml:space="preserve"> di</w:t>
      </w:r>
      <w:r>
        <w:t xml:space="preserve"> quei comportamenti adottati da un organo che, nonostante il reale superamento dei limiti delle proprie funzioni, apparivano ai terzi come tenuti nel rispetto della competenza. Particolare riguardo veniva riservato al punto di vista della vittima la quale non poteva plausibilmente rendersi conto del mancato rispetto della competenza o delle istruzioni ricevute da parte dell’organo. Come corollario </w:t>
      </w:r>
      <w:r w:rsidR="00D038B5">
        <w:t xml:space="preserve">del criterio </w:t>
      </w:r>
      <w:r>
        <w:t xml:space="preserve">dell’apparenza della funzione, la responsabilità internazionale dello Stato non poteva invece sorgere nel caso in cui la condotta </w:t>
      </w:r>
      <w:r w:rsidR="00A5560D">
        <w:t xml:space="preserve">illecita dell’individuo-organo, pur </w:t>
      </w:r>
      <w:r>
        <w:t>essendo tenuta nell’es</w:t>
      </w:r>
      <w:r w:rsidR="00BD7FFA">
        <w:t>ercizio delle funzioni,</w:t>
      </w:r>
      <w:r>
        <w:t xml:space="preserve"> appariva manifestamente estranea alla sua competenza. </w:t>
      </w:r>
    </w:p>
    <w:p w:rsidR="00701D37" w:rsidRDefault="00701D37" w:rsidP="000514F6">
      <w:pPr>
        <w:spacing w:after="0" w:line="360" w:lineRule="auto"/>
        <w:jc w:val="both"/>
      </w:pPr>
    </w:p>
    <w:p w:rsidR="004676E2" w:rsidRPr="004676E2" w:rsidRDefault="004676E2" w:rsidP="004676E2">
      <w:pPr>
        <w:spacing w:after="0" w:line="360" w:lineRule="auto"/>
        <w:ind w:firstLine="284"/>
        <w:jc w:val="center"/>
        <w:rPr>
          <w:i/>
        </w:rPr>
      </w:pPr>
      <w:r w:rsidRPr="004676E2">
        <w:rPr>
          <w:i/>
        </w:rPr>
        <w:t>Sezione II</w:t>
      </w:r>
    </w:p>
    <w:p w:rsidR="004676E2" w:rsidRDefault="004676E2" w:rsidP="004676E2">
      <w:pPr>
        <w:spacing w:after="0" w:line="360" w:lineRule="auto"/>
        <w:ind w:firstLine="284"/>
        <w:jc w:val="center"/>
      </w:pPr>
      <w:r w:rsidRPr="007D2D68">
        <w:t xml:space="preserve">LA GRADUALE AFFERMAZIONE ED IL CONSOLIDAMENTO DEL PRINCIPIO DELL’ATTRIBUZIONE ALLO STATO DEI FATTI </w:t>
      </w:r>
      <w:r w:rsidRPr="007D2D68">
        <w:rPr>
          <w:i/>
        </w:rPr>
        <w:t>ULTRA VIRES</w:t>
      </w:r>
      <w:r>
        <w:t xml:space="preserve"> DEI PROPRI ORGANI </w:t>
      </w:r>
    </w:p>
    <w:p w:rsidR="00CA5718" w:rsidRPr="007D2D68" w:rsidRDefault="004676E2" w:rsidP="004676E2">
      <w:pPr>
        <w:spacing w:after="0" w:line="360" w:lineRule="auto"/>
        <w:ind w:firstLine="284"/>
        <w:jc w:val="center"/>
      </w:pPr>
      <w:r>
        <w:t>NELLA PRIMA METÀ DEL VENTESIMO SECOLO</w:t>
      </w:r>
    </w:p>
    <w:p w:rsidR="00CA5718" w:rsidRPr="007D2D68" w:rsidRDefault="00CA5718" w:rsidP="00EB037D">
      <w:pPr>
        <w:spacing w:after="0" w:line="360" w:lineRule="auto"/>
        <w:ind w:firstLine="284"/>
      </w:pPr>
      <w:r w:rsidRPr="007D2D68">
        <w:t xml:space="preserve"> </w:t>
      </w:r>
    </w:p>
    <w:p w:rsidR="00CA5718" w:rsidRPr="007D2D68" w:rsidRDefault="00CA5718" w:rsidP="00D24241">
      <w:pPr>
        <w:pStyle w:val="Paragrafoelenco"/>
        <w:numPr>
          <w:ilvl w:val="0"/>
          <w:numId w:val="2"/>
        </w:numPr>
        <w:spacing w:after="0" w:line="360" w:lineRule="auto"/>
        <w:ind w:firstLine="284"/>
        <w:jc w:val="both"/>
      </w:pPr>
      <w:r w:rsidRPr="007D2D68">
        <w:t xml:space="preserve">La prassi degli Stati Uniti </w:t>
      </w:r>
    </w:p>
    <w:p w:rsidR="00CA5718" w:rsidRPr="007D2D68" w:rsidRDefault="00CA5718" w:rsidP="008877D0">
      <w:pPr>
        <w:spacing w:after="0" w:line="360" w:lineRule="auto"/>
        <w:ind w:firstLine="284"/>
        <w:jc w:val="both"/>
      </w:pPr>
    </w:p>
    <w:p w:rsidR="00CA5718" w:rsidRDefault="00CA5718" w:rsidP="008D13B9">
      <w:pPr>
        <w:spacing w:after="0" w:line="360" w:lineRule="auto"/>
        <w:ind w:firstLine="284"/>
        <w:jc w:val="both"/>
      </w:pPr>
      <w:r w:rsidRPr="007D2D68">
        <w:t>La prassi degli</w:t>
      </w:r>
      <w:r>
        <w:t xml:space="preserve"> Stati durante il secolo ventesimo si è progressivamente orientata nel senso </w:t>
      </w:r>
      <w:r w:rsidR="008D13B9">
        <w:t>della necessità di considerare lo Stato internazionalmente responsabile</w:t>
      </w:r>
      <w:r>
        <w:t xml:space="preserve"> </w:t>
      </w:r>
      <w:r w:rsidR="008D13B9">
        <w:t xml:space="preserve">per i </w:t>
      </w:r>
      <w:r>
        <w:t xml:space="preserve">comportamenti tenuti da un organo </w:t>
      </w:r>
      <w:r w:rsidRPr="00A90734">
        <w:rPr>
          <w:i/>
        </w:rPr>
        <w:t>ultra vires</w:t>
      </w:r>
      <w:r w:rsidR="008D13B9">
        <w:t xml:space="preserve">. </w:t>
      </w:r>
      <w:r>
        <w:t>Per quanto concerne le prese di posizione degli Stati Uniti, è possibile notare come durante gli ultimi decenni del dici</w:t>
      </w:r>
      <w:r w:rsidR="000514F6">
        <w:t>annovesimo secolo questo abbia</w:t>
      </w:r>
      <w:r>
        <w:t xml:space="preserve"> modulato l’accettazione o il rigetto di tale principio in base alle circostanze.</w:t>
      </w:r>
    </w:p>
    <w:p w:rsidR="00CA5718" w:rsidRPr="0067384A" w:rsidRDefault="00CA5718" w:rsidP="00EB037D">
      <w:pPr>
        <w:spacing w:after="0" w:line="360" w:lineRule="auto"/>
        <w:ind w:firstLine="284"/>
        <w:jc w:val="both"/>
      </w:pPr>
      <w:r>
        <w:t xml:space="preserve">Con riferimento al caso </w:t>
      </w:r>
      <w:r w:rsidRPr="00582161">
        <w:rPr>
          <w:i/>
        </w:rPr>
        <w:t xml:space="preserve">Star </w:t>
      </w:r>
      <w:r w:rsidRPr="000040BF">
        <w:rPr>
          <w:i/>
        </w:rPr>
        <w:t>and Herald</w:t>
      </w:r>
      <w:r w:rsidR="000040BF" w:rsidRPr="000040BF">
        <w:rPr>
          <w:i/>
        </w:rPr>
        <w:t xml:space="preserve"> </w:t>
      </w:r>
      <w:r w:rsidR="000040BF" w:rsidRPr="000040BF">
        <w:t xml:space="preserve">(1885- 1899), </w:t>
      </w:r>
      <w:r w:rsidRPr="000040BF">
        <w:t>ad esempio</w:t>
      </w:r>
      <w:r>
        <w:t xml:space="preserve">, il Ministro statunitense a Bogotà ha sostenuto l’esigenza di considerare </w:t>
      </w:r>
      <w:r w:rsidR="002B1461">
        <w:t xml:space="preserve">lo Stato responsabile per qualsiasi </w:t>
      </w:r>
      <w:r>
        <w:t xml:space="preserve">condotta tenuta da un organo statale nell’esercizio delle proprie funzioni indipendentemente dal rispetto o meno delle disposizioni di diritto interno in tema di competenza o delle istruzioni impartite. </w:t>
      </w:r>
      <w:r w:rsidRPr="0067384A">
        <w:t>A suo parere, se fosse stato ammesso il principio contrario:</w:t>
      </w:r>
    </w:p>
    <w:p w:rsidR="00CA5718" w:rsidRDefault="00CA5718" w:rsidP="00EB037D">
      <w:pPr>
        <w:spacing w:after="0" w:line="360" w:lineRule="auto"/>
        <w:ind w:firstLine="284"/>
        <w:jc w:val="both"/>
      </w:pPr>
    </w:p>
    <w:p w:rsidR="00CA5718" w:rsidRDefault="00CA5718" w:rsidP="00EB037D">
      <w:pPr>
        <w:spacing w:after="0" w:line="360" w:lineRule="auto"/>
        <w:ind w:left="567" w:right="567" w:firstLine="284"/>
        <w:jc w:val="both"/>
        <w:rPr>
          <w:lang w:val="en-US"/>
        </w:rPr>
      </w:pPr>
      <w:r w:rsidRPr="00BD465E">
        <w:t xml:space="preserve"> </w:t>
      </w:r>
      <w:r w:rsidRPr="000514F6">
        <w:rPr>
          <w:lang w:val="en-US"/>
        </w:rPr>
        <w:t xml:space="preserve">“…any commander of an American man of war, while in a Colombian port, taking offence at the authorities, might shell a city and destroy it, but his Government would not be held responsible because he in so doing had exceeded his authority and must be held personally responsible for the act. </w:t>
      </w:r>
      <w:r w:rsidRPr="000514F6">
        <w:rPr>
          <w:lang w:val="en-US"/>
        </w:rPr>
        <w:lastRenderedPageBreak/>
        <w:t>Such an interpretation of treaties and international law would be dangerous in the extreme, and could not be submitted to by nations</w:t>
      </w:r>
      <w:r>
        <w:rPr>
          <w:lang w:val="en-US"/>
        </w:rPr>
        <w:t>”</w:t>
      </w:r>
      <w:r>
        <w:rPr>
          <w:rStyle w:val="Rimandonotaapidipagina"/>
          <w:lang w:val="en-US"/>
        </w:rPr>
        <w:footnoteReference w:id="153"/>
      </w:r>
      <w:r>
        <w:rPr>
          <w:lang w:val="en-US"/>
        </w:rPr>
        <w:t xml:space="preserve">. </w:t>
      </w:r>
    </w:p>
    <w:p w:rsidR="00CA5718" w:rsidRDefault="00CA5718" w:rsidP="00EB037D">
      <w:pPr>
        <w:spacing w:after="0" w:line="360" w:lineRule="auto"/>
        <w:ind w:firstLine="284"/>
        <w:jc w:val="both"/>
        <w:rPr>
          <w:lang w:val="en-US"/>
        </w:rPr>
      </w:pPr>
    </w:p>
    <w:p w:rsidR="00CA5718" w:rsidRDefault="00CA5718" w:rsidP="00EB037D">
      <w:pPr>
        <w:spacing w:after="0" w:line="360" w:lineRule="auto"/>
        <w:ind w:firstLine="284"/>
        <w:jc w:val="both"/>
      </w:pPr>
      <w:r w:rsidRPr="00A81285">
        <w:t xml:space="preserve">La motivazione addotta </w:t>
      </w:r>
      <w:r>
        <w:t xml:space="preserve">in tale circostanza </w:t>
      </w:r>
      <w:r w:rsidRPr="00A81285">
        <w:t xml:space="preserve">al fine di reputare le condotte </w:t>
      </w:r>
      <w:r w:rsidRPr="00A81285">
        <w:rPr>
          <w:i/>
        </w:rPr>
        <w:t>ultra vires</w:t>
      </w:r>
      <w:r w:rsidRPr="00A81285">
        <w:t xml:space="preserve"> dei fatti statali</w:t>
      </w:r>
      <w:r>
        <w:t xml:space="preserve"> nell’ordinamento internazionale si ispira all’esigenza di garantire la sicurezza delle relazioni internazionali, che sarebbe altrimenti totalmente illusoria nel caso in cui uno Stato potesse sottrarsi alla sua responsabilità internazionale, in caso di commissione di un illecito da parte di uno dei suoi organi, obiettando il mancato rispetto delle prescrizioni di diritto interno che ne regolano la competenza.</w:t>
      </w:r>
      <w:r w:rsidRPr="004764B0">
        <w:t xml:space="preserve"> </w:t>
      </w:r>
      <w:r>
        <w:t xml:space="preserve">La sicurezza delle </w:t>
      </w:r>
      <w:r w:rsidRPr="0007276F">
        <w:t>relazioni internazionali</w:t>
      </w:r>
      <w:r>
        <w:t xml:space="preserve"> imporrebbe invece di riconoscere che uno Stato ha agito sul piano internazionale ogniqualvolta persone o enti incaricati di agire per suo conto adottano dei comportamenti in suo nome, senza che abbia alcuna importanza il fatto che non abbiano rispettato i limiti formali della propria competenza, abbiano violato disposizioni del diritto interno oppure abbiano contravvenuto alle istruzioni loro impartite dai superiori.</w:t>
      </w:r>
    </w:p>
    <w:p w:rsidR="00CA5718" w:rsidRDefault="00CA5718" w:rsidP="00EB037D">
      <w:pPr>
        <w:spacing w:after="0" w:line="360" w:lineRule="auto"/>
        <w:ind w:firstLine="284"/>
        <w:jc w:val="both"/>
      </w:pPr>
      <w:r>
        <w:t xml:space="preserve">La medesima posizione è stata assunta dal Governo degli Stati Uniti </w:t>
      </w:r>
      <w:r w:rsidR="004F2988">
        <w:t xml:space="preserve">nel 1885 </w:t>
      </w:r>
      <w:r>
        <w:t xml:space="preserve">nel caso </w:t>
      </w:r>
      <w:r w:rsidRPr="00E73A9B">
        <w:rPr>
          <w:i/>
        </w:rPr>
        <w:t>Young</w:t>
      </w:r>
      <w:r>
        <w:t xml:space="preserve">, in cui veniva lamentata l’uccisione di </w:t>
      </w:r>
      <w:r w:rsidR="00150025">
        <w:t xml:space="preserve">un cittadino americano ad opera </w:t>
      </w:r>
      <w:r>
        <w:t>di alcuni soldati appartenenti alle truppe governative peruviane. In risposta alla presa di posizione del Governo peruviano secondo cui non poteva esse</w:t>
      </w:r>
      <w:r w:rsidR="00150025">
        <w:t xml:space="preserve">re ritenuto responsabile del </w:t>
      </w:r>
      <w:r>
        <w:t>fatto in quanto non aveva avuto i mezzi per poterlo prevenire</w:t>
      </w:r>
      <w:r w:rsidR="002B1461">
        <w:t>, il Segretario di Stato Bayard</w:t>
      </w:r>
      <w:r>
        <w:t xml:space="preserve"> ha ribadito come un comportamento tenuto da un organo nella sua qualità ufficiale non può essere paragonato ad una condotta di un privato:</w:t>
      </w:r>
    </w:p>
    <w:p w:rsidR="00CA5718" w:rsidRDefault="00CA5718" w:rsidP="00EB037D">
      <w:pPr>
        <w:spacing w:after="0" w:line="360" w:lineRule="auto"/>
        <w:ind w:firstLine="284"/>
        <w:jc w:val="both"/>
      </w:pPr>
    </w:p>
    <w:p w:rsidR="00CA5718" w:rsidRPr="00150025" w:rsidRDefault="00CA5718" w:rsidP="00EB037D">
      <w:pPr>
        <w:spacing w:after="0" w:line="360" w:lineRule="auto"/>
        <w:ind w:left="567" w:right="567" w:firstLine="284"/>
        <w:jc w:val="both"/>
        <w:rPr>
          <w:lang w:val="en-US"/>
        </w:rPr>
      </w:pPr>
      <w:r w:rsidRPr="00150025">
        <w:rPr>
          <w:lang w:val="en-US"/>
        </w:rPr>
        <w:t>“It was not a case of collateral misconduct dictated by private malice, in which case the Peruvian Government might disclaim responsibility. It was an act….by an agent of that Government while in the line of his duty….The mere fact that soldiers, duly enlisted as such, commit acts without orders from their superiors in command, does not exempt their Government from liability for such acts. A government may be responsible for the misconduct of its soldiers when in the field, or when acting, either actually or constructively, under its authority, if such misconduct, even though it had been forbidden by it, was in contravention of the rules of civilized warfare”</w:t>
      </w:r>
      <w:r w:rsidRPr="00150025">
        <w:rPr>
          <w:rStyle w:val="Rimandonotaapidipagina"/>
        </w:rPr>
        <w:footnoteReference w:id="154"/>
      </w:r>
      <w:r w:rsidRPr="00150025">
        <w:rPr>
          <w:lang w:val="en-US"/>
        </w:rPr>
        <w:t>.</w:t>
      </w:r>
    </w:p>
    <w:p w:rsidR="00CA5718" w:rsidRPr="00150025" w:rsidRDefault="00CA5718" w:rsidP="00EB037D">
      <w:pPr>
        <w:spacing w:after="0" w:line="360" w:lineRule="auto"/>
        <w:ind w:left="567" w:right="567" w:firstLine="284"/>
        <w:jc w:val="both"/>
        <w:rPr>
          <w:lang w:val="en-US"/>
        </w:rPr>
      </w:pPr>
    </w:p>
    <w:p w:rsidR="00CA5718" w:rsidRPr="00E51098" w:rsidRDefault="00CA5718" w:rsidP="00EB037D">
      <w:pPr>
        <w:spacing w:after="0" w:line="360" w:lineRule="auto"/>
        <w:ind w:firstLine="284"/>
        <w:jc w:val="both"/>
      </w:pPr>
      <w:r w:rsidRPr="00081BA5">
        <w:lastRenderedPageBreak/>
        <w:t>I</w:t>
      </w:r>
      <w:r>
        <w:t>n virtù dello stretto legame intercorrente fra l’illecito e la funzione ufficiale svolta, il Segretario di Stato reputava impossibile non considerare un</w:t>
      </w:r>
      <w:r w:rsidR="008D13B9">
        <w:t>o Stato responsabile per i</w:t>
      </w:r>
      <w:r>
        <w:t xml:space="preserve"> </w:t>
      </w:r>
      <w:r w:rsidR="008D13B9">
        <w:t>comportamenti tenuti</w:t>
      </w:r>
      <w:r w:rsidRPr="00E51098">
        <w:t xml:space="preserve"> d</w:t>
      </w:r>
      <w:r w:rsidR="008D13B9">
        <w:t>ai suoi organi</w:t>
      </w:r>
      <w:r w:rsidRPr="00E51098">
        <w:t xml:space="preserve"> nell’ese</w:t>
      </w:r>
      <w:r>
        <w:t>r</w:t>
      </w:r>
      <w:r w:rsidRPr="00E51098">
        <w:t>cizio delle proprie funzioni</w:t>
      </w:r>
      <w:r>
        <w:t xml:space="preserve">. </w:t>
      </w:r>
    </w:p>
    <w:p w:rsidR="00CA5718" w:rsidRDefault="00CA5718" w:rsidP="00EB037D">
      <w:pPr>
        <w:spacing w:after="0" w:line="360" w:lineRule="auto"/>
        <w:ind w:firstLine="284"/>
        <w:jc w:val="both"/>
      </w:pPr>
      <w:r>
        <w:t>Come si</w:t>
      </w:r>
      <w:r w:rsidR="008D13B9">
        <w:t xml:space="preserve"> è visto, la tesi contraria alla responsabilità internazionale dello Stato  per </w:t>
      </w:r>
      <w:r>
        <w:t xml:space="preserve">le condotte </w:t>
      </w:r>
      <w:r w:rsidRPr="006720F4">
        <w:rPr>
          <w:i/>
        </w:rPr>
        <w:t>ultra vires</w:t>
      </w:r>
      <w:r w:rsidR="00CA2477">
        <w:t xml:space="preserve"> de</w:t>
      </w:r>
      <w:r>
        <w:t>i</w:t>
      </w:r>
      <w:r w:rsidR="00CA2477">
        <w:t xml:space="preserve"> suoi</w:t>
      </w:r>
      <w:r>
        <w:t xml:space="preserve"> organi è stata invece sostenuta nel medesimo periodo dal Governo degli Stati Uniti nel caso </w:t>
      </w:r>
      <w:r w:rsidRPr="006720F4">
        <w:rPr>
          <w:i/>
        </w:rPr>
        <w:t>Tunstall</w:t>
      </w:r>
      <w:r>
        <w:t xml:space="preserve"> e nel caso </w:t>
      </w:r>
      <w:r w:rsidRPr="006720F4">
        <w:rPr>
          <w:i/>
        </w:rPr>
        <w:t>American Bible Society</w:t>
      </w:r>
      <w:r w:rsidRPr="00005E34">
        <w:rPr>
          <w:rStyle w:val="Rimandonotaapidipagina"/>
        </w:rPr>
        <w:footnoteReference w:id="155"/>
      </w:r>
      <w:r w:rsidRPr="00005E34">
        <w:t>.</w:t>
      </w:r>
    </w:p>
    <w:p w:rsidR="00CA5718" w:rsidRDefault="00CA5718" w:rsidP="00EB037D">
      <w:pPr>
        <w:spacing w:after="0" w:line="360" w:lineRule="auto"/>
        <w:ind w:firstLine="284"/>
        <w:jc w:val="both"/>
      </w:pPr>
      <w:r>
        <w:t xml:space="preserve">Soltanto nel ventesimo secolo le prese di posizione del Governo </w:t>
      </w:r>
      <w:r w:rsidR="00275046">
        <w:t xml:space="preserve">statunitense sono diventate uniformi </w:t>
      </w:r>
      <w:r>
        <w:t xml:space="preserve">nel senso di ammettere il principio </w:t>
      </w:r>
      <w:r w:rsidR="00CA2477">
        <w:t xml:space="preserve">della responsabilità internazionale dello Stato per le </w:t>
      </w:r>
      <w:r>
        <w:t xml:space="preserve">condotte </w:t>
      </w:r>
      <w:r w:rsidRPr="00324C19">
        <w:rPr>
          <w:i/>
        </w:rPr>
        <w:t>ultra vires</w:t>
      </w:r>
      <w:r w:rsidR="00CA2477">
        <w:t xml:space="preserve"> dei propri</w:t>
      </w:r>
      <w:r>
        <w:t xml:space="preserve"> organi. Una delle prime manifestazioni di tale tendenza è rappresentata dal caso </w:t>
      </w:r>
      <w:r w:rsidRPr="00ED5357">
        <w:rPr>
          <w:i/>
        </w:rPr>
        <w:t>Miller</w:t>
      </w:r>
      <w:r>
        <w:t>, in cui il Dipa</w:t>
      </w:r>
      <w:r w:rsidR="00B01DA6">
        <w:t xml:space="preserve">rtimento di Stato statunitense </w:t>
      </w:r>
      <w:r w:rsidR="004F2988">
        <w:t xml:space="preserve">nel 1910 </w:t>
      </w:r>
      <w:r>
        <w:t>ha contestato il rifiuto del Segretario di Stato cubano di versare un risarcimento per l’aggressione di un marinaio americano av</w:t>
      </w:r>
      <w:r w:rsidR="00242142">
        <w:t>venuta per mano di un agente di polizia</w:t>
      </w:r>
      <w:r>
        <w:t xml:space="preserve"> sulla base del fatto che si fosse trattato di un comportamento </w:t>
      </w:r>
      <w:r w:rsidRPr="002F2BEC">
        <w:rPr>
          <w:i/>
        </w:rPr>
        <w:t>ultra vires</w:t>
      </w:r>
      <w:r w:rsidRPr="00005E34">
        <w:rPr>
          <w:rStyle w:val="Rimandonotaapidipagina"/>
        </w:rPr>
        <w:footnoteReference w:id="156"/>
      </w:r>
      <w:r w:rsidRPr="00005E34">
        <w:t>.</w:t>
      </w:r>
    </w:p>
    <w:p w:rsidR="00CA5718" w:rsidRDefault="00CA5718" w:rsidP="00EB037D">
      <w:pPr>
        <w:spacing w:after="0" w:line="360" w:lineRule="auto"/>
        <w:ind w:firstLine="284"/>
        <w:jc w:val="both"/>
      </w:pPr>
      <w:r>
        <w:t>A partire dagli anni ’30 del ventesimo secolo, il principio secondo cui uno Stato è tenuto a rispondere in ambito internazionale dei comportamenti illeciti adottati dai propri organi nel mancato rispetto delle disposizioni di diritto interno o delle istruzioni ricevute non è più stato messo in discussione nella prassi degli Stati ad eccezione di qualche raro caso.</w:t>
      </w:r>
    </w:p>
    <w:p w:rsidR="00CA5718" w:rsidRDefault="00CA5718" w:rsidP="00EB037D">
      <w:pPr>
        <w:spacing w:after="0" w:line="360" w:lineRule="auto"/>
        <w:ind w:firstLine="284"/>
        <w:jc w:val="both"/>
      </w:pPr>
      <w:r w:rsidRPr="00D95E9E">
        <w:t xml:space="preserve">Nel caso </w:t>
      </w:r>
      <w:r w:rsidRPr="00D95E9E">
        <w:rPr>
          <w:i/>
        </w:rPr>
        <w:t>Royal Holland Llyod,</w:t>
      </w:r>
      <w:r w:rsidRPr="009F3379">
        <w:rPr>
          <w:i/>
        </w:rPr>
        <w:t xml:space="preserve"> A Corporation v. The United States</w:t>
      </w:r>
      <w:r>
        <w:t>, risalente al 1932, due agenti della dogana statunitense</w:t>
      </w:r>
      <w:r w:rsidR="00242142">
        <w:t>,</w:t>
      </w:r>
      <w:r>
        <w:t xml:space="preserve"> </w:t>
      </w:r>
      <w:r w:rsidR="00242142">
        <w:t xml:space="preserve">in contravvenzione alla legislazione americana in vigore, </w:t>
      </w:r>
      <w:r>
        <w:t>avevano rifiutato di accordare ad una nave olandese l’autorizzazione a lasciare il porto di New York</w:t>
      </w:r>
      <w:r w:rsidR="00242142">
        <w:t>.</w:t>
      </w:r>
      <w:r>
        <w:t xml:space="preserve"> </w:t>
      </w:r>
    </w:p>
    <w:p w:rsidR="00CA5718" w:rsidRDefault="00CA5718" w:rsidP="00EB037D">
      <w:pPr>
        <w:spacing w:after="0" w:line="360" w:lineRule="auto"/>
        <w:ind w:firstLine="284"/>
        <w:jc w:val="both"/>
      </w:pPr>
      <w:r>
        <w:t>Il Governo degli Stati Uniti ha tentato di sfuggire alla propria responsabilità internazionale eccependo che secondo il proprio ordinamento interno lo Stato non era tenuto a rispondere dei comportamenti non autorizzati dei propri organi</w:t>
      </w:r>
      <w:r>
        <w:rPr>
          <w:rStyle w:val="Rimandonotaapidipagina"/>
        </w:rPr>
        <w:footnoteReference w:id="157"/>
      </w:r>
      <w:r>
        <w:t>.</w:t>
      </w:r>
    </w:p>
    <w:p w:rsidR="00CA5718" w:rsidRPr="00BD465E" w:rsidRDefault="00CA5718" w:rsidP="00EB037D">
      <w:pPr>
        <w:spacing w:after="0" w:line="360" w:lineRule="auto"/>
        <w:ind w:firstLine="284"/>
        <w:jc w:val="both"/>
      </w:pPr>
      <w:r w:rsidRPr="00BD465E">
        <w:t>La Corte dei reclami statunitense ha rigettato tale argomento precisando di potersi pronunciare esclusivamente sulla b</w:t>
      </w:r>
      <w:r w:rsidR="00116F2E">
        <w:t>ase del diritto internazionale e ha ric</w:t>
      </w:r>
      <w:r w:rsidR="00F365D8">
        <w:t>o</w:t>
      </w:r>
      <w:r w:rsidR="00116F2E">
        <w:t xml:space="preserve">nosciuto </w:t>
      </w:r>
      <w:r w:rsidRPr="00BD465E">
        <w:t xml:space="preserve">il principio della responsabilità internazionale dello Stato per le condotte illecite tenute </w:t>
      </w:r>
      <w:r w:rsidRPr="00BD465E">
        <w:rPr>
          <w:i/>
        </w:rPr>
        <w:t>ultra vires</w:t>
      </w:r>
      <w:r w:rsidRPr="00BD465E">
        <w:t xml:space="preserve"> dai propri organi: </w:t>
      </w:r>
    </w:p>
    <w:p w:rsidR="00CA5718" w:rsidRPr="00BD465E" w:rsidRDefault="00CA5718" w:rsidP="00EB037D">
      <w:pPr>
        <w:spacing w:after="0" w:line="360" w:lineRule="auto"/>
        <w:ind w:firstLine="284"/>
        <w:jc w:val="both"/>
      </w:pPr>
    </w:p>
    <w:p w:rsidR="00CA5718" w:rsidRPr="0072138C" w:rsidRDefault="00CA5718" w:rsidP="00EB037D">
      <w:pPr>
        <w:spacing w:after="0" w:line="360" w:lineRule="auto"/>
        <w:ind w:left="567" w:right="567" w:firstLine="284"/>
        <w:jc w:val="both"/>
        <w:rPr>
          <w:lang w:val="en-US"/>
        </w:rPr>
      </w:pPr>
      <w:r w:rsidRPr="0072138C">
        <w:rPr>
          <w:lang w:val="en-US"/>
        </w:rPr>
        <w:t>“The rights of the plaintiff as a citizen of a friendly foreign power, when considered in the light of the principles of the law of nations, are very different than those of a plaintiff relying wholly upon the municipal laws of the United States……(who) does not admit, by its statutes, any responsibility for the tortious or unauthorized acts of its officers. But in its relations with foreign nations the United States bears….a wide, unlimited, unrestricted and vicarious responsibility for the acts of its administrative officials and its military and naval forces….Governments are responsible, in their international intercourse, for the acts of their authorized</w:t>
      </w:r>
      <w:r w:rsidRPr="00CE51F1">
        <w:rPr>
          <w:i/>
          <w:lang w:val="en-US"/>
        </w:rPr>
        <w:t xml:space="preserve"> </w:t>
      </w:r>
      <w:r w:rsidRPr="0072138C">
        <w:rPr>
          <w:lang w:val="en-US"/>
        </w:rPr>
        <w:t>agents, and if such acts were mistaken, or wrongful, liability arises against the Government itself for the consequences of the error or the wrong</w:t>
      </w:r>
      <w:r w:rsidR="00C0699E" w:rsidRPr="0072138C">
        <w:rPr>
          <w:lang w:val="en-US"/>
        </w:rPr>
        <w:t>”</w:t>
      </w:r>
      <w:r w:rsidRPr="0072138C">
        <w:rPr>
          <w:rStyle w:val="Rimandonotaapidipagina"/>
        </w:rPr>
        <w:footnoteReference w:id="158"/>
      </w:r>
      <w:r w:rsidRPr="0072138C">
        <w:rPr>
          <w:lang w:val="en-US"/>
        </w:rPr>
        <w:t>.</w:t>
      </w:r>
    </w:p>
    <w:p w:rsidR="00CA5718" w:rsidRDefault="00CA5718" w:rsidP="00EB037D">
      <w:pPr>
        <w:spacing w:after="0" w:line="360" w:lineRule="auto"/>
        <w:ind w:firstLine="284"/>
        <w:jc w:val="both"/>
        <w:rPr>
          <w:lang w:val="en-US"/>
        </w:rPr>
      </w:pPr>
    </w:p>
    <w:p w:rsidR="00CA2477" w:rsidRDefault="00CA5718" w:rsidP="00EB037D">
      <w:pPr>
        <w:spacing w:after="0" w:line="360" w:lineRule="auto"/>
        <w:ind w:firstLine="284"/>
        <w:jc w:val="both"/>
      </w:pPr>
      <w:r w:rsidRPr="003454D4">
        <w:t>T</w:t>
      </w:r>
      <w:r w:rsidRPr="005D4DD3">
        <w:t xml:space="preserve">ale pronuncia </w:t>
      </w:r>
      <w:r>
        <w:t xml:space="preserve">risulta particolarmente rilevante in quanto </w:t>
      </w:r>
      <w:r w:rsidRPr="005D4DD3">
        <w:t xml:space="preserve">viene operata una netta distinzione tra </w:t>
      </w:r>
      <w:r w:rsidR="00CA2477">
        <w:t>la definizione della responsabilità dello Stato per</w:t>
      </w:r>
      <w:r>
        <w:t xml:space="preserve"> un dato comportamento nel diritto interno e la corrispondente </w:t>
      </w:r>
      <w:r w:rsidR="00CA2477">
        <w:t xml:space="preserve">responsabilità </w:t>
      </w:r>
      <w:r>
        <w:t>nell’or</w:t>
      </w:r>
      <w:r w:rsidR="00C343F1">
        <w:t>dinamento</w:t>
      </w:r>
      <w:r w:rsidR="00CA2477">
        <w:t xml:space="preserve"> internazionale. Viene difatti ammessa la possibilità che, con riferiment</w:t>
      </w:r>
      <w:r w:rsidR="002B1478">
        <w:t>o alla mede</w:t>
      </w:r>
      <w:r w:rsidR="00CA2477">
        <w:t>sima condotta, possa sorgere per lo Stato una responabilità sul piano internazionale, nonostante non sia invece chiamato a risponderne nell’orid</w:t>
      </w:r>
      <w:r w:rsidR="00A87481">
        <w:t>i</w:t>
      </w:r>
      <w:r w:rsidR="00CA2477">
        <w:t>namento interno.</w:t>
      </w:r>
    </w:p>
    <w:p w:rsidR="00CA5718" w:rsidRPr="005D4DD3" w:rsidRDefault="00CA5718" w:rsidP="00EB037D">
      <w:pPr>
        <w:spacing w:after="0" w:line="360" w:lineRule="auto"/>
        <w:ind w:firstLine="284"/>
        <w:jc w:val="both"/>
      </w:pPr>
      <w:r>
        <w:t>Alla luce di tale sentenza sembra desumibile che il diritto interno, pur regolando il fenomeno dell’organizzazione dello Stato, risulta del tutto ininfluente con riferimento all’attribuzione di comportamenti ad esso nell’ordinamento internazionale. Esercitando il proprio diritto ad auto-organizzarsi attraverso l’affidamento dell’esercizio di pubbliche funzioni a persone fisiche o giuridiche, lo Stato sarebbe difatti tenuto a rispondere sul piano internazionale dei comportamenti da esse tenuti ogniqualvolta queste agiscono per suo conto, indipendentemente dal rispetto delle disposizioni di diritto interno o delle istruzioni ricevute.</w:t>
      </w:r>
    </w:p>
    <w:p w:rsidR="00CA5718" w:rsidRPr="00D95E9E" w:rsidRDefault="00CA5718" w:rsidP="00EB037D">
      <w:pPr>
        <w:spacing w:after="0" w:line="360" w:lineRule="auto"/>
        <w:ind w:firstLine="284"/>
        <w:jc w:val="both"/>
      </w:pPr>
      <w:r>
        <w:t xml:space="preserve">Un’ulteriore vicenda in cui un comportamento illecito adottato da un organo nel mancato rispetto delle istruzioni ricevute è stato riconosciuto come un fatto di cui lo Stato è chiamato a rispondere in ambito internazionale è il </w:t>
      </w:r>
      <w:r w:rsidRPr="00D95E9E">
        <w:t xml:space="preserve">caso </w:t>
      </w:r>
      <w:r w:rsidRPr="00D95E9E">
        <w:rPr>
          <w:i/>
        </w:rPr>
        <w:t>Colom y Piris</w:t>
      </w:r>
      <w:r w:rsidRPr="00D95E9E">
        <w:t xml:space="preserve"> del 1933.</w:t>
      </w:r>
    </w:p>
    <w:p w:rsidR="00CA5718" w:rsidRPr="00D95E9E" w:rsidRDefault="00CA5718" w:rsidP="00EB037D">
      <w:pPr>
        <w:spacing w:after="0" w:line="360" w:lineRule="auto"/>
        <w:ind w:firstLine="284"/>
        <w:jc w:val="both"/>
      </w:pPr>
      <w:r w:rsidRPr="00D95E9E">
        <w:t>Un cittadino statunitense di nome Edouardo Colom y Piris, mentre era in carcere nella Repubblica Domenicana  in attesa di essere processato per al</w:t>
      </w:r>
      <w:r w:rsidR="009E31F7">
        <w:t xml:space="preserve">cune sue affermazioni </w:t>
      </w:r>
      <w:r w:rsidR="009E31F7">
        <w:lastRenderedPageBreak/>
        <w:t xml:space="preserve">riguardanti il </w:t>
      </w:r>
      <w:r w:rsidRPr="00D95E9E">
        <w:t>Presidente della Repubblica, è stato segretamente prelevato da un membro della guardia presidenziale e successivamente ucciso.</w:t>
      </w:r>
    </w:p>
    <w:p w:rsidR="00CA5718" w:rsidRPr="00D95E9E" w:rsidRDefault="00CA5718" w:rsidP="002B1461">
      <w:pPr>
        <w:spacing w:after="0" w:line="360" w:lineRule="auto"/>
        <w:ind w:firstLine="284"/>
        <w:jc w:val="both"/>
      </w:pPr>
      <w:r w:rsidRPr="00D95E9E">
        <w:t>Il Dipartimento di Stato americano ha reputato che il Governo dominicano dovesse rispondere in ambito internazionale dell’accaduto</w:t>
      </w:r>
      <w:r>
        <w:t>,</w:t>
      </w:r>
      <w:r w:rsidRPr="00D95E9E">
        <w:t xml:space="preserve"> dal momento che l’uccisione </w:t>
      </w:r>
      <w:r w:rsidR="006A0D1C">
        <w:t xml:space="preserve">del </w:t>
      </w:r>
      <w:r w:rsidRPr="00D95E9E">
        <w:t xml:space="preserve">proprio </w:t>
      </w:r>
      <w:r>
        <w:t xml:space="preserve">cittadino era avvenuta a causa </w:t>
      </w:r>
      <w:r w:rsidRPr="00D95E9E">
        <w:t>di un comportamento di un organo statale che aveva agito contravvenendo all’incarico di proteggere colui la cui vita era stata distrutta</w:t>
      </w:r>
      <w:r w:rsidRPr="00D95E9E">
        <w:rPr>
          <w:rStyle w:val="Rimandonotaapidipagina"/>
        </w:rPr>
        <w:footnoteReference w:id="159"/>
      </w:r>
      <w:r w:rsidRPr="00D95E9E">
        <w:t>.</w:t>
      </w:r>
      <w:r>
        <w:t xml:space="preserve"> Nonostante l’organo avesse agito co</w:t>
      </w:r>
      <w:r w:rsidR="00AF150A">
        <w:t>ntravvenendo alle istruzioni</w:t>
      </w:r>
      <w:r>
        <w:t xml:space="preserve"> impartite</w:t>
      </w:r>
      <w:r w:rsidR="00AF150A">
        <w:t>gli</w:t>
      </w:r>
      <w:r>
        <w:t xml:space="preserve">, il comportamento doveva comunque essere riferito allo Stato in quanto tenuto nella sua capacità ufficiale. </w:t>
      </w:r>
    </w:p>
    <w:p w:rsidR="00CA5718" w:rsidRPr="00D95E9E" w:rsidRDefault="00CA5718" w:rsidP="00EB037D">
      <w:pPr>
        <w:spacing w:after="0" w:line="360" w:lineRule="auto"/>
        <w:ind w:firstLine="284"/>
        <w:jc w:val="both"/>
      </w:pPr>
      <w:r w:rsidRPr="00D95E9E">
        <w:t>Il Governo domenicano ha in tale circostanza riconosciuto la propria responsabilità internazionale e ha accettato di pagare una somma di denaro a titolo di risarcimento agli eredi dell’individuo ucciso.</w:t>
      </w:r>
    </w:p>
    <w:p w:rsidR="00CA5718" w:rsidRDefault="00917ACA" w:rsidP="00EB037D">
      <w:pPr>
        <w:spacing w:after="0" w:line="360" w:lineRule="auto"/>
        <w:ind w:firstLine="284"/>
        <w:jc w:val="both"/>
      </w:pPr>
      <w:r>
        <w:t xml:space="preserve">Un altro caso </w:t>
      </w:r>
      <w:r w:rsidR="002B1461">
        <w:t>nell’ambito del</w:t>
      </w:r>
      <w:r w:rsidR="00CA5718">
        <w:t xml:space="preserve"> quale uno Stato è stato chiamato a rispondere delle condotte dei propri organi tenute </w:t>
      </w:r>
      <w:r w:rsidR="00CA5718" w:rsidRPr="004262A9">
        <w:rPr>
          <w:i/>
        </w:rPr>
        <w:t>ex qualitate</w:t>
      </w:r>
      <w:r w:rsidR="00CA5718">
        <w:t xml:space="preserve"> è il caso </w:t>
      </w:r>
      <w:r w:rsidR="00CA5718" w:rsidRPr="00D95E9E">
        <w:rPr>
          <w:i/>
        </w:rPr>
        <w:t>Talamas</w:t>
      </w:r>
      <w:r w:rsidR="00CA5718" w:rsidRPr="00D95E9E">
        <w:t xml:space="preserve"> del 1957,</w:t>
      </w:r>
      <w:r w:rsidR="00CA5718">
        <w:t xml:space="preserve"> in cui</w:t>
      </w:r>
      <w:r w:rsidR="00CA5718" w:rsidRPr="00D95E9E">
        <w:t xml:space="preserve"> due agenti di polizia haitiani avevano percosso a morte un cittadino americano nel corso di un interrogatorio</w:t>
      </w:r>
      <w:r w:rsidR="00CA5718">
        <w:rPr>
          <w:rStyle w:val="Rimandonotaapidipagina"/>
        </w:rPr>
        <w:footnoteReference w:id="160"/>
      </w:r>
      <w:r w:rsidR="00CA5718">
        <w:t>.</w:t>
      </w:r>
    </w:p>
    <w:p w:rsidR="00CA5718" w:rsidRDefault="00CA5718" w:rsidP="00EB037D">
      <w:pPr>
        <w:spacing w:after="0" w:line="360" w:lineRule="auto"/>
        <w:ind w:firstLine="284"/>
        <w:jc w:val="both"/>
      </w:pPr>
      <w:r>
        <w:t>Il Dipartimento di Stato americano, oltre a riconoscere in capo al Governo di Haiti</w:t>
      </w:r>
      <w:r w:rsidRPr="00D42EE2">
        <w:t xml:space="preserve"> </w:t>
      </w:r>
      <w:r>
        <w:t xml:space="preserve">la responsabilità internazionale per il mancato adempimento dell’obbligo di </w:t>
      </w:r>
      <w:r w:rsidR="00B01DA6">
        <w:t>repressione del fatto illecito,</w:t>
      </w:r>
      <w:r>
        <w:t xml:space="preserve"> ha sostenuto che la stessa uccisione di Talamas fosse un fatto illecito di cui lo Stato era tenuto a rispondere in ambito inter</w:t>
      </w:r>
      <w:r w:rsidR="00AF150A">
        <w:t xml:space="preserve">nazionale, in quanto provocata </w:t>
      </w:r>
      <w:r>
        <w:t>da un proprio organo che aveva agito nella sua capacità ufficiale.</w:t>
      </w:r>
    </w:p>
    <w:p w:rsidR="00CA5718" w:rsidRDefault="00CA5718" w:rsidP="00EB037D">
      <w:pPr>
        <w:spacing w:after="0" w:line="360" w:lineRule="auto"/>
        <w:ind w:firstLine="284"/>
        <w:jc w:val="both"/>
      </w:pPr>
      <w:r>
        <w:t>L’elemento valorizzato al fine di ritenere tale condotta un fatto statale nell’ordinamento internazionale e di distinguerla dal comportamento di un semplice privato è stato difatti la circostanza che l’individuo aveva trovato la morte proprio mentre era sotto la custodia dei suddetti organi, cioè quando questi erano in servizio ed esercitavano le funzioni pubbliche loro conferite</w:t>
      </w:r>
      <w:r>
        <w:rPr>
          <w:rStyle w:val="Rimandonotaapidipagina"/>
        </w:rPr>
        <w:footnoteReference w:id="161"/>
      </w:r>
      <w:r>
        <w:t>.</w:t>
      </w:r>
    </w:p>
    <w:p w:rsidR="004379C0" w:rsidRDefault="004379C0" w:rsidP="00EB037D">
      <w:pPr>
        <w:spacing w:after="0" w:line="360" w:lineRule="auto"/>
        <w:ind w:firstLine="284"/>
        <w:jc w:val="both"/>
      </w:pPr>
    </w:p>
    <w:p w:rsidR="00000F45" w:rsidRDefault="00000F45" w:rsidP="00EB037D">
      <w:pPr>
        <w:spacing w:after="0" w:line="360" w:lineRule="auto"/>
        <w:ind w:firstLine="284"/>
        <w:jc w:val="both"/>
      </w:pPr>
    </w:p>
    <w:p w:rsidR="00CA5718" w:rsidRDefault="00FB35B7" w:rsidP="004676E2">
      <w:pPr>
        <w:pStyle w:val="Paragrafoelenco"/>
        <w:numPr>
          <w:ilvl w:val="0"/>
          <w:numId w:val="2"/>
        </w:numPr>
        <w:spacing w:after="0" w:line="360" w:lineRule="auto"/>
        <w:ind w:firstLine="284"/>
      </w:pPr>
      <w:r>
        <w:lastRenderedPageBreak/>
        <w:t xml:space="preserve">La prassi </w:t>
      </w:r>
      <w:r w:rsidR="008877D0">
        <w:t xml:space="preserve">degli Stati </w:t>
      </w:r>
      <w:r>
        <w:t>latinoamericani</w:t>
      </w:r>
    </w:p>
    <w:p w:rsidR="00CA5718" w:rsidRDefault="00CA5718" w:rsidP="00EB037D">
      <w:pPr>
        <w:spacing w:after="0" w:line="360" w:lineRule="auto"/>
        <w:ind w:firstLine="284"/>
      </w:pPr>
    </w:p>
    <w:p w:rsidR="00CA5718" w:rsidRDefault="00CA5718" w:rsidP="00EB037D">
      <w:pPr>
        <w:autoSpaceDE w:val="0"/>
        <w:autoSpaceDN w:val="0"/>
        <w:adjustRightInd w:val="0"/>
        <w:spacing w:after="0" w:line="360" w:lineRule="auto"/>
        <w:ind w:firstLine="284"/>
        <w:jc w:val="both"/>
      </w:pPr>
      <w:r>
        <w:t>Sebbene</w:t>
      </w:r>
      <w:r w:rsidR="00CB489C">
        <w:t xml:space="preserve"> in maniera meno</w:t>
      </w:r>
      <w:r>
        <w:t xml:space="preserve"> </w:t>
      </w:r>
      <w:r w:rsidR="00CB489C">
        <w:t>omogenea</w:t>
      </w:r>
      <w:r w:rsidR="002B1461">
        <w:t xml:space="preserve">, </w:t>
      </w:r>
      <w:r>
        <w:t>a partire dall’ultima decade del diciannovesimo secolo, anche gli Stati latinoamerica</w:t>
      </w:r>
      <w:r w:rsidR="002B1461">
        <w:t>ni hanno iniziato a riconoscere</w:t>
      </w:r>
      <w:r w:rsidR="001A16A0">
        <w:t xml:space="preserve"> lo </w:t>
      </w:r>
      <w:r>
        <w:t xml:space="preserve">Stato </w:t>
      </w:r>
      <w:r w:rsidR="001A16A0">
        <w:t xml:space="preserve">internazionalmente responsabile per </w:t>
      </w:r>
      <w:r>
        <w:t xml:space="preserve">i fatti </w:t>
      </w:r>
      <w:r w:rsidR="00AF150A">
        <w:t xml:space="preserve">illeciti </w:t>
      </w:r>
      <w:r w:rsidRPr="00EA2BAC">
        <w:rPr>
          <w:i/>
        </w:rPr>
        <w:t>ultra vires</w:t>
      </w:r>
      <w:r>
        <w:t xml:space="preserve"> dei propri organi.</w:t>
      </w:r>
    </w:p>
    <w:p w:rsidR="00CA5718" w:rsidRDefault="00CA5718" w:rsidP="00EB037D">
      <w:pPr>
        <w:autoSpaceDE w:val="0"/>
        <w:autoSpaceDN w:val="0"/>
        <w:adjustRightInd w:val="0"/>
        <w:spacing w:after="0" w:line="360" w:lineRule="auto"/>
        <w:ind w:firstLine="284"/>
        <w:jc w:val="both"/>
      </w:pPr>
      <w:r>
        <w:t xml:space="preserve">Nel caso </w:t>
      </w:r>
      <w:r w:rsidRPr="0033039A">
        <w:rPr>
          <w:i/>
        </w:rPr>
        <w:t>Campbell</w:t>
      </w:r>
      <w:r>
        <w:t xml:space="preserve"> risalente al 1899, ad esempio, il Governo di Haiti ha accettato di versare dieci mila dollari a titolo di risarcimento al Governo degli Stati Uniti per un’aggressione ad opera di suoi soldati nei confronti di alcuni cittadini americani</w:t>
      </w:r>
      <w:r>
        <w:rPr>
          <w:rStyle w:val="Rimandonotaapidipagina"/>
        </w:rPr>
        <w:footnoteReference w:id="162"/>
      </w:r>
      <w:r>
        <w:t>.</w:t>
      </w:r>
    </w:p>
    <w:p w:rsidR="00CA5718" w:rsidRDefault="00CA5718" w:rsidP="00EB037D">
      <w:pPr>
        <w:autoSpaceDE w:val="0"/>
        <w:autoSpaceDN w:val="0"/>
        <w:adjustRightInd w:val="0"/>
        <w:spacing w:after="0" w:line="360" w:lineRule="auto"/>
        <w:ind w:firstLine="284"/>
        <w:jc w:val="both"/>
      </w:pPr>
      <w:r>
        <w:t xml:space="preserve">Egualmente nel 1907 il Governo del Guatemala nel caso </w:t>
      </w:r>
      <w:r w:rsidRPr="0033039A">
        <w:rPr>
          <w:i/>
        </w:rPr>
        <w:t>Shine e Milligen</w:t>
      </w:r>
      <w:r>
        <w:t xml:space="preserve"> ha pagato un risarcimento dei danni a dei cittadini americani che erano stati selvaggiamente picchiati e successivamente </w:t>
      </w:r>
      <w:r w:rsidR="00927A5A">
        <w:t xml:space="preserve">imprigionati </w:t>
      </w:r>
      <w:r>
        <w:t>da alcuni agenti della polizia</w:t>
      </w:r>
      <w:r>
        <w:rPr>
          <w:rStyle w:val="Rimandonotaapidipagina"/>
        </w:rPr>
        <w:footnoteReference w:id="163"/>
      </w:r>
      <w:r>
        <w:t>.</w:t>
      </w:r>
    </w:p>
    <w:p w:rsidR="00CA5718" w:rsidRPr="0033039A" w:rsidRDefault="00CA5718" w:rsidP="00EB037D">
      <w:pPr>
        <w:autoSpaceDE w:val="0"/>
        <w:autoSpaceDN w:val="0"/>
        <w:adjustRightInd w:val="0"/>
        <w:spacing w:after="0" w:line="360" w:lineRule="auto"/>
        <w:ind w:firstLine="284"/>
        <w:jc w:val="both"/>
      </w:pPr>
      <w:r>
        <w:t xml:space="preserve">Nel caso </w:t>
      </w:r>
      <w:r w:rsidRPr="00C84EC7">
        <w:rPr>
          <w:i/>
        </w:rPr>
        <w:t>Columbia e Buffalo</w:t>
      </w:r>
      <w:r w:rsidRPr="00281C30">
        <w:rPr>
          <w:rStyle w:val="Rimandonotaapidipagina"/>
        </w:rPr>
        <w:footnoteReference w:id="164"/>
      </w:r>
      <w:r w:rsidRPr="00281C30">
        <w:t xml:space="preserve">, </w:t>
      </w:r>
      <w:r>
        <w:t>il Governo di Panama ha presentato delle scuse uffici</w:t>
      </w:r>
      <w:r w:rsidR="00816D06">
        <w:t xml:space="preserve">ali e ha pagato un risarcimento </w:t>
      </w:r>
      <w:r>
        <w:t xml:space="preserve">al Governo statunitense per i comportamenti illeciti tenuti </w:t>
      </w:r>
      <w:r w:rsidRPr="00C84EC7">
        <w:rPr>
          <w:i/>
        </w:rPr>
        <w:t>ultra vires</w:t>
      </w:r>
      <w:r>
        <w:t xml:space="preserve"> da alcuni suoi organi di polizia, che avevano maltrattato in più occasioni dei cittadini americani.</w:t>
      </w:r>
    </w:p>
    <w:p w:rsidR="00CA5718" w:rsidRDefault="00010D15" w:rsidP="00EB037D">
      <w:pPr>
        <w:autoSpaceDE w:val="0"/>
        <w:autoSpaceDN w:val="0"/>
        <w:adjustRightInd w:val="0"/>
        <w:spacing w:after="0" w:line="360" w:lineRule="auto"/>
        <w:ind w:firstLine="284"/>
        <w:jc w:val="both"/>
      </w:pPr>
      <w:r>
        <w:t xml:space="preserve">Infine nel 1922, nel caso </w:t>
      </w:r>
      <w:r w:rsidRPr="00E169A2">
        <w:rPr>
          <w:i/>
        </w:rPr>
        <w:t>Scott</w:t>
      </w:r>
      <w:r>
        <w:rPr>
          <w:i/>
        </w:rPr>
        <w:t>,</w:t>
      </w:r>
      <w:r>
        <w:t xml:space="preserve"> </w:t>
      </w:r>
      <w:r w:rsidR="00CA5718">
        <w:t xml:space="preserve">il Governo del Nicaragua ha accettato di versare un risarcimento per i danni derivanti dai comportamenti tenuti da parte di un governatore di provincia che aveva fatto imprigionare in violazione del diritto interno un cittadino americano residente </w:t>
      </w:r>
      <w:r w:rsidR="00CA5718" w:rsidRPr="00C4077C">
        <w:rPr>
          <w:i/>
        </w:rPr>
        <w:t>in loco</w:t>
      </w:r>
      <w:r w:rsidR="00CA5718">
        <w:rPr>
          <w:rStyle w:val="Rimandonotaapidipagina"/>
        </w:rPr>
        <w:footnoteReference w:id="165"/>
      </w:r>
      <w:r w:rsidR="00CA5718">
        <w:t>.</w:t>
      </w:r>
    </w:p>
    <w:p w:rsidR="00CA5718" w:rsidRDefault="00CA5718" w:rsidP="00EB037D">
      <w:pPr>
        <w:autoSpaceDE w:val="0"/>
        <w:autoSpaceDN w:val="0"/>
        <w:adjustRightInd w:val="0"/>
        <w:spacing w:after="0" w:line="360" w:lineRule="auto"/>
        <w:ind w:firstLine="284"/>
        <w:jc w:val="both"/>
      </w:pPr>
    </w:p>
    <w:p w:rsidR="00CA5718" w:rsidRDefault="00CA5718" w:rsidP="004676E2">
      <w:pPr>
        <w:pStyle w:val="Paragrafoelenco"/>
        <w:numPr>
          <w:ilvl w:val="0"/>
          <w:numId w:val="2"/>
        </w:numPr>
        <w:spacing w:after="0" w:line="360" w:lineRule="auto"/>
        <w:ind w:firstLine="284"/>
      </w:pPr>
      <w:r>
        <w:t xml:space="preserve">La prassi </w:t>
      </w:r>
      <w:r w:rsidR="008877D0">
        <w:t>degli Stati europei</w:t>
      </w:r>
    </w:p>
    <w:p w:rsidR="00CA5718" w:rsidRDefault="00CA5718" w:rsidP="00EB037D">
      <w:pPr>
        <w:spacing w:after="0" w:line="360" w:lineRule="auto"/>
        <w:ind w:left="360" w:firstLine="284"/>
      </w:pPr>
    </w:p>
    <w:p w:rsidR="00CA5718" w:rsidRDefault="00CA5718" w:rsidP="00EB037D">
      <w:pPr>
        <w:spacing w:after="0" w:line="360" w:lineRule="auto"/>
        <w:ind w:firstLine="284"/>
        <w:jc w:val="both"/>
      </w:pPr>
      <w:r>
        <w:t xml:space="preserve">Per quanto concerne </w:t>
      </w:r>
      <w:r w:rsidR="002043DC">
        <w:t xml:space="preserve">gli </w:t>
      </w:r>
      <w:r>
        <w:t xml:space="preserve">Stati europei, il principio </w:t>
      </w:r>
      <w:r w:rsidR="005D673A">
        <w:t xml:space="preserve">della responsabilità dello Stato per </w:t>
      </w:r>
      <w:r>
        <w:t xml:space="preserve">le condotte </w:t>
      </w:r>
      <w:r w:rsidRPr="0023023F">
        <w:rPr>
          <w:i/>
        </w:rPr>
        <w:t>ultra vires</w:t>
      </w:r>
      <w:r>
        <w:t xml:space="preserve"> degli organi statali ha trovato pieno riconoscimento sin dalla seconda metà del diciannovesimo secolo.</w:t>
      </w:r>
    </w:p>
    <w:p w:rsidR="00CA5718" w:rsidRDefault="00CA5718" w:rsidP="00010D15">
      <w:pPr>
        <w:spacing w:after="0" w:line="360" w:lineRule="auto"/>
        <w:ind w:firstLine="284"/>
        <w:jc w:val="both"/>
      </w:pPr>
      <w:r>
        <w:t xml:space="preserve">Nel 1887 in occasione dell’uccisione con un colpo di arma da fuoco di un cacciatore francese sul territorio di Vexaincourt da parte di un soldato tedesco, il Ministro degli Esteri francese ha sostenuto che la Germania dovesse rispondere internazionalmente del fatto del proprio organo nonostante </w:t>
      </w:r>
      <w:r w:rsidR="00010D15">
        <w:t xml:space="preserve">si trattasse di </w:t>
      </w:r>
      <w:r>
        <w:t xml:space="preserve">un comportamento contrario alle sue prescrizioni </w:t>
      </w:r>
      <w:r>
        <w:lastRenderedPageBreak/>
        <w:t>di diritto interno in tema di utilizzo lecito di arma da fuoco.</w:t>
      </w:r>
      <w:r w:rsidR="00010D15">
        <w:t xml:space="preserve"> </w:t>
      </w:r>
      <w:r>
        <w:t>La Germania non ha mai contestato la sua responsabilità internazionale con riferimento a tale episodio e ha prontamente provveduto a pagare un lauto risarcimento danni alla famiglia della vittima</w:t>
      </w:r>
      <w:r>
        <w:rPr>
          <w:rStyle w:val="Rimandonotaapidipagina"/>
        </w:rPr>
        <w:footnoteReference w:id="166"/>
      </w:r>
      <w:r>
        <w:t>.</w:t>
      </w:r>
    </w:p>
    <w:p w:rsidR="00CA5718" w:rsidRDefault="00CA5718" w:rsidP="00EB037D">
      <w:pPr>
        <w:spacing w:after="0" w:line="360" w:lineRule="auto"/>
        <w:ind w:firstLine="284"/>
        <w:jc w:val="both"/>
      </w:pPr>
      <w:r>
        <w:t>N</w:t>
      </w:r>
      <w:r w:rsidRPr="00522ABC">
        <w:t>ell’a</w:t>
      </w:r>
      <w:r>
        <w:t>m</w:t>
      </w:r>
      <w:r w:rsidRPr="00522ABC">
        <w:t>bito delle controversie sorte tra Italia e Perù per il r</w:t>
      </w:r>
      <w:r>
        <w:t>isarcimento dei danni subiti da alcuni</w:t>
      </w:r>
      <w:r w:rsidRPr="00522ABC">
        <w:t xml:space="preserve"> cittadini italiani durante la guerra</w:t>
      </w:r>
      <w:r>
        <w:t xml:space="preserve"> civile peruviana del 1894-1895, il Governo britannico ed il Governo spagnolo sono stati chiamati ad esprimere una loro opinione su sollecitazione del Governo italiano con riferimento alla possibilità di </w:t>
      </w:r>
      <w:r w:rsidR="005D673A">
        <w:t xml:space="preserve">riconoscere il </w:t>
      </w:r>
      <w:r>
        <w:t xml:space="preserve">Perù </w:t>
      </w:r>
      <w:r w:rsidR="005D673A">
        <w:t xml:space="preserve">responsabile per i </w:t>
      </w:r>
      <w:r>
        <w:t xml:space="preserve">comportamenti tenuti da alcuni suoi organi </w:t>
      </w:r>
      <w:r w:rsidRPr="00A54DAC">
        <w:rPr>
          <w:i/>
        </w:rPr>
        <w:t>ultra vires</w:t>
      </w:r>
      <w:r>
        <w:t>.</w:t>
      </w:r>
    </w:p>
    <w:p w:rsidR="00CA5718" w:rsidRDefault="00CA5718" w:rsidP="00EB037D">
      <w:pPr>
        <w:spacing w:after="0" w:line="360" w:lineRule="auto"/>
        <w:ind w:firstLine="284"/>
        <w:jc w:val="both"/>
      </w:pPr>
      <w:r w:rsidRPr="00100583">
        <w:t xml:space="preserve">Il Governo britannico ha sostenuto l’inammissibilità della teoria </w:t>
      </w:r>
      <w:r>
        <w:t>espressa dal Perù,</w:t>
      </w:r>
      <w:r w:rsidRPr="00100583">
        <w:t xml:space="preserve"> secondo cui uno Stato è responsabile dei soli comportamenti tenuti dai propri organi nel rispetto degli ordini ricevuti,</w:t>
      </w:r>
      <w:r>
        <w:t xml:space="preserve"> affermando invece che </w:t>
      </w:r>
      <w:r w:rsidR="005D673A">
        <w:t xml:space="preserve">uno Stato deve ritenersi responsabile sul piano internazionale di </w:t>
      </w:r>
      <w:r>
        <w:t>tutti i comportamenti da essi tenuti nella loro qualità ufficiale:</w:t>
      </w:r>
    </w:p>
    <w:p w:rsidR="00CA5718" w:rsidRPr="00BD465E" w:rsidRDefault="00CA5718" w:rsidP="00EB037D">
      <w:pPr>
        <w:spacing w:after="0" w:line="360" w:lineRule="auto"/>
        <w:ind w:firstLine="284"/>
        <w:jc w:val="both"/>
      </w:pPr>
    </w:p>
    <w:p w:rsidR="00CA5718" w:rsidRPr="00B72630" w:rsidRDefault="00CA5718" w:rsidP="00EB037D">
      <w:pPr>
        <w:spacing w:after="0" w:line="360" w:lineRule="auto"/>
        <w:ind w:left="567" w:right="567" w:firstLine="284"/>
        <w:jc w:val="both"/>
        <w:rPr>
          <w:lang w:val="en-US"/>
        </w:rPr>
      </w:pPr>
      <w:r w:rsidRPr="00B72630">
        <w:rPr>
          <w:lang w:val="en-US"/>
        </w:rPr>
        <w:t>“…the theory that officials of the State are not responsible for acts which are not the consequence of orders directly given them by their Government to be inadmissible…hence all Governments should always be held responsible for all acts committed by their agents by virtue of their official capacity”</w:t>
      </w:r>
      <w:r w:rsidRPr="00B72630">
        <w:rPr>
          <w:rStyle w:val="Rimandonotaapidipagina"/>
        </w:rPr>
        <w:footnoteReference w:id="167"/>
      </w:r>
      <w:r w:rsidRPr="00B72630">
        <w:rPr>
          <w:lang w:val="en-US"/>
        </w:rPr>
        <w:t xml:space="preserve">. </w:t>
      </w:r>
    </w:p>
    <w:p w:rsidR="00CA5718" w:rsidRDefault="00CA5718" w:rsidP="00EB037D">
      <w:pPr>
        <w:spacing w:after="0" w:line="360" w:lineRule="auto"/>
        <w:ind w:firstLine="284"/>
        <w:jc w:val="both"/>
        <w:rPr>
          <w:lang w:val="en-US"/>
        </w:rPr>
      </w:pPr>
    </w:p>
    <w:p w:rsidR="00CA5718" w:rsidRDefault="00CA5718" w:rsidP="00EB037D">
      <w:pPr>
        <w:spacing w:after="0" w:line="360" w:lineRule="auto"/>
        <w:ind w:firstLine="284"/>
        <w:jc w:val="both"/>
      </w:pPr>
      <w:r>
        <w:t>Anche il Governo spagnolo ha sostenuto la tesi dell</w:t>
      </w:r>
      <w:r w:rsidR="004E03C3">
        <w:t>a responsabilità del Perù per</w:t>
      </w:r>
      <w:r>
        <w:t xml:space="preserve"> tutti i comportamenti tenuti da suoi organi nell’esercizio delle proprie funzioni in ragione della circostanza che non è possibile sottrarsi ad essi sulla base dell’autorità da essi esercitata:</w:t>
      </w:r>
    </w:p>
    <w:p w:rsidR="00CA5718" w:rsidRPr="00936AD4" w:rsidRDefault="00CA5718" w:rsidP="00EB037D">
      <w:pPr>
        <w:spacing w:after="0" w:line="360" w:lineRule="auto"/>
        <w:ind w:firstLine="284"/>
        <w:jc w:val="both"/>
      </w:pPr>
    </w:p>
    <w:p w:rsidR="00CA5718" w:rsidRDefault="004F2988" w:rsidP="009A2394">
      <w:pPr>
        <w:autoSpaceDE w:val="0"/>
        <w:autoSpaceDN w:val="0"/>
        <w:adjustRightInd w:val="0"/>
        <w:spacing w:after="0" w:line="360" w:lineRule="auto"/>
        <w:ind w:left="567" w:right="567"/>
        <w:jc w:val="both"/>
        <w:rPr>
          <w:lang w:val="fr-FR"/>
        </w:rPr>
      </w:pPr>
      <w:r w:rsidRPr="001B49AC">
        <w:rPr>
          <w:lang w:val="fr-FR"/>
        </w:rPr>
        <w:t xml:space="preserve">"[. . .] </w:t>
      </w:r>
      <w:r w:rsidRPr="004F2988">
        <w:rPr>
          <w:lang w:val="fr-FR"/>
        </w:rPr>
        <w:t>por los [danos] que causen los agentes de la autoridad en virtud de actos ajenos a sus atribuciones legates, si el Gobierno desaprueba y condena su conducta y somete el funcionario culpable al juicio correspondiente para hacer efectiva, conforme a la ley, la responsabilidad civil y crimina</w:t>
      </w:r>
      <w:r>
        <w:rPr>
          <w:lang w:val="fr-FR"/>
        </w:rPr>
        <w:t>l en que hubiese incurrido…</w:t>
      </w:r>
      <w:r w:rsidRPr="004F2988">
        <w:rPr>
          <w:lang w:val="fr-FR"/>
        </w:rPr>
        <w:t xml:space="preserve">Dediicese de todos los principios </w:t>
      </w:r>
      <w:r>
        <w:rPr>
          <w:lang w:val="fr-FR"/>
        </w:rPr>
        <w:t xml:space="preserve">que dejo establecidos, que solo </w:t>
      </w:r>
      <w:r w:rsidRPr="004F2988">
        <w:rPr>
          <w:lang w:val="fr-FR"/>
        </w:rPr>
        <w:t xml:space="preserve">afectan la responsabilidad del </w:t>
      </w:r>
      <w:r>
        <w:rPr>
          <w:lang w:val="fr-FR"/>
        </w:rPr>
        <w:t xml:space="preserve">Estado y pueden, por tanto, ser </w:t>
      </w:r>
      <w:r w:rsidRPr="004F2988">
        <w:rPr>
          <w:lang w:val="fr-FR"/>
        </w:rPr>
        <w:t xml:space="preserve">materia de reclamacion diplomdtica, </w:t>
      </w:r>
      <w:r>
        <w:rPr>
          <w:lang w:val="fr-FR"/>
        </w:rPr>
        <w:t xml:space="preserve">los danos y perjuicios causados </w:t>
      </w:r>
      <w:r w:rsidRPr="004F2988">
        <w:rPr>
          <w:lang w:val="fr-FR"/>
        </w:rPr>
        <w:t>a los extranjeros por actos contrar</w:t>
      </w:r>
      <w:r>
        <w:rPr>
          <w:lang w:val="fr-FR"/>
        </w:rPr>
        <w:t xml:space="preserve">ies a las estipulaciones de los </w:t>
      </w:r>
      <w:r w:rsidRPr="004F2988">
        <w:rPr>
          <w:lang w:val="fr-FR"/>
        </w:rPr>
        <w:t>tratados y, en defecto de estos, al</w:t>
      </w:r>
      <w:r>
        <w:rPr>
          <w:lang w:val="fr-FR"/>
        </w:rPr>
        <w:t xml:space="preserve"> derecho de gentes, practicados </w:t>
      </w:r>
      <w:r w:rsidRPr="004F2988">
        <w:rPr>
          <w:lang w:val="fr-FR"/>
        </w:rPr>
        <w:t>por el Gobierno o sus agentes civiles</w:t>
      </w:r>
      <w:r>
        <w:rPr>
          <w:lang w:val="fr-FR"/>
        </w:rPr>
        <w:t xml:space="preserve"> y militares </w:t>
      </w:r>
      <w:r>
        <w:rPr>
          <w:lang w:val="fr-FR"/>
        </w:rPr>
        <w:lastRenderedPageBreak/>
        <w:t xml:space="preserve">en el ejercicio de </w:t>
      </w:r>
      <w:r w:rsidRPr="004F2988">
        <w:rPr>
          <w:lang w:val="fr-FR"/>
        </w:rPr>
        <w:t>sus funciones, en virtud de orden s</w:t>
      </w:r>
      <w:r>
        <w:rPr>
          <w:lang w:val="fr-FR"/>
        </w:rPr>
        <w:t xml:space="preserve">uya o con su aprobacion y, como </w:t>
      </w:r>
      <w:r w:rsidRPr="004F2988">
        <w:rPr>
          <w:lang w:val="fr-FR"/>
        </w:rPr>
        <w:t>he dicho en otro lugar, la denegacion absoluta de jus</w:t>
      </w:r>
      <w:r>
        <w:rPr>
          <w:lang w:val="fr-FR"/>
        </w:rPr>
        <w:t>ticia</w:t>
      </w:r>
      <w:r w:rsidRPr="004F2988">
        <w:rPr>
          <w:lang w:val="fr-FR"/>
        </w:rPr>
        <w:t>"</w:t>
      </w:r>
      <w:r>
        <w:rPr>
          <w:rStyle w:val="Rimandonotaapidipagina"/>
          <w:lang w:val="fr-FR"/>
        </w:rPr>
        <w:footnoteReference w:id="168"/>
      </w:r>
      <w:r>
        <w:rPr>
          <w:lang w:val="fr-FR"/>
        </w:rPr>
        <w:t>.</w:t>
      </w:r>
      <w:r w:rsidRPr="004F2988">
        <w:rPr>
          <w:lang w:val="fr-FR"/>
        </w:rPr>
        <w:t xml:space="preserve"> </w:t>
      </w:r>
    </w:p>
    <w:p w:rsidR="00EB3AB5" w:rsidRPr="009A2394" w:rsidRDefault="00EB3AB5" w:rsidP="009A2394">
      <w:pPr>
        <w:autoSpaceDE w:val="0"/>
        <w:autoSpaceDN w:val="0"/>
        <w:adjustRightInd w:val="0"/>
        <w:spacing w:after="0" w:line="360" w:lineRule="auto"/>
        <w:ind w:left="567" w:right="567"/>
        <w:jc w:val="both"/>
        <w:rPr>
          <w:lang w:val="fr-FR"/>
        </w:rPr>
      </w:pPr>
    </w:p>
    <w:p w:rsidR="00CA5718" w:rsidRDefault="004E03C3" w:rsidP="004E03C3">
      <w:pPr>
        <w:tabs>
          <w:tab w:val="left" w:pos="7150"/>
        </w:tabs>
        <w:spacing w:after="0" w:line="360" w:lineRule="auto"/>
        <w:ind w:firstLine="284"/>
        <w:jc w:val="both"/>
      </w:pPr>
      <w:r>
        <w:t xml:space="preserve">Lo Stato veniva </w:t>
      </w:r>
      <w:r w:rsidR="002B1461">
        <w:t xml:space="preserve">quindi </w:t>
      </w:r>
      <w:r w:rsidR="00F96EF0">
        <w:t>ritenuto internazional</w:t>
      </w:r>
      <w:r>
        <w:t>m</w:t>
      </w:r>
      <w:r w:rsidR="00F96EF0">
        <w:t>e</w:t>
      </w:r>
      <w:r>
        <w:t xml:space="preserve">nte responsabile per i </w:t>
      </w:r>
      <w:r w:rsidR="00CA5718">
        <w:t>comportamenti tenuti da</w:t>
      </w:r>
      <w:r w:rsidR="00CA5718" w:rsidRPr="000F4251">
        <w:t xml:space="preserve">gli organi statali nell’esercizio delle </w:t>
      </w:r>
      <w:r>
        <w:t xml:space="preserve">proprie </w:t>
      </w:r>
      <w:r w:rsidR="00CA5718" w:rsidRPr="000F4251">
        <w:t>funzioni</w:t>
      </w:r>
      <w:r>
        <w:t xml:space="preserve">, </w:t>
      </w:r>
      <w:r w:rsidR="00CA5718">
        <w:t xml:space="preserve">indipendentemente dalla circostanza che </w:t>
      </w:r>
      <w:r>
        <w:t xml:space="preserve">fossero </w:t>
      </w:r>
      <w:r w:rsidR="00CA5718">
        <w:t xml:space="preserve">stati in qualche modo autorizzati dal proprio Governo. Alla luce di tale dichiarazione sembra che gli elementi in grado di giustificare </w:t>
      </w:r>
      <w:r>
        <w:t xml:space="preserve">la responsabilità dello Stato per </w:t>
      </w:r>
      <w:r w:rsidR="00CA5718">
        <w:t xml:space="preserve">i comportamenti </w:t>
      </w:r>
      <w:r w:rsidR="00816D06">
        <w:t xml:space="preserve">illeciti </w:t>
      </w:r>
      <w:r w:rsidR="00CA5718" w:rsidRPr="003E4356">
        <w:rPr>
          <w:i/>
        </w:rPr>
        <w:t>ultra vires</w:t>
      </w:r>
      <w:r w:rsidR="00CA5718">
        <w:t xml:space="preserve"> degli organi statali sono l’impossibilità da parte di un terzo in buona fede sia di valutare nella maggior parte delle circostanze se l’organo abbia effettivamente agito nel rispetto della competenza sia di sottrarsi all’illecito a causa dell’abuso dell’autorità messa </w:t>
      </w:r>
      <w:r w:rsidR="00CA5718" w:rsidRPr="009C1D62">
        <w:t xml:space="preserve">lui </w:t>
      </w:r>
      <w:r w:rsidR="00CA5718">
        <w:t xml:space="preserve">a disposizione per lo svolgimento regolare delle proprie funzioni.  </w:t>
      </w:r>
    </w:p>
    <w:p w:rsidR="00CA5718" w:rsidRDefault="00CA5718" w:rsidP="00EB037D">
      <w:pPr>
        <w:tabs>
          <w:tab w:val="left" w:pos="7150"/>
        </w:tabs>
        <w:spacing w:after="0" w:line="360" w:lineRule="auto"/>
        <w:ind w:firstLine="284"/>
        <w:jc w:val="both"/>
      </w:pPr>
      <w:r>
        <w:t>A</w:t>
      </w:r>
      <w:r w:rsidRPr="00835090">
        <w:t xml:space="preserve">lla luce dell’irrilevanza delle disposizioni del diritto interno con riferimento </w:t>
      </w:r>
      <w:r w:rsidR="004E03C3">
        <w:t>al sorgere della responsabilità internazionale dello Stato</w:t>
      </w:r>
      <w:r>
        <w:t>,</w:t>
      </w:r>
      <w:r w:rsidRPr="000F7261">
        <w:t xml:space="preserve"> </w:t>
      </w:r>
      <w:r>
        <w:t>il Governo</w:t>
      </w:r>
      <w:r w:rsidR="00161441">
        <w:t xml:space="preserve"> spagnolo sembra voler privilegiare</w:t>
      </w:r>
      <w:r>
        <w:t xml:space="preserve"> la sicurezza delle relazioni internazionali riconoscendo che uno </w:t>
      </w:r>
      <w:r w:rsidRPr="00835090">
        <w:t xml:space="preserve">Stato </w:t>
      </w:r>
      <w:r>
        <w:t xml:space="preserve">agisce </w:t>
      </w:r>
      <w:r w:rsidRPr="00835090">
        <w:t>ogniqualvol</w:t>
      </w:r>
      <w:r>
        <w:t>ta un proprio organo tiene</w:t>
      </w:r>
      <w:r w:rsidRPr="00835090">
        <w:t xml:space="preserve"> una condotta nell’esercizio delle proprie </w:t>
      </w:r>
      <w:r>
        <w:t>funzioni</w:t>
      </w:r>
      <w:r>
        <w:rPr>
          <w:rStyle w:val="Rimandonotaapidipagina"/>
        </w:rPr>
        <w:footnoteReference w:id="169"/>
      </w:r>
      <w:r>
        <w:t>.</w:t>
      </w:r>
    </w:p>
    <w:p w:rsidR="00CA5718" w:rsidRDefault="00CA5718" w:rsidP="00EB037D">
      <w:pPr>
        <w:autoSpaceDE w:val="0"/>
        <w:autoSpaceDN w:val="0"/>
        <w:adjustRightInd w:val="0"/>
        <w:spacing w:after="0" w:line="360" w:lineRule="auto"/>
        <w:ind w:firstLine="284"/>
        <w:jc w:val="both"/>
      </w:pPr>
      <w:r>
        <w:t>Il Governo italiano non ha potuto che approvare tali p</w:t>
      </w:r>
      <w:r w:rsidR="00161441">
        <w:t>rese di posizione e, in un parere</w:t>
      </w:r>
      <w:r>
        <w:t xml:space="preserve"> del 19 febbraio 1899, il Consiglio del contenzioso d</w:t>
      </w:r>
      <w:r w:rsidR="00161441">
        <w:t>iplomatico del Ministero degli affari e</w:t>
      </w:r>
      <w:r>
        <w:t>s</w:t>
      </w:r>
      <w:r w:rsidR="004E03C3">
        <w:t xml:space="preserve">teri ha affermato l’esigenza </w:t>
      </w:r>
      <w:r w:rsidR="002B1461">
        <w:t>che uno Stato rispond</w:t>
      </w:r>
      <w:r w:rsidR="004E03C3">
        <w:t xml:space="preserve">a internazionalmente di </w:t>
      </w:r>
      <w:r>
        <w:t xml:space="preserve">tutti i comportamenti tenuti dagli organi nell’esercizio delle proprie funzioni, </w:t>
      </w:r>
      <w:r w:rsidRPr="00426ED6">
        <w:rPr>
          <w:i/>
        </w:rPr>
        <w:t>in primis</w:t>
      </w:r>
      <w:r>
        <w:t xml:space="preserve"> per l’impossibilità di resistervi in virtù della loro qualità ufficiale ed </w:t>
      </w:r>
      <w:r w:rsidRPr="00426ED6">
        <w:rPr>
          <w:i/>
        </w:rPr>
        <w:t>in secundis</w:t>
      </w:r>
      <w:r>
        <w:t xml:space="preserve"> per la difficoltà di distinguere a livello pratico quando un comportamento sia stato tenuto su ordini del proprio Governo o meno:</w:t>
      </w:r>
    </w:p>
    <w:p w:rsidR="00CA5718" w:rsidRDefault="00CA5718" w:rsidP="00EB037D">
      <w:pPr>
        <w:autoSpaceDE w:val="0"/>
        <w:autoSpaceDN w:val="0"/>
        <w:adjustRightInd w:val="0"/>
        <w:spacing w:after="0" w:line="360" w:lineRule="auto"/>
        <w:ind w:firstLine="284"/>
        <w:jc w:val="both"/>
      </w:pPr>
    </w:p>
    <w:p w:rsidR="00CA5718" w:rsidRPr="00C32560" w:rsidRDefault="00CA5718" w:rsidP="00EB037D">
      <w:pPr>
        <w:autoSpaceDE w:val="0"/>
        <w:autoSpaceDN w:val="0"/>
        <w:adjustRightInd w:val="0"/>
        <w:spacing w:after="0" w:line="360" w:lineRule="auto"/>
        <w:ind w:left="567" w:right="567" w:firstLine="284"/>
        <w:jc w:val="both"/>
        <w:rPr>
          <w:lang w:val="en-US"/>
        </w:rPr>
      </w:pPr>
      <w:r w:rsidRPr="00C25BC4">
        <w:rPr>
          <w:lang w:val="en-US"/>
        </w:rPr>
        <w:t xml:space="preserve">“…. we can only endorse the views of the British </w:t>
      </w:r>
      <w:r w:rsidR="003449F4">
        <w:rPr>
          <w:lang w:val="en-US"/>
        </w:rPr>
        <w:t xml:space="preserve">and Spanish Governments…, </w:t>
      </w:r>
      <w:r w:rsidRPr="00C25BC4">
        <w:rPr>
          <w:lang w:val="en-US"/>
        </w:rPr>
        <w:t>it is impossible to maintain that a government is not required to compensate aliens for damage occasioned by its agents in the performance of their functions…. We consider inadmissible the theory which maintains that a government should not be held r</w:t>
      </w:r>
      <w:r w:rsidR="0091193D" w:rsidRPr="00C25BC4">
        <w:rPr>
          <w:lang w:val="en-US"/>
        </w:rPr>
        <w:t xml:space="preserve">esponsible </w:t>
      </w:r>
      <w:r w:rsidRPr="00C25BC4">
        <w:rPr>
          <w:lang w:val="en-US"/>
        </w:rPr>
        <w:t xml:space="preserve">for the acts committed by its agents in the performance of their functions or by virtue of their official </w:t>
      </w:r>
      <w:r w:rsidRPr="00C25BC4">
        <w:rPr>
          <w:lang w:val="en-US"/>
        </w:rPr>
        <w:lastRenderedPageBreak/>
        <w:t>capacity when such acts are not the consequence of orders received directly from the government”</w:t>
      </w:r>
      <w:r w:rsidRPr="00C25BC4">
        <w:rPr>
          <w:rStyle w:val="Rimandonotaapidipagina"/>
        </w:rPr>
        <w:footnoteReference w:id="170"/>
      </w:r>
      <w:r w:rsidRPr="00C25BC4">
        <w:rPr>
          <w:lang w:val="en-US"/>
        </w:rPr>
        <w:t>.</w:t>
      </w:r>
      <w:r w:rsidR="00C25BC4">
        <w:rPr>
          <w:lang w:val="en-US"/>
        </w:rPr>
        <w:t xml:space="preserve"> </w:t>
      </w:r>
    </w:p>
    <w:p w:rsidR="00CA5718" w:rsidRPr="00C32560" w:rsidRDefault="00CA5718" w:rsidP="00EB037D">
      <w:pPr>
        <w:autoSpaceDE w:val="0"/>
        <w:autoSpaceDN w:val="0"/>
        <w:adjustRightInd w:val="0"/>
        <w:spacing w:after="0" w:line="360" w:lineRule="auto"/>
        <w:ind w:firstLine="284"/>
        <w:jc w:val="both"/>
        <w:rPr>
          <w:lang w:val="en-US"/>
        </w:rPr>
      </w:pPr>
    </w:p>
    <w:p w:rsidR="00CA5718" w:rsidRDefault="00CA5718" w:rsidP="00EB037D">
      <w:pPr>
        <w:autoSpaceDE w:val="0"/>
        <w:autoSpaceDN w:val="0"/>
        <w:adjustRightInd w:val="0"/>
        <w:spacing w:after="0" w:line="360" w:lineRule="auto"/>
        <w:ind w:firstLine="284"/>
        <w:jc w:val="both"/>
      </w:pPr>
      <w:r>
        <w:t>Il principio dell</w:t>
      </w:r>
      <w:r w:rsidR="004E03C3">
        <w:t xml:space="preserve">a responsabilità internazionale dello Stato per </w:t>
      </w:r>
      <w:r>
        <w:t>tutti i comportamenti tenuti dai propri organi nella loro qualità ufficiale ha trovato pieno riconoscimento anche in prese di posizione di Stati europei del</w:t>
      </w:r>
      <w:r w:rsidR="00816D06">
        <w:t xml:space="preserve">l’inizio del ventesimo secolo. </w:t>
      </w:r>
      <w:r>
        <w:t xml:space="preserve">Nel caso </w:t>
      </w:r>
      <w:r w:rsidRPr="00B617FC">
        <w:rPr>
          <w:i/>
        </w:rPr>
        <w:t xml:space="preserve">Panther </w:t>
      </w:r>
      <w:r>
        <w:t>risalente al 1906, ad esempio, il Governo tedesco</w:t>
      </w:r>
      <w:r w:rsidR="008C7620">
        <w:t xml:space="preserve"> ha riconosciuto </w:t>
      </w:r>
      <w:r w:rsidR="004E03C3">
        <w:t xml:space="preserve">di dover rispondere internazionalmente </w:t>
      </w:r>
      <w:r>
        <w:t>degli illeciti commessi</w:t>
      </w:r>
      <w:r w:rsidRPr="002C7EBC">
        <w:rPr>
          <w:i/>
        </w:rPr>
        <w:t xml:space="preserve"> ultra vires</w:t>
      </w:r>
      <w:r>
        <w:t xml:space="preserve"> da suoi organi sul territorio dello Stato brasiliano.</w:t>
      </w:r>
    </w:p>
    <w:p w:rsidR="00CA5718" w:rsidRDefault="00CA5718" w:rsidP="00EB037D">
      <w:pPr>
        <w:autoSpaceDE w:val="0"/>
        <w:autoSpaceDN w:val="0"/>
        <w:adjustRightInd w:val="0"/>
        <w:spacing w:after="0" w:line="360" w:lineRule="auto"/>
        <w:ind w:firstLine="284"/>
        <w:jc w:val="both"/>
      </w:pPr>
      <w:r>
        <w:t>Il comandante di una nave da guerra tedesca ancorata in un porto brasiliano aveva ordinato ad alcuni ufficiali di scendere a terra al fine di cercare un marinaio che nei giorni precedenti aveva disertato, senza però richiedere previamente l’autorizzazione alle autorità del posto. Gli ufficiali tedeschi una volta sbarcati hanno ucciso alcuni civili e costretto con la forza degli altri a cooperare nelle ricerche.</w:t>
      </w:r>
    </w:p>
    <w:p w:rsidR="00CA5718" w:rsidRDefault="00CA5718" w:rsidP="00EB037D">
      <w:pPr>
        <w:autoSpaceDE w:val="0"/>
        <w:autoSpaceDN w:val="0"/>
        <w:adjustRightInd w:val="0"/>
        <w:spacing w:after="0" w:line="360" w:lineRule="auto"/>
        <w:ind w:firstLine="284"/>
        <w:jc w:val="both"/>
      </w:pPr>
      <w:r>
        <w:t>Il Governo tedesco ha riconosciuto la propria responsabilità internazionale per quanto avvenuto e ha fornito assicurazioni di punire i responsabili allo Stato brasiliano, il quale ha da quel momento considerato risolta la controversia</w:t>
      </w:r>
      <w:r>
        <w:rPr>
          <w:rStyle w:val="Rimandonotaapidipagina"/>
        </w:rPr>
        <w:footnoteReference w:id="171"/>
      </w:r>
      <w:r>
        <w:t>.</w:t>
      </w:r>
    </w:p>
    <w:p w:rsidR="00CA5718" w:rsidRDefault="008C7620" w:rsidP="00EB037D">
      <w:pPr>
        <w:spacing w:after="0" w:line="360" w:lineRule="auto"/>
        <w:ind w:firstLine="284"/>
        <w:jc w:val="both"/>
      </w:pPr>
      <w:r>
        <w:t>N</w:t>
      </w:r>
      <w:r w:rsidR="00CA5718">
        <w:t xml:space="preserve">ell’ambito della prassi europea il principio della responsabilità internazionale dello Stato per fatti illeciti </w:t>
      </w:r>
      <w:r w:rsidR="00CA5718" w:rsidRPr="00702562">
        <w:rPr>
          <w:i/>
        </w:rPr>
        <w:t>ultra vires</w:t>
      </w:r>
      <w:r w:rsidR="00CA5718">
        <w:t xml:space="preserve"> dei propri organi non è mai più stato messo in discussione a partire dagli anni trenta.</w:t>
      </w:r>
    </w:p>
    <w:p w:rsidR="00002CBA" w:rsidRDefault="00CA5718" w:rsidP="00EB037D">
      <w:pPr>
        <w:spacing w:after="0" w:line="360" w:lineRule="auto"/>
        <w:ind w:firstLine="284"/>
        <w:jc w:val="both"/>
      </w:pPr>
      <w:r>
        <w:t xml:space="preserve">Il </w:t>
      </w:r>
      <w:r w:rsidRPr="00FF675E">
        <w:t>28 dicembre 1936 un membro del personale dell’ambasciata del Belgio a Madrid, il barone Ja</w:t>
      </w:r>
      <w:r>
        <w:t>e</w:t>
      </w:r>
      <w:r w:rsidRPr="00FF675E">
        <w:t xml:space="preserve">ques de Borchgrave, è stato trovato morto nella periferia della città. </w:t>
      </w:r>
      <w:r w:rsidR="008C7620">
        <w:t xml:space="preserve">Sulla base di vari </w:t>
      </w:r>
      <w:r w:rsidRPr="00FF675E">
        <w:t>indizi il Governo del Belgio era giunto alla conclusione che la morte era stata provocata da truppe al servizio del Governo spagnolo</w:t>
      </w:r>
      <w:r>
        <w:t xml:space="preserve"> dal momento che</w:t>
      </w:r>
      <w:r w:rsidR="00816D06">
        <w:t>:</w:t>
      </w:r>
    </w:p>
    <w:p w:rsidR="00002CBA" w:rsidRDefault="00002CBA" w:rsidP="00EB037D">
      <w:pPr>
        <w:spacing w:after="0" w:line="360" w:lineRule="auto"/>
        <w:ind w:firstLine="284"/>
        <w:jc w:val="both"/>
      </w:pPr>
    </w:p>
    <w:p w:rsidR="00CA5718" w:rsidRPr="008C7620" w:rsidRDefault="00CA5718" w:rsidP="00EB037D">
      <w:pPr>
        <w:spacing w:after="0" w:line="360" w:lineRule="auto"/>
        <w:ind w:left="567" w:right="567" w:firstLine="284"/>
        <w:jc w:val="both"/>
        <w:rPr>
          <w:lang w:val="fr-FR"/>
        </w:rPr>
      </w:pPr>
      <w:r w:rsidRPr="008C7620">
        <w:t xml:space="preserve"> </w:t>
      </w:r>
      <w:r w:rsidRPr="008C7620">
        <w:rPr>
          <w:lang w:val="fr-FR"/>
        </w:rPr>
        <w:t>“seuls les éléments appartenant aux forces au service du Gouvern</w:t>
      </w:r>
      <w:r w:rsidR="004211B8" w:rsidRPr="008C7620">
        <w:rPr>
          <w:lang w:val="fr-FR"/>
        </w:rPr>
        <w:t>e</w:t>
      </w:r>
      <w:r w:rsidRPr="008C7620">
        <w:rPr>
          <w:lang w:val="fr-FR"/>
        </w:rPr>
        <w:t>ment avaient pu perpétrer l’assassinat en usant des armes qui leur avait été remises et abusant de l’autorité dont ils étaient rev</w:t>
      </w:r>
      <w:r w:rsidRPr="008C7620">
        <w:rPr>
          <w:rFonts w:cstheme="minorHAnsi"/>
          <w:lang w:val="fr-FR"/>
        </w:rPr>
        <w:t>ê</w:t>
      </w:r>
      <w:r w:rsidRPr="008C7620">
        <w:rPr>
          <w:lang w:val="fr-FR"/>
        </w:rPr>
        <w:t>tus”</w:t>
      </w:r>
      <w:r w:rsidRPr="008C7620">
        <w:rPr>
          <w:rStyle w:val="Rimandonotaapidipagina"/>
        </w:rPr>
        <w:footnoteReference w:id="172"/>
      </w:r>
      <w:r w:rsidRPr="008C7620">
        <w:rPr>
          <w:lang w:val="fr-FR"/>
        </w:rPr>
        <w:t>.</w:t>
      </w:r>
    </w:p>
    <w:p w:rsidR="00002CBA" w:rsidRPr="00002CBA" w:rsidRDefault="00002CBA" w:rsidP="00EB037D">
      <w:pPr>
        <w:spacing w:after="0" w:line="360" w:lineRule="auto"/>
        <w:ind w:firstLine="284"/>
        <w:jc w:val="both"/>
        <w:rPr>
          <w:lang w:val="fr-FR"/>
        </w:rPr>
      </w:pPr>
    </w:p>
    <w:p w:rsidR="00CA5718" w:rsidRDefault="00CA5718" w:rsidP="00EB037D">
      <w:pPr>
        <w:spacing w:after="0" w:line="360" w:lineRule="auto"/>
        <w:ind w:firstLine="284"/>
        <w:jc w:val="both"/>
      </w:pPr>
      <w:r>
        <w:t>Mediante compromesso i due Stati hanno rimesso il caso alla</w:t>
      </w:r>
      <w:r w:rsidR="008C7620">
        <w:t xml:space="preserve"> Corte permanente di giustizia i</w:t>
      </w:r>
      <w:r>
        <w:t>nternazionale al fine di stabilire se il Governo spagnolo dovesse rispondere sul piano internazionale dell’assassinio.</w:t>
      </w:r>
    </w:p>
    <w:p w:rsidR="00CA5718" w:rsidRPr="006E028F" w:rsidRDefault="00CA5718" w:rsidP="00EB037D">
      <w:pPr>
        <w:spacing w:after="0" w:line="360" w:lineRule="auto"/>
        <w:ind w:firstLine="284"/>
        <w:jc w:val="both"/>
      </w:pPr>
      <w:r>
        <w:lastRenderedPageBreak/>
        <w:t xml:space="preserve">Il Belgio ha sostenuto la responsabilità internazionale della Spagna in virtù del fatto che uno Stato deve rispondere di tutti i comportamenti adottati dai propri organi, indipendentemente dalla circostanza che siano stati tenuti al di fuori dei limiti della competenza. </w:t>
      </w:r>
    </w:p>
    <w:p w:rsidR="00CA5718" w:rsidRDefault="00CA5718" w:rsidP="00EB037D">
      <w:pPr>
        <w:spacing w:after="0" w:line="360" w:lineRule="auto"/>
        <w:ind w:firstLine="284"/>
        <w:jc w:val="both"/>
      </w:pPr>
      <w:r w:rsidRPr="006E028F">
        <w:t>Facendo esplicito riferimento al testo della risoluzione adottata nel 1927 dall’</w:t>
      </w:r>
      <w:r w:rsidRPr="006E028F">
        <w:rPr>
          <w:i/>
        </w:rPr>
        <w:t>In</w:t>
      </w:r>
      <w:r>
        <w:rPr>
          <w:i/>
        </w:rPr>
        <w:t>s</w:t>
      </w:r>
      <w:r w:rsidRPr="006E028F">
        <w:rPr>
          <w:i/>
        </w:rPr>
        <w:t>titut de droit international</w:t>
      </w:r>
      <w:r>
        <w:t>, il Belgio ha poi individuato nell’agire nella propria capacità ufficiale e nell’uso dei mezzi messi a disposizione in virtù della funzione svolta le condizioni necessarie al fine del sorgere della responsabilità internazionale di uno Stato nel</w:t>
      </w:r>
      <w:r w:rsidR="006353DD">
        <w:t xml:space="preserve"> caso in cui i suoi organi abbiano</w:t>
      </w:r>
      <w:r>
        <w:t xml:space="preserve"> agito </w:t>
      </w:r>
      <w:r w:rsidRPr="006E028F">
        <w:rPr>
          <w:i/>
        </w:rPr>
        <w:t>ultra vires</w:t>
      </w:r>
      <w:r w:rsidRPr="004314B4">
        <w:rPr>
          <w:rStyle w:val="Rimandonotaapidipagina"/>
        </w:rPr>
        <w:footnoteReference w:id="173"/>
      </w:r>
      <w:r w:rsidRPr="004314B4">
        <w:t>.</w:t>
      </w:r>
    </w:p>
    <w:p w:rsidR="00CA5718" w:rsidRDefault="00CA5718" w:rsidP="00EB037D">
      <w:pPr>
        <w:spacing w:after="0" w:line="360" w:lineRule="auto"/>
        <w:ind w:firstLine="284"/>
        <w:jc w:val="both"/>
      </w:pPr>
      <w:r>
        <w:t xml:space="preserve">Lo Stato sarebbe pertanto tenuto a rispondere internazionalmente dei fatti illeciti </w:t>
      </w:r>
      <w:r w:rsidRPr="00201430">
        <w:rPr>
          <w:i/>
        </w:rPr>
        <w:t>ultra vires</w:t>
      </w:r>
      <w:r>
        <w:t xml:space="preserve"> dei propri organi nel caso in cui appaiono agli occhi dei terzi come tenuti nella propria qualità ufficiale oppure a patto che il loro compimento sia stato reso possibile da un uso abusivo dell’autorità e dei mezzi messi loro a disposizione per lo svolgimento regolare delle funzioni. </w:t>
      </w:r>
    </w:p>
    <w:p w:rsidR="00CA5718" w:rsidRPr="00FF675E" w:rsidRDefault="00CA5718" w:rsidP="00556061">
      <w:pPr>
        <w:spacing w:after="0" w:line="360" w:lineRule="auto"/>
        <w:ind w:firstLine="284"/>
        <w:jc w:val="both"/>
      </w:pPr>
      <w:r>
        <w:t xml:space="preserve">Nonostante la Corte non abbia potuto pronunciarsi in merito alla controversia in quanto i Governi hanno di comune accordo deciso di </w:t>
      </w:r>
      <w:r w:rsidR="00556061">
        <w:t xml:space="preserve">risolverla </w:t>
      </w:r>
      <w:r w:rsidR="006678A0">
        <w:t xml:space="preserve">mediante mezzi diplomatici, </w:t>
      </w:r>
      <w:r>
        <w:t xml:space="preserve">sembra opportuno notare come la Spagna abbia </w:t>
      </w:r>
      <w:r w:rsidRPr="00FF675E">
        <w:t>alla fi</w:t>
      </w:r>
      <w:r w:rsidR="006353DD">
        <w:t>ne accettato di pagare una somma</w:t>
      </w:r>
      <w:r w:rsidRPr="00FF675E">
        <w:t xml:space="preserve"> a titolo di risarcimento come richiesto dal Governo belga.</w:t>
      </w:r>
    </w:p>
    <w:p w:rsidR="00CA5718" w:rsidRDefault="00CA5718" w:rsidP="00EB037D">
      <w:pPr>
        <w:spacing w:after="0" w:line="360" w:lineRule="auto"/>
        <w:ind w:firstLine="284"/>
        <w:jc w:val="both"/>
      </w:pPr>
      <w:r w:rsidRPr="00FF675E">
        <w:t xml:space="preserve">Una circostanza in cui la responsabilità internazionale di uno Stato per comportamento </w:t>
      </w:r>
      <w:r w:rsidRPr="00FF675E">
        <w:rPr>
          <w:i/>
        </w:rPr>
        <w:t>ultra vires</w:t>
      </w:r>
      <w:r w:rsidRPr="00FF675E">
        <w:t xml:space="preserve"> di propri organi è stata fatta dipendere dalla </w:t>
      </w:r>
      <w:r w:rsidR="00376A05">
        <w:t xml:space="preserve">sola </w:t>
      </w:r>
      <w:r w:rsidRPr="00FF675E">
        <w:t xml:space="preserve">condizione che avessero agito nella loro qualità ufficiale è il caso </w:t>
      </w:r>
      <w:r w:rsidRPr="00761B44">
        <w:t>relativo all’</w:t>
      </w:r>
      <w:r w:rsidRPr="00FF675E">
        <w:rPr>
          <w:i/>
        </w:rPr>
        <w:t>incidente aereo del 27 luglio 1955</w:t>
      </w:r>
      <w:r w:rsidRPr="00FF675E">
        <w:rPr>
          <w:rStyle w:val="Rimandonotaapidipagina"/>
        </w:rPr>
        <w:footnoteReference w:id="174"/>
      </w:r>
      <w:r w:rsidRPr="00FF675E">
        <w:t>.</w:t>
      </w:r>
    </w:p>
    <w:p w:rsidR="00CA5718" w:rsidRDefault="00CA5718" w:rsidP="00EB037D">
      <w:pPr>
        <w:tabs>
          <w:tab w:val="right" w:pos="9638"/>
        </w:tabs>
        <w:spacing w:after="0" w:line="360" w:lineRule="auto"/>
        <w:ind w:firstLine="284"/>
        <w:jc w:val="both"/>
      </w:pPr>
      <w:r>
        <w:t xml:space="preserve">Un aereo civile della compagnia israeliana El Al Israel Airlines Ltd., inavvertitamente penetrato nello spazio aereo della Bulgaria, era stato abbattuto da alcuni velivoli della difesa anti-aerea di tale Stato. Tutti i passeggeri e l’intero equipaggio hanno trovato la morte nel tragico incidente. </w:t>
      </w:r>
    </w:p>
    <w:p w:rsidR="00CA5718" w:rsidRDefault="00CA5718" w:rsidP="00EB037D">
      <w:pPr>
        <w:tabs>
          <w:tab w:val="right" w:pos="9638"/>
        </w:tabs>
        <w:spacing w:after="0" w:line="360" w:lineRule="auto"/>
        <w:ind w:firstLine="284"/>
        <w:jc w:val="both"/>
      </w:pPr>
      <w:r>
        <w:t>Israele, Stati Uniti e Regno Unito, gli Stati di cui erano cittadini le vittime, hanno inviato una nota di protesta al Governo bulgaro in cui richiedevano una piena riparazione per il danno subito</w:t>
      </w:r>
      <w:r>
        <w:rPr>
          <w:rStyle w:val="Rimandonotaapidipagina"/>
        </w:rPr>
        <w:footnoteReference w:id="175"/>
      </w:r>
      <w:r>
        <w:t>.</w:t>
      </w:r>
    </w:p>
    <w:p w:rsidR="00CA5718" w:rsidRDefault="00CA5718" w:rsidP="00EB037D">
      <w:pPr>
        <w:tabs>
          <w:tab w:val="right" w:pos="9638"/>
        </w:tabs>
        <w:spacing w:after="0" w:line="360" w:lineRule="auto"/>
        <w:ind w:firstLine="284"/>
        <w:jc w:val="both"/>
        <w:rPr>
          <w:lang w:val="en-US"/>
        </w:rPr>
      </w:pPr>
      <w:r>
        <w:t>In una nota del 4 agosto 1955 il Governo bulgaro, dopo aver evidenziato c</w:t>
      </w:r>
      <w:r w:rsidR="00376A05">
        <w:t>ome il velivolo israeliano avesse</w:t>
      </w:r>
      <w:r>
        <w:t xml:space="preserve"> deviato in maniera evidente rispetto al suo normale itinerario ed aver riconosciuto che le forze della difesa anti-aerea non avevano preso tutte le misure necessarie a costringere l’aereo ad atterrare, ha espresso </w:t>
      </w:r>
      <w:r w:rsidRPr="005C6CE8">
        <w:t xml:space="preserve">“…a profound regret for this great </w:t>
      </w:r>
      <w:r w:rsidRPr="005C6CE8">
        <w:lastRenderedPageBreak/>
        <w:t xml:space="preserve">disaster which has caused the death of completely innocent people….. </w:t>
      </w:r>
      <w:r w:rsidRPr="005C6CE8">
        <w:rPr>
          <w:lang w:val="en-US"/>
        </w:rPr>
        <w:t>It will cause to be identified and punished those guilty of causing the catastrophe to the Israeli aircraft and will take all the necessary steps to ensure that such catastrophes are not repeated on the Bulgarian territory”</w:t>
      </w:r>
      <w:r w:rsidRPr="005C6CE8">
        <w:rPr>
          <w:rStyle w:val="Rimandonotaapidipagina"/>
          <w:lang w:val="en-US"/>
        </w:rPr>
        <w:footnoteReference w:id="176"/>
      </w:r>
      <w:r w:rsidRPr="005C6CE8">
        <w:rPr>
          <w:lang w:val="en-US"/>
        </w:rPr>
        <w:t>.</w:t>
      </w:r>
    </w:p>
    <w:p w:rsidR="00CA5718" w:rsidRDefault="00CA5718" w:rsidP="00EB037D">
      <w:pPr>
        <w:tabs>
          <w:tab w:val="right" w:pos="9638"/>
        </w:tabs>
        <w:spacing w:after="0" w:line="360" w:lineRule="auto"/>
        <w:ind w:firstLine="284"/>
        <w:jc w:val="both"/>
      </w:pPr>
      <w:r>
        <w:t>T</w:t>
      </w:r>
      <w:r w:rsidRPr="00300F4B">
        <w:t xml:space="preserve">ali </w:t>
      </w:r>
      <w:r>
        <w:t xml:space="preserve">brani </w:t>
      </w:r>
      <w:r w:rsidRPr="00300F4B">
        <w:t xml:space="preserve">della nota diplomatica bulgara </w:t>
      </w:r>
      <w:r>
        <w:t>dimostrano come i militari abbiano presumibilmente agito in violazione d</w:t>
      </w:r>
      <w:r w:rsidR="00C343F1">
        <w:t>el proprio ordinamento</w:t>
      </w:r>
      <w:r>
        <w:t xml:space="preserve"> interno o delle istruzioni ricevute. </w:t>
      </w:r>
    </w:p>
    <w:p w:rsidR="00CA5718" w:rsidRDefault="00CA5718" w:rsidP="00EB037D">
      <w:pPr>
        <w:tabs>
          <w:tab w:val="right" w:pos="9638"/>
        </w:tabs>
        <w:spacing w:after="0" w:line="360" w:lineRule="auto"/>
        <w:ind w:firstLine="284"/>
        <w:jc w:val="both"/>
      </w:pPr>
      <w:r>
        <w:t>Nelle conclusioni il Governo</w:t>
      </w:r>
      <w:r w:rsidR="005C6CE8">
        <w:t xml:space="preserve"> bulgaro ha inoltre ammesso di dov</w:t>
      </w:r>
      <w:r>
        <w:t xml:space="preserve">er rispondere in ambito internazionale del </w:t>
      </w:r>
      <w:r w:rsidRPr="00300F4B">
        <w:t xml:space="preserve">comportamento </w:t>
      </w:r>
      <w:r>
        <w:t xml:space="preserve">illecito tenuto </w:t>
      </w:r>
      <w:r w:rsidRPr="00300F4B">
        <w:rPr>
          <w:i/>
        </w:rPr>
        <w:t>ultra vires</w:t>
      </w:r>
      <w:r>
        <w:t xml:space="preserve"> dai propri orga</w:t>
      </w:r>
      <w:r w:rsidR="00D31C29">
        <w:t>ni affermando che “</w:t>
      </w:r>
      <w:r>
        <w:t>…</w:t>
      </w:r>
      <w:r w:rsidRPr="005C6CE8">
        <w:t>is prepared to assume responsibility for compensation due to their families, as well as its share of compensation for material damage”</w:t>
      </w:r>
      <w:r w:rsidRPr="005C6CE8">
        <w:rPr>
          <w:rStyle w:val="Rimandonotaapidipagina"/>
        </w:rPr>
        <w:footnoteReference w:id="177"/>
      </w:r>
      <w:r w:rsidRPr="005C6CE8">
        <w:t>.</w:t>
      </w:r>
    </w:p>
    <w:p w:rsidR="00CA5718" w:rsidRDefault="006678A0" w:rsidP="00EB037D">
      <w:pPr>
        <w:tabs>
          <w:tab w:val="right" w:pos="9638"/>
        </w:tabs>
        <w:spacing w:after="0" w:line="360" w:lineRule="auto"/>
        <w:ind w:firstLine="284"/>
        <w:jc w:val="both"/>
      </w:pPr>
      <w:r w:rsidRPr="006678A0">
        <w:t>A seguito del</w:t>
      </w:r>
      <w:r w:rsidR="00CA5718" w:rsidRPr="006678A0">
        <w:t xml:space="preserve">le richieste di risarcimento </w:t>
      </w:r>
      <w:r w:rsidRPr="006678A0">
        <w:t xml:space="preserve">formulate </w:t>
      </w:r>
      <w:r w:rsidR="00CA5718" w:rsidRPr="006678A0">
        <w:t xml:space="preserve">da parte dei Governi israeliano, statunitense e britannico, il Governo bulgaro ha </w:t>
      </w:r>
      <w:r>
        <w:t xml:space="preserve">invece </w:t>
      </w:r>
      <w:r w:rsidRPr="006678A0">
        <w:t xml:space="preserve">negato la propria responsabilità internazionale per l’accaduto, </w:t>
      </w:r>
      <w:r>
        <w:t>giustificando il proprio comportamento con la circostanza che l</w:t>
      </w:r>
      <w:r w:rsidR="00CA5718" w:rsidRPr="006678A0">
        <w:t>’aereo isra</w:t>
      </w:r>
      <w:r w:rsidRPr="006678A0">
        <w:t>eliano aveva profondamente p</w:t>
      </w:r>
      <w:r w:rsidR="00CA5718" w:rsidRPr="006678A0">
        <w:t>enetrato il proprio spazio aereo</w:t>
      </w:r>
      <w:r w:rsidRPr="006678A0">
        <w:t>.</w:t>
      </w:r>
    </w:p>
    <w:p w:rsidR="00CA5718" w:rsidRDefault="00CA5718" w:rsidP="00EB037D">
      <w:pPr>
        <w:tabs>
          <w:tab w:val="right" w:pos="9638"/>
        </w:tabs>
        <w:spacing w:after="0" w:line="360" w:lineRule="auto"/>
        <w:ind w:firstLine="284"/>
        <w:jc w:val="both"/>
      </w:pPr>
      <w:r>
        <w:t xml:space="preserve">In una nota diplomatica dell’8 agosto 1957, trasmessa al Governo statunitense </w:t>
      </w:r>
      <w:r w:rsidR="006678A0">
        <w:t>per mezzo del Governo svizzero,</w:t>
      </w:r>
      <w:r>
        <w:t xml:space="preserve"> la Bulgaria ha reso noto di essere </w:t>
      </w:r>
      <w:r w:rsidR="006678A0">
        <w:t xml:space="preserve">però </w:t>
      </w:r>
      <w:r>
        <w:t xml:space="preserve">disponibile al pagamento di una somma di denaro </w:t>
      </w:r>
      <w:r w:rsidRPr="00B5722D">
        <w:rPr>
          <w:i/>
        </w:rPr>
        <w:t>ex gratia</w:t>
      </w:r>
      <w:r>
        <w:t xml:space="preserve"> ai familiari delle vittime</w:t>
      </w:r>
      <w:r>
        <w:rPr>
          <w:rStyle w:val="Rimandonotaapidipagina"/>
        </w:rPr>
        <w:footnoteReference w:id="178"/>
      </w:r>
      <w:r>
        <w:t>.</w:t>
      </w:r>
    </w:p>
    <w:p w:rsidR="00CA5718" w:rsidRDefault="00CA5718" w:rsidP="00EB037D">
      <w:pPr>
        <w:tabs>
          <w:tab w:val="right" w:pos="9638"/>
        </w:tabs>
        <w:spacing w:after="0" w:line="360" w:lineRule="auto"/>
        <w:ind w:firstLine="284"/>
        <w:jc w:val="both"/>
      </w:pPr>
      <w:r>
        <w:t>Sembra opportuno notare che il Governo bulgaro non ha tentato di sottrarsi alla propria responsabilità internazionale per l’accaduto sulla base del mancato rispetto da parte dei propri organi delle disposizioni di diritto interno in tema di competenza, bensì ha invocato la colpa del pilota come possibile causa di esclusione dell’illecito.</w:t>
      </w:r>
    </w:p>
    <w:p w:rsidR="00CA5718" w:rsidRDefault="00CA5718" w:rsidP="00EB037D">
      <w:pPr>
        <w:tabs>
          <w:tab w:val="right" w:pos="9638"/>
        </w:tabs>
        <w:spacing w:after="0" w:line="360" w:lineRule="auto"/>
        <w:ind w:firstLine="284"/>
        <w:jc w:val="both"/>
      </w:pPr>
    </w:p>
    <w:p w:rsidR="00CA5718" w:rsidRDefault="00B5266E" w:rsidP="004676E2">
      <w:pPr>
        <w:pStyle w:val="Paragrafoelenco"/>
        <w:numPr>
          <w:ilvl w:val="0"/>
          <w:numId w:val="2"/>
        </w:numPr>
        <w:spacing w:after="0" w:line="360" w:lineRule="auto"/>
        <w:ind w:firstLine="284"/>
      </w:pPr>
      <w:r>
        <w:t>La giurisprudenza arbitrale dei primi anni del secolo</w:t>
      </w:r>
      <w:r w:rsidR="00E16509">
        <w:t>: g</w:t>
      </w:r>
      <w:r w:rsidR="00CA5718">
        <w:t xml:space="preserve">li arbitrati </w:t>
      </w:r>
      <w:r w:rsidR="00BD16D9">
        <w:t xml:space="preserve">nei casi </w:t>
      </w:r>
      <w:r w:rsidR="00CA5718">
        <w:t xml:space="preserve">venezuelani </w:t>
      </w:r>
    </w:p>
    <w:p w:rsidR="00CA5718" w:rsidRDefault="00CA5718" w:rsidP="00EB037D">
      <w:pPr>
        <w:spacing w:after="0" w:line="360" w:lineRule="auto"/>
        <w:ind w:firstLine="284"/>
        <w:jc w:val="both"/>
      </w:pPr>
    </w:p>
    <w:p w:rsidR="00CA5718" w:rsidRDefault="00CA5718" w:rsidP="00EB037D">
      <w:pPr>
        <w:spacing w:after="0" w:line="360" w:lineRule="auto"/>
        <w:ind w:firstLine="284"/>
        <w:jc w:val="both"/>
      </w:pPr>
      <w:r>
        <w:t xml:space="preserve">A partire dal ventesimo secolo si è assistito ad un riconoscimento generalizzato da parte della </w:t>
      </w:r>
      <w:r w:rsidR="001E28DD">
        <w:t>tribunali internazionali</w:t>
      </w:r>
      <w:r>
        <w:t xml:space="preserve"> del principio d</w:t>
      </w:r>
      <w:r w:rsidR="00556061">
        <w:t xml:space="preserve">ella responsabilità dello Stato per </w:t>
      </w:r>
      <w:r>
        <w:t xml:space="preserve">le condotte </w:t>
      </w:r>
      <w:r w:rsidRPr="009E57C8">
        <w:rPr>
          <w:i/>
        </w:rPr>
        <w:lastRenderedPageBreak/>
        <w:t>ultra vires</w:t>
      </w:r>
      <w:r>
        <w:t xml:space="preserve"> dei propri organi. Le sentenze rese dalle Commissioni miste dei </w:t>
      </w:r>
      <w:r w:rsidRPr="0086210F">
        <w:t xml:space="preserve">reclami </w:t>
      </w:r>
      <w:r w:rsidR="0086210F">
        <w:t>nell’ambito dei così</w:t>
      </w:r>
      <w:r w:rsidR="0003558B">
        <w:t xml:space="preserve"> </w:t>
      </w:r>
      <w:r w:rsidR="0086210F">
        <w:t>detti</w:t>
      </w:r>
      <w:r w:rsidRPr="0086210F">
        <w:t xml:space="preserve"> </w:t>
      </w:r>
      <w:r w:rsidR="0086210F">
        <w:t>“</w:t>
      </w:r>
      <w:r w:rsidRPr="0086210F">
        <w:t>arbitrati venezuelani</w:t>
      </w:r>
      <w:r w:rsidR="0086210F">
        <w:t>”</w:t>
      </w:r>
      <w:r w:rsidR="00136893" w:rsidRPr="0086210F">
        <w:rPr>
          <w:rStyle w:val="Rimandonotaapidipagina"/>
        </w:rPr>
        <w:footnoteReference w:id="179"/>
      </w:r>
      <w:r w:rsidRPr="0086210F">
        <w:t xml:space="preserve"> possono però considerarsi una sorta di “</w:t>
      </w:r>
      <w:r w:rsidRPr="0086210F">
        <w:rPr>
          <w:i/>
        </w:rPr>
        <w:t>trait d’union</w:t>
      </w:r>
      <w:r w:rsidRPr="0086210F">
        <w:t>”</w:t>
      </w:r>
      <w:r>
        <w:t xml:space="preserve"> tra la giurisprudenza del diciannovesimo e quella del ventesimo secolo in quanto, nonostante non venga più prevista un’assimilazione dei fatti illeciti </w:t>
      </w:r>
      <w:r w:rsidRPr="003151DF">
        <w:rPr>
          <w:i/>
        </w:rPr>
        <w:t>ultra vires</w:t>
      </w:r>
      <w:r>
        <w:t xml:space="preserve"> degli organi statali a dei comportamenti di privati, in alcune circostanze la responsabilità internazionale dello Stato viene fatta dipendere dall’atteggiamento adottato da parte del Governo rispetto alla condotta illecita </w:t>
      </w:r>
      <w:r w:rsidRPr="004251E2">
        <w:rPr>
          <w:i/>
        </w:rPr>
        <w:t>ultra vires</w:t>
      </w:r>
      <w:r w:rsidRPr="00E147F8">
        <w:t>.</w:t>
      </w:r>
    </w:p>
    <w:p w:rsidR="00CA5718" w:rsidRPr="00A103E6" w:rsidRDefault="00CA5718" w:rsidP="00EB037D">
      <w:pPr>
        <w:spacing w:after="0" w:line="360" w:lineRule="auto"/>
        <w:ind w:firstLine="284"/>
        <w:jc w:val="both"/>
      </w:pPr>
      <w:r>
        <w:t xml:space="preserve">Una pronuncia in cui la responsabilità internazionale del Venezuela è stata fatta derivare dall’implicita approvazione da parte dello Stato di una condotta illecita tenuta </w:t>
      </w:r>
      <w:r w:rsidRPr="00A103E6">
        <w:rPr>
          <w:i/>
        </w:rPr>
        <w:t>ultra vires</w:t>
      </w:r>
      <w:r>
        <w:t xml:space="preserve"> da un proprio organo è quella resa dalla Commissione mista Gran Bretagna/Venezuela nel caso </w:t>
      </w:r>
      <w:r w:rsidRPr="00D56F34">
        <w:rPr>
          <w:i/>
        </w:rPr>
        <w:t>Compagnie Générale des Asphaltes de France</w:t>
      </w:r>
      <w:r w:rsidRPr="002B5E49">
        <w:rPr>
          <w:rStyle w:val="Rimandonotaapidipagina"/>
        </w:rPr>
        <w:footnoteReference w:id="180"/>
      </w:r>
      <w:r w:rsidRPr="002B5E49">
        <w:t>.</w:t>
      </w:r>
      <w:r>
        <w:t xml:space="preserve"> Un’impresa britannica che si occupava dello sfruttamento delle risorse minerarie aveva subito delle forti perdite per la cessazione della sua attività in Venezuela a causa del rifiuto da parte del console venezuelano a Trinidad (colonia britannica) di accordare alle imbarcazioni di tale compagnia l’autorizzazione ad entrare sul proprio territorio. </w:t>
      </w:r>
    </w:p>
    <w:p w:rsidR="00CA5718" w:rsidRDefault="00CA5718" w:rsidP="00EB037D">
      <w:pPr>
        <w:spacing w:after="0" w:line="360" w:lineRule="auto"/>
        <w:ind w:firstLine="284"/>
        <w:jc w:val="both"/>
      </w:pPr>
      <w:r>
        <w:t>Dopo aver riconosciuto che il console aveva a</w:t>
      </w:r>
      <w:r w:rsidR="001E28DD">
        <w:t>gito eccedendo le competenze</w:t>
      </w:r>
      <w:r>
        <w:t xml:space="preserve"> conferite</w:t>
      </w:r>
      <w:r w:rsidR="001E28DD">
        <w:t>gli</w:t>
      </w:r>
      <w:r>
        <w:t xml:space="preserve"> dal diritto interno, il superarbitro ha fondato la responsabilità internazionale del Venezuela sul mancato esplicito disconoscimento della condotta da parte del Governo: </w:t>
      </w:r>
    </w:p>
    <w:p w:rsidR="00CA5718" w:rsidRDefault="00CA5718" w:rsidP="00EB037D">
      <w:pPr>
        <w:spacing w:after="0" w:line="360" w:lineRule="auto"/>
        <w:ind w:firstLine="284"/>
        <w:jc w:val="both"/>
      </w:pPr>
    </w:p>
    <w:p w:rsidR="00CA5718" w:rsidRPr="009E7E5D" w:rsidRDefault="00CA5718" w:rsidP="00EB037D">
      <w:pPr>
        <w:spacing w:after="0" w:line="360" w:lineRule="auto"/>
        <w:ind w:left="567" w:right="567" w:firstLine="284"/>
        <w:jc w:val="both"/>
        <w:rPr>
          <w:lang w:val="en-US"/>
        </w:rPr>
      </w:pPr>
      <w:r w:rsidRPr="009E7E5D">
        <w:rPr>
          <w:lang w:val="en-US"/>
        </w:rPr>
        <w:t>“</w:t>
      </w:r>
      <w:r w:rsidRPr="001E28DD">
        <w:rPr>
          <w:lang w:val="en-US"/>
        </w:rPr>
        <w:t>The umpire holds….that the question of responsibility of Venezuela for the acts of their consul at Trinidad is found in the failure of the Government of Venezuela, after knowledge thereof, to make reasonable disclaimer of his acts and reasonable correction of his mistakes. If the respondent Government authorized or directed some of these acts, or only ratified them by silence and acquiescence, its responsibility is the same</w:t>
      </w:r>
      <w:r>
        <w:rPr>
          <w:lang w:val="en-US"/>
        </w:rPr>
        <w:t>”</w:t>
      </w:r>
      <w:r>
        <w:rPr>
          <w:rStyle w:val="Rimandonotaapidipagina"/>
        </w:rPr>
        <w:footnoteReference w:id="181"/>
      </w:r>
      <w:r w:rsidRPr="009E7E5D">
        <w:rPr>
          <w:lang w:val="en-US"/>
        </w:rPr>
        <w:t>.</w:t>
      </w:r>
    </w:p>
    <w:p w:rsidR="00CA5718" w:rsidRPr="009E7E5D" w:rsidRDefault="00CA5718" w:rsidP="00EB037D">
      <w:pPr>
        <w:spacing w:after="0" w:line="360" w:lineRule="auto"/>
        <w:ind w:firstLine="284"/>
        <w:jc w:val="both"/>
        <w:rPr>
          <w:lang w:val="en-US"/>
        </w:rPr>
      </w:pPr>
    </w:p>
    <w:p w:rsidR="00007010" w:rsidRDefault="00007010" w:rsidP="00EB037D">
      <w:pPr>
        <w:spacing w:after="0" w:line="360" w:lineRule="auto"/>
        <w:ind w:firstLine="284"/>
        <w:jc w:val="both"/>
        <w:rPr>
          <w:highlight w:val="yellow"/>
        </w:rPr>
      </w:pPr>
      <w:r w:rsidRPr="0086210F">
        <w:lastRenderedPageBreak/>
        <w:t xml:space="preserve">A partire dalle decisioni rese </w:t>
      </w:r>
      <w:r w:rsidR="0086210F" w:rsidRPr="0086210F">
        <w:t>dalle</w:t>
      </w:r>
      <w:r w:rsidR="0086210F">
        <w:t xml:space="preserve"> Commissioni miste dei reclami con riferimento alle controversie sorte tra la Repubblica del Venezuela e numerosi cittadini stranieri ivi residenti, la responsabilità internazionale dello Stato per i fatti illeciti </w:t>
      </w:r>
      <w:r w:rsidR="0086210F" w:rsidRPr="0086210F">
        <w:rPr>
          <w:i/>
        </w:rPr>
        <w:t>ultra vires</w:t>
      </w:r>
      <w:r w:rsidR="0086210F">
        <w:t xml:space="preserve"> dei propri organi sorge non più in virtù del fatto che ulteriori organi statali hanno omesso di adottare le misure idonee a prevenire o reprimere tali comportamenti, bensì </w:t>
      </w:r>
      <w:r w:rsidR="00BD7D62">
        <w:t>alla luce della circostanza che per il diritto internazionale tali fatti sono attribuibili allo Stato.</w:t>
      </w:r>
    </w:p>
    <w:p w:rsidR="00CA5718" w:rsidRDefault="00CA5718" w:rsidP="00EB037D">
      <w:pPr>
        <w:spacing w:after="0" w:line="360" w:lineRule="auto"/>
        <w:ind w:firstLine="284"/>
        <w:jc w:val="both"/>
      </w:pPr>
      <w:r>
        <w:t>Nella sentenza resa nel caso</w:t>
      </w:r>
      <w:r w:rsidRPr="0077339F">
        <w:rPr>
          <w:i/>
        </w:rPr>
        <w:t xml:space="preserve"> Maal</w:t>
      </w:r>
      <w:r>
        <w:t xml:space="preserve"> la Commissione mista Paesi Bassi/Venezuela ha condannato il Governo venezuelano a versare un risarcimento dei danni causati dalla condotta illecita di un proprio poliziotto, il quale aveva costretto un cittadino olandese a svestirsi in pubblico prima di procedere al suo arresto.</w:t>
      </w:r>
    </w:p>
    <w:p w:rsidR="00CA5718" w:rsidRDefault="00CA5718" w:rsidP="00EB037D">
      <w:pPr>
        <w:spacing w:after="0" w:line="360" w:lineRule="auto"/>
        <w:ind w:firstLine="284"/>
        <w:jc w:val="both"/>
      </w:pPr>
      <w:r>
        <w:t>Nel motivare la propria decisione il superarbitro Plumley non ha fatto alcun riferimento all’atteggiamento assunto dal Governo venezuelano rispet</w:t>
      </w:r>
      <w:r w:rsidR="00A00B64">
        <w:t xml:space="preserve">to all’organo responsabile del fatto </w:t>
      </w:r>
      <w:r>
        <w:t>illecito, bensì ha ritenuto il pag</w:t>
      </w:r>
      <w:r w:rsidR="00FB24FB">
        <w:t xml:space="preserve">amento di un </w:t>
      </w:r>
      <w:r>
        <w:t>risarcimento al Governo olandese come</w:t>
      </w:r>
      <w:r w:rsidR="00FB24FB">
        <w:t xml:space="preserve"> costituente</w:t>
      </w:r>
      <w:r>
        <w:t xml:space="preserve"> l’equa riparazione di un danno causato ad un altro soggetto in virtù dello stesso fatto tenuto </w:t>
      </w:r>
      <w:r w:rsidRPr="004B314D">
        <w:rPr>
          <w:i/>
        </w:rPr>
        <w:t>ultra vires</w:t>
      </w:r>
      <w:r>
        <w:rPr>
          <w:i/>
        </w:rPr>
        <w:t xml:space="preserve"> </w:t>
      </w:r>
      <w:r w:rsidRPr="00EE11BE">
        <w:t>da parte dell’organo nell’esercizio delle proprie funzioni</w:t>
      </w:r>
      <w:r>
        <w:t>:</w:t>
      </w:r>
    </w:p>
    <w:p w:rsidR="00CA5718" w:rsidRPr="00BD465E" w:rsidRDefault="00CA5718" w:rsidP="00EB037D">
      <w:pPr>
        <w:spacing w:after="0" w:line="360" w:lineRule="auto"/>
        <w:ind w:firstLine="284"/>
        <w:jc w:val="both"/>
      </w:pPr>
    </w:p>
    <w:p w:rsidR="00CA5718" w:rsidRDefault="00CA5718" w:rsidP="00EB037D">
      <w:pPr>
        <w:spacing w:after="0" w:line="360" w:lineRule="auto"/>
        <w:ind w:left="567" w:right="567" w:firstLine="284"/>
        <w:jc w:val="both"/>
        <w:rPr>
          <w:lang w:val="en-US"/>
        </w:rPr>
      </w:pPr>
      <w:r w:rsidRPr="00FB24FB">
        <w:rPr>
          <w:lang w:val="en-US"/>
        </w:rPr>
        <w:t>“….the acts of their subordinates in the line of their authority however odious their acts may be, the Government that those in discharge of this important duty of the Government of Venezuela have been reprimanded, punished or discharged, the only way in which there can be an expression of regret on the part of the Government and a discharge of its duty toward the subject of a sovereign and a friendly State is by making an indemnity thereof in the way of money compensation</w:t>
      </w:r>
      <w:r>
        <w:rPr>
          <w:lang w:val="en-US"/>
        </w:rPr>
        <w:t>”</w:t>
      </w:r>
      <w:r w:rsidRPr="001C6DCD">
        <w:rPr>
          <w:rStyle w:val="Rimandonotaapidipagina"/>
        </w:rPr>
        <w:footnoteReference w:id="182"/>
      </w:r>
      <w:r w:rsidRPr="00EE67AF">
        <w:rPr>
          <w:lang w:val="en-US"/>
        </w:rPr>
        <w:t>.</w:t>
      </w:r>
    </w:p>
    <w:p w:rsidR="00CA5718" w:rsidRPr="00EE67AF" w:rsidRDefault="00CA5718" w:rsidP="00EB037D">
      <w:pPr>
        <w:spacing w:after="0" w:line="360" w:lineRule="auto"/>
        <w:ind w:firstLine="284"/>
        <w:jc w:val="both"/>
        <w:rPr>
          <w:lang w:val="en-US"/>
        </w:rPr>
      </w:pPr>
    </w:p>
    <w:p w:rsidR="00CA5718" w:rsidRDefault="00CA5718" w:rsidP="00EB037D">
      <w:pPr>
        <w:spacing w:after="0" w:line="360" w:lineRule="auto"/>
        <w:ind w:firstLine="284"/>
        <w:jc w:val="both"/>
      </w:pPr>
      <w:r>
        <w:t xml:space="preserve">In altre pronunce infine il Venezuela è stato condannato a pagare una somma a titolo di risarcimento per un fatto illecito </w:t>
      </w:r>
      <w:r w:rsidRPr="00B12F8D">
        <w:rPr>
          <w:i/>
        </w:rPr>
        <w:t>ultra vires</w:t>
      </w:r>
      <w:r>
        <w:t xml:space="preserve"> di un proprio organo nonostante il responsabile fosse stato previamente punito.</w:t>
      </w:r>
    </w:p>
    <w:p w:rsidR="004379C0" w:rsidRDefault="00FB24FB" w:rsidP="00EB037D">
      <w:pPr>
        <w:spacing w:after="0" w:line="360" w:lineRule="auto"/>
        <w:ind w:firstLine="284"/>
        <w:jc w:val="both"/>
      </w:pPr>
      <w:r>
        <w:rPr>
          <w:rFonts w:cstheme="minorHAnsi"/>
        </w:rPr>
        <w:t xml:space="preserve">Ad esempio, </w:t>
      </w:r>
      <w:r w:rsidR="00CA5718">
        <w:t xml:space="preserve">nella sentenza resa nel caso </w:t>
      </w:r>
      <w:r w:rsidR="00CA5718" w:rsidRPr="00B12F8D">
        <w:rPr>
          <w:i/>
        </w:rPr>
        <w:t>Metzger</w:t>
      </w:r>
      <w:r w:rsidR="00CA5718">
        <w:t xml:space="preserve"> dalla Commissio</w:t>
      </w:r>
      <w:r>
        <w:t xml:space="preserve">ne mista Germania/Venezuela, il </w:t>
      </w:r>
      <w:r w:rsidR="00CA5718">
        <w:t xml:space="preserve">superarbitro Duffield, dopo aver appurato che il militare venezuelano che aveva violentemente aggredito un cittadino tedesco aveva agito nella sua qualità ufficiale, ha riconosciuto la responsabilità internazionale del Venezuela per il fatto </w:t>
      </w:r>
      <w:r w:rsidR="00CA5718">
        <w:lastRenderedPageBreak/>
        <w:t xml:space="preserve">illecito </w:t>
      </w:r>
      <w:r w:rsidR="00CA5718" w:rsidRPr="001C6DCD">
        <w:rPr>
          <w:i/>
        </w:rPr>
        <w:t>ultra vires</w:t>
      </w:r>
      <w:r w:rsidR="00CA5718">
        <w:t xml:space="preserve"> del proprio organo malgrado </w:t>
      </w:r>
      <w:r>
        <w:t xml:space="preserve">tale Stato </w:t>
      </w:r>
      <w:r w:rsidR="00CA5718">
        <w:t>avesse già provveduto al suo arresto</w:t>
      </w:r>
      <w:r w:rsidR="00CA5718">
        <w:rPr>
          <w:rStyle w:val="Rimandonotaapidipagina"/>
        </w:rPr>
        <w:footnoteReference w:id="183"/>
      </w:r>
      <w:r w:rsidR="00CA5718">
        <w:t xml:space="preserve">. </w:t>
      </w:r>
    </w:p>
    <w:p w:rsidR="00CA5718" w:rsidRDefault="00CA5718" w:rsidP="00CE6CE3">
      <w:pPr>
        <w:spacing w:after="0" w:line="360" w:lineRule="auto"/>
        <w:ind w:firstLine="284"/>
        <w:jc w:val="both"/>
      </w:pPr>
      <w:r w:rsidRPr="00BD7D62">
        <w:t xml:space="preserve">Pur dovendosi interpretare la punizione del responsabile come volontà dello Stato di non ratificare o approvare il comportamento illecito del proprio organo, </w:t>
      </w:r>
      <w:r w:rsidR="00BD7D62" w:rsidRPr="00BD7D62">
        <w:t xml:space="preserve">sembra opportuno sottolineare </w:t>
      </w:r>
      <w:r w:rsidRPr="00BD7D62">
        <w:t xml:space="preserve">come </w:t>
      </w:r>
      <w:r w:rsidR="00BD7D62">
        <w:t xml:space="preserve">la responsabilità internazionale dello Stato </w:t>
      </w:r>
      <w:r w:rsidR="00E91FFD">
        <w:t xml:space="preserve">sia stata fatta dipendere dalla circostanza che il fatto illecito </w:t>
      </w:r>
      <w:r w:rsidR="00E91FFD" w:rsidRPr="00E91FFD">
        <w:rPr>
          <w:i/>
        </w:rPr>
        <w:t>ultra vires</w:t>
      </w:r>
      <w:r w:rsidR="00E91FFD">
        <w:t xml:space="preserve"> fosse un fatto dello Stato sul piano internazionale, in quanto l’organ</w:t>
      </w:r>
      <w:r w:rsidR="0003558B">
        <w:t>o lo aveva compiuto dell’eserciz</w:t>
      </w:r>
      <w:r w:rsidR="00E91FFD">
        <w:t>io delle proprie funzioni.</w:t>
      </w:r>
    </w:p>
    <w:p w:rsidR="00276115" w:rsidRDefault="00276115" w:rsidP="00CE6CE3">
      <w:pPr>
        <w:spacing w:after="0" w:line="360" w:lineRule="auto"/>
        <w:ind w:firstLine="284"/>
        <w:jc w:val="both"/>
      </w:pPr>
    </w:p>
    <w:p w:rsidR="00CA5718" w:rsidRDefault="00121082" w:rsidP="004676E2">
      <w:pPr>
        <w:pStyle w:val="Paragrafoelenco"/>
        <w:numPr>
          <w:ilvl w:val="0"/>
          <w:numId w:val="2"/>
        </w:numPr>
        <w:spacing w:after="0" w:line="360" w:lineRule="auto"/>
        <w:ind w:firstLine="284"/>
        <w:jc w:val="both"/>
      </w:pPr>
      <w:r>
        <w:t xml:space="preserve">Segue: </w:t>
      </w:r>
      <w:r w:rsidR="00FA79B3">
        <w:t xml:space="preserve">le sentenze nei casi </w:t>
      </w:r>
      <w:r w:rsidR="00FA79B3" w:rsidRPr="00FA79B3">
        <w:rPr>
          <w:i/>
        </w:rPr>
        <w:t>La Masica</w:t>
      </w:r>
      <w:r w:rsidR="00FA79B3">
        <w:t xml:space="preserve"> e </w:t>
      </w:r>
      <w:r w:rsidR="00FA79B3" w:rsidRPr="00FA79B3">
        <w:rPr>
          <w:i/>
        </w:rPr>
        <w:t>The Coquitlam</w:t>
      </w:r>
    </w:p>
    <w:p w:rsidR="00CA5718" w:rsidRDefault="00CA5718" w:rsidP="00EB037D">
      <w:pPr>
        <w:spacing w:after="0" w:line="360" w:lineRule="auto"/>
        <w:ind w:firstLine="284"/>
        <w:jc w:val="both"/>
      </w:pPr>
    </w:p>
    <w:p w:rsidR="00CA5718" w:rsidRDefault="00CA5718" w:rsidP="00EB037D">
      <w:pPr>
        <w:spacing w:after="0" w:line="360" w:lineRule="auto"/>
        <w:ind w:firstLine="284"/>
        <w:jc w:val="both"/>
      </w:pPr>
      <w:r>
        <w:t>Nel periodo antecedente i lavori della Conferenza di codificazione del 1930, numerose pronunce arbitrali hanno confermato il principio dell’attribuzione allo Stato dei comportamenti tenuti dagli organi nel mancato rispetto delle disposizioni di diritto interno in tema di c</w:t>
      </w:r>
      <w:r w:rsidR="00980953">
        <w:t>ompetenza o delle istruzioni loro</w:t>
      </w:r>
      <w:r>
        <w:t xml:space="preserve"> impartite.</w:t>
      </w:r>
    </w:p>
    <w:p w:rsidR="00CC52A1" w:rsidRPr="00953ABA" w:rsidRDefault="00CA5718" w:rsidP="00EB037D">
      <w:pPr>
        <w:spacing w:after="0" w:line="360" w:lineRule="auto"/>
        <w:ind w:firstLine="284"/>
        <w:jc w:val="both"/>
      </w:pPr>
      <w:r>
        <w:t xml:space="preserve">Tale principio è </w:t>
      </w:r>
      <w:r w:rsidR="00AD5F14">
        <w:t>stato espressamente affermato</w:t>
      </w:r>
      <w:r>
        <w:t xml:space="preserve"> nella sentenza resa il 7 dicembre 1916 nel caso </w:t>
      </w:r>
      <w:r w:rsidRPr="00754AA2">
        <w:rPr>
          <w:i/>
        </w:rPr>
        <w:t>La Masica</w:t>
      </w:r>
      <w:r>
        <w:t xml:space="preserve"> da parte del re di Spagna Alfonso XIII, nominato arbitro in base ad un comprome</w:t>
      </w:r>
      <w:r w:rsidR="001415DA">
        <w:t xml:space="preserve">sso siglato tra Honduras e Gran </w:t>
      </w:r>
      <w:r>
        <w:t>Br</w:t>
      </w:r>
      <w:r w:rsidR="00B319CE">
        <w:t>etagna nel 1914. In relazione all’</w:t>
      </w:r>
      <w:r>
        <w:t>uccisione di un cittadino britannico ed il ferimento di un secondo da parte d</w:t>
      </w:r>
      <w:r w:rsidR="00953ABA">
        <w:t xml:space="preserve">i alcuni soldati dell’Honduras, che avevano agito sotto la supervisione di un superiore contravvenendo alle disposizioni del diritto interno, </w:t>
      </w:r>
      <w:r>
        <w:t xml:space="preserve">l’arbitro ha stabilito che </w:t>
      </w:r>
      <w:r w:rsidR="001F7B18">
        <w:t xml:space="preserve">l’Honduras </w:t>
      </w:r>
      <w:r>
        <w:t xml:space="preserve">doveva </w:t>
      </w:r>
      <w:r w:rsidR="00953ABA">
        <w:t xml:space="preserve">comunque </w:t>
      </w:r>
      <w:r>
        <w:t xml:space="preserve">risponderne internazionalmente sulla base di </w:t>
      </w:r>
      <w:r w:rsidRPr="000A5055">
        <w:t>“…principles of international law, in conformity with which a State is bound on certain occasions, to make good the damage caused to foreign nationals by illegal acts of omission or commission on the part of its authorities”</w:t>
      </w:r>
      <w:r w:rsidRPr="000A5055">
        <w:rPr>
          <w:rStyle w:val="Rimandonotaapidipagina"/>
        </w:rPr>
        <w:footnoteReference w:id="184"/>
      </w:r>
      <w:r w:rsidR="00953ABA" w:rsidRPr="000A5055">
        <w:t>.</w:t>
      </w:r>
    </w:p>
    <w:p w:rsidR="00CA5718" w:rsidRDefault="00CA5718" w:rsidP="000A5055">
      <w:pPr>
        <w:spacing w:after="0" w:line="360" w:lineRule="auto"/>
        <w:ind w:firstLine="284"/>
        <w:jc w:val="both"/>
      </w:pPr>
      <w:r>
        <w:t xml:space="preserve">Nella sentenza resa nel 1920 nel caso </w:t>
      </w:r>
      <w:r w:rsidRPr="00B54008">
        <w:rPr>
          <w:i/>
        </w:rPr>
        <w:t>The Coquitlam</w:t>
      </w:r>
      <w:r>
        <w:t>, il Tribunale arbitrale Gran Bretagna/Stati Uniti ha rigettato la teoria del Governo statunitense secondo cui gli Stati Uniti non erano tenuti a rispon</w:t>
      </w:r>
      <w:r w:rsidR="00C343F1">
        <w:t>dere nell’ordinamento</w:t>
      </w:r>
      <w:r>
        <w:t xml:space="preserve"> internazionale di un fatto illecito commesso da un agente doganale sulla base del fatto che aveva agito in buona fede. Egli aveva sequestrato l’imbarcazione britannica </w:t>
      </w:r>
      <w:r w:rsidR="007A61BD">
        <w:rPr>
          <w:i/>
        </w:rPr>
        <w:t>The Coquit</w:t>
      </w:r>
      <w:r w:rsidRPr="006D71CB">
        <w:rPr>
          <w:i/>
        </w:rPr>
        <w:t>l</w:t>
      </w:r>
      <w:r w:rsidR="007A61BD">
        <w:rPr>
          <w:i/>
        </w:rPr>
        <w:t>a</w:t>
      </w:r>
      <w:r w:rsidRPr="006D71CB">
        <w:rPr>
          <w:i/>
        </w:rPr>
        <w:t>m</w:t>
      </w:r>
      <w:r>
        <w:t xml:space="preserve"> credendo a torto che fosse stata violata la legislazione doganale americana</w:t>
      </w:r>
      <w:r w:rsidR="009B53C6">
        <w:t xml:space="preserve">. </w:t>
      </w:r>
      <w:r w:rsidR="009B53C6" w:rsidRPr="009B53C6">
        <w:t>Il</w:t>
      </w:r>
      <w:r w:rsidRPr="009B53C6">
        <w:t xml:space="preserve"> Tribuna</w:t>
      </w:r>
      <w:r w:rsidR="009B53C6" w:rsidRPr="009B53C6">
        <w:t>le, non considerando la colpa un elemento costitutivo del</w:t>
      </w:r>
      <w:r w:rsidR="009B53C6">
        <w:t xml:space="preserve"> fatto </w:t>
      </w:r>
      <w:r w:rsidR="009B53C6" w:rsidRPr="009B53C6">
        <w:t>illecito internazionale,</w:t>
      </w:r>
      <w:r w:rsidRPr="009B53C6">
        <w:t xml:space="preserve"> </w:t>
      </w:r>
      <w:r w:rsidR="009B53C6" w:rsidRPr="009B53C6">
        <w:t xml:space="preserve">ha affermato </w:t>
      </w:r>
      <w:r w:rsidR="009B53C6">
        <w:t xml:space="preserve">che lo Stato dovesse </w:t>
      </w:r>
      <w:r w:rsidR="009B53C6">
        <w:lastRenderedPageBreak/>
        <w:t>rispondere nell’</w:t>
      </w:r>
      <w:r w:rsidR="00FF1EEB">
        <w:t xml:space="preserve">ordinamento internazionale della condotta tenuta </w:t>
      </w:r>
      <w:r w:rsidRPr="009B53C6">
        <w:rPr>
          <w:i/>
        </w:rPr>
        <w:t>ultra vires</w:t>
      </w:r>
      <w:r w:rsidR="00FF1EEB">
        <w:t xml:space="preserve"> da</w:t>
      </w:r>
      <w:r w:rsidR="00FE7E6E">
        <w:t xml:space="preserve"> un proprio </w:t>
      </w:r>
      <w:r w:rsidRPr="009B53C6">
        <w:t>organo</w:t>
      </w:r>
      <w:r w:rsidRPr="009B53C6">
        <w:rPr>
          <w:rStyle w:val="Rimandonotaapidipagina"/>
        </w:rPr>
        <w:footnoteReference w:id="185"/>
      </w:r>
      <w:r w:rsidRPr="009B53C6">
        <w:t>.</w:t>
      </w:r>
      <w:r w:rsidR="009B53C6">
        <w:t xml:space="preserve"> </w:t>
      </w:r>
    </w:p>
    <w:p w:rsidR="00CA5718" w:rsidRDefault="00CA5718" w:rsidP="00EB037D">
      <w:pPr>
        <w:spacing w:after="0" w:line="360" w:lineRule="auto"/>
        <w:ind w:firstLine="284"/>
        <w:jc w:val="both"/>
      </w:pPr>
    </w:p>
    <w:p w:rsidR="00CA5718" w:rsidRDefault="007A61BD" w:rsidP="00D24241">
      <w:pPr>
        <w:pStyle w:val="Paragrafoelenco"/>
        <w:numPr>
          <w:ilvl w:val="0"/>
          <w:numId w:val="2"/>
        </w:numPr>
        <w:spacing w:after="0" w:line="360" w:lineRule="auto"/>
        <w:jc w:val="both"/>
      </w:pPr>
      <w:r>
        <w:t>La giurisprudenza degli a</w:t>
      </w:r>
      <w:r w:rsidR="00224AA9">
        <w:t>nni venti: le sentenze</w:t>
      </w:r>
      <w:r>
        <w:t xml:space="preserve"> della Commissione generale dei reclami Stati Uniti/Messico nel caso </w:t>
      </w:r>
      <w:r w:rsidRPr="007A61BD">
        <w:rPr>
          <w:i/>
        </w:rPr>
        <w:t>Youmans</w:t>
      </w:r>
      <w:r>
        <w:t xml:space="preserve"> e della Commissione Francia/Messico nel caso </w:t>
      </w:r>
      <w:r w:rsidRPr="007A61BD">
        <w:rPr>
          <w:i/>
        </w:rPr>
        <w:t>Caire</w:t>
      </w:r>
      <w:r>
        <w:t xml:space="preserve"> </w:t>
      </w:r>
    </w:p>
    <w:p w:rsidR="00CA5718" w:rsidRDefault="00CA5718" w:rsidP="00EB037D">
      <w:pPr>
        <w:spacing w:after="0" w:line="360" w:lineRule="auto"/>
        <w:ind w:firstLine="284"/>
        <w:jc w:val="both"/>
      </w:pPr>
    </w:p>
    <w:p w:rsidR="00CA5718" w:rsidRDefault="00CA5718" w:rsidP="00EB037D">
      <w:pPr>
        <w:spacing w:after="0" w:line="360" w:lineRule="auto"/>
        <w:ind w:firstLine="284"/>
        <w:jc w:val="both"/>
      </w:pPr>
      <w:r>
        <w:t xml:space="preserve">Una delle più significative pronunce, che rappresenta il punto di arrivo dell’evoluzione e dell’affermazione progressiva del principio dell’attribuzione allo Stato delle condotte tenute dagli organi statali pur nel mancato rispetto dei limiti della competenza, è stata resa dalla Commissione generale dei reclami Stati Uniti/Messico nel caso </w:t>
      </w:r>
      <w:r w:rsidRPr="003A32F3">
        <w:rPr>
          <w:i/>
        </w:rPr>
        <w:t>Youmans</w:t>
      </w:r>
      <w:r>
        <w:t xml:space="preserve">. </w:t>
      </w:r>
      <w:r>
        <w:rPr>
          <w:rFonts w:cstheme="minorHAnsi"/>
        </w:rPr>
        <w:t>È</w:t>
      </w:r>
      <w:r>
        <w:t xml:space="preserve"> intere</w:t>
      </w:r>
      <w:r w:rsidR="00CC513E">
        <w:t>ssante notare come tale decisione</w:t>
      </w:r>
      <w:r w:rsidR="0054716E">
        <w:t xml:space="preserve"> sia contemporanea </w:t>
      </w:r>
      <w:r>
        <w:t>alle prese di posizione adottate da alcuni Stati nell’ambito dei primi tentativi di codificare la materia della responsabilità internazionale dello Stato</w:t>
      </w:r>
      <w:r>
        <w:rPr>
          <w:rStyle w:val="Rimandonotaapidipagina"/>
        </w:rPr>
        <w:footnoteReference w:id="186"/>
      </w:r>
      <w:r>
        <w:t>.</w:t>
      </w:r>
    </w:p>
    <w:p w:rsidR="00C25A9C" w:rsidRDefault="0054716E" w:rsidP="00EB037D">
      <w:pPr>
        <w:spacing w:after="0" w:line="360" w:lineRule="auto"/>
        <w:ind w:firstLine="284"/>
        <w:jc w:val="both"/>
      </w:pPr>
      <w:r>
        <w:t xml:space="preserve">La </w:t>
      </w:r>
      <w:r w:rsidR="00CA5718">
        <w:t>sentenza, resa nel 1926, considera il caso di tre cittadini americani di nome Youmans, Connelly e Arnold, all’epoca impiegati in una società britannica, oggetto nel 1880 di atti di violenza da parte di u</w:t>
      </w:r>
      <w:r w:rsidR="002175B5">
        <w:t>na folla di messicani</w:t>
      </w:r>
      <w:r w:rsidR="00CA5718">
        <w:t>. Dieci soldati, in compagnia del loro diretto superiore, erano stati inviati ad Angangueo con la missione di proteggerl</w:t>
      </w:r>
      <w:r w:rsidR="00D94C27">
        <w:t>i e di reprimere</w:t>
      </w:r>
      <w:r w:rsidR="00CA5718">
        <w:t xml:space="preserve"> i tumulti</w:t>
      </w:r>
      <w:r w:rsidR="00CA5718">
        <w:rPr>
          <w:rStyle w:val="Rimandonotaapidipagina"/>
        </w:rPr>
        <w:footnoteReference w:id="187"/>
      </w:r>
      <w:r w:rsidR="00CA5718">
        <w:t>.</w:t>
      </w:r>
      <w:r w:rsidR="00070F2C">
        <w:t xml:space="preserve"> </w:t>
      </w:r>
      <w:r w:rsidR="00CA5718">
        <w:t xml:space="preserve">In luogo di eseguire gli ordini ricevuti, i soldati hanno sparato a uno degli stranieri e hanno preso parte alla rivolta uccidendo gli altri due. </w:t>
      </w:r>
      <w:r w:rsidR="00CA5718" w:rsidRPr="00943143">
        <w:t>Secondo il Governo degli Stati Uniti non c’era alcun dubbio che il Messico aveva l’obbligo di rispondere di tali comporta</w:t>
      </w:r>
      <w:r w:rsidR="00C25A9C">
        <w:t>menti in ambito internazionale:</w:t>
      </w:r>
    </w:p>
    <w:p w:rsidR="00C25A9C" w:rsidRDefault="00C25A9C" w:rsidP="00EB037D">
      <w:pPr>
        <w:spacing w:after="0" w:line="360" w:lineRule="auto"/>
        <w:ind w:firstLine="284"/>
        <w:jc w:val="both"/>
      </w:pPr>
    </w:p>
    <w:p w:rsidR="00C25A9C" w:rsidRPr="00D94C27" w:rsidRDefault="00C25A9C" w:rsidP="00EB037D">
      <w:pPr>
        <w:spacing w:after="0" w:line="360" w:lineRule="auto"/>
        <w:ind w:left="567" w:right="567" w:firstLine="284"/>
        <w:jc w:val="both"/>
        <w:rPr>
          <w:lang w:val="en-US"/>
        </w:rPr>
      </w:pPr>
      <w:r w:rsidRPr="00D94C27">
        <w:rPr>
          <w:lang w:val="en-US"/>
        </w:rPr>
        <w:t xml:space="preserve">“These troops, at a moment when they had the mob under control, and when the complete quelling of the riot seemed an immediate possibility, in utter disregard of the obligations of their office as preservers of the peace and with wanton and deliberate violation of law, opened fire on the three Americans, instantly killing one and joining with the infuriated mob in the inhuman slaughter of the other two who were fleeing for their lives from their </w:t>
      </w:r>
      <w:r w:rsidRPr="00D94C27">
        <w:rPr>
          <w:lang w:val="en-US"/>
        </w:rPr>
        <w:lastRenderedPageBreak/>
        <w:t>burning cabin, which had been deliberately set fire to over their heads. It seems almost needless to remark that such conduct on the part of soldiers or police, under orders to preserve the peace and protect the lives and property of peaceable inhabitants, on the plainest principles of international law and independent of the treaty stipulations between the two nations, which are contravened by such proceedings, renders the Government in whose service they are employed, justly liable to the Government of the men, whose lives were thus wantonly and needlessly sacrificed"</w:t>
      </w:r>
      <w:r w:rsidR="004B262F" w:rsidRPr="00D94C27">
        <w:rPr>
          <w:rStyle w:val="Rimandonotaapidipagina"/>
          <w:lang w:val="en-US"/>
        </w:rPr>
        <w:footnoteReference w:id="188"/>
      </w:r>
      <w:r w:rsidRPr="00D94C27">
        <w:rPr>
          <w:lang w:val="en-US"/>
        </w:rPr>
        <w:t>.</w:t>
      </w:r>
    </w:p>
    <w:p w:rsidR="00C25A9C" w:rsidRPr="00C25A9C" w:rsidRDefault="00C25A9C" w:rsidP="00EB037D">
      <w:pPr>
        <w:spacing w:after="0" w:line="360" w:lineRule="auto"/>
        <w:ind w:firstLine="284"/>
        <w:jc w:val="both"/>
        <w:rPr>
          <w:lang w:val="en-US"/>
        </w:rPr>
      </w:pPr>
    </w:p>
    <w:p w:rsidR="004379C0" w:rsidRPr="00A55C0D" w:rsidRDefault="00070F2C" w:rsidP="00D56FF9">
      <w:pPr>
        <w:spacing w:after="0" w:line="360" w:lineRule="auto"/>
        <w:ind w:firstLine="284"/>
        <w:jc w:val="both"/>
      </w:pPr>
      <w:r w:rsidRPr="00A55C0D">
        <w:t xml:space="preserve">Il Messico </w:t>
      </w:r>
      <w:r w:rsidR="00D94C27" w:rsidRPr="00A55C0D">
        <w:t>si opponeva</w:t>
      </w:r>
      <w:r w:rsidRPr="00A55C0D">
        <w:t xml:space="preserve"> alla possibilità di rispondere internazionalmente dell’accaduto </w:t>
      </w:r>
      <w:r w:rsidR="00CA5718" w:rsidRPr="00A55C0D">
        <w:t>sulla base della circostanza che i fatti illeciti</w:t>
      </w:r>
      <w:r w:rsidR="00D94C27" w:rsidRPr="00A55C0D">
        <w:t xml:space="preserve"> sarebbero</w:t>
      </w:r>
      <w:r w:rsidR="00CA5718" w:rsidRPr="00A55C0D">
        <w:t xml:space="preserve"> stati tenuti dagli organi nella loro qualità privata:</w:t>
      </w:r>
    </w:p>
    <w:p w:rsidR="00D56FF9" w:rsidRPr="00A55C0D" w:rsidRDefault="00D56FF9" w:rsidP="00D56FF9">
      <w:pPr>
        <w:spacing w:after="0" w:line="360" w:lineRule="auto"/>
        <w:ind w:firstLine="284"/>
        <w:jc w:val="both"/>
      </w:pPr>
    </w:p>
    <w:p w:rsidR="00CA5718" w:rsidRPr="00D94C27" w:rsidRDefault="00CA5718" w:rsidP="00EB037D">
      <w:pPr>
        <w:spacing w:after="0" w:line="360" w:lineRule="auto"/>
        <w:ind w:left="567" w:right="567" w:firstLine="284"/>
        <w:jc w:val="both"/>
        <w:rPr>
          <w:lang w:val="en-US"/>
        </w:rPr>
      </w:pPr>
      <w:r w:rsidRPr="00D94C27">
        <w:rPr>
          <w:lang w:val="en-US"/>
        </w:rPr>
        <w:t>“….even if it were assumed that the soldiers were guilty  of such participation, the Mexican Government should not be held responsible for the wrongful acts of ten soldiers and one officer….who, after having been ordered by the highest official….to protect American citizens, instead of carrying out orders given them acted in violation of them in consequence of which</w:t>
      </w:r>
      <w:r w:rsidRPr="00EF335D">
        <w:rPr>
          <w:i/>
          <w:lang w:val="en-US"/>
        </w:rPr>
        <w:t xml:space="preserve"> </w:t>
      </w:r>
      <w:r w:rsidRPr="00D94C27">
        <w:rPr>
          <w:lang w:val="en-US"/>
        </w:rPr>
        <w:t>the Americas were killed….</w:t>
      </w:r>
      <w:r w:rsidR="004F3D4B" w:rsidRPr="00D94C27">
        <w:rPr>
          <w:lang w:val="en-US"/>
        </w:rPr>
        <w:t xml:space="preserve">a Government is not responsible </w:t>
      </w:r>
      <w:r w:rsidRPr="00D94C27">
        <w:rPr>
          <w:lang w:val="en-US"/>
        </w:rPr>
        <w:t>for malicious acts of soldiers committed in their private capacity”</w:t>
      </w:r>
      <w:r w:rsidRPr="00D94C27">
        <w:rPr>
          <w:rStyle w:val="Rimandonotaapidipagina"/>
        </w:rPr>
        <w:footnoteReference w:id="189"/>
      </w:r>
      <w:r w:rsidRPr="00D94C27">
        <w:rPr>
          <w:lang w:val="en-US"/>
        </w:rPr>
        <w:t xml:space="preserve">. </w:t>
      </w:r>
    </w:p>
    <w:p w:rsidR="00CA5718" w:rsidRDefault="00CA5718" w:rsidP="00EB037D">
      <w:pPr>
        <w:spacing w:after="0" w:line="360" w:lineRule="auto"/>
        <w:ind w:firstLine="284"/>
        <w:jc w:val="both"/>
        <w:rPr>
          <w:lang w:val="en-US"/>
        </w:rPr>
      </w:pPr>
    </w:p>
    <w:p w:rsidR="00CA5718" w:rsidRPr="00907EF5" w:rsidRDefault="00536FD0" w:rsidP="00EB037D">
      <w:pPr>
        <w:spacing w:after="0" w:line="360" w:lineRule="auto"/>
        <w:ind w:firstLine="284"/>
        <w:jc w:val="both"/>
      </w:pPr>
      <w:r>
        <w:t>Secondo il Governo messicano, i</w:t>
      </w:r>
      <w:r w:rsidR="00CA5718" w:rsidRPr="00DE605D">
        <w:t>l fatto di aver agito contravvenendo agli ordini impartiti rendeva i comportamenti tenuti dai sol</w:t>
      </w:r>
      <w:r w:rsidR="00CA5718" w:rsidRPr="00907EF5">
        <w:t>dati messicani assimilabil</w:t>
      </w:r>
      <w:r w:rsidR="00CA5718">
        <w:t xml:space="preserve">i a quelli di semplici privati di cui lo Stato non è tenuto a rispondere in ambito internazionale. In tale circostanza il Messico </w:t>
      </w:r>
      <w:r w:rsidR="00D94C27">
        <w:t xml:space="preserve">riproponeva pertanto </w:t>
      </w:r>
      <w:r w:rsidR="00CA5718">
        <w:t>la vecchia argomentazione secondo cui possono ritenersi fatti dello Stato sul piano internazionale soltanto i comportamenti tenuti da un organo statale in conformità con le istruzioni impartite o le disposizioni di diritto interno volte a definirne le funzioni e la portata della competenza.</w:t>
      </w:r>
    </w:p>
    <w:p w:rsidR="00CA5718" w:rsidRDefault="00CA5718" w:rsidP="00EB037D">
      <w:pPr>
        <w:spacing w:after="0" w:line="360" w:lineRule="auto"/>
        <w:ind w:firstLine="284"/>
        <w:jc w:val="both"/>
      </w:pPr>
      <w:r>
        <w:t>La Commissione generale dei reclami Stati Uniti/Messico, istituita nel 1923 mediante una Convenzione, ha condannato il Messico a riparare il danno subito dai cittadini statunitensi criticando fortemente le argomentazioni addotte dal Governo messicano</w:t>
      </w:r>
      <w:r>
        <w:rPr>
          <w:rStyle w:val="Rimandonotaapidipagina"/>
        </w:rPr>
        <w:footnoteReference w:id="190"/>
      </w:r>
      <w:r>
        <w:t xml:space="preserve">. </w:t>
      </w:r>
    </w:p>
    <w:p w:rsidR="00CA5718" w:rsidRDefault="00CA5718" w:rsidP="00EB037D">
      <w:pPr>
        <w:spacing w:after="0" w:line="360" w:lineRule="auto"/>
        <w:ind w:firstLine="284"/>
        <w:jc w:val="both"/>
      </w:pPr>
      <w:r>
        <w:lastRenderedPageBreak/>
        <w:t>La Commissione ha osservato che, se fosse vero che possono essere attribuiti allo Stato esclusivamente i comportamenti tenuti dagli organi nei limiti della competenza stabiliti dal diritto interno, qualsiasi illecito commesso da un organo nella propria qualità ufficiale dovrebbe essere considerato estraneo all’ambito della sua competenza dal momento che nessuna disposizione di diritto interno prescrive la violazione di obblighi di diritto internazionale.</w:t>
      </w:r>
    </w:p>
    <w:p w:rsidR="00CA5718" w:rsidRDefault="00CA5718" w:rsidP="00EB037D">
      <w:pPr>
        <w:spacing w:after="0" w:line="360" w:lineRule="auto"/>
        <w:ind w:firstLine="284"/>
        <w:jc w:val="both"/>
      </w:pPr>
      <w:r w:rsidRPr="00AD6D68">
        <w:t>La Commissione ha ritenuto inoltre impossibile considerare le uccisioni di Angangueo come delle condotte tenute da soldati nella loro capacità privata in quanto, al momento dell’adozione del comportamento</w:t>
      </w:r>
      <w:r>
        <w:t>:</w:t>
      </w:r>
    </w:p>
    <w:p w:rsidR="00CA5718" w:rsidRDefault="00CA5718" w:rsidP="00EB037D">
      <w:pPr>
        <w:spacing w:after="0" w:line="360" w:lineRule="auto"/>
        <w:ind w:firstLine="284"/>
        <w:jc w:val="both"/>
      </w:pPr>
    </w:p>
    <w:p w:rsidR="00CA5718" w:rsidRPr="00D94C27" w:rsidRDefault="00CA5718" w:rsidP="00EB037D">
      <w:pPr>
        <w:spacing w:after="0" w:line="360" w:lineRule="auto"/>
        <w:ind w:left="567" w:right="567" w:firstLine="284"/>
        <w:jc w:val="both"/>
        <w:rPr>
          <w:rStyle w:val="Rimandonotaapidipagina"/>
          <w:vertAlign w:val="baseline"/>
        </w:rPr>
      </w:pPr>
      <w:r w:rsidRPr="00D94C27">
        <w:rPr>
          <w:lang w:val="en-US"/>
        </w:rPr>
        <w:t>“….the men were on duty under the immediate supervision and</w:t>
      </w:r>
      <w:r w:rsidR="00E504B9" w:rsidRPr="00D94C27">
        <w:rPr>
          <w:lang w:val="en-US"/>
        </w:rPr>
        <w:t xml:space="preserve"> in the presence of a commanding</w:t>
      </w:r>
      <w:r w:rsidRPr="00D94C27">
        <w:rPr>
          <w:lang w:val="en-US"/>
        </w:rPr>
        <w:t xml:space="preserve"> officer. Soldiers inflicting personal injuries or committing wanton destruction or looting always act in disobedience of some rules laid down by superior authority</w:t>
      </w:r>
      <w:r w:rsidR="0089399F" w:rsidRPr="00D94C27">
        <w:rPr>
          <w:lang w:val="en-US"/>
        </w:rPr>
        <w:t>. that any acts committed by soldiers in contravention of instructions must always be considered as personal acts.</w:t>
      </w:r>
      <w:r w:rsidRPr="00D94C27">
        <w:rPr>
          <w:rFonts w:ascii="Times New Roman" w:hAnsi="Times New Roman" w:cs="Times New Roman"/>
          <w:sz w:val="18"/>
          <w:szCs w:val="18"/>
          <w:lang w:val="en-US"/>
        </w:rPr>
        <w:t>”</w:t>
      </w:r>
      <w:r w:rsidRPr="00D94C27">
        <w:rPr>
          <w:rStyle w:val="Rimandonotaapidipagina"/>
        </w:rPr>
        <w:footnoteReference w:id="191"/>
      </w:r>
      <w:r w:rsidRPr="00D94C27">
        <w:rPr>
          <w:rFonts w:ascii="Times New Roman" w:hAnsi="Times New Roman" w:cs="Times New Roman"/>
          <w:sz w:val="18"/>
          <w:szCs w:val="18"/>
        </w:rPr>
        <w:t>.</w:t>
      </w:r>
    </w:p>
    <w:p w:rsidR="00CA5718" w:rsidRPr="0089399F" w:rsidRDefault="00CA5718" w:rsidP="00EB037D">
      <w:pPr>
        <w:spacing w:after="0" w:line="360" w:lineRule="auto"/>
        <w:ind w:firstLine="284"/>
        <w:jc w:val="both"/>
      </w:pPr>
    </w:p>
    <w:p w:rsidR="00CA5718" w:rsidRPr="00D278D8" w:rsidRDefault="00CA5718" w:rsidP="00EB037D">
      <w:pPr>
        <w:spacing w:after="0" w:line="360" w:lineRule="auto"/>
        <w:ind w:firstLine="284"/>
        <w:jc w:val="both"/>
      </w:pPr>
      <w:r w:rsidRPr="00D278D8">
        <w:t xml:space="preserve">A parere della Commissione, il causare nella propria qualità ufficiale dei danni ad individui o ai loro beni deve considerarsi sempre un comportamento </w:t>
      </w:r>
      <w:r w:rsidR="009D7C6C">
        <w:t xml:space="preserve">imputabile allo Stato anche se </w:t>
      </w:r>
      <w:r w:rsidR="002365DB">
        <w:t>contrario agli ordini ricevuti. L</w:t>
      </w:r>
      <w:r w:rsidRPr="00D278D8">
        <w:t>a responsabilità internazionale dello Stato per tali condotte diverrebbe illusoria se venisse accettata la teoria secondo cui i comportamenti non autorizzati di soldati sono assimilabili a fatti di privati.</w:t>
      </w:r>
    </w:p>
    <w:p w:rsidR="00CA5718" w:rsidRDefault="00224AA9" w:rsidP="00224AA9">
      <w:pPr>
        <w:spacing w:after="0" w:line="360" w:lineRule="auto"/>
        <w:ind w:firstLine="284"/>
        <w:jc w:val="both"/>
      </w:pPr>
      <w:r>
        <w:t xml:space="preserve">Un’altra significativa pronuncia, in cui si è affermato il principio dell’attribuzione allo Stato delle condotte tenute dagli organi statali nel mancato rispetto dei limiti della competenza, è </w:t>
      </w:r>
      <w:r w:rsidR="00C15D3C">
        <w:t>la decisione</w:t>
      </w:r>
      <w:r w:rsidR="00CA5718">
        <w:t xml:space="preserve"> resa il 7 giugno 1929 </w:t>
      </w:r>
      <w:r>
        <w:t xml:space="preserve">dalla Commissione dei reclami Francia/Messico </w:t>
      </w:r>
      <w:r w:rsidR="00CA5718">
        <w:t xml:space="preserve">nel caso </w:t>
      </w:r>
      <w:r w:rsidR="00CA5718" w:rsidRPr="001B6FD8">
        <w:rPr>
          <w:i/>
        </w:rPr>
        <w:t>Caire</w:t>
      </w:r>
      <w:r>
        <w:t>. La Commissione era</w:t>
      </w:r>
      <w:r w:rsidR="00CA5718">
        <w:t xml:space="preserve"> stata chiamata ad accertare se </w:t>
      </w:r>
      <w:r>
        <w:t>il Messico fosse tenuto a rispondere internazionalmente del</w:t>
      </w:r>
      <w:r w:rsidR="00CA5718">
        <w:t>l’uccisione di un cittadino francese da parte di alcuni funzionari messicani a seguito del suo reiterato rifiuto di fornire loro un’ingente somma di denaro</w:t>
      </w:r>
      <w:r w:rsidR="00CA5718">
        <w:rPr>
          <w:rStyle w:val="Rimandonotaapidipagina"/>
        </w:rPr>
        <w:footnoteReference w:id="192"/>
      </w:r>
      <w:r w:rsidR="00CA5718">
        <w:t>.</w:t>
      </w:r>
    </w:p>
    <w:p w:rsidR="00CA5718" w:rsidRDefault="00CA5718" w:rsidP="00EB037D">
      <w:pPr>
        <w:spacing w:after="0" w:line="360" w:lineRule="auto"/>
        <w:ind w:firstLine="284"/>
        <w:jc w:val="both"/>
      </w:pPr>
      <w:r>
        <w:lastRenderedPageBreak/>
        <w:t>Il Governo del Messico ha negato di dover rispondere dell’accaduto in ambito internazionale dal momento che i funzionari avevano agito non solamente all’insaputa del proprio capo, ma anche contravvenendo ad un espr</w:t>
      </w:r>
      <w:r w:rsidR="00C15D3C">
        <w:t>esso mandato</w:t>
      </w:r>
      <w:r>
        <w:rPr>
          <w:rStyle w:val="Rimandonotaapidipagina"/>
        </w:rPr>
        <w:footnoteReference w:id="193"/>
      </w:r>
      <w:r>
        <w:t>.</w:t>
      </w:r>
    </w:p>
    <w:p w:rsidR="00CA5718" w:rsidRDefault="00CA5718" w:rsidP="00EB037D">
      <w:pPr>
        <w:spacing w:after="0" w:line="360" w:lineRule="auto"/>
        <w:ind w:firstLine="284"/>
        <w:jc w:val="both"/>
      </w:pPr>
      <w:r>
        <w:t>Il Presidente della Commissione arbitrale, Verzijil, ha rigettato tale argomentazione chiarendo come la circostanza che un organo agisce o meno entro i limiti della propria competenza deve considerarsi ininfluente ai fini dell’attribuzione di fatti illeciti allo Stato sul piano internazionale:</w:t>
      </w:r>
    </w:p>
    <w:p w:rsidR="00CA5718" w:rsidRDefault="00CA5718" w:rsidP="00EB037D">
      <w:pPr>
        <w:spacing w:after="0" w:line="360" w:lineRule="auto"/>
        <w:ind w:firstLine="284"/>
        <w:jc w:val="both"/>
      </w:pPr>
    </w:p>
    <w:p w:rsidR="00CA5718" w:rsidRPr="00D94C27" w:rsidRDefault="00CA5718" w:rsidP="00EB037D">
      <w:pPr>
        <w:spacing w:after="0" w:line="360" w:lineRule="auto"/>
        <w:ind w:left="567" w:right="510" w:firstLine="284"/>
        <w:jc w:val="both"/>
        <w:rPr>
          <w:lang w:val="fr-FR"/>
        </w:rPr>
      </w:pPr>
      <w:r w:rsidRPr="00D94C27">
        <w:rPr>
          <w:lang w:val="fr-FR"/>
        </w:rPr>
        <w:t>“Il est notoire que, dans ce domaine, les conceptions théoriques ont beaucoup évolué dans les derniers temps et que notamment l'oeuvre novatrice de Dionisio Anzilotti a frayé le chemin aux idées nouvelles qui ne subordonnent plus à u</w:t>
      </w:r>
      <w:r w:rsidR="00646AD1">
        <w:rPr>
          <w:lang w:val="fr-FR"/>
        </w:rPr>
        <w:t xml:space="preserve">ne "faute" quelconque de l'Etat </w:t>
      </w:r>
      <w:r w:rsidRPr="00D94C27">
        <w:rPr>
          <w:lang w:val="fr-FR"/>
        </w:rPr>
        <w:t>sa responsabilité pour les actes de ses fonctionnaires…je les considère en tout cas comme parfaitement correctes, en tant qu'elles tendent à grever l'Etat, en matière internationale, de la responsabilité pour tous les actes commis par ses fonctionnaires ou organes et qui constituent des actes délictueux au point de vue du droit des gens, n'importe que le fonctionnaire ou l'organe en question ait agi dans les limites de sa compétence ou en les excédant ”</w:t>
      </w:r>
      <w:r w:rsidRPr="00D94C27">
        <w:rPr>
          <w:rStyle w:val="Rimandonotaapidipagina"/>
          <w:lang w:val="fr-FR"/>
        </w:rPr>
        <w:footnoteReference w:id="194"/>
      </w:r>
      <w:r w:rsidRPr="00D94C27">
        <w:rPr>
          <w:lang w:val="fr-FR"/>
        </w:rPr>
        <w:t>.</w:t>
      </w:r>
    </w:p>
    <w:p w:rsidR="00CA5718" w:rsidRDefault="00CA5718" w:rsidP="00EB037D">
      <w:pPr>
        <w:spacing w:after="0" w:line="360" w:lineRule="auto"/>
        <w:ind w:firstLine="284"/>
        <w:jc w:val="both"/>
        <w:rPr>
          <w:lang w:val="fr-FR"/>
        </w:rPr>
      </w:pPr>
    </w:p>
    <w:p w:rsidR="00CA5718" w:rsidRPr="00FD32F8" w:rsidRDefault="00CA5718" w:rsidP="00E3147D">
      <w:pPr>
        <w:spacing w:after="0" w:line="360" w:lineRule="auto"/>
        <w:ind w:firstLine="284"/>
        <w:jc w:val="both"/>
      </w:pPr>
      <w:r w:rsidRPr="002B726B">
        <w:t>Riprendendo quanto sostenuto in dottrina da Bourquin</w:t>
      </w:r>
      <w:r w:rsidR="007079E4">
        <w:t>, l’arbitro Verzijil ha osservato</w:t>
      </w:r>
      <w:r>
        <w:t xml:space="preserve"> che</w:t>
      </w:r>
      <w:r w:rsidR="00FE7B7F">
        <w:t>, sebbene</w:t>
      </w:r>
      <w:r>
        <w:t xml:space="preserve"> </w:t>
      </w:r>
      <w:r w:rsidR="002C3D29">
        <w:t xml:space="preserve">in base alle norme di diritto interno un fatto illecito </w:t>
      </w:r>
      <w:r w:rsidR="002C3D29" w:rsidRPr="002C3D29">
        <w:rPr>
          <w:i/>
        </w:rPr>
        <w:t>ultra vires</w:t>
      </w:r>
      <w:r w:rsidR="002C3D29">
        <w:t xml:space="preserve"> non </w:t>
      </w:r>
      <w:r w:rsidR="00515336">
        <w:t>possa</w:t>
      </w:r>
      <w:r w:rsidR="002C3D29">
        <w:t xml:space="preserve"> essere considerato un fatto dello Stato, la sua responsabilità internazionale si fonda in tale ipotesi su una garanzia che </w:t>
      </w:r>
      <w:r w:rsidR="00515336">
        <w:t xml:space="preserve">esso </w:t>
      </w:r>
      <w:r w:rsidR="002C3D29">
        <w:t>presta agli altri Stati per fatti dannosi che derivano dall’attività della propria organizzazione interna.</w:t>
      </w:r>
      <w:r w:rsidR="00C03730">
        <w:t xml:space="preserve"> La responsabilità internazionale, nell’ipotesi di fatti illeciti </w:t>
      </w:r>
      <w:r w:rsidR="00C03730" w:rsidRPr="00515336">
        <w:rPr>
          <w:i/>
        </w:rPr>
        <w:t>ultra vires</w:t>
      </w:r>
      <w:r w:rsidR="00C03730">
        <w:t xml:space="preserve"> degli organi statali, </w:t>
      </w:r>
      <w:r>
        <w:t xml:space="preserve">trova </w:t>
      </w:r>
      <w:r w:rsidR="00515336">
        <w:t xml:space="preserve">quindi </w:t>
      </w:r>
      <w:r>
        <w:t xml:space="preserve">la sua ragion d’essere in una </w:t>
      </w:r>
      <w:r w:rsidR="00D563D7">
        <w:t xml:space="preserve">esigenza </w:t>
      </w:r>
      <w:r>
        <w:t>propria dell’ordinamento internazionale: i rapporti diverrebbero difatti eccessiva</w:t>
      </w:r>
      <w:r w:rsidR="00FE7B7F">
        <w:t xml:space="preserve">mente </w:t>
      </w:r>
      <w:r>
        <w:t>insicuri se gli Stati esteri fossero costretti a tenere conto delle disposizioni di diritto interno, spesso estremamente complesse, che disciplinano la ripartizione delle competenze e delle funz</w:t>
      </w:r>
      <w:r w:rsidR="00E3147D">
        <w:t xml:space="preserve">ioni all’interno di uno Stato. </w:t>
      </w:r>
      <w:r w:rsidRPr="00FD32F8">
        <w:t xml:space="preserve">A suo giudizio al fine del sorgere della </w:t>
      </w:r>
      <w:r w:rsidRPr="00FD32F8">
        <w:lastRenderedPageBreak/>
        <w:t xml:space="preserve">responsabilità internazionale dello Stato per comportamenti </w:t>
      </w:r>
      <w:r w:rsidR="00DB3CF8">
        <w:t xml:space="preserve">illeciti </w:t>
      </w:r>
      <w:r w:rsidRPr="00FD32F8">
        <w:t xml:space="preserve">tenuti dai propri organi </w:t>
      </w:r>
      <w:r w:rsidRPr="00FD32F8">
        <w:rPr>
          <w:i/>
        </w:rPr>
        <w:t>ultra vires</w:t>
      </w:r>
      <w:r w:rsidRPr="00FD32F8">
        <w:t xml:space="preserve">, è necessario </w:t>
      </w:r>
      <w:r w:rsidR="00E874DF">
        <w:t xml:space="preserve">però </w:t>
      </w:r>
      <w:r w:rsidRPr="00FD32F8">
        <w:t>che questi :</w:t>
      </w:r>
    </w:p>
    <w:p w:rsidR="00CA5718" w:rsidRDefault="00CA5718" w:rsidP="00EB037D">
      <w:pPr>
        <w:spacing w:after="0" w:line="360" w:lineRule="auto"/>
        <w:ind w:firstLine="284"/>
        <w:jc w:val="both"/>
      </w:pPr>
    </w:p>
    <w:p w:rsidR="00CA5718" w:rsidRDefault="00CA5718" w:rsidP="00EB037D">
      <w:pPr>
        <w:spacing w:after="0" w:line="360" w:lineRule="auto"/>
        <w:ind w:left="567" w:right="567" w:firstLine="284"/>
        <w:jc w:val="both"/>
        <w:rPr>
          <w:lang w:val="fr-FR"/>
        </w:rPr>
      </w:pPr>
      <w:r w:rsidRPr="00E874DF">
        <w:rPr>
          <w:lang w:val="fr-FR"/>
        </w:rPr>
        <w:t>“aient agi au moins apparemment comme des fonctionnaires ou organes compétents, ou que, en agissant, ils aient usé de pouvoirs ou de moyens propres à leur qualité officielle</w:t>
      </w:r>
      <w:r w:rsidRPr="00E874DF">
        <w:rPr>
          <w:rFonts w:ascii="Times New Roman" w:hAnsi="Times New Roman" w:cs="Times New Roman"/>
          <w:sz w:val="18"/>
          <w:szCs w:val="18"/>
          <w:lang w:val="fr-FR"/>
        </w:rPr>
        <w:t>”</w:t>
      </w:r>
      <w:r w:rsidRPr="003F2312">
        <w:rPr>
          <w:rStyle w:val="Rimandonotaapidipagina"/>
          <w:lang w:val="fr-FR"/>
        </w:rPr>
        <w:footnoteReference w:id="195"/>
      </w:r>
      <w:r w:rsidRPr="003F2312">
        <w:rPr>
          <w:lang w:val="fr-FR"/>
        </w:rPr>
        <w:t xml:space="preserve">. </w:t>
      </w:r>
    </w:p>
    <w:p w:rsidR="00CA5718" w:rsidRPr="00FD32F8" w:rsidRDefault="00CA5718" w:rsidP="00EB037D">
      <w:pPr>
        <w:spacing w:after="0" w:line="360" w:lineRule="auto"/>
        <w:ind w:firstLine="284"/>
        <w:jc w:val="both"/>
        <w:rPr>
          <w:lang w:val="fr-FR"/>
        </w:rPr>
      </w:pPr>
    </w:p>
    <w:p w:rsidR="000C116D" w:rsidRDefault="00CA5718" w:rsidP="000C116D">
      <w:pPr>
        <w:spacing w:after="0" w:line="360" w:lineRule="auto"/>
        <w:ind w:firstLine="284"/>
        <w:jc w:val="both"/>
        <w:rPr>
          <w:strike/>
        </w:rPr>
      </w:pPr>
      <w:r>
        <w:t xml:space="preserve">Ai fini della sicurezza delle relazioni internazionali uno Stato deve pertanto rispondere sul piano internazionale dei comportamenti non autorizzati dei propri organi dal momento che, riconoscendo lo </w:t>
      </w:r>
      <w:r w:rsidRPr="002C54FB">
        <w:rPr>
          <w:i/>
        </w:rPr>
        <w:t>status</w:t>
      </w:r>
      <w:r>
        <w:t xml:space="preserve"> organico a determinati individui o enti e fornendo loro i mezzi necessari all’esecuzione delle </w:t>
      </w:r>
      <w:r w:rsidR="00A24A3A">
        <w:t xml:space="preserve">proprie </w:t>
      </w:r>
      <w:r>
        <w:t xml:space="preserve">funzioni, non può </w:t>
      </w:r>
      <w:r w:rsidR="000666B1">
        <w:t xml:space="preserve">rifiutare </w:t>
      </w:r>
      <w:r w:rsidR="00A24A3A">
        <w:t xml:space="preserve">di esserne internazionalmente responsabile </w:t>
      </w:r>
      <w:r w:rsidR="000666B1">
        <w:t xml:space="preserve">purché </w:t>
      </w:r>
      <w:r>
        <w:t xml:space="preserve">all’esterno </w:t>
      </w:r>
      <w:r w:rsidR="00A24A3A">
        <w:t xml:space="preserve">la condotta </w:t>
      </w:r>
      <w:r>
        <w:t xml:space="preserve">appaia come tenuta </w:t>
      </w:r>
      <w:r w:rsidR="00B733D5">
        <w:t xml:space="preserve">da un individuo-organo </w:t>
      </w:r>
      <w:r>
        <w:t>nella propria qualità ufficiale</w:t>
      </w:r>
      <w:r w:rsidR="00515336">
        <w:rPr>
          <w:rStyle w:val="Rimandonotaapidipagina"/>
        </w:rPr>
        <w:footnoteReference w:id="196"/>
      </w:r>
      <w:r>
        <w:t xml:space="preserve">. </w:t>
      </w:r>
    </w:p>
    <w:p w:rsidR="004379C0" w:rsidRPr="000C116D" w:rsidRDefault="00CA5718" w:rsidP="000C116D">
      <w:pPr>
        <w:spacing w:after="0" w:line="360" w:lineRule="auto"/>
        <w:ind w:firstLine="284"/>
        <w:jc w:val="both"/>
        <w:rPr>
          <w:strike/>
        </w:rPr>
      </w:pPr>
      <w:r w:rsidRPr="000478D3">
        <w:t>Nel caso di specie gli autori dell’</w:t>
      </w:r>
      <w:r>
        <w:t>assassi</w:t>
      </w:r>
      <w:r w:rsidRPr="000478D3">
        <w:t>nio d</w:t>
      </w:r>
      <w:r>
        <w:t xml:space="preserve">el cittadino francese erano dei militari messicani che avevano abusato della propria qualità ufficiale al fine di ottenere una somma di denaro. Sempre in qualità di ufficiali della brigata del generale Tomas Urbina, inoltre, lo avevano trasportato in una caserma delle truppe di occupazione e successivamente lo avevano </w:t>
      </w:r>
      <w:r w:rsidR="00FD3080">
        <w:t xml:space="preserve">ucciso </w:t>
      </w:r>
      <w:r>
        <w:t xml:space="preserve">in risposta al suo rifiuto di </w:t>
      </w:r>
      <w:r w:rsidRPr="006C0F90">
        <w:t xml:space="preserve">accontentarli. </w:t>
      </w:r>
    </w:p>
    <w:p w:rsidR="00886576" w:rsidRDefault="00CA5718" w:rsidP="00886576">
      <w:pPr>
        <w:spacing w:after="0" w:line="360" w:lineRule="auto"/>
        <w:ind w:firstLine="284"/>
        <w:jc w:val="both"/>
      </w:pPr>
      <w:r w:rsidRPr="006C0F90">
        <w:t xml:space="preserve">Nonostante avessero agito al di fuori della propria competenza e per finalità prettamente personali, </w:t>
      </w:r>
      <w:r w:rsidR="00BB776E">
        <w:t>lo Stato era</w:t>
      </w:r>
      <w:r w:rsidR="000C116D">
        <w:t xml:space="preserve"> tenuto a rispondere sul piano internazionale dei fatti illeciti </w:t>
      </w:r>
      <w:r w:rsidR="000C116D" w:rsidRPr="000C116D">
        <w:rPr>
          <w:i/>
        </w:rPr>
        <w:t>ultra vires</w:t>
      </w:r>
      <w:r w:rsidR="000C116D">
        <w:t xml:space="preserve"> dei propri organi in quanto erano stati compiuti nell’esercizio delle proprie funzioni e mediante </w:t>
      </w:r>
      <w:r w:rsidRPr="006C0F90">
        <w:t xml:space="preserve">l’utilizzo degli strumenti </w:t>
      </w:r>
      <w:r w:rsidR="000C116D">
        <w:t>messi loro a disposizione.</w:t>
      </w:r>
      <w:r w:rsidR="00D540C2">
        <w:t xml:space="preserve"> </w:t>
      </w:r>
      <w:r w:rsidR="00886576">
        <w:t>L’unica circostanza in cui l</w:t>
      </w:r>
      <w:r w:rsidR="00886576" w:rsidRPr="006C0F90">
        <w:t>o Stato n</w:t>
      </w:r>
      <w:r w:rsidR="00886576">
        <w:t xml:space="preserve">on è tenuto a rispondere delle </w:t>
      </w:r>
      <w:r w:rsidR="00886576" w:rsidRPr="006C0F90">
        <w:t xml:space="preserve">condotte </w:t>
      </w:r>
      <w:r w:rsidR="00886576">
        <w:t>de</w:t>
      </w:r>
      <w:r w:rsidR="00886576" w:rsidRPr="006C0F90">
        <w:t xml:space="preserve">i propri organi </w:t>
      </w:r>
      <w:r w:rsidR="00886576">
        <w:t>è solo nel caso in cui sia</w:t>
      </w:r>
      <w:r w:rsidR="00886576" w:rsidRPr="006C0F90">
        <w:t>no prive di una connession</w:t>
      </w:r>
      <w:r w:rsidR="00886576">
        <w:t>e con la funzione ufficiale e sia</w:t>
      </w:r>
      <w:r w:rsidR="00886576" w:rsidRPr="006C0F90">
        <w:t>no state quindi tenute nella loro qualità privata</w:t>
      </w:r>
      <w:r w:rsidR="00886576">
        <w:rPr>
          <w:rStyle w:val="Rimandonotaapidipagina"/>
        </w:rPr>
        <w:footnoteReference w:id="197"/>
      </w:r>
      <w:r w:rsidR="00886576" w:rsidRPr="006C0F90">
        <w:t>.</w:t>
      </w:r>
    </w:p>
    <w:p w:rsidR="00BB776E" w:rsidRDefault="00D540C2" w:rsidP="00E55BBE">
      <w:pPr>
        <w:spacing w:after="0" w:line="360" w:lineRule="auto"/>
        <w:ind w:firstLine="284"/>
        <w:jc w:val="both"/>
      </w:pPr>
      <w:r>
        <w:t>Sembra possibile dedurre quindi che, pur non potendosi configurare come fatti rappresentativi della volontà statale in quanto compiuti dagli organi abusando della</w:t>
      </w:r>
      <w:r w:rsidR="00BB776E">
        <w:t xml:space="preserve"> propria autorità, lo Stato ne era</w:t>
      </w:r>
      <w:r w:rsidR="005B1828">
        <w:t xml:space="preserve"> comunque internazionalme</w:t>
      </w:r>
      <w:r>
        <w:t>nte responsabile perché si tratta</w:t>
      </w:r>
      <w:r w:rsidR="00BB776E">
        <w:t xml:space="preserve">va di </w:t>
      </w:r>
      <w:r w:rsidR="00BB776E">
        <w:lastRenderedPageBreak/>
        <w:t>condotte che possedevano</w:t>
      </w:r>
      <w:r w:rsidR="00E55BBE">
        <w:t xml:space="preserve"> le caratteristiche tipiche di</w:t>
      </w:r>
      <w:r w:rsidR="00BB776E">
        <w:t xml:space="preserve"> un fatto statale e si erano </w:t>
      </w:r>
      <w:r w:rsidR="00E55BBE">
        <w:t>inoltre</w:t>
      </w:r>
      <w:r w:rsidR="00BB776E">
        <w:t xml:space="preserve"> prodotte</w:t>
      </w:r>
      <w:r w:rsidR="00E55BBE">
        <w:t xml:space="preserve"> in occasione dell’attività dello Stato. </w:t>
      </w:r>
    </w:p>
    <w:p w:rsidR="00031B2E" w:rsidRDefault="00031B2E" w:rsidP="00886576">
      <w:pPr>
        <w:spacing w:after="0" w:line="360" w:lineRule="auto"/>
        <w:jc w:val="both"/>
      </w:pPr>
    </w:p>
    <w:p w:rsidR="002D6E1D" w:rsidRDefault="002D6E1D" w:rsidP="004676E2">
      <w:pPr>
        <w:pStyle w:val="Paragrafoelenco"/>
        <w:numPr>
          <w:ilvl w:val="0"/>
          <w:numId w:val="2"/>
        </w:numPr>
        <w:spacing w:after="0" w:line="360" w:lineRule="auto"/>
        <w:ind w:left="709" w:hanging="425"/>
        <w:jc w:val="both"/>
      </w:pPr>
      <w:r>
        <w:t>Le altre decisioni rese dalla Commissione generale dei reclami Stati Uniti/Messico tra il 1926 ed il 1930</w:t>
      </w:r>
    </w:p>
    <w:p w:rsidR="002D6E1D" w:rsidRDefault="002D6E1D" w:rsidP="002D6E1D">
      <w:pPr>
        <w:spacing w:after="0" w:line="360" w:lineRule="auto"/>
        <w:jc w:val="both"/>
      </w:pPr>
    </w:p>
    <w:p w:rsidR="002D6E1D" w:rsidRDefault="002D6E1D" w:rsidP="002D6E1D">
      <w:pPr>
        <w:spacing w:after="0" w:line="360" w:lineRule="auto"/>
        <w:ind w:firstLine="284"/>
        <w:jc w:val="both"/>
      </w:pPr>
      <w:r>
        <w:t xml:space="preserve">La Commissione dei reclami Stati Uniti/Messico ha reso numerose altre decisioni tra il 1926 ed il 1930 in cui ha affermato la responsabilità internazionale dello Stato per comportamenti </w:t>
      </w:r>
      <w:r w:rsidR="003F550B">
        <w:t xml:space="preserve">illeciti </w:t>
      </w:r>
      <w:r w:rsidRPr="00722A30">
        <w:rPr>
          <w:i/>
        </w:rPr>
        <w:t>ultra vires</w:t>
      </w:r>
      <w:r>
        <w:t xml:space="preserve"> dei propri organi. </w:t>
      </w:r>
    </w:p>
    <w:p w:rsidR="002D6E1D" w:rsidRDefault="002D6E1D" w:rsidP="002D6E1D">
      <w:pPr>
        <w:spacing w:after="0" w:line="360" w:lineRule="auto"/>
        <w:ind w:firstLine="284"/>
        <w:jc w:val="both"/>
      </w:pPr>
      <w:r>
        <w:t xml:space="preserve">Nella decisione resa il 16 novembre 1926 nel caso </w:t>
      </w:r>
      <w:r>
        <w:rPr>
          <w:i/>
        </w:rPr>
        <w:t>Falcó</w:t>
      </w:r>
      <w:r w:rsidRPr="002229EA">
        <w:rPr>
          <w:i/>
        </w:rPr>
        <w:t>n</w:t>
      </w:r>
      <w:r>
        <w:t>, ad esempio, gli Stati Uniti sono stati ritenuti responsabili per l’uccisione di un contrabbandiere messicano da parte di alcuni soldati che avevano aperto il fuoco contrariamente alle disposizioni dei regolamenti militari</w:t>
      </w:r>
      <w:r>
        <w:rPr>
          <w:rStyle w:val="Rimandonotaapidipagina"/>
        </w:rPr>
        <w:footnoteReference w:id="198"/>
      </w:r>
      <w:r>
        <w:t xml:space="preserve">. Egualmente, nella decisione resa nel caso </w:t>
      </w:r>
      <w:r>
        <w:rPr>
          <w:i/>
        </w:rPr>
        <w:t xml:space="preserve">Conception </w:t>
      </w:r>
      <w:r w:rsidRPr="00532D2C">
        <w:rPr>
          <w:i/>
        </w:rPr>
        <w:t>Garcìa</w:t>
      </w:r>
      <w:r>
        <w:rPr>
          <w:i/>
        </w:rPr>
        <w:t>,</w:t>
      </w:r>
      <w:r>
        <w:t xml:space="preserve"> gli Stati Uniti sono stati dichiarati responsabili per la morte di una donna messicana causata da un militare statunitense in circostanze analoghe</w:t>
      </w:r>
      <w:r>
        <w:rPr>
          <w:rStyle w:val="Rimandonotaapidipagina"/>
        </w:rPr>
        <w:footnoteReference w:id="199"/>
      </w:r>
      <w:r>
        <w:t>.</w:t>
      </w:r>
    </w:p>
    <w:p w:rsidR="002D6E1D" w:rsidRDefault="002D6E1D" w:rsidP="002D6E1D">
      <w:pPr>
        <w:spacing w:after="0" w:line="360" w:lineRule="auto"/>
        <w:ind w:firstLine="284"/>
        <w:jc w:val="both"/>
      </w:pPr>
      <w:r>
        <w:t xml:space="preserve">Nella decisione resa il 16 novembre 1926 nel caso </w:t>
      </w:r>
      <w:r w:rsidRPr="00D11009">
        <w:rPr>
          <w:i/>
        </w:rPr>
        <w:t>Quintanilla</w:t>
      </w:r>
      <w:r>
        <w:t xml:space="preserve"> la Commissione generale dei reclami ha ritenuto gli Stati Uniti responsabili del comportamento di un proprio sceriffo il quale, dopo aver arrestato un individuo resosi responsabile di molestie nei confronti di una ragazza, lo aveva assassinato durante il tragitto verso la prigione.</w:t>
      </w:r>
    </w:p>
    <w:p w:rsidR="002D6E1D" w:rsidRDefault="002D6E1D" w:rsidP="002D6E1D">
      <w:pPr>
        <w:spacing w:after="0" w:line="360" w:lineRule="auto"/>
        <w:ind w:firstLine="284"/>
        <w:jc w:val="both"/>
      </w:pPr>
      <w:r>
        <w:t>Secondo la Commissione uno Stato è tenuto a rispondere nell’ordinamento internazionale dei comportamenti irregolari dei propri organi nei confronti di detenuti posti sotto la propria custodia, in quanto tenuti nella qualità ufficiale durante l’esercizio delle proprie funzioni</w:t>
      </w:r>
      <w:r>
        <w:rPr>
          <w:rStyle w:val="Rimandonotaapidipagina"/>
        </w:rPr>
        <w:footnoteReference w:id="200"/>
      </w:r>
      <w:r>
        <w:t>.</w:t>
      </w:r>
    </w:p>
    <w:p w:rsidR="002D6E1D" w:rsidRDefault="002D6E1D" w:rsidP="002D6E1D">
      <w:pPr>
        <w:spacing w:after="0" w:line="360" w:lineRule="auto"/>
        <w:ind w:firstLine="284"/>
        <w:jc w:val="both"/>
      </w:pPr>
      <w:r>
        <w:t>Particolarmente significativa</w:t>
      </w:r>
      <w:r w:rsidRPr="00CE51F1">
        <w:t xml:space="preserve"> </w:t>
      </w:r>
      <w:r>
        <w:t>per la distinzione tra un comportamento</w:t>
      </w:r>
      <w:r w:rsidRPr="00CE51F1">
        <w:t xml:space="preserve"> privato e </w:t>
      </w:r>
      <w:r>
        <w:t xml:space="preserve">uno </w:t>
      </w:r>
      <w:r w:rsidRPr="00CE51F1">
        <w:rPr>
          <w:i/>
        </w:rPr>
        <w:t xml:space="preserve">ultra vires </w:t>
      </w:r>
      <w:r>
        <w:t>è invece la sentenza resa ne</w:t>
      </w:r>
      <w:r w:rsidRPr="00CE51F1">
        <w:t xml:space="preserve">l caso </w:t>
      </w:r>
      <w:r w:rsidRPr="00BF6009">
        <w:rPr>
          <w:i/>
        </w:rPr>
        <w:t>Mallén</w:t>
      </w:r>
      <w:r>
        <w:rPr>
          <w:i/>
        </w:rPr>
        <w:t xml:space="preserve"> </w:t>
      </w:r>
      <w:r>
        <w:t>il 27 aprile 1927</w:t>
      </w:r>
      <w:r>
        <w:rPr>
          <w:rStyle w:val="Rimandonotaapidipagina"/>
        </w:rPr>
        <w:footnoteReference w:id="201"/>
      </w:r>
      <w:r>
        <w:t>.</w:t>
      </w:r>
    </w:p>
    <w:p w:rsidR="002D6E1D" w:rsidRDefault="002D6E1D" w:rsidP="002D6E1D">
      <w:pPr>
        <w:autoSpaceDE w:val="0"/>
        <w:autoSpaceDN w:val="0"/>
        <w:adjustRightInd w:val="0"/>
        <w:spacing w:after="0" w:line="360" w:lineRule="auto"/>
        <w:ind w:firstLine="284"/>
        <w:jc w:val="both"/>
      </w:pPr>
      <w:r>
        <w:t>Era accaduto che Juan Franco, agente della polizia statunitense di El Paso, nel Texas, avesse aggredito per ben due volte il console messicano Francisco Mallén verso il quale nutriva dei risentimenti di natura personale.</w:t>
      </w:r>
    </w:p>
    <w:p w:rsidR="002D6E1D" w:rsidRDefault="002D6E1D" w:rsidP="002D6E1D">
      <w:pPr>
        <w:autoSpaceDE w:val="0"/>
        <w:autoSpaceDN w:val="0"/>
        <w:adjustRightInd w:val="0"/>
        <w:spacing w:after="0" w:line="360" w:lineRule="auto"/>
        <w:ind w:firstLine="284"/>
        <w:jc w:val="both"/>
      </w:pPr>
      <w:r>
        <w:lastRenderedPageBreak/>
        <w:t xml:space="preserve">Nel corso della prima aggressione l’agente Juan Franco aveva espresso la sua intenzione di uccidere il console e, dopo averlo avvicinato, lo aveva schiaffeggiato facendogli cadere a terra il cappello. In tale circostanza la Commissione ha ritenuto che il comportamento dovesse essere considerato una condotta illegale tenuta nella sua qualità privata da un individuo che per coincidenza godeva dello </w:t>
      </w:r>
      <w:r w:rsidRPr="007311D7">
        <w:rPr>
          <w:i/>
        </w:rPr>
        <w:t>status</w:t>
      </w:r>
      <w:r>
        <w:t xml:space="preserve"> di organo in virtù del diritto interno</w:t>
      </w:r>
      <w:r>
        <w:rPr>
          <w:rStyle w:val="Rimandonotaapidipagina"/>
        </w:rPr>
        <w:footnoteReference w:id="202"/>
      </w:r>
      <w:r>
        <w:t xml:space="preserve">. Gli Stati Uniti non erano pertanto tenuti a rispondere di questo atto. </w:t>
      </w:r>
    </w:p>
    <w:p w:rsidR="002D6E1D" w:rsidRDefault="002D6E1D" w:rsidP="002D6E1D">
      <w:pPr>
        <w:autoSpaceDE w:val="0"/>
        <w:autoSpaceDN w:val="0"/>
        <w:adjustRightInd w:val="0"/>
        <w:spacing w:after="0" w:line="360" w:lineRule="auto"/>
        <w:ind w:firstLine="284"/>
        <w:jc w:val="both"/>
      </w:pPr>
      <w:r>
        <w:t>La seconda aggressione si è svolta invece qualche mese più tardi quando Juan Franco, salito su di un veicolo su cui si trovava anche il console, lo aveva più volte colpito con pugni e sotto minaccia della sua arma da fuoco lo aveva condotto al carcere di El Paso dove lo ha imprigionato.</w:t>
      </w:r>
    </w:p>
    <w:p w:rsidR="002D6E1D" w:rsidRPr="003358C5" w:rsidRDefault="002D6E1D" w:rsidP="002D6E1D">
      <w:pPr>
        <w:autoSpaceDE w:val="0"/>
        <w:autoSpaceDN w:val="0"/>
        <w:adjustRightInd w:val="0"/>
        <w:spacing w:after="0" w:line="360" w:lineRule="auto"/>
        <w:ind w:firstLine="284"/>
        <w:jc w:val="both"/>
      </w:pPr>
      <w:r>
        <w:t xml:space="preserve">La Commissione ha ritenuto senza fondamento il tentativo di Franco di giustificare il suo operato con la volontà di sanzionare il console Mallén per un illegittimo porto d’armi dal momento che </w:t>
      </w:r>
      <w:r w:rsidRPr="00F74D5D">
        <w:rPr>
          <w:i/>
        </w:rPr>
        <w:t>in primis</w:t>
      </w:r>
      <w:r>
        <w:t xml:space="preserve"> la legislazione del Texas in tema di porto di armi da fuoco veniva attuata in modo da permettere ai funzionari del Governo messicano che erano soliti passare il confine di portare un’arma ed </w:t>
      </w:r>
      <w:r w:rsidRPr="00F74D5D">
        <w:rPr>
          <w:i/>
        </w:rPr>
        <w:t>in secundis</w:t>
      </w:r>
      <w:r>
        <w:t xml:space="preserve"> il procuratore della contea ad El Paso aveva esplicitamente </w:t>
      </w:r>
      <w:r w:rsidRPr="003358C5">
        <w:t>concesso a Mallén di farlo</w:t>
      </w:r>
      <w:r w:rsidR="00EF152F" w:rsidRPr="003358C5">
        <w:t>,</w:t>
      </w:r>
      <w:r w:rsidRPr="003358C5">
        <w:t xml:space="preserve"> assicurandolo che non avrebbe dovuto subire alcuna conseguenza.</w:t>
      </w:r>
    </w:p>
    <w:p w:rsidR="002D6E1D" w:rsidRDefault="003358C5" w:rsidP="003358C5">
      <w:pPr>
        <w:autoSpaceDE w:val="0"/>
        <w:autoSpaceDN w:val="0"/>
        <w:adjustRightInd w:val="0"/>
        <w:spacing w:after="0" w:line="360" w:lineRule="auto"/>
        <w:ind w:firstLine="284"/>
        <w:jc w:val="both"/>
      </w:pPr>
      <w:r w:rsidRPr="003358C5">
        <w:t>Anche nell’eventualità in cui la reale intenzione di Franco fosse stata quella di dare esecuzione al diritto interno del Texas</w:t>
      </w:r>
      <w:r w:rsidR="00D56FF9">
        <w:t>,</w:t>
      </w:r>
      <w:r w:rsidRPr="003358C5">
        <w:t xml:space="preserve"> anzichè un semplice pretesto per esegu</w:t>
      </w:r>
      <w:r w:rsidR="005B1828">
        <w:t>ire una vendetta privata, second</w:t>
      </w:r>
      <w:r w:rsidRPr="003358C5">
        <w:t xml:space="preserve">o </w:t>
      </w:r>
      <w:r w:rsidR="002D6E1D" w:rsidRPr="003358C5">
        <w:t>la Commissione l’organo si era spinto assai al di là dei limiti previsti per lo svolgimento della sua funzione ufficiale.</w:t>
      </w:r>
      <w:r w:rsidR="002D6E1D">
        <w:t xml:space="preserve"> </w:t>
      </w:r>
    </w:p>
    <w:p w:rsidR="002D6E1D" w:rsidRDefault="002D6E1D" w:rsidP="002D6E1D">
      <w:pPr>
        <w:autoSpaceDE w:val="0"/>
        <w:autoSpaceDN w:val="0"/>
        <w:adjustRightInd w:val="0"/>
        <w:spacing w:after="0" w:line="360" w:lineRule="auto"/>
        <w:ind w:firstLine="284"/>
        <w:jc w:val="both"/>
      </w:pPr>
      <w:r w:rsidRPr="009D3FC6">
        <w:t xml:space="preserve">Tale seconda aggressione </w:t>
      </w:r>
      <w:r>
        <w:t xml:space="preserve">è </w:t>
      </w:r>
      <w:r w:rsidRPr="009D3FC6">
        <w:t>stata considerata</w:t>
      </w:r>
      <w:r>
        <w:t xml:space="preserve"> d</w:t>
      </w:r>
      <w:r w:rsidRPr="009D3FC6">
        <w:t>alla Commissione</w:t>
      </w:r>
      <w:r>
        <w:t xml:space="preserve"> un fatto di cui lo Stato doveva rispondere sul piano internazionale sebbene l’organo avesse agito nella sua qualità ufficiale</w:t>
      </w:r>
      <w:r w:rsidRPr="003058FE">
        <w:t xml:space="preserve"> </w:t>
      </w:r>
      <w:r>
        <w:t xml:space="preserve">contravvenendo alle disposizioni di diritto interno. </w:t>
      </w:r>
    </w:p>
    <w:p w:rsidR="002D6E1D" w:rsidRDefault="002D6E1D" w:rsidP="002D6E1D">
      <w:pPr>
        <w:autoSpaceDE w:val="0"/>
        <w:autoSpaceDN w:val="0"/>
        <w:adjustRightInd w:val="0"/>
        <w:spacing w:after="0" w:line="360" w:lineRule="auto"/>
        <w:ind w:firstLine="284"/>
        <w:jc w:val="both"/>
      </w:pPr>
      <w:r>
        <w:t>Gli elementi valorizzati al fine di dimostrare la qualità ufficiale dell’organo sono stati la circostanza che al momento della commissione dell’illecito Franco era in servizio, avesse mostrato il distintivo ed il fatto che non avrebbe mai potuto imprigionare Mallén se non avesse agito in qualità di agente di polizia:</w:t>
      </w:r>
    </w:p>
    <w:p w:rsidR="002D6E1D" w:rsidRDefault="002D6E1D" w:rsidP="002D6E1D">
      <w:pPr>
        <w:autoSpaceDE w:val="0"/>
        <w:autoSpaceDN w:val="0"/>
        <w:adjustRightInd w:val="0"/>
        <w:spacing w:after="0" w:line="360" w:lineRule="auto"/>
        <w:ind w:firstLine="284"/>
        <w:jc w:val="both"/>
      </w:pPr>
    </w:p>
    <w:p w:rsidR="002D6E1D" w:rsidRDefault="002D6E1D" w:rsidP="002D6E1D">
      <w:pPr>
        <w:autoSpaceDE w:val="0"/>
        <w:autoSpaceDN w:val="0"/>
        <w:adjustRightInd w:val="0"/>
        <w:spacing w:after="0" w:line="360" w:lineRule="auto"/>
        <w:ind w:left="567" w:right="567" w:firstLine="284"/>
        <w:jc w:val="both"/>
        <w:rPr>
          <w:lang w:val="en-US"/>
        </w:rPr>
      </w:pPr>
      <w:r w:rsidRPr="009C259E">
        <w:rPr>
          <w:lang w:val="en-US"/>
        </w:rPr>
        <w:t xml:space="preserve">“It is…essential to note that both Governments consider Franco's acts as the acts of an official on duty (though he came from the Mexican side), and that the evidence establishes his showing his badge to assert his official capacity. Franco </w:t>
      </w:r>
      <w:r w:rsidRPr="009C259E">
        <w:rPr>
          <w:lang w:val="en-US"/>
        </w:rPr>
        <w:lastRenderedPageBreak/>
        <w:t>could not have taken Mallén to jail if he had not been acting as a police officer. Though his act would seem to have been a private act of revenge which was disguised, once the first thirst of revenge had been, satisfied, as an official act of arrest, the act as a whole can only be considered as the act of an official</w:t>
      </w:r>
      <w:r>
        <w:rPr>
          <w:lang w:val="en-US"/>
        </w:rPr>
        <w:t>”</w:t>
      </w:r>
      <w:r>
        <w:rPr>
          <w:rStyle w:val="Rimandonotaapidipagina"/>
          <w:lang w:val="en-US"/>
        </w:rPr>
        <w:footnoteReference w:id="203"/>
      </w:r>
      <w:r w:rsidRPr="00B87B82">
        <w:rPr>
          <w:lang w:val="en-US"/>
        </w:rPr>
        <w:t>.</w:t>
      </w:r>
    </w:p>
    <w:p w:rsidR="002D6E1D" w:rsidRPr="00BD465E" w:rsidRDefault="002D6E1D" w:rsidP="002D6E1D">
      <w:pPr>
        <w:autoSpaceDE w:val="0"/>
        <w:autoSpaceDN w:val="0"/>
        <w:adjustRightInd w:val="0"/>
        <w:spacing w:after="0" w:line="360" w:lineRule="auto"/>
        <w:ind w:firstLine="284"/>
        <w:jc w:val="both"/>
        <w:rPr>
          <w:lang w:val="en-US"/>
        </w:rPr>
      </w:pPr>
    </w:p>
    <w:p w:rsidR="002D6E1D" w:rsidRDefault="002D6E1D" w:rsidP="002D6E1D">
      <w:pPr>
        <w:autoSpaceDE w:val="0"/>
        <w:autoSpaceDN w:val="0"/>
        <w:adjustRightInd w:val="0"/>
        <w:spacing w:after="0" w:line="360" w:lineRule="auto"/>
        <w:ind w:firstLine="284"/>
        <w:jc w:val="both"/>
      </w:pPr>
      <w:r w:rsidRPr="00014D6A">
        <w:t>La seconda aggressione è stata pertanto reputata un fatto attribuibile allo St</w:t>
      </w:r>
      <w:r>
        <w:t xml:space="preserve">ato sul piano internazionale, e non il comportamento di un semplice privato, sulla base dell’esistenza di un legame fra il fatto  e gli strumenti messi a disposizione dell’organo per il regolare esercizio delle proprie funzioni. </w:t>
      </w:r>
    </w:p>
    <w:p w:rsidR="002D6E1D" w:rsidRPr="00014D6A" w:rsidRDefault="002D6E1D" w:rsidP="002D6E1D">
      <w:pPr>
        <w:autoSpaceDE w:val="0"/>
        <w:autoSpaceDN w:val="0"/>
        <w:adjustRightInd w:val="0"/>
        <w:spacing w:after="0" w:line="360" w:lineRule="auto"/>
        <w:ind w:firstLine="284"/>
        <w:jc w:val="both"/>
      </w:pPr>
      <w:r>
        <w:t xml:space="preserve">Alla luce di tale pronuncia, </w:t>
      </w:r>
      <w:r w:rsidR="003358C5">
        <w:t xml:space="preserve">sembra desumibile che </w:t>
      </w:r>
      <w:r>
        <w:t xml:space="preserve">lo Stato non può quindi negare di avere agito quando l’autorità e i mezzi messi a disposizione rappresentano la </w:t>
      </w:r>
      <w:r>
        <w:rPr>
          <w:i/>
        </w:rPr>
        <w:t>condic</w:t>
      </w:r>
      <w:r w:rsidRPr="00920958">
        <w:rPr>
          <w:i/>
        </w:rPr>
        <w:t>io sine qua</w:t>
      </w:r>
      <w:r>
        <w:t xml:space="preserve"> </w:t>
      </w:r>
      <w:r w:rsidRPr="00F41C91">
        <w:rPr>
          <w:i/>
        </w:rPr>
        <w:t>non</w:t>
      </w:r>
      <w:r>
        <w:t xml:space="preserve"> per la realizzazione del fatto da parte dell’organo, in quanto elementi in grado di attestare che in quella data circostanza egli ha agito nella sua qualità ufficiale. </w:t>
      </w:r>
    </w:p>
    <w:p w:rsidR="002D6E1D" w:rsidRDefault="002D6E1D" w:rsidP="002D6E1D">
      <w:pPr>
        <w:spacing w:after="0" w:line="360" w:lineRule="auto"/>
        <w:ind w:firstLine="284"/>
        <w:jc w:val="both"/>
      </w:pPr>
      <w:r>
        <w:t>La Commissione ha quindi riconosciuto in capo agli Stati Uniti con riferimento alla seconda aggressione sia una responsabilità “diretta” per la condotta del suo funzionario, sia una responsabilità per il fatto di altri organi per non aver prevenuto il suo verificarsi</w:t>
      </w:r>
      <w:r>
        <w:rPr>
          <w:rStyle w:val="Rimandonotaapidipagina"/>
        </w:rPr>
        <w:footnoteReference w:id="204"/>
      </w:r>
      <w:r>
        <w:t xml:space="preserve">. </w:t>
      </w:r>
    </w:p>
    <w:p w:rsidR="002D6E1D" w:rsidRPr="00312414" w:rsidRDefault="002D6E1D" w:rsidP="002D6E1D">
      <w:pPr>
        <w:autoSpaceDE w:val="0"/>
        <w:autoSpaceDN w:val="0"/>
        <w:adjustRightInd w:val="0"/>
        <w:spacing w:after="0" w:line="360" w:lineRule="auto"/>
        <w:ind w:firstLine="284"/>
        <w:jc w:val="both"/>
      </w:pPr>
      <w:r>
        <w:t xml:space="preserve">Il </w:t>
      </w:r>
      <w:r w:rsidRPr="00312414">
        <w:t xml:space="preserve">Governo degli Stati Uniti ha riconosciuto la propria responsabilità internazionale per il fatto </w:t>
      </w:r>
      <w:r w:rsidRPr="00312414">
        <w:rPr>
          <w:i/>
        </w:rPr>
        <w:t>ultra vires</w:t>
      </w:r>
      <w:r w:rsidRPr="00312414">
        <w:t xml:space="preserve"> del proprio organo ammettendo che:</w:t>
      </w:r>
    </w:p>
    <w:p w:rsidR="002D6E1D" w:rsidRDefault="002D6E1D" w:rsidP="002D6E1D">
      <w:pPr>
        <w:autoSpaceDE w:val="0"/>
        <w:autoSpaceDN w:val="0"/>
        <w:adjustRightInd w:val="0"/>
        <w:spacing w:after="0" w:line="360" w:lineRule="auto"/>
        <w:ind w:firstLine="284"/>
        <w:jc w:val="both"/>
      </w:pPr>
    </w:p>
    <w:p w:rsidR="002D6E1D" w:rsidRPr="005D7341" w:rsidRDefault="002D6E1D" w:rsidP="002D6E1D">
      <w:pPr>
        <w:autoSpaceDE w:val="0"/>
        <w:autoSpaceDN w:val="0"/>
        <w:adjustRightInd w:val="0"/>
        <w:spacing w:after="0" w:line="360" w:lineRule="auto"/>
        <w:ind w:left="567" w:right="567" w:firstLine="284"/>
        <w:jc w:val="both"/>
        <w:rPr>
          <w:lang w:val="en-US"/>
        </w:rPr>
      </w:pPr>
      <w:r w:rsidRPr="005D7341">
        <w:t xml:space="preserve"> </w:t>
      </w:r>
      <w:r w:rsidRPr="005D7341">
        <w:rPr>
          <w:lang w:val="en-US"/>
        </w:rPr>
        <w:t>“…an official or other acting in a broad sense for the United States was…found to have perpetrated an injustice upon Mr. Mallén….it would be incumbent either upon the State of Texas or the National Government to accord him reparation for this injuries”</w:t>
      </w:r>
      <w:r w:rsidRPr="005D7341">
        <w:rPr>
          <w:rStyle w:val="Rimandonotaapidipagina"/>
          <w:lang w:val="en-US"/>
        </w:rPr>
        <w:footnoteReference w:id="205"/>
      </w:r>
      <w:r w:rsidRPr="005D7341">
        <w:rPr>
          <w:lang w:val="en-US"/>
        </w:rPr>
        <w:t>.</w:t>
      </w:r>
    </w:p>
    <w:p w:rsidR="002D6E1D" w:rsidRPr="00CE5139" w:rsidRDefault="002D6E1D" w:rsidP="002D6E1D">
      <w:pPr>
        <w:autoSpaceDE w:val="0"/>
        <w:autoSpaceDN w:val="0"/>
        <w:adjustRightInd w:val="0"/>
        <w:spacing w:after="0" w:line="360" w:lineRule="auto"/>
        <w:ind w:firstLine="284"/>
        <w:jc w:val="both"/>
        <w:rPr>
          <w:lang w:val="en-US"/>
        </w:rPr>
      </w:pPr>
    </w:p>
    <w:p w:rsidR="002D6E1D" w:rsidRDefault="002D6E1D" w:rsidP="002D6E1D">
      <w:pPr>
        <w:spacing w:after="0" w:line="360" w:lineRule="auto"/>
        <w:ind w:firstLine="284"/>
        <w:jc w:val="both"/>
      </w:pPr>
      <w:r w:rsidRPr="008C53A1">
        <w:t>N</w:t>
      </w:r>
      <w:r>
        <w:t xml:space="preserve">ella sentenza resa nel caso </w:t>
      </w:r>
      <w:r w:rsidRPr="00F06B41">
        <w:rPr>
          <w:i/>
        </w:rPr>
        <w:t>Way</w:t>
      </w:r>
      <w:r>
        <w:t xml:space="preserve"> del 1928 la Commissione ha ritenuto il Messico internazionalmente responsabile per il comportamento </w:t>
      </w:r>
      <w:r w:rsidRPr="00005D56">
        <w:rPr>
          <w:i/>
        </w:rPr>
        <w:t>ultra vires</w:t>
      </w:r>
      <w:r>
        <w:t xml:space="preserve"> di un proprio organo</w:t>
      </w:r>
      <w:r>
        <w:rPr>
          <w:rStyle w:val="Rimandonotaapidipagina"/>
        </w:rPr>
        <w:footnoteReference w:id="206"/>
      </w:r>
      <w:r>
        <w:t>.</w:t>
      </w:r>
    </w:p>
    <w:p w:rsidR="002D6E1D" w:rsidRDefault="002D6E1D" w:rsidP="002D6E1D">
      <w:pPr>
        <w:autoSpaceDE w:val="0"/>
        <w:autoSpaceDN w:val="0"/>
        <w:adjustRightInd w:val="0"/>
        <w:spacing w:after="0" w:line="360" w:lineRule="auto"/>
        <w:ind w:firstLine="284"/>
        <w:jc w:val="both"/>
      </w:pPr>
      <w:r>
        <w:lastRenderedPageBreak/>
        <w:t>Un pubblico ministero</w:t>
      </w:r>
      <w:r w:rsidRPr="00CE51F1">
        <w:t xml:space="preserve"> messicano aveva emanato nei confronti di un cittadino statunitense un mandato di arresto che risultava essere null</w:t>
      </w:r>
      <w:r>
        <w:t>o per mancanza di motivazioni. L</w:t>
      </w:r>
      <w:r w:rsidRPr="00CE51F1">
        <w:t xml:space="preserve">a </w:t>
      </w:r>
      <w:r>
        <w:t>sua esecuzione era stata</w:t>
      </w:r>
      <w:r w:rsidRPr="00CE51F1">
        <w:t xml:space="preserve"> affidata ad alcuni agenti della forza pubblica ai quali era stata concessa la possibilità di usare le armi “</w:t>
      </w:r>
      <w:r>
        <w:rPr>
          <w:i/>
        </w:rPr>
        <w:t>as may be suitable</w:t>
      </w:r>
      <w:r w:rsidRPr="00CE51F1">
        <w:rPr>
          <w:i/>
        </w:rPr>
        <w:t>”</w:t>
      </w:r>
      <w:r w:rsidRPr="00F06B41">
        <w:rPr>
          <w:rStyle w:val="Rimandonotaapidipagina"/>
        </w:rPr>
        <w:footnoteReference w:id="207"/>
      </w:r>
      <w:r w:rsidRPr="00F06B41">
        <w:t xml:space="preserve">. </w:t>
      </w:r>
      <w:r w:rsidRPr="00CE51F1">
        <w:t xml:space="preserve">A seguito della resistenza </w:t>
      </w:r>
      <w:r>
        <w:t xml:space="preserve">opposta </w:t>
      </w:r>
      <w:r w:rsidRPr="00CE51F1">
        <w:t>nei confronti dell’arres</w:t>
      </w:r>
      <w:r>
        <w:t>to, il cittadino statunitense è stato</w:t>
      </w:r>
      <w:r w:rsidRPr="00CE51F1">
        <w:t xml:space="preserve"> brutalmente ucciso.</w:t>
      </w:r>
      <w:r w:rsidRPr="00CE51F1">
        <w:rPr>
          <w:i/>
        </w:rPr>
        <w:t xml:space="preserve"> </w:t>
      </w:r>
      <w:r w:rsidRPr="00CE51F1">
        <w:t xml:space="preserve">La Commissione generale dei reclami </w:t>
      </w:r>
      <w:r>
        <w:t xml:space="preserve">ha riconosciuto </w:t>
      </w:r>
      <w:r w:rsidRPr="00CE51F1">
        <w:t xml:space="preserve">la responsabilità internazionale del Messico </w:t>
      </w:r>
      <w:r w:rsidRPr="00CE51F1">
        <w:rPr>
          <w:i/>
        </w:rPr>
        <w:t>“</w:t>
      </w:r>
      <w:r w:rsidRPr="00F10F9C">
        <w:t>for this tragic violation of personal rights secured by Mexican law and by International law</w:t>
      </w:r>
      <w:r>
        <w:rPr>
          <w:i/>
        </w:rPr>
        <w:t>”</w:t>
      </w:r>
      <w:r w:rsidRPr="00CE51F1">
        <w:rPr>
          <w:rStyle w:val="Rimandonotaapidipagina"/>
        </w:rPr>
        <w:footnoteReference w:id="208"/>
      </w:r>
      <w:r>
        <w:t>.</w:t>
      </w:r>
    </w:p>
    <w:p w:rsidR="001E2D02" w:rsidRDefault="002D6E1D" w:rsidP="003358C5">
      <w:pPr>
        <w:autoSpaceDE w:val="0"/>
        <w:autoSpaceDN w:val="0"/>
        <w:adjustRightInd w:val="0"/>
        <w:spacing w:after="0" w:line="360" w:lineRule="auto"/>
        <w:ind w:firstLine="284"/>
        <w:jc w:val="both"/>
      </w:pPr>
      <w:r>
        <w:t xml:space="preserve">Da ultimo nell’ambito della pronuncia resa nel caso </w:t>
      </w:r>
      <w:r w:rsidRPr="008C53A1">
        <w:rPr>
          <w:i/>
        </w:rPr>
        <w:t>Kling</w:t>
      </w:r>
      <w:r w:rsidRPr="00ED33DB">
        <w:rPr>
          <w:rStyle w:val="Rimandonotaapidipagina"/>
        </w:rPr>
        <w:footnoteReference w:id="209"/>
      </w:r>
      <w:r w:rsidRPr="00ED33DB">
        <w:t xml:space="preserve">, </w:t>
      </w:r>
      <w:r>
        <w:t xml:space="preserve">riprendendo le argomentazioni sviluppate nel caso </w:t>
      </w:r>
      <w:r w:rsidRPr="00ED33DB">
        <w:rPr>
          <w:i/>
        </w:rPr>
        <w:t>Youmans</w:t>
      </w:r>
      <w:r w:rsidRPr="00FC715C">
        <w:rPr>
          <w:rStyle w:val="Rimandonotaapidipagina"/>
        </w:rPr>
        <w:footnoteReference w:id="210"/>
      </w:r>
      <w:r w:rsidRPr="00FC715C">
        <w:t>,</w:t>
      </w:r>
      <w:r>
        <w:t xml:space="preserve"> la Commissione ha affermato che l’omicidio di un cittadino statunitense da parte di alcuni soldati messicani in servizio non poteva essere considerato un comportamento tenuto a titolo privato</w:t>
      </w:r>
      <w:r>
        <w:rPr>
          <w:rStyle w:val="Rimandonotaapidipagina"/>
        </w:rPr>
        <w:footnoteReference w:id="211"/>
      </w:r>
      <w:r>
        <w:t>.</w:t>
      </w:r>
    </w:p>
    <w:p w:rsidR="009D36EC" w:rsidRDefault="009D36EC" w:rsidP="003358C5">
      <w:pPr>
        <w:autoSpaceDE w:val="0"/>
        <w:autoSpaceDN w:val="0"/>
        <w:adjustRightInd w:val="0"/>
        <w:spacing w:after="0" w:line="360" w:lineRule="auto"/>
        <w:ind w:firstLine="284"/>
        <w:jc w:val="both"/>
      </w:pPr>
    </w:p>
    <w:p w:rsidR="002D6E1D" w:rsidRDefault="002D6E1D" w:rsidP="004676E2">
      <w:pPr>
        <w:pStyle w:val="Paragrafoelenco"/>
        <w:numPr>
          <w:ilvl w:val="0"/>
          <w:numId w:val="2"/>
        </w:numPr>
        <w:spacing w:after="0" w:line="360" w:lineRule="auto"/>
        <w:ind w:left="709" w:hanging="425"/>
        <w:jc w:val="both"/>
      </w:pPr>
      <w:r>
        <w:lastRenderedPageBreak/>
        <w:t>Segue: la sentenza resa nel caso</w:t>
      </w:r>
      <w:r w:rsidRPr="007718A0">
        <w:rPr>
          <w:i/>
        </w:rPr>
        <w:t xml:space="preserve"> Stephens</w:t>
      </w:r>
      <w:r>
        <w:t xml:space="preserve">, un caso di responsabilità per comportamenti di organi di fatto che hanno agito contrariamente alle istruzioni ricevute </w:t>
      </w:r>
    </w:p>
    <w:p w:rsidR="00CA5718" w:rsidRDefault="00CA5718" w:rsidP="00EB037D">
      <w:pPr>
        <w:spacing w:after="0" w:line="360" w:lineRule="auto"/>
        <w:ind w:firstLine="284"/>
        <w:jc w:val="both"/>
      </w:pPr>
    </w:p>
    <w:p w:rsidR="002D6E1D" w:rsidRDefault="002D6E1D" w:rsidP="002D6E1D">
      <w:pPr>
        <w:spacing w:after="0" w:line="360" w:lineRule="auto"/>
        <w:ind w:firstLine="284"/>
        <w:jc w:val="both"/>
      </w:pPr>
      <w:r>
        <w:t>Il caso</w:t>
      </w:r>
      <w:r w:rsidRPr="009A7378">
        <w:rPr>
          <w:i/>
        </w:rPr>
        <w:t xml:space="preserve"> Stephens</w:t>
      </w:r>
      <w:r>
        <w:t xml:space="preserve"> aveva ad oggetto la questione della responsabilità del Messico per l’uccisione di un cittadino statunitense da parte di un individuo, di nome Valenzuela, che apparteneva ad un gruppo di irregolari che svolgevano funzioni di polizia nella regione di Chihuahua, dove le forze regolari erano assenti in quanto impegnate a sedare rivolte nel sud del paese</w:t>
      </w:r>
      <w:r>
        <w:rPr>
          <w:rStyle w:val="Rimandonotaapidipagina"/>
        </w:rPr>
        <w:footnoteReference w:id="212"/>
      </w:r>
      <w:r>
        <w:t xml:space="preserve">. </w:t>
      </w:r>
    </w:p>
    <w:p w:rsidR="002D6E1D" w:rsidRDefault="007251C1" w:rsidP="002D6E1D">
      <w:pPr>
        <w:spacing w:after="0" w:line="360" w:lineRule="auto"/>
        <w:ind w:firstLine="284"/>
        <w:jc w:val="both"/>
      </w:pPr>
      <w:r>
        <w:t>La notte in cui è avvenuta</w:t>
      </w:r>
      <w:r w:rsidR="002D6E1D">
        <w:t xml:space="preserve"> l’uccisione Valenzuela era in servizio insieme ad altri due uomini, sotto il comando di un sergente. Essi stavano apparentemente agendo in linea con la </w:t>
      </w:r>
      <w:r w:rsidR="002D6E1D" w:rsidRPr="00697C3D">
        <w:rPr>
          <w:i/>
        </w:rPr>
        <w:t>General ordinance for the army</w:t>
      </w:r>
      <w:r w:rsidR="002D6E1D">
        <w:t xml:space="preserve"> del 1897 e, in particolare, con l’art. 176 che obbligava tutti gli individui che venivano fermati per un controllo di fermarsi per agevolare la loro identificazione. Quando i quattro uomini hanno visto avvicinarsi la macchina di Stephens, il sergente ha ordinato a due di loro esclusivamente di fermare il veicolo. Valenzuela, invece, ha contravvenuto alle istruzioni e ha immediatamente sparato, provocando la morte del conducente.</w:t>
      </w:r>
    </w:p>
    <w:p w:rsidR="002D6E1D" w:rsidRDefault="002D6E1D" w:rsidP="002D6E1D">
      <w:pPr>
        <w:spacing w:after="0" w:line="360" w:lineRule="auto"/>
        <w:ind w:firstLine="284"/>
        <w:jc w:val="both"/>
      </w:pPr>
      <w:r>
        <w:t>Il Messico ha negato la propria responsabilità internazionale sulla base del fatto che l’autore dell’illecito aveva agito contravvenendo alle istruzioni ricevute dal proprio superiore:</w:t>
      </w:r>
    </w:p>
    <w:p w:rsidR="002D6E1D" w:rsidRDefault="002D6E1D" w:rsidP="002D6E1D">
      <w:pPr>
        <w:spacing w:after="0" w:line="360" w:lineRule="auto"/>
        <w:ind w:firstLine="284"/>
        <w:jc w:val="both"/>
      </w:pPr>
    </w:p>
    <w:p w:rsidR="002D6E1D" w:rsidRPr="00FD3080" w:rsidRDefault="002D6E1D" w:rsidP="002D6E1D">
      <w:pPr>
        <w:spacing w:after="0" w:line="360" w:lineRule="auto"/>
        <w:ind w:left="567" w:right="567" w:firstLine="284"/>
        <w:jc w:val="both"/>
        <w:rPr>
          <w:lang w:val="en-US"/>
        </w:rPr>
      </w:pPr>
      <w:r w:rsidRPr="00FD3080">
        <w:rPr>
          <w:lang w:val="en-US"/>
        </w:rPr>
        <w:t>“Being under the orders of a sergeant, the guards should have halted the car in accordance with his instructions, and Mexico contends that they were merely ordered to stop the automobile, without being ordered to fire at it”</w:t>
      </w:r>
      <w:r w:rsidRPr="00FD3080">
        <w:rPr>
          <w:rStyle w:val="Rimandonotaapidipagina"/>
          <w:lang w:val="en-US"/>
        </w:rPr>
        <w:footnoteReference w:id="213"/>
      </w:r>
      <w:r w:rsidRPr="00FD3080">
        <w:rPr>
          <w:lang w:val="en-US"/>
        </w:rPr>
        <w:t>.</w:t>
      </w:r>
    </w:p>
    <w:p w:rsidR="002D6E1D" w:rsidRDefault="002D6E1D" w:rsidP="002D6E1D">
      <w:pPr>
        <w:spacing w:after="0" w:line="360" w:lineRule="auto"/>
        <w:ind w:right="567" w:firstLine="284"/>
        <w:jc w:val="both"/>
        <w:rPr>
          <w:lang w:val="en-US"/>
        </w:rPr>
      </w:pPr>
    </w:p>
    <w:p w:rsidR="002D6E1D" w:rsidRPr="00BC514A" w:rsidRDefault="002D6E1D" w:rsidP="002D6E1D">
      <w:pPr>
        <w:spacing w:after="0" w:line="360" w:lineRule="auto"/>
        <w:ind w:firstLine="284"/>
        <w:jc w:val="both"/>
      </w:pPr>
      <w:r w:rsidRPr="00BC514A">
        <w:t>La Commissione, una volta preso atto che V</w:t>
      </w:r>
      <w:r>
        <w:t>ale</w:t>
      </w:r>
      <w:r w:rsidRPr="00BC514A">
        <w:t>nzuela</w:t>
      </w:r>
      <w:r>
        <w:t>, oltre a non aver rispettato le istruzioni del sergente,</w:t>
      </w:r>
      <w:r w:rsidRPr="00BC514A">
        <w:t xml:space="preserve"> aveva in effetti agito in violazione delle regole previste dall’ordinamento messicano in relazione ad attività di ispezione condotte da organi statali</w:t>
      </w:r>
      <w:r>
        <w:t>, ha comunque ritenuto il fatto illecito attribuibile al Messico indipendentemente dalla circostanza che fosse un atto punibile nell’ordinamento interno</w:t>
      </w:r>
      <w:r>
        <w:rPr>
          <w:rStyle w:val="Rimandonotaapidipagina"/>
        </w:rPr>
        <w:footnoteReference w:id="214"/>
      </w:r>
      <w:r>
        <w:t>.</w:t>
      </w:r>
    </w:p>
    <w:p w:rsidR="002D6E1D" w:rsidRDefault="002D6E1D" w:rsidP="002D6E1D">
      <w:pPr>
        <w:spacing w:after="0" w:line="360" w:lineRule="auto"/>
        <w:ind w:firstLine="284"/>
        <w:jc w:val="both"/>
      </w:pPr>
      <w:r>
        <w:lastRenderedPageBreak/>
        <w:t xml:space="preserve">La possibilità di ritenere la condotta del Valenzuela un fatto dello Stato sul piano internazionale ha trovato giustificazione nella circostanza che </w:t>
      </w:r>
      <w:r w:rsidR="00943EAF">
        <w:t>e</w:t>
      </w:r>
      <w:r>
        <w:t>sso poteva essere assimilato, ai fini dell’attribuzione, ad un membro dell’esercito regolare in virtù della particolare situazione della regione messicana in cui operava:</w:t>
      </w:r>
    </w:p>
    <w:p w:rsidR="002D6E1D" w:rsidRPr="00FD3080" w:rsidRDefault="002D6E1D" w:rsidP="002D6E1D">
      <w:pPr>
        <w:spacing w:after="0" w:line="360" w:lineRule="auto"/>
        <w:ind w:firstLine="284"/>
        <w:jc w:val="both"/>
      </w:pPr>
    </w:p>
    <w:p w:rsidR="002D6E1D" w:rsidRPr="00FD3080" w:rsidRDefault="002D6E1D" w:rsidP="002D6E1D">
      <w:pPr>
        <w:spacing w:after="0" w:line="360" w:lineRule="auto"/>
        <w:ind w:left="567" w:right="567" w:firstLine="284"/>
        <w:jc w:val="both"/>
        <w:rPr>
          <w:lang w:val="en-US"/>
        </w:rPr>
      </w:pPr>
      <w:r w:rsidRPr="00FD3080">
        <w:rPr>
          <w:lang w:val="en-US"/>
        </w:rPr>
        <w:t>“Responsibility of a country for acts of soldiers in cases like the present one, in the presence and under the order of a superior, is not doubtful. Taking account of the conditions existing in Chihuahua then and there, Valenzuela must be considered as, or assimilated to, a soldier”</w:t>
      </w:r>
      <w:r w:rsidRPr="00FD3080">
        <w:rPr>
          <w:rStyle w:val="Rimandonotaapidipagina"/>
          <w:lang w:val="en-US"/>
        </w:rPr>
        <w:footnoteReference w:id="215"/>
      </w:r>
      <w:r w:rsidRPr="00FD3080">
        <w:rPr>
          <w:lang w:val="en-US"/>
        </w:rPr>
        <w:t>.</w:t>
      </w:r>
    </w:p>
    <w:p w:rsidR="002D6E1D" w:rsidRDefault="002D6E1D" w:rsidP="002D6E1D">
      <w:pPr>
        <w:spacing w:after="0" w:line="360" w:lineRule="auto"/>
        <w:ind w:left="567" w:right="567" w:firstLine="284"/>
        <w:jc w:val="both"/>
        <w:rPr>
          <w:lang w:val="en-US"/>
        </w:rPr>
      </w:pPr>
    </w:p>
    <w:p w:rsidR="002D6E1D" w:rsidRDefault="002D6E1D" w:rsidP="002D6E1D">
      <w:pPr>
        <w:spacing w:after="0" w:line="360" w:lineRule="auto"/>
        <w:ind w:firstLine="284"/>
        <w:jc w:val="both"/>
      </w:pPr>
      <w:r w:rsidRPr="00881C90">
        <w:t>Il riferimento alla circostanza che l’esercito regolare era assente nella regi</w:t>
      </w:r>
      <w:r>
        <w:t>o</w:t>
      </w:r>
      <w:r w:rsidRPr="00881C90">
        <w:t>ne di Chihuahua non deve però essere intes</w:t>
      </w:r>
      <w:r>
        <w:t>o come un’allusione all’ipotesi dell’agente di necessità. Dalla pronuncia risulta in verità che l’autore dell’illecito è stato immediatamente arrestato dalle autorità civili dello Stato, a riprova del fatto che queste avevano comunque il controllo della regione pur in assenza dell’esercito regolare.</w:t>
      </w:r>
    </w:p>
    <w:p w:rsidR="002D6E1D" w:rsidRDefault="002D6E1D" w:rsidP="002D6E1D">
      <w:pPr>
        <w:spacing w:after="0" w:line="360" w:lineRule="auto"/>
        <w:ind w:firstLine="284"/>
        <w:jc w:val="both"/>
      </w:pPr>
      <w:r>
        <w:t>La riferibilità allo Stato della condotta illecita è stata inoltre giustificata dalla circostanza che Valenzuela aveva agito nell’esercizio delle proprie funzioni</w:t>
      </w:r>
      <w:r>
        <w:rPr>
          <w:rStyle w:val="Rimandonotaapidipagina"/>
        </w:rPr>
        <w:footnoteReference w:id="216"/>
      </w:r>
      <w:r>
        <w:t xml:space="preserve">. Questo riferimento è significativo, in quanto la distinzione tra condotte poste in essere nell’esercizio delle funzioni e comportamenti tenuti nella qualità privata è il criterio per stabilire quali tra le attività di un organo possono essere attribuite allo Stato. La sua applicazione per riferire allo Stato il fatto </w:t>
      </w:r>
      <w:r w:rsidRPr="00737EBD">
        <w:rPr>
          <w:i/>
        </w:rPr>
        <w:t>ultra vires</w:t>
      </w:r>
      <w:r>
        <w:t xml:space="preserve"> di un membro di una forza irregolare sembra confermare l’impressione che l’attribuzione trovi giustificazione in una sostanziale assimilazione di tale individuo ad un organo statale. Nella decisione resa nel caso </w:t>
      </w:r>
      <w:r w:rsidRPr="00C8345C">
        <w:rPr>
          <w:i/>
        </w:rPr>
        <w:t>Stephens</w:t>
      </w:r>
      <w:r>
        <w:t>, sembra pertanto implicitamente riconosciuta la possibilità di riferire allo Stato le condotte non autorizzate anche rispetto alla situazione di individui che esercitano in fatto funzioni di governo per conto dello Stato, a patto che agiscano nella loro capacità ufficiale.</w:t>
      </w:r>
    </w:p>
    <w:p w:rsidR="002D6E1D" w:rsidRDefault="002D6E1D" w:rsidP="002D6E1D">
      <w:pPr>
        <w:spacing w:after="0" w:line="360" w:lineRule="auto"/>
        <w:ind w:firstLine="284"/>
        <w:jc w:val="both"/>
      </w:pPr>
    </w:p>
    <w:p w:rsidR="00000F45" w:rsidRDefault="00000F45" w:rsidP="002D6E1D">
      <w:pPr>
        <w:spacing w:after="0" w:line="360" w:lineRule="auto"/>
        <w:ind w:firstLine="284"/>
        <w:jc w:val="both"/>
      </w:pPr>
    </w:p>
    <w:p w:rsidR="00000F45" w:rsidRDefault="00000F45" w:rsidP="002D6E1D">
      <w:pPr>
        <w:spacing w:after="0" w:line="360" w:lineRule="auto"/>
        <w:ind w:firstLine="284"/>
        <w:jc w:val="both"/>
      </w:pPr>
    </w:p>
    <w:p w:rsidR="00000F45" w:rsidRDefault="00000F45" w:rsidP="002D6E1D">
      <w:pPr>
        <w:spacing w:after="0" w:line="360" w:lineRule="auto"/>
        <w:ind w:firstLine="284"/>
        <w:jc w:val="both"/>
      </w:pPr>
    </w:p>
    <w:p w:rsidR="00CA5718" w:rsidRDefault="00EA37B7" w:rsidP="00E24722">
      <w:pPr>
        <w:pStyle w:val="Paragrafoelenco"/>
        <w:numPr>
          <w:ilvl w:val="0"/>
          <w:numId w:val="2"/>
        </w:numPr>
        <w:autoSpaceDE w:val="0"/>
        <w:autoSpaceDN w:val="0"/>
        <w:adjustRightInd w:val="0"/>
        <w:spacing w:after="0" w:line="360" w:lineRule="auto"/>
        <w:ind w:firstLine="284"/>
        <w:jc w:val="both"/>
      </w:pPr>
      <w:r>
        <w:lastRenderedPageBreak/>
        <w:t>Sentenze rese da altre commissioni arbitrali negli anni 1930/1950</w:t>
      </w:r>
    </w:p>
    <w:p w:rsidR="00CA5718" w:rsidRDefault="00CA5718" w:rsidP="00EB037D">
      <w:pPr>
        <w:spacing w:after="0" w:line="360" w:lineRule="auto"/>
        <w:ind w:firstLine="284"/>
        <w:jc w:val="both"/>
      </w:pPr>
    </w:p>
    <w:p w:rsidR="00CA5718" w:rsidRDefault="00CA5718" w:rsidP="00EB037D">
      <w:pPr>
        <w:spacing w:after="0" w:line="360" w:lineRule="auto"/>
        <w:ind w:firstLine="284"/>
        <w:jc w:val="both"/>
      </w:pPr>
      <w:r>
        <w:t xml:space="preserve">Negli anni successivi, la giurisprudenza arbitrale offre poche sentenze che trattano il problema della responsabilità internazionale dello Stato per i fatti illeciti tenuti </w:t>
      </w:r>
      <w:r w:rsidRPr="00DA02EC">
        <w:rPr>
          <w:i/>
        </w:rPr>
        <w:t>ultra vires</w:t>
      </w:r>
      <w:r>
        <w:t xml:space="preserve"> dai propri organi.</w:t>
      </w:r>
    </w:p>
    <w:p w:rsidR="00CA5718" w:rsidRDefault="00147B3C" w:rsidP="00EB037D">
      <w:pPr>
        <w:spacing w:after="0" w:line="360" w:lineRule="auto"/>
        <w:ind w:firstLine="284"/>
        <w:jc w:val="both"/>
      </w:pPr>
      <w:r>
        <w:t xml:space="preserve">Merita comunque di essere ricordata la </w:t>
      </w:r>
      <w:r w:rsidR="00CA5718">
        <w:t xml:space="preserve">sentenza resa il 27 </w:t>
      </w:r>
      <w:r w:rsidR="00CA5718" w:rsidRPr="00BA41A0">
        <w:t xml:space="preserve">giugno 1933 nel caso </w:t>
      </w:r>
      <w:r w:rsidR="00CA5718" w:rsidRPr="00BA41A0">
        <w:rPr>
          <w:i/>
        </w:rPr>
        <w:t>Colunje</w:t>
      </w:r>
      <w:r w:rsidR="00CA5718" w:rsidRPr="00BA41A0">
        <w:t xml:space="preserve"> dalla</w:t>
      </w:r>
      <w:r w:rsidR="00CA5718">
        <w:t xml:space="preserve"> Commissione generale de</w:t>
      </w:r>
      <w:r>
        <w:t>i reclami Stati Uniti/Panama. Il</w:t>
      </w:r>
      <w:r w:rsidR="00CA5718">
        <w:t xml:space="preserve"> Governo statunitense è stato ritenuto internazionalmente responsabile per il comportamento non autorizzato di un proprio organo</w:t>
      </w:r>
      <w:r w:rsidR="00CA5718">
        <w:rPr>
          <w:rStyle w:val="Rimandonotaapidipagina"/>
        </w:rPr>
        <w:footnoteReference w:id="217"/>
      </w:r>
      <w:r w:rsidR="00CA5718">
        <w:t>.</w:t>
      </w:r>
    </w:p>
    <w:p w:rsidR="00CA5718" w:rsidRDefault="00CA5718" w:rsidP="00EB037D">
      <w:pPr>
        <w:spacing w:after="0" w:line="360" w:lineRule="auto"/>
        <w:ind w:firstLine="284"/>
        <w:jc w:val="both"/>
      </w:pPr>
      <w:r>
        <w:t>Nel 1917 un giudice della zona del canale di Panama (all’epoca posta sotto amministrazione americana) aveva emesso un mandato di arresto nei confronti di un cittadino panamense di nome Guillermo Colunje, per aver violato le leggi postali americane in vigore nella zona.</w:t>
      </w:r>
    </w:p>
    <w:p w:rsidR="00CA5718" w:rsidRDefault="00147B3C" w:rsidP="00EB037D">
      <w:pPr>
        <w:spacing w:after="0" w:line="360" w:lineRule="auto"/>
        <w:ind w:firstLine="284"/>
        <w:jc w:val="both"/>
      </w:pPr>
      <w:r>
        <w:t xml:space="preserve">Un agente di polizia statunitense si era recato in </w:t>
      </w:r>
      <w:r w:rsidR="00CA5718">
        <w:t>territorio panamense e aveva attirato</w:t>
      </w:r>
      <w:r w:rsidR="00CA5718" w:rsidRPr="00E37E00">
        <w:t xml:space="preserve"> </w:t>
      </w:r>
      <w:r w:rsidR="00CA5718">
        <w:t>Colunje con falsi pretesti nella zona del canale al fine di poterlo arrestare.</w:t>
      </w:r>
    </w:p>
    <w:p w:rsidR="00CA5718" w:rsidRDefault="00CA5718" w:rsidP="00EB037D">
      <w:pPr>
        <w:spacing w:after="0" w:line="360" w:lineRule="auto"/>
        <w:ind w:firstLine="284"/>
        <w:jc w:val="both"/>
      </w:pPr>
      <w:r>
        <w:t xml:space="preserve">La Commissione generale dei reclami Stati Uniti/Panama ha rigettato </w:t>
      </w:r>
      <w:r w:rsidR="00696104">
        <w:t xml:space="preserve">la tesi </w:t>
      </w:r>
      <w:r>
        <w:t>d</w:t>
      </w:r>
      <w:r w:rsidR="00147B3C">
        <w:t>el Governo degli Stati Uniti secondo cui</w:t>
      </w:r>
      <w:r>
        <w:t xml:space="preserve"> il comportamento del proprio organo doveva in quella circostanza essere assimilato a quello di un privato in quanto non e</w:t>
      </w:r>
      <w:r w:rsidR="00147B3C">
        <w:t>ra stato incaricato di tenere tale comportamento. Malgrado</w:t>
      </w:r>
      <w:r>
        <w:t xml:space="preserve"> il carattere </w:t>
      </w:r>
      <w:r w:rsidRPr="00F46574">
        <w:rPr>
          <w:i/>
        </w:rPr>
        <w:t>ultra vires</w:t>
      </w:r>
      <w:r>
        <w:t xml:space="preserve"> della condotta tenuta dal poliziotto, la Commissione generale dei reclami Stati Uniti/Panama ha ritenuto che il Governo statunitense dovesse rispondere in ambito internazionale per il fatto illecito commesso da un proprio organo dal momento che </w:t>
      </w:r>
      <w:r w:rsidR="00147B3C">
        <w:t xml:space="preserve">quest’ultimo </w:t>
      </w:r>
      <w:r>
        <w:t>aveva agito nell’esercizio delle proprie funzioni</w:t>
      </w:r>
      <w:r>
        <w:rPr>
          <w:rStyle w:val="Rimandonotaapidipagina"/>
        </w:rPr>
        <w:footnoteReference w:id="218"/>
      </w:r>
      <w:r>
        <w:t>.</w:t>
      </w:r>
    </w:p>
    <w:p w:rsidR="00CA5718" w:rsidRDefault="00147B3C" w:rsidP="00EB037D">
      <w:pPr>
        <w:spacing w:after="0" w:line="360" w:lineRule="auto"/>
        <w:ind w:firstLine="284"/>
        <w:jc w:val="both"/>
        <w:rPr>
          <w:i/>
        </w:rPr>
      </w:pPr>
      <w:r>
        <w:t>Venendo agli anni successi</w:t>
      </w:r>
      <w:r w:rsidR="003A544E">
        <w:t>vi alla seconda guerra mondiale</w:t>
      </w:r>
      <w:r>
        <w:t>, merita ricordare che l</w:t>
      </w:r>
      <w:r w:rsidR="00CA5718">
        <w:t xml:space="preserve">a Commissione di conciliazione franco–italiana, istituita in virtù dell’articolo 83 del Trattato di pace del 1947, si è occupata della questione della responsabilità internazionale di uno Stato per fatti illeciti </w:t>
      </w:r>
      <w:r w:rsidR="00CA5718" w:rsidRPr="00482FE4">
        <w:rPr>
          <w:i/>
        </w:rPr>
        <w:t xml:space="preserve">ultra vires </w:t>
      </w:r>
      <w:r>
        <w:t>di organi statali nelle</w:t>
      </w:r>
      <w:r w:rsidR="00CA5718">
        <w:t xml:space="preserve"> </w:t>
      </w:r>
      <w:r w:rsidR="00E634E5">
        <w:t>decisi</w:t>
      </w:r>
      <w:r>
        <w:t>oni</w:t>
      </w:r>
      <w:r w:rsidR="00E634E5">
        <w:t xml:space="preserve"> </w:t>
      </w:r>
      <w:r>
        <w:t>rese</w:t>
      </w:r>
      <w:r w:rsidR="00CA5718">
        <w:t xml:space="preserve"> il 17 </w:t>
      </w:r>
      <w:r w:rsidR="00CA5718" w:rsidRPr="00BA41A0">
        <w:t xml:space="preserve">gennaio 1953 nel caso </w:t>
      </w:r>
      <w:r w:rsidR="00CA5718" w:rsidRPr="00BA41A0">
        <w:rPr>
          <w:i/>
        </w:rPr>
        <w:t>Différend Dame Mossé</w:t>
      </w:r>
      <w:r w:rsidR="00CA5718" w:rsidRPr="00BA41A0">
        <w:rPr>
          <w:rStyle w:val="Rimandonotaapidipagina"/>
        </w:rPr>
        <w:footnoteReference w:id="219"/>
      </w:r>
      <w:r>
        <w:t xml:space="preserve"> e il 5 luglio 1954 nel caso </w:t>
      </w:r>
      <w:r w:rsidRPr="00147B3C">
        <w:rPr>
          <w:i/>
        </w:rPr>
        <w:t>Différend  Joseph Ousset</w:t>
      </w:r>
      <w:r w:rsidRPr="00874DA6">
        <w:rPr>
          <w:rStyle w:val="Rimandonotaapidipagina"/>
        </w:rPr>
        <w:footnoteReference w:id="220"/>
      </w:r>
      <w:r w:rsidRPr="00874DA6">
        <w:t>.</w:t>
      </w:r>
    </w:p>
    <w:p w:rsidR="00CA5718" w:rsidRDefault="004A6975" w:rsidP="00EB037D">
      <w:pPr>
        <w:spacing w:after="0" w:line="360" w:lineRule="auto"/>
        <w:ind w:firstLine="284"/>
        <w:jc w:val="both"/>
      </w:pPr>
      <w:r>
        <w:t>Il primo caso riguardava</w:t>
      </w:r>
      <w:r w:rsidR="00D92DDF">
        <w:t xml:space="preserve"> la illecita confisca di beni di una cittadina francese compiuta nel 1944 da due agenti di polizia della R</w:t>
      </w:r>
      <w:r w:rsidR="00A813AB">
        <w:t>e</w:t>
      </w:r>
      <w:r w:rsidR="00D92DDF">
        <w:t>pubblica di Salò.</w:t>
      </w:r>
      <w:r w:rsidR="00CA5718">
        <w:t xml:space="preserve"> Il Governo italiano sostenne che si </w:t>
      </w:r>
      <w:r w:rsidR="00CA5718">
        <w:lastRenderedPageBreak/>
        <w:t>trattasse “</w:t>
      </w:r>
      <w:r w:rsidR="00CA5718" w:rsidRPr="00A7748A">
        <w:rPr>
          <w:i/>
        </w:rPr>
        <w:t>d’un vulgaire pillage</w:t>
      </w:r>
      <w:r w:rsidR="00CA5718">
        <w:t>” compiuto da alcuni funzionari nella loro capacità privata e che, pertanto, non fosse tenuto a risponderne in ambito internazionale</w:t>
      </w:r>
      <w:r w:rsidR="00CA5718">
        <w:rPr>
          <w:rStyle w:val="Rimandonotaapidipagina"/>
        </w:rPr>
        <w:footnoteReference w:id="221"/>
      </w:r>
      <w:r w:rsidR="00CA5718">
        <w:t>.</w:t>
      </w:r>
    </w:p>
    <w:p w:rsidR="00CA5718" w:rsidRDefault="00CA5718" w:rsidP="00EB037D">
      <w:pPr>
        <w:spacing w:after="0" w:line="360" w:lineRule="auto"/>
        <w:ind w:firstLine="284"/>
        <w:jc w:val="both"/>
      </w:pPr>
      <w:r>
        <w:t>Dopo aver rigettato la tesi italiana, la Commissione di conciliazione</w:t>
      </w:r>
      <w:r w:rsidR="000F30A8">
        <w:t xml:space="preserve"> ha ritenuto che la condotta fosse</w:t>
      </w:r>
      <w:r>
        <w:t xml:space="preserve"> stata tenuta </w:t>
      </w:r>
      <w:r w:rsidR="004A6975" w:rsidRPr="004A6975">
        <w:rPr>
          <w:i/>
        </w:rPr>
        <w:t>intra vires</w:t>
      </w:r>
      <w:r w:rsidR="004A6975">
        <w:t xml:space="preserve"> </w:t>
      </w:r>
      <w:r>
        <w:t>ed ha</w:t>
      </w:r>
      <w:r w:rsidR="004A6975">
        <w:t xml:space="preserve"> poi</w:t>
      </w:r>
      <w:r>
        <w:t xml:space="preserve"> aggiunto che la circostanza che gli organi avessero agito al di fuori dei limiti regolamentari della competenza non doveva </w:t>
      </w:r>
      <w:r w:rsidR="004A6975">
        <w:t xml:space="preserve">comunque </w:t>
      </w:r>
      <w:r>
        <w:t>portare a dedurre che il reclamo non avesse alcun fondamento:</w:t>
      </w:r>
    </w:p>
    <w:p w:rsidR="004379C0" w:rsidRDefault="004379C0" w:rsidP="00EB037D">
      <w:pPr>
        <w:spacing w:after="0" w:line="360" w:lineRule="auto"/>
        <w:ind w:firstLine="284"/>
        <w:jc w:val="both"/>
      </w:pPr>
    </w:p>
    <w:p w:rsidR="00CA5718" w:rsidRDefault="00CA5718" w:rsidP="00EB037D">
      <w:pPr>
        <w:spacing w:after="0" w:line="360" w:lineRule="auto"/>
        <w:ind w:left="567" w:right="567" w:firstLine="284"/>
        <w:jc w:val="both"/>
        <w:rPr>
          <w:lang w:val="fr-FR"/>
        </w:rPr>
      </w:pPr>
      <w:r w:rsidRPr="00DA5AE9">
        <w:rPr>
          <w:lang w:val="fr-FR"/>
        </w:rPr>
        <w:t>“…si même on devait admettre qu’Albertini et les fonctionnaires qui l’accompagnaient avaient agi…en dehors des limites réglementaires de compétence de leur service, on ne devrait pas déduire de cela, sans plus, que la demande n’est pas fondée. Il faudrait encore examiner une question de droit,…. A savoir si, dans l’ordre international, la responsabilité de l’Etat doit être admise pour les actes accomplis par les fonctionnaire dans les limites apparentes de leurs fonctions, selon une ligne de conduite qui n’était pas entièrement opposée aux directives reçues”</w:t>
      </w:r>
      <w:r>
        <w:rPr>
          <w:rStyle w:val="Rimandonotaapidipagina"/>
          <w:lang w:val="fr-FR"/>
        </w:rPr>
        <w:footnoteReference w:id="222"/>
      </w:r>
      <w:r>
        <w:rPr>
          <w:lang w:val="fr-FR"/>
        </w:rPr>
        <w:t>.</w:t>
      </w:r>
    </w:p>
    <w:p w:rsidR="00CA5718" w:rsidRPr="00BD465E" w:rsidRDefault="00CA5718" w:rsidP="00EB037D">
      <w:pPr>
        <w:spacing w:after="0" w:line="360" w:lineRule="auto"/>
        <w:ind w:firstLine="284"/>
        <w:jc w:val="both"/>
        <w:rPr>
          <w:lang w:val="fr-FR"/>
        </w:rPr>
      </w:pPr>
    </w:p>
    <w:p w:rsidR="00CA5718" w:rsidRPr="00FB097F" w:rsidRDefault="00CA5718" w:rsidP="00EB037D">
      <w:pPr>
        <w:spacing w:after="0" w:line="360" w:lineRule="auto"/>
        <w:ind w:firstLine="284"/>
        <w:jc w:val="both"/>
      </w:pPr>
      <w:r w:rsidRPr="002F534D">
        <w:t xml:space="preserve">L’enunciazione da parte della Commissione della </w:t>
      </w:r>
      <w:r w:rsidR="00E634E5">
        <w:t xml:space="preserve">esigenza </w:t>
      </w:r>
      <w:r w:rsidRPr="002F534D">
        <w:t>di considera</w:t>
      </w:r>
      <w:r w:rsidR="00C343F1">
        <w:t>re se nell’ordinamento</w:t>
      </w:r>
      <w:r w:rsidRPr="002F534D">
        <w:t xml:space="preserve"> internazionale uno Stato è responsabile dei comportamenti adottati dai propri organi nei limiti  apparenti della funzione, secondo una linea di condotta non totalmente opposta rispetto alle istruzioni ricevute, sembra significativa circa l’orientamento favorevole alla responsabilità internazionale dello Stato per i fatti </w:t>
      </w:r>
      <w:r w:rsidRPr="00FB097F">
        <w:t xml:space="preserve">illeciti </w:t>
      </w:r>
      <w:r w:rsidRPr="00FB097F">
        <w:rPr>
          <w:i/>
        </w:rPr>
        <w:t>ultra vires</w:t>
      </w:r>
      <w:r w:rsidRPr="00FB097F">
        <w:t xml:space="preserve"> dei suoi organi</w:t>
      </w:r>
      <w:r w:rsidRPr="00FB097F">
        <w:rPr>
          <w:rStyle w:val="Rimandonotaapidipagina"/>
        </w:rPr>
        <w:footnoteReference w:id="223"/>
      </w:r>
      <w:r w:rsidRPr="00FB097F">
        <w:t>.</w:t>
      </w:r>
    </w:p>
    <w:p w:rsidR="00CA5718" w:rsidRPr="008301C2" w:rsidRDefault="004E5C70" w:rsidP="00EB037D">
      <w:pPr>
        <w:spacing w:after="0" w:line="360" w:lineRule="auto"/>
        <w:ind w:firstLine="284"/>
        <w:jc w:val="both"/>
      </w:pPr>
      <w:r>
        <w:t xml:space="preserve">Dalla </w:t>
      </w:r>
      <w:r w:rsidR="00E42365">
        <w:t>sentenza</w:t>
      </w:r>
      <w:r>
        <w:t xml:space="preserve"> nell’affare </w:t>
      </w:r>
      <w:r w:rsidRPr="004E5C70">
        <w:rPr>
          <w:i/>
        </w:rPr>
        <w:t>Dame Mossé</w:t>
      </w:r>
      <w:r w:rsidR="00E42365">
        <w:t xml:space="preserve"> sembra plausibile dedurre che n</w:t>
      </w:r>
      <w:r w:rsidR="00CA5718">
        <w:t>el caso in cui un organo statale appaia agire nella sua qualità ufficiale</w:t>
      </w:r>
      <w:r w:rsidR="00824B7E">
        <w:t xml:space="preserve"> agli occhi di un terzo, risulta</w:t>
      </w:r>
      <w:r w:rsidR="00CA5718">
        <w:t xml:space="preserve"> irrilevante ai fini dell’attribuzione di condotte l’effettivo rispetto della competenza dal momento che sarebbe eccessivamente oneroso richiedere a quest’ultimo di verificare se il rappresentante dello Stato abbia </w:t>
      </w:r>
      <w:r w:rsidR="00824B7E">
        <w:t xml:space="preserve">effettivamente </w:t>
      </w:r>
      <w:r w:rsidR="00CA5718">
        <w:t xml:space="preserve">agito in linea con le disposizioni del diritto interno oppure con le istruzioni lui impartite. Il corollario della condizione attributiva </w:t>
      </w:r>
      <w:r w:rsidR="00824B7E">
        <w:t>dell’apparenza della funzione risiede nel</w:t>
      </w:r>
      <w:r w:rsidR="00CA5718">
        <w:t xml:space="preserve">l’impossibilità di considerare le condotte </w:t>
      </w:r>
      <w:r w:rsidR="00CA5718" w:rsidRPr="000274E9">
        <w:rPr>
          <w:i/>
        </w:rPr>
        <w:t>ultra vires</w:t>
      </w:r>
      <w:r w:rsidR="00CA5718">
        <w:t xml:space="preserve"> degli organi dei fatti dello Stato nell’eventualità in cui l’incompetenza degli organi è a tal punto manifesta da risultare incontrovertibile agli occhi dei terzi.</w:t>
      </w:r>
    </w:p>
    <w:p w:rsidR="00CA5718" w:rsidRPr="000274E9" w:rsidRDefault="00CA5718" w:rsidP="00EB037D">
      <w:pPr>
        <w:spacing w:after="0" w:line="360" w:lineRule="auto"/>
        <w:ind w:firstLine="284"/>
        <w:jc w:val="both"/>
      </w:pPr>
      <w:r w:rsidRPr="000274E9">
        <w:lastRenderedPageBreak/>
        <w:t>Ne deriverebbe che lo Stato non è tenuto a rispondere nell’ordinamento internazionale dei fatti dei propri organi sia nel caso in cui adottino dei comportamenti totalmente privi di legame rispetto alle funzioni loro assegnate, va</w:t>
      </w:r>
      <w:r>
        <w:t>le a dire nel caso in cui agisca</w:t>
      </w:r>
      <w:r w:rsidRPr="000274E9">
        <w:t>no nella loro capacità pr</w:t>
      </w:r>
      <w:r>
        <w:t>ivata, sia nel caso in cui tenga</w:t>
      </w:r>
      <w:r w:rsidRPr="000274E9">
        <w:t>no una condotta totalmente estranea alla propria competenza, pur agendo nell’esercizio delle funzioni.</w:t>
      </w:r>
    </w:p>
    <w:p w:rsidR="009932FF" w:rsidRDefault="00CA5718" w:rsidP="00EB037D">
      <w:pPr>
        <w:pStyle w:val="Testonotaapidipagina"/>
        <w:spacing w:line="360" w:lineRule="auto"/>
        <w:ind w:firstLine="284"/>
        <w:jc w:val="both"/>
        <w:rPr>
          <w:sz w:val="22"/>
          <w:szCs w:val="22"/>
        </w:rPr>
      </w:pPr>
      <w:r w:rsidRPr="005849B1">
        <w:rPr>
          <w:sz w:val="22"/>
          <w:szCs w:val="22"/>
        </w:rPr>
        <w:t xml:space="preserve">La medesima Commissione, nella sentenza resa nel caso </w:t>
      </w:r>
      <w:r w:rsidRPr="005849B1">
        <w:rPr>
          <w:i/>
          <w:sz w:val="22"/>
          <w:szCs w:val="22"/>
        </w:rPr>
        <w:t>Différend Joseph Ousset</w:t>
      </w:r>
      <w:r w:rsidRPr="005849B1">
        <w:rPr>
          <w:sz w:val="22"/>
          <w:szCs w:val="22"/>
        </w:rPr>
        <w:t xml:space="preserve"> del 5 luglio 1954, ha ritenuto che il Governo italiano fosse tenuto a rispon</w:t>
      </w:r>
      <w:r w:rsidR="00C343F1">
        <w:rPr>
          <w:sz w:val="22"/>
          <w:szCs w:val="22"/>
        </w:rPr>
        <w:t xml:space="preserve">dere nell’ordinamento </w:t>
      </w:r>
      <w:r w:rsidRPr="005849B1">
        <w:rPr>
          <w:sz w:val="22"/>
          <w:szCs w:val="22"/>
        </w:rPr>
        <w:t xml:space="preserve">internazionale del comportamento di un proprio organo che aveva agito </w:t>
      </w:r>
      <w:r w:rsidRPr="005849B1">
        <w:rPr>
          <w:i/>
          <w:sz w:val="22"/>
          <w:szCs w:val="22"/>
        </w:rPr>
        <w:t>ultra vires</w:t>
      </w:r>
      <w:r w:rsidRPr="005849B1">
        <w:rPr>
          <w:sz w:val="22"/>
          <w:szCs w:val="22"/>
        </w:rPr>
        <w:t>, dal momento che</w:t>
      </w:r>
      <w:r w:rsidR="009932FF">
        <w:rPr>
          <w:sz w:val="22"/>
          <w:szCs w:val="22"/>
        </w:rPr>
        <w:t>:</w:t>
      </w:r>
    </w:p>
    <w:p w:rsidR="00C0699E" w:rsidRPr="00894A70" w:rsidRDefault="00C0699E" w:rsidP="00EB037D">
      <w:pPr>
        <w:pStyle w:val="Testonotaapidipagina"/>
        <w:spacing w:line="360" w:lineRule="auto"/>
        <w:ind w:firstLine="284"/>
        <w:jc w:val="both"/>
        <w:rPr>
          <w:sz w:val="22"/>
          <w:szCs w:val="22"/>
        </w:rPr>
      </w:pPr>
    </w:p>
    <w:p w:rsidR="00CA5718" w:rsidRPr="00894A70" w:rsidRDefault="00CA5718" w:rsidP="00EB037D">
      <w:pPr>
        <w:pStyle w:val="Testonotaapidipagina"/>
        <w:spacing w:line="360" w:lineRule="auto"/>
        <w:ind w:left="567" w:right="567" w:firstLine="284"/>
        <w:jc w:val="both"/>
        <w:rPr>
          <w:sz w:val="22"/>
          <w:szCs w:val="22"/>
          <w:lang w:val="fr-FR"/>
        </w:rPr>
      </w:pPr>
      <w:r w:rsidRPr="00894A70">
        <w:rPr>
          <w:sz w:val="22"/>
          <w:szCs w:val="22"/>
        </w:rPr>
        <w:t xml:space="preserve"> </w:t>
      </w:r>
      <w:r w:rsidRPr="00894A70">
        <w:rPr>
          <w:sz w:val="22"/>
          <w:szCs w:val="22"/>
          <w:lang w:val="fr-FR"/>
        </w:rPr>
        <w:t>“si celui-ci (de Bernardis) outrepassa son mandat de contrôle, le Gouvernement italien doit en être rendu responsable, car c’est lui qui avait nommé le sieur Bernardis, et il aurait dû le surveiller”</w:t>
      </w:r>
      <w:r w:rsidRPr="00894A70">
        <w:rPr>
          <w:rStyle w:val="Rimandonotaapidipagina"/>
          <w:sz w:val="22"/>
          <w:szCs w:val="22"/>
        </w:rPr>
        <w:footnoteReference w:id="224"/>
      </w:r>
      <w:r w:rsidRPr="00894A70">
        <w:rPr>
          <w:sz w:val="22"/>
          <w:szCs w:val="22"/>
          <w:lang w:val="fr-FR"/>
        </w:rPr>
        <w:t>.</w:t>
      </w:r>
    </w:p>
    <w:p w:rsidR="00A5016A" w:rsidRPr="004C1E48" w:rsidRDefault="00A5016A" w:rsidP="00EB037D">
      <w:pPr>
        <w:pStyle w:val="Testonotaapidipagina"/>
        <w:spacing w:line="360" w:lineRule="auto"/>
        <w:ind w:firstLine="284"/>
        <w:jc w:val="both"/>
        <w:rPr>
          <w:sz w:val="22"/>
          <w:szCs w:val="22"/>
          <w:lang w:val="fr-FR"/>
        </w:rPr>
      </w:pPr>
    </w:p>
    <w:p w:rsidR="002121D4" w:rsidRDefault="00576218" w:rsidP="00EB037D">
      <w:pPr>
        <w:pStyle w:val="Testonotaapidipagina"/>
        <w:spacing w:line="360" w:lineRule="auto"/>
        <w:ind w:firstLine="284"/>
        <w:jc w:val="both"/>
        <w:rPr>
          <w:sz w:val="22"/>
          <w:szCs w:val="22"/>
        </w:rPr>
      </w:pPr>
      <w:r w:rsidRPr="00A5016A">
        <w:rPr>
          <w:sz w:val="22"/>
          <w:szCs w:val="22"/>
        </w:rPr>
        <w:t xml:space="preserve">Sebbene </w:t>
      </w:r>
      <w:r w:rsidR="00622E2F" w:rsidRPr="00A5016A">
        <w:rPr>
          <w:sz w:val="22"/>
          <w:szCs w:val="22"/>
        </w:rPr>
        <w:t>la condotta oggettivamente considerata</w:t>
      </w:r>
      <w:r w:rsidRPr="00A5016A">
        <w:rPr>
          <w:sz w:val="22"/>
          <w:szCs w:val="22"/>
        </w:rPr>
        <w:t xml:space="preserve"> abbia </w:t>
      </w:r>
      <w:r w:rsidR="00622E2F" w:rsidRPr="00A5016A">
        <w:rPr>
          <w:sz w:val="22"/>
          <w:szCs w:val="22"/>
        </w:rPr>
        <w:t xml:space="preserve">i caratteri di un fatto dello Stato contrario al diritto internazionale, il modo in cui è stato posto in essere impedirebbe di considerarlo ad esso attribuibile. Lo Stato ne dovrebbe però comunque rispondere sul piano internazionale in virtù del concetto di </w:t>
      </w:r>
      <w:r w:rsidR="00622E2F" w:rsidRPr="00A5016A">
        <w:rPr>
          <w:i/>
          <w:sz w:val="22"/>
          <w:szCs w:val="22"/>
        </w:rPr>
        <w:t>culpa in eligendo</w:t>
      </w:r>
      <w:r w:rsidR="004D1151" w:rsidRPr="00A5016A">
        <w:rPr>
          <w:sz w:val="22"/>
          <w:szCs w:val="22"/>
        </w:rPr>
        <w:t>, ovvero per aver affidato l’esercizio di determinate funzioni pubbliche ad un individuo o ente assolutamente inidoneo</w:t>
      </w:r>
      <w:r w:rsidR="00674BE2" w:rsidRPr="00A5016A">
        <w:rPr>
          <w:sz w:val="22"/>
          <w:szCs w:val="22"/>
        </w:rPr>
        <w:t xml:space="preserve"> a tale scopo.</w:t>
      </w:r>
    </w:p>
    <w:p w:rsidR="00CA5718" w:rsidRDefault="00CA5718" w:rsidP="00EB037D">
      <w:pPr>
        <w:pStyle w:val="Testonotaapidipagina"/>
        <w:spacing w:line="360" w:lineRule="auto"/>
        <w:ind w:firstLine="284"/>
        <w:jc w:val="both"/>
        <w:rPr>
          <w:sz w:val="22"/>
          <w:szCs w:val="22"/>
        </w:rPr>
      </w:pPr>
    </w:p>
    <w:p w:rsidR="00CA5718" w:rsidRPr="000A0145" w:rsidRDefault="00CA5718" w:rsidP="008629FF">
      <w:pPr>
        <w:pStyle w:val="Testonotaapidipagina"/>
        <w:numPr>
          <w:ilvl w:val="0"/>
          <w:numId w:val="20"/>
        </w:numPr>
        <w:spacing w:line="360" w:lineRule="auto"/>
        <w:ind w:left="709" w:hanging="425"/>
        <w:jc w:val="both"/>
        <w:rPr>
          <w:i/>
          <w:sz w:val="22"/>
          <w:szCs w:val="22"/>
        </w:rPr>
      </w:pPr>
      <w:r w:rsidRPr="00FC5FF3">
        <w:rPr>
          <w:sz w:val="22"/>
          <w:szCs w:val="22"/>
        </w:rPr>
        <w:t>Il parere</w:t>
      </w:r>
      <w:r w:rsidRPr="000A0145">
        <w:rPr>
          <w:sz w:val="22"/>
          <w:szCs w:val="22"/>
        </w:rPr>
        <w:t xml:space="preserve"> reso dalla C</w:t>
      </w:r>
      <w:r w:rsidR="000A0145" w:rsidRPr="000A0145">
        <w:rPr>
          <w:sz w:val="22"/>
          <w:szCs w:val="22"/>
        </w:rPr>
        <w:t>o</w:t>
      </w:r>
      <w:r w:rsidR="003A544E">
        <w:rPr>
          <w:sz w:val="22"/>
          <w:szCs w:val="22"/>
        </w:rPr>
        <w:t>rte internazionale di giustizia</w:t>
      </w:r>
      <w:r w:rsidRPr="000A0145">
        <w:rPr>
          <w:sz w:val="22"/>
          <w:szCs w:val="22"/>
        </w:rPr>
        <w:t xml:space="preserve"> nel caso </w:t>
      </w:r>
      <w:r w:rsidRPr="000A0145">
        <w:rPr>
          <w:i/>
          <w:sz w:val="22"/>
          <w:szCs w:val="22"/>
        </w:rPr>
        <w:t>Certaines dépenses des Nations Unies</w:t>
      </w:r>
    </w:p>
    <w:p w:rsidR="00CA5718" w:rsidRPr="000A0145" w:rsidRDefault="00CA5718" w:rsidP="00EB037D">
      <w:pPr>
        <w:pStyle w:val="Testonotaapidipagina"/>
        <w:spacing w:line="360" w:lineRule="auto"/>
        <w:ind w:firstLine="284"/>
        <w:jc w:val="both"/>
        <w:rPr>
          <w:sz w:val="22"/>
          <w:szCs w:val="22"/>
        </w:rPr>
      </w:pPr>
    </w:p>
    <w:p w:rsidR="00CA5718" w:rsidRPr="000E1000" w:rsidRDefault="00645C4B" w:rsidP="00EB037D">
      <w:pPr>
        <w:pStyle w:val="Testonotaapidipagina"/>
        <w:spacing w:line="360" w:lineRule="auto"/>
        <w:ind w:firstLine="284"/>
        <w:jc w:val="both"/>
        <w:rPr>
          <w:sz w:val="22"/>
          <w:szCs w:val="22"/>
        </w:rPr>
      </w:pPr>
      <w:r>
        <w:rPr>
          <w:sz w:val="22"/>
          <w:szCs w:val="22"/>
        </w:rPr>
        <w:t>Nel periodo considerato, la Corte permanente di g</w:t>
      </w:r>
      <w:r w:rsidR="00CA5718" w:rsidRPr="000E1000">
        <w:rPr>
          <w:sz w:val="22"/>
          <w:szCs w:val="22"/>
        </w:rPr>
        <w:t>iustizia Internaz</w:t>
      </w:r>
      <w:r>
        <w:rPr>
          <w:sz w:val="22"/>
          <w:szCs w:val="22"/>
        </w:rPr>
        <w:t>ionale e la Corte di giustizia i</w:t>
      </w:r>
      <w:r w:rsidR="00CA5718" w:rsidRPr="000E1000">
        <w:rPr>
          <w:sz w:val="22"/>
          <w:szCs w:val="22"/>
        </w:rPr>
        <w:t xml:space="preserve">nternazionale non hanno mai avuto l’occasione di pronunciarsi specificatamente sulla questione della responsabilità internazionale dello Stato per gli illeciti commessi </w:t>
      </w:r>
      <w:r w:rsidR="00CA5718" w:rsidRPr="000E1000">
        <w:rPr>
          <w:i/>
          <w:sz w:val="22"/>
          <w:szCs w:val="22"/>
        </w:rPr>
        <w:t>ultra vires</w:t>
      </w:r>
      <w:r w:rsidR="00CA5718" w:rsidRPr="000E1000">
        <w:rPr>
          <w:sz w:val="22"/>
          <w:szCs w:val="22"/>
        </w:rPr>
        <w:t xml:space="preserve"> dai propri organi.</w:t>
      </w:r>
    </w:p>
    <w:p w:rsidR="00CA5718" w:rsidRPr="000E1000" w:rsidRDefault="00CA5718" w:rsidP="00EB037D">
      <w:pPr>
        <w:pStyle w:val="Testonotaapidipagina"/>
        <w:spacing w:line="360" w:lineRule="auto"/>
        <w:ind w:firstLine="284"/>
        <w:jc w:val="both"/>
        <w:rPr>
          <w:sz w:val="22"/>
          <w:szCs w:val="22"/>
        </w:rPr>
      </w:pPr>
      <w:r w:rsidRPr="000E1000">
        <w:rPr>
          <w:sz w:val="22"/>
          <w:szCs w:val="22"/>
        </w:rPr>
        <w:t xml:space="preserve">La questione </w:t>
      </w:r>
      <w:r w:rsidR="00645C4B">
        <w:rPr>
          <w:sz w:val="22"/>
          <w:szCs w:val="22"/>
        </w:rPr>
        <w:t>della</w:t>
      </w:r>
      <w:r w:rsidRPr="000E1000">
        <w:rPr>
          <w:sz w:val="22"/>
          <w:szCs w:val="22"/>
        </w:rPr>
        <w:t xml:space="preserve"> possibilità di attribuire allo Stato i comportamenti adottati dai suoi organi nel mancato rispetto delle disposizioni di diritto interno o delle istruzioni ricevute era stata </w:t>
      </w:r>
      <w:r w:rsidR="00837C05">
        <w:rPr>
          <w:sz w:val="22"/>
          <w:szCs w:val="22"/>
        </w:rPr>
        <w:t>sollevata dalle parti di fronte alla Corte permanente di g</w:t>
      </w:r>
      <w:r w:rsidRPr="000E1000">
        <w:rPr>
          <w:sz w:val="22"/>
          <w:szCs w:val="22"/>
        </w:rPr>
        <w:t xml:space="preserve">iustizia Internazionale </w:t>
      </w:r>
      <w:r w:rsidR="00D31C29">
        <w:rPr>
          <w:sz w:val="22"/>
          <w:szCs w:val="22"/>
        </w:rPr>
        <w:t xml:space="preserve">(1937) </w:t>
      </w:r>
      <w:r w:rsidRPr="000E1000">
        <w:rPr>
          <w:sz w:val="22"/>
          <w:szCs w:val="22"/>
        </w:rPr>
        <w:t xml:space="preserve">nel caso </w:t>
      </w:r>
      <w:r w:rsidRPr="000E1000">
        <w:rPr>
          <w:i/>
          <w:sz w:val="22"/>
          <w:szCs w:val="22"/>
        </w:rPr>
        <w:t>Borchgrave</w:t>
      </w:r>
      <w:r w:rsidR="00C24B97">
        <w:rPr>
          <w:sz w:val="22"/>
          <w:szCs w:val="22"/>
        </w:rPr>
        <w:t xml:space="preserve"> ed alla Corte internazionale di g</w:t>
      </w:r>
      <w:r w:rsidRPr="000E1000">
        <w:rPr>
          <w:sz w:val="22"/>
          <w:szCs w:val="22"/>
        </w:rPr>
        <w:t xml:space="preserve">iustizia </w:t>
      </w:r>
      <w:r w:rsidR="00D31C29">
        <w:rPr>
          <w:sz w:val="22"/>
          <w:szCs w:val="22"/>
        </w:rPr>
        <w:t xml:space="preserve">(1959) </w:t>
      </w:r>
      <w:r w:rsidRPr="000E1000">
        <w:rPr>
          <w:sz w:val="22"/>
          <w:szCs w:val="22"/>
        </w:rPr>
        <w:t xml:space="preserve">nel caso </w:t>
      </w:r>
      <w:r w:rsidRPr="000E1000">
        <w:rPr>
          <w:i/>
          <w:sz w:val="22"/>
          <w:szCs w:val="22"/>
        </w:rPr>
        <w:t xml:space="preserve">relativo </w:t>
      </w:r>
      <w:r w:rsidRPr="000E1000">
        <w:rPr>
          <w:i/>
          <w:sz w:val="22"/>
          <w:szCs w:val="22"/>
        </w:rPr>
        <w:lastRenderedPageBreak/>
        <w:t>all’incidente aereo del 27 luglio 1955</w:t>
      </w:r>
      <w:r w:rsidRPr="000E1000">
        <w:rPr>
          <w:sz w:val="22"/>
          <w:szCs w:val="22"/>
        </w:rPr>
        <w:t xml:space="preserve">, ma </w:t>
      </w:r>
      <w:r w:rsidR="00373C33">
        <w:rPr>
          <w:sz w:val="22"/>
          <w:szCs w:val="22"/>
        </w:rPr>
        <w:t>in entrambi i casi non vi è stata l’opportunità per la Corte</w:t>
      </w:r>
      <w:r w:rsidRPr="000E1000">
        <w:rPr>
          <w:sz w:val="22"/>
          <w:szCs w:val="22"/>
        </w:rPr>
        <w:t xml:space="preserve"> di pronunciarsi nel merito</w:t>
      </w:r>
      <w:r w:rsidR="009D5408">
        <w:rPr>
          <w:rStyle w:val="Rimandonotaapidipagina"/>
          <w:sz w:val="22"/>
          <w:szCs w:val="22"/>
        </w:rPr>
        <w:footnoteReference w:id="225"/>
      </w:r>
      <w:r w:rsidRPr="000E1000">
        <w:rPr>
          <w:sz w:val="22"/>
          <w:szCs w:val="22"/>
        </w:rPr>
        <w:t xml:space="preserve">. </w:t>
      </w:r>
    </w:p>
    <w:p w:rsidR="00CA5718" w:rsidRPr="000E1000" w:rsidRDefault="00882AB3" w:rsidP="00EB037D">
      <w:pPr>
        <w:pStyle w:val="Testonotaapidipagina"/>
        <w:spacing w:line="360" w:lineRule="auto"/>
        <w:ind w:firstLine="284"/>
        <w:jc w:val="both"/>
        <w:rPr>
          <w:sz w:val="22"/>
          <w:szCs w:val="22"/>
        </w:rPr>
      </w:pPr>
      <w:r>
        <w:rPr>
          <w:sz w:val="22"/>
          <w:szCs w:val="22"/>
        </w:rPr>
        <w:t>Si può tuttavia ricordare che la Corte i</w:t>
      </w:r>
      <w:r w:rsidR="00CA5718" w:rsidRPr="000E1000">
        <w:rPr>
          <w:sz w:val="22"/>
          <w:szCs w:val="22"/>
        </w:rPr>
        <w:t xml:space="preserve">nternazionale </w:t>
      </w:r>
      <w:r>
        <w:rPr>
          <w:sz w:val="22"/>
          <w:szCs w:val="22"/>
        </w:rPr>
        <w:t>di g</w:t>
      </w:r>
      <w:r w:rsidR="00CA5718" w:rsidRPr="000E1000">
        <w:rPr>
          <w:sz w:val="22"/>
          <w:szCs w:val="22"/>
        </w:rPr>
        <w:t xml:space="preserve">iustizia ha fatto riferimento </w:t>
      </w:r>
      <w:r w:rsidR="00D74EFC">
        <w:rPr>
          <w:sz w:val="22"/>
          <w:szCs w:val="22"/>
        </w:rPr>
        <w:t xml:space="preserve">alla questione </w:t>
      </w:r>
      <w:r>
        <w:rPr>
          <w:sz w:val="22"/>
          <w:szCs w:val="22"/>
        </w:rPr>
        <w:t xml:space="preserve">del rilievo da riconoscere agli atti </w:t>
      </w:r>
      <w:r w:rsidRPr="00882AB3">
        <w:rPr>
          <w:i/>
          <w:sz w:val="22"/>
          <w:szCs w:val="22"/>
        </w:rPr>
        <w:t>ultra vires</w:t>
      </w:r>
      <w:r>
        <w:rPr>
          <w:sz w:val="22"/>
          <w:szCs w:val="22"/>
        </w:rPr>
        <w:t xml:space="preserve"> </w:t>
      </w:r>
      <w:r w:rsidR="00CA5718" w:rsidRPr="000E1000">
        <w:rPr>
          <w:sz w:val="22"/>
          <w:szCs w:val="22"/>
        </w:rPr>
        <w:t xml:space="preserve">nell’ambito del parere consultivo reso il 20 luglio 1962 nel caso </w:t>
      </w:r>
      <w:r w:rsidR="00CA5718" w:rsidRPr="000E1000">
        <w:rPr>
          <w:i/>
          <w:sz w:val="22"/>
          <w:szCs w:val="22"/>
        </w:rPr>
        <w:t>Certaines dépenses des Nations Unies</w:t>
      </w:r>
      <w:r w:rsidR="00CA5718" w:rsidRPr="00F41611">
        <w:rPr>
          <w:rStyle w:val="Rimandonotaapidipagina"/>
          <w:sz w:val="22"/>
          <w:szCs w:val="22"/>
        </w:rPr>
        <w:footnoteReference w:id="226"/>
      </w:r>
      <w:r w:rsidR="00CA5718" w:rsidRPr="00F41611">
        <w:rPr>
          <w:sz w:val="22"/>
          <w:szCs w:val="22"/>
        </w:rPr>
        <w:t>.</w:t>
      </w:r>
    </w:p>
    <w:p w:rsidR="00CA5718" w:rsidRPr="000E1000" w:rsidRDefault="00CA5718" w:rsidP="00EB037D">
      <w:pPr>
        <w:pStyle w:val="Testonotaapidipagina"/>
        <w:spacing w:line="360" w:lineRule="auto"/>
        <w:ind w:firstLine="284"/>
        <w:jc w:val="both"/>
        <w:rPr>
          <w:sz w:val="22"/>
          <w:szCs w:val="22"/>
        </w:rPr>
      </w:pPr>
      <w:r w:rsidRPr="000E1000">
        <w:rPr>
          <w:sz w:val="22"/>
          <w:szCs w:val="22"/>
        </w:rPr>
        <w:t xml:space="preserve">Con l’adozione della risoluzione n. 1731 (XVI) </w:t>
      </w:r>
      <w:r>
        <w:rPr>
          <w:sz w:val="22"/>
          <w:szCs w:val="22"/>
        </w:rPr>
        <w:t xml:space="preserve">del 1961, </w:t>
      </w:r>
      <w:r w:rsidRPr="000E1000">
        <w:rPr>
          <w:sz w:val="22"/>
          <w:szCs w:val="22"/>
        </w:rPr>
        <w:t>l’Assemble</w:t>
      </w:r>
      <w:r>
        <w:rPr>
          <w:sz w:val="22"/>
          <w:szCs w:val="22"/>
        </w:rPr>
        <w:t xml:space="preserve">a Generale delle Nazioni Unite </w:t>
      </w:r>
      <w:r w:rsidRPr="000E1000">
        <w:rPr>
          <w:sz w:val="22"/>
          <w:szCs w:val="22"/>
        </w:rPr>
        <w:t>a</w:t>
      </w:r>
      <w:r>
        <w:rPr>
          <w:sz w:val="22"/>
          <w:szCs w:val="22"/>
        </w:rPr>
        <w:t>veva</w:t>
      </w:r>
      <w:r w:rsidRPr="000E1000">
        <w:rPr>
          <w:sz w:val="22"/>
          <w:szCs w:val="22"/>
        </w:rPr>
        <w:t xml:space="preserve"> richiesto alla Corte Internazionale di Giustizia di determinare se alcune spese, precedentemente autorizzate dalla stessa Assemblea Generale per finanziare le operazioni delle Nazioni Unite in Congo e la Forza d’urgenza delle Nazioni Unite in Medio Oriente, potessero essere considerate delle spese dell’organizzazione alla luce dell’art. 17 par. 2 della Carta delle Nazioni Unite</w:t>
      </w:r>
      <w:r w:rsidRPr="000E1000">
        <w:rPr>
          <w:rStyle w:val="Rimandonotaapidipagina"/>
          <w:sz w:val="22"/>
          <w:szCs w:val="22"/>
        </w:rPr>
        <w:footnoteReference w:id="227"/>
      </w:r>
      <w:r w:rsidRPr="000E1000">
        <w:rPr>
          <w:sz w:val="22"/>
          <w:szCs w:val="22"/>
        </w:rPr>
        <w:t>.</w:t>
      </w:r>
    </w:p>
    <w:p w:rsidR="00102A76" w:rsidRDefault="00CA5718" w:rsidP="00EB037D">
      <w:pPr>
        <w:pStyle w:val="Testonotaapidipagina"/>
        <w:spacing w:line="360" w:lineRule="auto"/>
        <w:ind w:firstLine="284"/>
        <w:jc w:val="both"/>
        <w:rPr>
          <w:sz w:val="22"/>
          <w:szCs w:val="22"/>
        </w:rPr>
      </w:pPr>
      <w:r w:rsidRPr="000E1000">
        <w:rPr>
          <w:sz w:val="22"/>
          <w:szCs w:val="22"/>
        </w:rPr>
        <w:t>La Corte ha rilevato che, al fine di determinare se tali spese fossero effettivamente delle spese dell’organizzazione ai sensi del suddetto articolo, era necessario considerarle in rapporto ai fini delle Nazioni Unite: soltanto una spesa in linea con i fini dell’organizzazione poteva dirsi propria delle Nazioni Unite. La Corte ha inoltre sottolineato che, se una determinata condotta rilevante nell’ambito delle funzioni dell’organizzazione veniva tenuta da un organo non competente a farlo, non ne derivava necessariamente che la spesa sostenuta non fosse una spesa dell’organizzazione visto che</w:t>
      </w:r>
      <w:r w:rsidR="00102A76">
        <w:rPr>
          <w:sz w:val="22"/>
          <w:szCs w:val="22"/>
        </w:rPr>
        <w:t>:</w:t>
      </w:r>
    </w:p>
    <w:p w:rsidR="00102A76" w:rsidRDefault="00102A76" w:rsidP="00EB037D">
      <w:pPr>
        <w:pStyle w:val="Testonotaapidipagina"/>
        <w:spacing w:line="360" w:lineRule="auto"/>
        <w:ind w:firstLine="284"/>
        <w:jc w:val="both"/>
        <w:rPr>
          <w:sz w:val="22"/>
          <w:szCs w:val="22"/>
        </w:rPr>
      </w:pPr>
    </w:p>
    <w:p w:rsidR="00CA5718" w:rsidRPr="00845E36" w:rsidRDefault="00CA5718" w:rsidP="00EB037D">
      <w:pPr>
        <w:pStyle w:val="Testonotaapidipagina"/>
        <w:spacing w:line="360" w:lineRule="auto"/>
        <w:ind w:left="567" w:right="567" w:firstLine="284"/>
        <w:jc w:val="both"/>
        <w:rPr>
          <w:sz w:val="22"/>
          <w:szCs w:val="22"/>
          <w:lang w:val="fr-FR"/>
        </w:rPr>
      </w:pPr>
      <w:r w:rsidRPr="00845E36">
        <w:rPr>
          <w:sz w:val="22"/>
          <w:szCs w:val="22"/>
        </w:rPr>
        <w:t xml:space="preserve"> </w:t>
      </w:r>
      <w:r w:rsidRPr="00845E36">
        <w:rPr>
          <w:sz w:val="22"/>
          <w:szCs w:val="22"/>
          <w:lang w:val="fr-FR"/>
        </w:rPr>
        <w:t xml:space="preserve">“le droit national comme le droit international envisagent des cas où une personne morale, ou un corps politique, peut </w:t>
      </w:r>
      <w:r w:rsidRPr="00845E36">
        <w:rPr>
          <w:rFonts w:cstheme="minorHAnsi"/>
          <w:sz w:val="22"/>
          <w:szCs w:val="22"/>
          <w:lang w:val="fr-FR"/>
        </w:rPr>
        <w:t>ê</w:t>
      </w:r>
      <w:r w:rsidRPr="00845E36">
        <w:rPr>
          <w:sz w:val="22"/>
          <w:szCs w:val="22"/>
          <w:lang w:val="fr-FR"/>
        </w:rPr>
        <w:t xml:space="preserve">tre lié envers les tiers par l’acte </w:t>
      </w:r>
      <w:r w:rsidRPr="00AA4977">
        <w:rPr>
          <w:i/>
          <w:sz w:val="22"/>
          <w:szCs w:val="22"/>
          <w:lang w:val="fr-FR"/>
        </w:rPr>
        <w:t>ultra vires</w:t>
      </w:r>
      <w:r w:rsidRPr="00845E36">
        <w:rPr>
          <w:sz w:val="22"/>
          <w:szCs w:val="22"/>
          <w:lang w:val="fr-FR"/>
        </w:rPr>
        <w:t xml:space="preserve"> d’un agent”</w:t>
      </w:r>
      <w:r w:rsidRPr="00845E36">
        <w:rPr>
          <w:rStyle w:val="Rimandonotaapidipagina"/>
          <w:sz w:val="22"/>
          <w:szCs w:val="22"/>
        </w:rPr>
        <w:footnoteReference w:id="228"/>
      </w:r>
      <w:r w:rsidRPr="00845E36">
        <w:rPr>
          <w:sz w:val="22"/>
          <w:szCs w:val="22"/>
          <w:lang w:val="fr-FR"/>
        </w:rPr>
        <w:t>.</w:t>
      </w:r>
    </w:p>
    <w:p w:rsidR="00102A76" w:rsidRPr="0048255C" w:rsidRDefault="00102A76" w:rsidP="00EB037D">
      <w:pPr>
        <w:pStyle w:val="Testonotaapidipagina"/>
        <w:spacing w:line="360" w:lineRule="auto"/>
        <w:ind w:left="567" w:right="567" w:firstLine="284"/>
        <w:jc w:val="both"/>
        <w:rPr>
          <w:i/>
          <w:sz w:val="22"/>
          <w:szCs w:val="22"/>
          <w:lang w:val="fr-FR"/>
        </w:rPr>
      </w:pPr>
    </w:p>
    <w:p w:rsidR="00CA5718" w:rsidRDefault="0048255C" w:rsidP="00EB037D">
      <w:pPr>
        <w:pStyle w:val="Testonotaapidipagina"/>
        <w:spacing w:line="360" w:lineRule="auto"/>
        <w:ind w:firstLine="284"/>
        <w:jc w:val="both"/>
        <w:rPr>
          <w:sz w:val="22"/>
          <w:szCs w:val="22"/>
        </w:rPr>
      </w:pPr>
      <w:r>
        <w:rPr>
          <w:sz w:val="22"/>
          <w:szCs w:val="22"/>
        </w:rPr>
        <w:t xml:space="preserve">È tuttavia </w:t>
      </w:r>
      <w:r w:rsidR="00CA5718">
        <w:rPr>
          <w:sz w:val="22"/>
          <w:szCs w:val="22"/>
        </w:rPr>
        <w:t>opportuno sottolineare ch</w:t>
      </w:r>
      <w:r>
        <w:rPr>
          <w:sz w:val="22"/>
          <w:szCs w:val="22"/>
        </w:rPr>
        <w:t>e in tale circostanza la Corte internazionale di g</w:t>
      </w:r>
      <w:r w:rsidR="00CA5718">
        <w:rPr>
          <w:sz w:val="22"/>
          <w:szCs w:val="22"/>
        </w:rPr>
        <w:t>iustizia non ha fatto esplicito riferimento ad un caso di responsabilità internazionale per fatto illecito.</w:t>
      </w:r>
    </w:p>
    <w:p w:rsidR="00CA5718" w:rsidRDefault="00CA5718" w:rsidP="00EB037D">
      <w:pPr>
        <w:pStyle w:val="Testonotaapidipagina"/>
        <w:spacing w:line="360" w:lineRule="auto"/>
        <w:ind w:firstLine="284"/>
        <w:jc w:val="both"/>
        <w:rPr>
          <w:sz w:val="22"/>
          <w:szCs w:val="22"/>
        </w:rPr>
      </w:pPr>
      <w:r>
        <w:rPr>
          <w:sz w:val="22"/>
          <w:szCs w:val="22"/>
        </w:rPr>
        <w:t xml:space="preserve">La Corte non ha infatti espressamente </w:t>
      </w:r>
      <w:r w:rsidR="00D74EFC">
        <w:rPr>
          <w:sz w:val="22"/>
          <w:szCs w:val="22"/>
        </w:rPr>
        <w:t xml:space="preserve">affermato </w:t>
      </w:r>
      <w:r>
        <w:rPr>
          <w:sz w:val="22"/>
          <w:szCs w:val="22"/>
        </w:rPr>
        <w:t>che uno Stato è tenuto a rispo</w:t>
      </w:r>
      <w:r w:rsidR="00C343F1">
        <w:rPr>
          <w:sz w:val="22"/>
          <w:szCs w:val="22"/>
        </w:rPr>
        <w:t>ndere nell’ordinamento</w:t>
      </w:r>
      <w:r>
        <w:rPr>
          <w:sz w:val="22"/>
          <w:szCs w:val="22"/>
        </w:rPr>
        <w:t xml:space="preserve"> internazionale dei comportamenti illeciti adottati </w:t>
      </w:r>
      <w:r w:rsidRPr="009E26A1">
        <w:rPr>
          <w:i/>
          <w:sz w:val="22"/>
          <w:szCs w:val="22"/>
        </w:rPr>
        <w:t>ultra vires</w:t>
      </w:r>
      <w:r>
        <w:rPr>
          <w:sz w:val="22"/>
          <w:szCs w:val="22"/>
        </w:rPr>
        <w:t xml:space="preserve"> dai propri organi, bensì ha</w:t>
      </w:r>
      <w:r w:rsidR="00D74EFC">
        <w:rPr>
          <w:sz w:val="22"/>
          <w:szCs w:val="22"/>
        </w:rPr>
        <w:t xml:space="preserve"> ricordato</w:t>
      </w:r>
      <w:r>
        <w:rPr>
          <w:sz w:val="22"/>
          <w:szCs w:val="22"/>
        </w:rPr>
        <w:t xml:space="preserve"> il principio generale in base a cui l’irregolarità di una condotta </w:t>
      </w:r>
      <w:r w:rsidR="00996416">
        <w:rPr>
          <w:sz w:val="22"/>
          <w:szCs w:val="22"/>
        </w:rPr>
        <w:t xml:space="preserve">di </w:t>
      </w:r>
      <w:r w:rsidR="00996416">
        <w:rPr>
          <w:sz w:val="22"/>
          <w:szCs w:val="22"/>
        </w:rPr>
        <w:lastRenderedPageBreak/>
        <w:t xml:space="preserve">un agente </w:t>
      </w:r>
      <w:r>
        <w:rPr>
          <w:sz w:val="22"/>
          <w:szCs w:val="22"/>
        </w:rPr>
        <w:t>può in alcuni casi non inficiare gli obblighi assunti da parte di un soggetto nei confronti dei terzi.</w:t>
      </w:r>
    </w:p>
    <w:p w:rsidR="00C0699E" w:rsidRDefault="00C0699E" w:rsidP="001C18AC">
      <w:pPr>
        <w:spacing w:after="0" w:line="360" w:lineRule="auto"/>
        <w:jc w:val="both"/>
      </w:pPr>
    </w:p>
    <w:p w:rsidR="00E24722" w:rsidRDefault="00E24722" w:rsidP="001C18AC">
      <w:pPr>
        <w:spacing w:after="0" w:line="360" w:lineRule="auto"/>
        <w:jc w:val="both"/>
      </w:pPr>
    </w:p>
    <w:p w:rsidR="00E24722" w:rsidRPr="00E24722" w:rsidRDefault="00CA5718" w:rsidP="00E24722">
      <w:pPr>
        <w:spacing w:after="0" w:line="360" w:lineRule="auto"/>
        <w:ind w:firstLine="284"/>
        <w:jc w:val="center"/>
        <w:rPr>
          <w:i/>
        </w:rPr>
      </w:pPr>
      <w:r w:rsidRPr="00E24722">
        <w:rPr>
          <w:i/>
        </w:rPr>
        <w:t>Sezion</w:t>
      </w:r>
      <w:r w:rsidR="00031B2E" w:rsidRPr="00E24722">
        <w:rPr>
          <w:i/>
        </w:rPr>
        <w:t xml:space="preserve">e </w:t>
      </w:r>
      <w:r w:rsidR="00E24722" w:rsidRPr="00E24722">
        <w:rPr>
          <w:i/>
        </w:rPr>
        <w:t>III</w:t>
      </w:r>
      <w:r w:rsidR="00031B2E" w:rsidRPr="00E24722">
        <w:rPr>
          <w:i/>
        </w:rPr>
        <w:t>.</w:t>
      </w:r>
    </w:p>
    <w:p w:rsidR="00E24722" w:rsidRDefault="00E24722" w:rsidP="00E24722">
      <w:pPr>
        <w:spacing w:after="0" w:line="360" w:lineRule="auto"/>
        <w:ind w:firstLine="284"/>
        <w:jc w:val="center"/>
      </w:pPr>
      <w:r w:rsidRPr="00D54E8A">
        <w:t xml:space="preserve">LA QUESTIONE DELLA RESPONSABILITÀ DELLO STATO PER FATTI ILLECITI </w:t>
      </w:r>
      <w:r w:rsidRPr="00D54E8A">
        <w:rPr>
          <w:i/>
        </w:rPr>
        <w:t>ULTRA VIRES</w:t>
      </w:r>
      <w:r w:rsidRPr="00D54E8A">
        <w:t xml:space="preserve"> NEI </w:t>
      </w:r>
      <w:r>
        <w:t xml:space="preserve">LAVORI </w:t>
      </w:r>
      <w:r w:rsidRPr="00D54E8A">
        <w:t>DI CODIFICAZIONE</w:t>
      </w:r>
      <w:r>
        <w:t xml:space="preserve"> INTRAPRESI TRA IL 1926 ED IL 1930 </w:t>
      </w:r>
    </w:p>
    <w:p w:rsidR="00CA5718" w:rsidRDefault="00E24722" w:rsidP="00E24722">
      <w:pPr>
        <w:spacing w:after="0" w:line="360" w:lineRule="auto"/>
        <w:ind w:firstLine="284"/>
        <w:jc w:val="center"/>
      </w:pPr>
      <w:r>
        <w:t>SOTTO L’EGIDA DELLA SOCIETÀ DELLE NAZIONI</w:t>
      </w:r>
    </w:p>
    <w:p w:rsidR="006E47A5" w:rsidRDefault="006E47A5" w:rsidP="008254CD">
      <w:pPr>
        <w:spacing w:after="0" w:line="360" w:lineRule="auto"/>
      </w:pPr>
    </w:p>
    <w:p w:rsidR="00CA5718" w:rsidRDefault="008254CD" w:rsidP="007D3CA1">
      <w:pPr>
        <w:spacing w:after="0" w:line="360" w:lineRule="auto"/>
        <w:ind w:left="360"/>
        <w:jc w:val="both"/>
      </w:pPr>
      <w:r>
        <w:t>1</w:t>
      </w:r>
      <w:r w:rsidR="007D3CA1">
        <w:t xml:space="preserve">. </w:t>
      </w:r>
      <w:r w:rsidR="00CA5718">
        <w:t>Il rapporto del Sottocomitato</w:t>
      </w:r>
      <w:r w:rsidR="007D3CA1">
        <w:t xml:space="preserve"> del Comitato di esperti</w:t>
      </w:r>
    </w:p>
    <w:p w:rsidR="00CA5718" w:rsidRDefault="00CA5718" w:rsidP="00EB037D">
      <w:pPr>
        <w:spacing w:after="0" w:line="360" w:lineRule="auto"/>
        <w:ind w:firstLine="284"/>
        <w:jc w:val="both"/>
      </w:pPr>
    </w:p>
    <w:p w:rsidR="00300A21" w:rsidRDefault="00CA5718" w:rsidP="00300A21">
      <w:pPr>
        <w:spacing w:after="0" w:line="360" w:lineRule="auto"/>
        <w:ind w:firstLine="284"/>
        <w:jc w:val="both"/>
      </w:pPr>
      <w:r>
        <w:t>Nella lista di argomenti di diritto internazionale da sottoporre a codificazione stilata da un Comitato di esperti in seno alla Società delle Nazioni figurava anche la responsabilità internazionale degli Stati per danni causati sul proprio territorio alla persona o ai beni di stranieri, il cui studio venne demandato ad un sottocomitato composto da Gustavo Guerrero e Wang Hui-Chang</w:t>
      </w:r>
      <w:r w:rsidR="00C45E47">
        <w:rPr>
          <w:rStyle w:val="Rimandonotaapidipagina"/>
        </w:rPr>
        <w:footnoteReference w:id="229"/>
      </w:r>
      <w:r>
        <w:t>.</w:t>
      </w:r>
      <w:r w:rsidR="00CE6CE3">
        <w:t xml:space="preserve"> </w:t>
      </w:r>
      <w:r w:rsidR="009F72FD">
        <w:t>Alla luce della rilevanza che tali lavori hanno assunto con riferimento al</w:t>
      </w:r>
      <w:r w:rsidR="00E375B8">
        <w:t>la codificazione del</w:t>
      </w:r>
      <w:r w:rsidR="009F72FD">
        <w:t xml:space="preserve"> principio della responsabilità internazionale dello Stato per fatti illeciti </w:t>
      </w:r>
      <w:r w:rsidR="009F72FD" w:rsidRPr="009F72FD">
        <w:rPr>
          <w:i/>
        </w:rPr>
        <w:t>ultra vires</w:t>
      </w:r>
      <w:r w:rsidR="00E375B8">
        <w:rPr>
          <w:i/>
        </w:rPr>
        <w:t xml:space="preserve"> </w:t>
      </w:r>
      <w:r w:rsidR="00E375B8">
        <w:t>dei propri organi</w:t>
      </w:r>
      <w:r w:rsidR="009F72FD">
        <w:t xml:space="preserve">, </w:t>
      </w:r>
      <w:r w:rsidR="00E375B8">
        <w:t>si è ritenuto opportuno separare la sua trattazione dalle ulteriori prese di posizione assunte dagli Stati nel medesimo lasso temporale e di dedicarvi un’apposita sezione</w:t>
      </w:r>
      <w:r w:rsidR="00300A21">
        <w:t xml:space="preserve">. Il problema di sapere se uno Stato sia tenuto a rispondere a livello internazionale dei fatti illeciti </w:t>
      </w:r>
      <w:r w:rsidR="00300A21" w:rsidRPr="00CE6CE3">
        <w:rPr>
          <w:i/>
        </w:rPr>
        <w:t>ultra vires</w:t>
      </w:r>
      <w:r w:rsidR="00300A21">
        <w:t xml:space="preserve"> dei propri organi è stato difatti per la prima volta impostato nel senso di accertare se possono essere riferiti allo Stato sul piano internazionale.</w:t>
      </w:r>
    </w:p>
    <w:p w:rsidR="00CA5718" w:rsidRPr="00A55C0D" w:rsidRDefault="00D9773D" w:rsidP="00300A21">
      <w:pPr>
        <w:spacing w:after="0" w:line="360" w:lineRule="auto"/>
        <w:ind w:firstLine="284"/>
        <w:jc w:val="both"/>
        <w:rPr>
          <w:lang w:val="en-US"/>
        </w:rPr>
      </w:pPr>
      <w:r>
        <w:t xml:space="preserve">Il </w:t>
      </w:r>
      <w:r w:rsidR="00CA5718" w:rsidRPr="00522ABC">
        <w:t xml:space="preserve">principio dell’impossibilità di </w:t>
      </w:r>
      <w:r w:rsidR="00224E79">
        <w:t xml:space="preserve">riferire </w:t>
      </w:r>
      <w:r w:rsidR="00CA5718" w:rsidRPr="00522ABC">
        <w:t>allo Stato in ambito internazionale le condotte tenute</w:t>
      </w:r>
      <w:r w:rsidR="00CA5718">
        <w:t xml:space="preserve"> </w:t>
      </w:r>
      <w:r w:rsidR="00CA5718" w:rsidRPr="001C0A6D">
        <w:rPr>
          <w:i/>
        </w:rPr>
        <w:t>ultra vires</w:t>
      </w:r>
      <w:r w:rsidR="00CA5718" w:rsidRPr="00522ABC">
        <w:t xml:space="preserve"> </w:t>
      </w:r>
      <w:r w:rsidR="00CA5718">
        <w:t>dagli</w:t>
      </w:r>
      <w:r w:rsidR="00CA5718" w:rsidRPr="00522ABC">
        <w:t xml:space="preserve"> organi</w:t>
      </w:r>
      <w:r w:rsidR="00CA5718">
        <w:t xml:space="preserve"> statali</w:t>
      </w:r>
      <w:r w:rsidR="00CA5718" w:rsidRPr="00522ABC">
        <w:t xml:space="preserve"> </w:t>
      </w:r>
      <w:r w:rsidR="00224E79">
        <w:t>è stato</w:t>
      </w:r>
      <w:r w:rsidR="00300A21">
        <w:t xml:space="preserve"> inizialmente</w:t>
      </w:r>
      <w:r w:rsidR="00224E79">
        <w:t xml:space="preserve"> </w:t>
      </w:r>
      <w:r>
        <w:t xml:space="preserve">accolto nel </w:t>
      </w:r>
      <w:r w:rsidR="00CA5718">
        <w:t>rapporto redatto dal suddett</w:t>
      </w:r>
      <w:r>
        <w:t xml:space="preserve">o sottocomitato nel 1926. </w:t>
      </w:r>
      <w:r w:rsidRPr="005C5AC7">
        <w:rPr>
          <w:lang w:val="en-US"/>
        </w:rPr>
        <w:t>Vi si legge:</w:t>
      </w:r>
    </w:p>
    <w:p w:rsidR="00CA5718" w:rsidRPr="005C5AC7" w:rsidRDefault="00CA5718" w:rsidP="00EB037D">
      <w:pPr>
        <w:spacing w:after="0" w:line="360" w:lineRule="auto"/>
        <w:ind w:firstLine="284"/>
        <w:jc w:val="both"/>
        <w:rPr>
          <w:lang w:val="en-US"/>
        </w:rPr>
      </w:pPr>
    </w:p>
    <w:p w:rsidR="002F77C5" w:rsidRDefault="00CA5718" w:rsidP="009D36EC">
      <w:pPr>
        <w:spacing w:after="0" w:line="360" w:lineRule="auto"/>
        <w:ind w:left="567" w:right="567" w:firstLine="284"/>
        <w:jc w:val="both"/>
      </w:pPr>
      <w:r w:rsidRPr="00D9773D">
        <w:rPr>
          <w:lang w:val="en-US"/>
        </w:rPr>
        <w:t>“if the act of the official is accomplished outside the scope of his competence, that is to say, if he has exceeded i</w:t>
      </w:r>
      <w:r w:rsidR="00C47082" w:rsidRPr="00D9773D">
        <w:rPr>
          <w:lang w:val="en-US"/>
        </w:rPr>
        <w:t>t</w:t>
      </w:r>
      <w:r w:rsidRPr="00D9773D">
        <w:rPr>
          <w:lang w:val="en-US"/>
        </w:rPr>
        <w:t xml:space="preserve">s powers, we are then confronted with an act which, juridically speaking, is not an act of the State. It </w:t>
      </w:r>
      <w:r w:rsidRPr="00D9773D">
        <w:rPr>
          <w:lang w:val="en-US"/>
        </w:rPr>
        <w:lastRenderedPageBreak/>
        <w:t>may be illegal, but, from the point of view of international law, the offence cannot be imputed to the State…”</w:t>
      </w:r>
      <w:r w:rsidRPr="00D9773D">
        <w:rPr>
          <w:rStyle w:val="Rimandonotaapidipagina"/>
          <w:lang w:val="en-US"/>
        </w:rPr>
        <w:footnoteReference w:id="230"/>
      </w:r>
      <w:r w:rsidRPr="00D9773D">
        <w:t>.</w:t>
      </w:r>
    </w:p>
    <w:p w:rsidR="008254CD" w:rsidRDefault="008254CD" w:rsidP="009D36EC">
      <w:pPr>
        <w:spacing w:after="0" w:line="360" w:lineRule="auto"/>
        <w:ind w:left="567" w:right="567" w:firstLine="284"/>
        <w:jc w:val="both"/>
      </w:pPr>
    </w:p>
    <w:p w:rsidR="00CA5718" w:rsidRPr="0028766A" w:rsidRDefault="00CA5718" w:rsidP="001C440C">
      <w:pPr>
        <w:spacing w:after="0" w:line="360" w:lineRule="auto"/>
        <w:ind w:firstLine="284"/>
        <w:jc w:val="both"/>
      </w:pPr>
      <w:r>
        <w:t>Mentre riconosceva che lo Stato era tenuto a rispondere in ambito internazionale dei comportamenti adottati dai propri organi nel rispetto delle competenze, Guerrero considerava che le condotte</w:t>
      </w:r>
      <w:r w:rsidRPr="0028766A">
        <w:rPr>
          <w:i/>
        </w:rPr>
        <w:t xml:space="preserve"> ultra vires</w:t>
      </w:r>
      <w:r>
        <w:t xml:space="preserve"> dovevano essere assimilate a quelle dei privati, in quanto il mancato rispetto</w:t>
      </w:r>
      <w:r w:rsidRPr="0028766A">
        <w:t xml:space="preserve"> </w:t>
      </w:r>
      <w:r>
        <w:t>de</w:t>
      </w:r>
      <w:r w:rsidR="00C47082">
        <w:t>ll’ordinamento giuridico dello Stato</w:t>
      </w:r>
      <w:r>
        <w:t xml:space="preserve"> nel corso dell’esercizio delle funzioni implicava che gli organi non erano in grado di riflettere la volontà statale</w:t>
      </w:r>
      <w:r>
        <w:rPr>
          <w:rStyle w:val="Rimandonotaapidipagina"/>
        </w:rPr>
        <w:footnoteReference w:id="231"/>
      </w:r>
      <w:r>
        <w:t xml:space="preserve">. Richiamandosi al principio della rilevanza esclusiva del diritto interno al fine di determinare l’organizzazione dello Stato, Guerrero limitava fortemente il </w:t>
      </w:r>
      <w:r w:rsidR="00C75C39">
        <w:t xml:space="preserve">numero delle ipotesi in </w:t>
      </w:r>
      <w:r>
        <w:t xml:space="preserve">cui </w:t>
      </w:r>
      <w:r w:rsidR="001C440C">
        <w:t xml:space="preserve">una </w:t>
      </w:r>
      <w:r>
        <w:t>condotta era attribuita allo Stato. Potevano riconoscersi come propri dello Stato soltanto i comportamenti di individui che godevano della qualità organica in base al diritto interno e che avevano agito nel rispetto delle competenze loro attribuite in base a tale ordinamento</w:t>
      </w:r>
      <w:r>
        <w:rPr>
          <w:rStyle w:val="Rimandonotaapidipagina"/>
        </w:rPr>
        <w:footnoteReference w:id="232"/>
      </w:r>
      <w:r>
        <w:t>.</w:t>
      </w:r>
    </w:p>
    <w:p w:rsidR="00CA5718" w:rsidRPr="004E5E4A" w:rsidRDefault="00CA5718" w:rsidP="00EB037D">
      <w:pPr>
        <w:spacing w:after="0" w:line="360" w:lineRule="auto"/>
        <w:ind w:firstLine="284"/>
        <w:jc w:val="both"/>
      </w:pPr>
      <w:r>
        <w:t xml:space="preserve">Non essendo considerato un fatto statale in ambito internazionale, un comportamento </w:t>
      </w:r>
      <w:r w:rsidRPr="008A6F6F">
        <w:rPr>
          <w:i/>
        </w:rPr>
        <w:t>ultra vires</w:t>
      </w:r>
      <w:r>
        <w:t xml:space="preserve"> di un organo poteva essere l’occasione del sorgere della responsabilità internazionale dello Stato soltanto </w:t>
      </w:r>
      <w:r>
        <w:rPr>
          <w:rFonts w:cstheme="minorHAnsi"/>
        </w:rPr>
        <w:t>per fatto o omissione propri, cioè nella circostanza in cui altri organi non assumevano una condotta di prevenzione e repressione imposta dal diritto internazionale</w:t>
      </w:r>
      <w:r>
        <w:rPr>
          <w:rStyle w:val="Rimandonotaapidipagina"/>
          <w:rFonts w:cstheme="minorHAnsi"/>
        </w:rPr>
        <w:footnoteReference w:id="233"/>
      </w:r>
      <w:r>
        <w:rPr>
          <w:rFonts w:cstheme="minorHAnsi"/>
        </w:rPr>
        <w:t>.</w:t>
      </w:r>
    </w:p>
    <w:p w:rsidR="00300A21" w:rsidRDefault="00CA5718" w:rsidP="00300A21">
      <w:pPr>
        <w:spacing w:after="0" w:line="360" w:lineRule="auto"/>
        <w:ind w:firstLine="284"/>
        <w:jc w:val="both"/>
      </w:pPr>
      <w:r>
        <w:t xml:space="preserve">La tesi sostenuta da Guerrero </w:t>
      </w:r>
      <w:r w:rsidR="00C75C39">
        <w:t>si avvicina</w:t>
      </w:r>
      <w:r w:rsidR="001C440C">
        <w:t>va</w:t>
      </w:r>
      <w:r w:rsidR="00C75C39">
        <w:t xml:space="preserve"> alla </w:t>
      </w:r>
      <w:r>
        <w:t>posizione</w:t>
      </w:r>
      <w:r w:rsidR="00C75C39">
        <w:t xml:space="preserve"> assunta da</w:t>
      </w:r>
      <w:r>
        <w:t xml:space="preserve"> al</w:t>
      </w:r>
      <w:r w:rsidR="0044533C">
        <w:t>cuni Stati dell’America Latina n</w:t>
      </w:r>
      <w:r>
        <w:t>e</w:t>
      </w:r>
      <w:r w:rsidR="005655BA">
        <w:t>i precedenti decenni, secondo la quale</w:t>
      </w:r>
      <w:r>
        <w:t xml:space="preserve">, in linea con quanto previsto dall’ordinamento interno, lo Stato non è tenuto a rispondere in ambito internazionale dei fatti </w:t>
      </w:r>
      <w:r w:rsidRPr="005731D9">
        <w:rPr>
          <w:i/>
        </w:rPr>
        <w:t>ultra vires</w:t>
      </w:r>
      <w:r>
        <w:t xml:space="preserve"> dei propri organi.</w:t>
      </w:r>
    </w:p>
    <w:p w:rsidR="00FD57E7" w:rsidRDefault="00CA5718" w:rsidP="00300A21">
      <w:pPr>
        <w:spacing w:after="0" w:line="360" w:lineRule="auto"/>
        <w:ind w:firstLine="284"/>
        <w:jc w:val="both"/>
      </w:pPr>
      <w:r>
        <w:lastRenderedPageBreak/>
        <w:t xml:space="preserve">Sulla base delle medesime premesse </w:t>
      </w:r>
      <w:r w:rsidRPr="002F77C5">
        <w:t xml:space="preserve">teoriche, </w:t>
      </w:r>
      <w:r w:rsidR="002F77C5" w:rsidRPr="002F77C5">
        <w:t>anche nel rapporto del</w:t>
      </w:r>
      <w:r w:rsidRPr="002F77C5">
        <w:t xml:space="preserve"> Sottocomitato </w:t>
      </w:r>
      <w:r w:rsidR="002F77C5" w:rsidRPr="002F77C5">
        <w:t>si</w:t>
      </w:r>
      <w:r w:rsidR="002F77C5">
        <w:t xml:space="preserve"> affermava </w:t>
      </w:r>
      <w:r>
        <w:t>che possono essere considerati fatti dello Stato in ambito internazionale soltanto quelle condotte che sono state ad esso attribuite in virtù di norme interne</w:t>
      </w:r>
      <w:r>
        <w:rPr>
          <w:rStyle w:val="Rimandonotaapidipagina"/>
        </w:rPr>
        <w:footnoteReference w:id="234"/>
      </w:r>
      <w:r w:rsidR="004379C0">
        <w:t>.</w:t>
      </w:r>
    </w:p>
    <w:p w:rsidR="00C568C3" w:rsidRDefault="00C568C3" w:rsidP="00C568C3">
      <w:pPr>
        <w:pStyle w:val="Paragrafoelenco"/>
        <w:spacing w:after="0" w:line="360" w:lineRule="auto"/>
        <w:jc w:val="both"/>
      </w:pPr>
    </w:p>
    <w:p w:rsidR="00CA5718" w:rsidRDefault="008254CD" w:rsidP="00C568C3">
      <w:pPr>
        <w:spacing w:after="0" w:line="360" w:lineRule="auto"/>
        <w:ind w:left="360"/>
        <w:jc w:val="both"/>
      </w:pPr>
      <w:r>
        <w:t>2</w:t>
      </w:r>
      <w:r w:rsidR="00C568C3">
        <w:t xml:space="preserve">. </w:t>
      </w:r>
      <w:r w:rsidR="00CA5718">
        <w:t xml:space="preserve">Le risposte degli Stati ai punti V, n. 2 b) e 2 c) </w:t>
      </w:r>
      <w:r w:rsidR="00091D31">
        <w:t>del questionario</w:t>
      </w:r>
      <w:r w:rsidR="00C568C3">
        <w:t xml:space="preserve"> redatto dal Comitato di esperti</w:t>
      </w:r>
    </w:p>
    <w:p w:rsidR="00332098" w:rsidRDefault="00332098" w:rsidP="00EB037D">
      <w:pPr>
        <w:spacing w:after="0" w:line="360" w:lineRule="auto"/>
        <w:ind w:left="708" w:firstLine="284"/>
        <w:jc w:val="both"/>
      </w:pPr>
    </w:p>
    <w:p w:rsidR="00CA5718" w:rsidRDefault="00AA7042" w:rsidP="00EB037D">
      <w:pPr>
        <w:spacing w:after="0" w:line="360" w:lineRule="auto"/>
        <w:ind w:firstLine="284"/>
        <w:jc w:val="both"/>
      </w:pPr>
      <w:r>
        <w:t>Sulla base del rapporto del S</w:t>
      </w:r>
      <w:r w:rsidR="00CA5718">
        <w:t xml:space="preserve">ottocomitato, il Comitato di esperti ha elaborato un questionario che è stato sottoposto all’esame degli Stati membri della Società delle Nazioni al fine di valutare se la materia potesse </w:t>
      </w:r>
      <w:r>
        <w:t xml:space="preserve">tornare </w:t>
      </w:r>
      <w:r w:rsidR="00CA5718">
        <w:t xml:space="preserve"> oggetto di una convenzione internazionale.</w:t>
      </w:r>
    </w:p>
    <w:p w:rsidR="00CA5718" w:rsidRDefault="00CA5718" w:rsidP="00EB037D">
      <w:pPr>
        <w:spacing w:after="0" w:line="360" w:lineRule="auto"/>
        <w:ind w:firstLine="284"/>
        <w:jc w:val="both"/>
      </w:pPr>
      <w:r>
        <w:t xml:space="preserve">Il problema della responsabilità internazionale dello Stato per le condotte </w:t>
      </w:r>
      <w:r w:rsidRPr="00CD4D70">
        <w:rPr>
          <w:i/>
        </w:rPr>
        <w:t>ultra vires</w:t>
      </w:r>
      <w:r>
        <w:t xml:space="preserve"> dei propri organi è stata ins</w:t>
      </w:r>
      <w:r w:rsidR="00AA7042">
        <w:t>erito</w:t>
      </w:r>
      <w:r>
        <w:t xml:space="preserve"> al punto V, N</w:t>
      </w:r>
      <w:r>
        <w:rPr>
          <w:rFonts w:cstheme="minorHAnsi"/>
        </w:rPr>
        <w:t xml:space="preserve">° </w:t>
      </w:r>
      <w:r>
        <w:t xml:space="preserve">2 </w:t>
      </w:r>
      <w:r w:rsidRPr="0061374E">
        <w:t>b)</w:t>
      </w:r>
      <w:r>
        <w:t xml:space="preserve"> e N</w:t>
      </w:r>
      <w:r>
        <w:rPr>
          <w:rFonts w:cstheme="minorHAnsi"/>
        </w:rPr>
        <w:t xml:space="preserve">° </w:t>
      </w:r>
      <w:r>
        <w:t xml:space="preserve">2 </w:t>
      </w:r>
      <w:r w:rsidRPr="0061374E">
        <w:t>c)</w:t>
      </w:r>
      <w:r>
        <w:t xml:space="preserve"> del questionario.</w:t>
      </w:r>
    </w:p>
    <w:p w:rsidR="00CA5718" w:rsidRDefault="00CA5718" w:rsidP="00EB037D">
      <w:pPr>
        <w:spacing w:after="0" w:line="360" w:lineRule="auto"/>
        <w:ind w:firstLine="284"/>
        <w:jc w:val="both"/>
      </w:pPr>
      <w:r>
        <w:t>Il</w:t>
      </w:r>
      <w:r w:rsidR="00AA7042">
        <w:t xml:space="preserve"> quesito era così formulato</w:t>
      </w:r>
      <w:r>
        <w:t>:</w:t>
      </w:r>
    </w:p>
    <w:p w:rsidR="00CA5718" w:rsidRDefault="00CA5718" w:rsidP="00EB037D">
      <w:pPr>
        <w:spacing w:after="0" w:line="360" w:lineRule="auto"/>
        <w:ind w:firstLine="284"/>
        <w:jc w:val="both"/>
      </w:pPr>
    </w:p>
    <w:p w:rsidR="00CA5718" w:rsidRPr="005C5AC7" w:rsidRDefault="00CA5718" w:rsidP="00EB037D">
      <w:pPr>
        <w:spacing w:after="0" w:line="360" w:lineRule="auto"/>
        <w:ind w:left="567" w:right="567" w:firstLine="284"/>
        <w:jc w:val="both"/>
        <w:rPr>
          <w:lang w:val="fr-FR"/>
        </w:rPr>
      </w:pPr>
      <w:r w:rsidRPr="005C5AC7">
        <w:rPr>
          <w:lang w:val="fr-FR"/>
        </w:rPr>
        <w:t>“La responsabilité de l’Etat se trouve-t-elle engagée dans les cas suivant</w:t>
      </w:r>
      <w:r w:rsidR="00A561F3" w:rsidRPr="005C5AC7">
        <w:rPr>
          <w:lang w:val="fr-FR"/>
        </w:rPr>
        <w:t>s</w:t>
      </w:r>
      <w:r w:rsidRPr="005C5AC7">
        <w:rPr>
          <w:lang w:val="fr-FR"/>
        </w:rPr>
        <w:t xml:space="preserve"> et, dans l’affirmative, quel est le fondement de l’obligation: Actes ou omissions de fonctionnaires:</w:t>
      </w:r>
    </w:p>
    <w:p w:rsidR="00CA5718" w:rsidRPr="005C5AC7" w:rsidRDefault="00CA5718" w:rsidP="00EB037D">
      <w:pPr>
        <w:spacing w:after="0" w:line="360" w:lineRule="auto"/>
        <w:ind w:left="567" w:right="567" w:firstLine="284"/>
        <w:jc w:val="both"/>
        <w:rPr>
          <w:lang w:val="fr-FR"/>
        </w:rPr>
      </w:pPr>
      <w:r w:rsidRPr="005C5AC7">
        <w:rPr>
          <w:lang w:val="fr-FR"/>
        </w:rPr>
        <w:t>(….)</w:t>
      </w:r>
    </w:p>
    <w:p w:rsidR="00CA5718" w:rsidRPr="005C5AC7" w:rsidRDefault="00CA5718" w:rsidP="00EB037D">
      <w:pPr>
        <w:spacing w:after="0" w:line="360" w:lineRule="auto"/>
        <w:ind w:left="567" w:right="567" w:firstLine="284"/>
        <w:jc w:val="both"/>
        <w:rPr>
          <w:lang w:val="fr-FR"/>
        </w:rPr>
      </w:pPr>
      <w:r w:rsidRPr="005C5AC7">
        <w:rPr>
          <w:lang w:val="fr-FR"/>
        </w:rPr>
        <w:t>b) Actes accomplis par des fonctionnaires sur le territoire national en s’autorisant de leur qualité officielle (actes de fonction) mais en dehors de leur compétence?</w:t>
      </w:r>
      <w:r w:rsidRPr="005C5AC7">
        <w:rPr>
          <w:rStyle w:val="Rimandonotaapidipagina"/>
          <w:lang w:val="fr-FR"/>
        </w:rPr>
        <w:footnoteReference w:id="235"/>
      </w:r>
    </w:p>
    <w:p w:rsidR="00EB3AB5" w:rsidRDefault="00CA5718" w:rsidP="00826DA9">
      <w:pPr>
        <w:spacing w:after="0" w:line="360" w:lineRule="auto"/>
        <w:ind w:left="567" w:right="567" w:firstLine="284"/>
        <w:jc w:val="both"/>
      </w:pPr>
      <w:r w:rsidRPr="005C5AC7">
        <w:rPr>
          <w:lang w:val="fr-FR"/>
        </w:rPr>
        <w:t>c) Actes accomplis en pays étranger par des fonctionnaires tels que des agents diplomatiques ou des consuls, agissant dans les limites apparentes de leur fonctions, mais en les dépassant réellement? ”</w:t>
      </w:r>
      <w:r w:rsidRPr="005C5AC7">
        <w:rPr>
          <w:rStyle w:val="Rimandonotaapidipagina"/>
          <w:lang w:val="fr-FR"/>
        </w:rPr>
        <w:footnoteReference w:id="236"/>
      </w:r>
      <w:r w:rsidRPr="005C5AC7">
        <w:t>.</w:t>
      </w:r>
    </w:p>
    <w:p w:rsidR="00341D9D" w:rsidRDefault="00341D9D" w:rsidP="00826DA9">
      <w:pPr>
        <w:spacing w:after="0" w:line="360" w:lineRule="auto"/>
        <w:ind w:left="567" w:right="567" w:firstLine="284"/>
        <w:jc w:val="both"/>
      </w:pPr>
    </w:p>
    <w:p w:rsidR="00CA5718" w:rsidRDefault="00826DA9" w:rsidP="00EB3AB5">
      <w:pPr>
        <w:spacing w:after="0" w:line="360" w:lineRule="auto"/>
        <w:ind w:firstLine="567"/>
      </w:pPr>
      <w:r>
        <w:t>2</w:t>
      </w:r>
      <w:r w:rsidR="00EB3AB5">
        <w:t xml:space="preserve">.1 </w:t>
      </w:r>
      <w:r w:rsidR="00CA5718">
        <w:t>Le risposte negative</w:t>
      </w:r>
    </w:p>
    <w:p w:rsidR="00CA5718" w:rsidRDefault="00CA5718" w:rsidP="00EB037D">
      <w:pPr>
        <w:spacing w:after="0" w:line="360" w:lineRule="auto"/>
        <w:ind w:left="1416" w:firstLine="284"/>
        <w:jc w:val="both"/>
      </w:pPr>
    </w:p>
    <w:p w:rsidR="00CA5718" w:rsidRDefault="00CA5718" w:rsidP="00EB037D">
      <w:pPr>
        <w:spacing w:after="0" w:line="360" w:lineRule="auto"/>
        <w:ind w:firstLine="284"/>
        <w:jc w:val="both"/>
      </w:pPr>
      <w:r>
        <w:t xml:space="preserve">Gli unici Governi che hanno risposto negativamente al punto V, N° 2 b) della richiesta di informazioni, assimilando la condotta </w:t>
      </w:r>
      <w:r w:rsidRPr="00893A06">
        <w:rPr>
          <w:i/>
        </w:rPr>
        <w:t>ultra vires</w:t>
      </w:r>
      <w:r>
        <w:t xml:space="preserve"> tenuta dagli organi statali al comportamento </w:t>
      </w:r>
      <w:r w:rsidR="00AA7042">
        <w:t>di un privato, sono stati quelli</w:t>
      </w:r>
      <w:r>
        <w:t xml:space="preserve"> ungherese, norvegese e polacco.</w:t>
      </w:r>
    </w:p>
    <w:p w:rsidR="00CA5718" w:rsidRDefault="00CA5718" w:rsidP="00EB037D">
      <w:pPr>
        <w:spacing w:after="0" w:line="360" w:lineRule="auto"/>
        <w:ind w:firstLine="284"/>
        <w:jc w:val="both"/>
      </w:pPr>
      <w:r>
        <w:lastRenderedPageBreak/>
        <w:t xml:space="preserve">Il Governo polacco ha affermato che il fatto illecito </w:t>
      </w:r>
      <w:r w:rsidRPr="00F27AA8">
        <w:rPr>
          <w:i/>
        </w:rPr>
        <w:t>ultra vires</w:t>
      </w:r>
      <w:r>
        <w:t xml:space="preserve"> tenuto da un organo nella sua qualità ufficiale non può essere considerato “</w:t>
      </w:r>
      <w:r w:rsidRPr="00F27AA8">
        <w:rPr>
          <w:i/>
        </w:rPr>
        <w:t>une activité d’</w:t>
      </w:r>
      <w:r>
        <w:rPr>
          <w:i/>
        </w:rPr>
        <w:t>Etat comme personne juri</w:t>
      </w:r>
      <w:r w:rsidRPr="00F27AA8">
        <w:rPr>
          <w:i/>
        </w:rPr>
        <w:t>dique</w:t>
      </w:r>
      <w:r>
        <w:t>”</w:t>
      </w:r>
      <w:r>
        <w:rPr>
          <w:rStyle w:val="Rimandonotaapidipagina"/>
        </w:rPr>
        <w:footnoteReference w:id="237"/>
      </w:r>
      <w:r>
        <w:t>, pertanto la responsabilità internazionale dello Stato può in tal caso sorgere esclusivamente in caso di mancato rispetto da parte di altri organi di un obbligo di prevenzione o repressione del comportamento illecito oppure per diniego di giustizia</w:t>
      </w:r>
      <w:r>
        <w:rPr>
          <w:rStyle w:val="Rimandonotaapidipagina"/>
        </w:rPr>
        <w:footnoteReference w:id="238"/>
      </w:r>
      <w:r>
        <w:t>. Per quanto concerne invece il punto V, N°  2</w:t>
      </w:r>
      <w:r w:rsidR="00A561F3">
        <w:t xml:space="preserve"> c)</w:t>
      </w:r>
      <w:r w:rsidR="00EF5696">
        <w:t>,</w:t>
      </w:r>
      <w:r w:rsidR="00A561F3">
        <w:t xml:space="preserve"> il Governo polacco ha sostenuto</w:t>
      </w:r>
      <w:r>
        <w:t xml:space="preserve"> che devono essere considerati attribuibili allo Stato tutti i comportamenti dei propri agenti diplomatici, ma non le condotte </w:t>
      </w:r>
      <w:r w:rsidRPr="00C37236">
        <w:rPr>
          <w:i/>
        </w:rPr>
        <w:t>ultra vires</w:t>
      </w:r>
      <w:r>
        <w:t xml:space="preserve"> tenute dagli altri suoi funzionari all’estero</w:t>
      </w:r>
      <w:r>
        <w:rPr>
          <w:rStyle w:val="Rimandonotaapidipagina"/>
        </w:rPr>
        <w:footnoteReference w:id="239"/>
      </w:r>
      <w:r>
        <w:t>.</w:t>
      </w:r>
    </w:p>
    <w:p w:rsidR="00CA5718" w:rsidRDefault="00CA5718" w:rsidP="00EB037D">
      <w:pPr>
        <w:spacing w:after="0" w:line="360" w:lineRule="auto"/>
        <w:ind w:firstLine="284"/>
        <w:jc w:val="both"/>
      </w:pPr>
      <w:r>
        <w:t xml:space="preserve">Anche il Governo norvegese ha sostenuto che lo Stato debba considerarsi responsabile degli illeciti </w:t>
      </w:r>
      <w:r w:rsidRPr="00271A2C">
        <w:rPr>
          <w:i/>
        </w:rPr>
        <w:t>ultra vires</w:t>
      </w:r>
      <w:r>
        <w:t xml:space="preserve"> soltanto nel caso </w:t>
      </w:r>
      <w:r w:rsidR="00AA7042">
        <w:t xml:space="preserve">di illeciti </w:t>
      </w:r>
      <w:r>
        <w:t>commessi dai propri rappresentanti all’estero, negando invece tale possibilità per quelli compiuti da propri organi sul territorio nazionale.</w:t>
      </w:r>
    </w:p>
    <w:p w:rsidR="00CA5718" w:rsidRDefault="00CA5718" w:rsidP="00EB037D">
      <w:pPr>
        <w:spacing w:after="0" w:line="360" w:lineRule="auto"/>
        <w:ind w:firstLine="284"/>
        <w:jc w:val="both"/>
      </w:pPr>
      <w:r>
        <w:t xml:space="preserve">Il Governo ungherese ha </w:t>
      </w:r>
      <w:r w:rsidR="00AA7042">
        <w:t xml:space="preserve">fornito una risposta </w:t>
      </w:r>
      <w:r>
        <w:t>negativa</w:t>
      </w:r>
      <w:r w:rsidR="00AA7042">
        <w:t xml:space="preserve"> al quesito posto dal </w:t>
      </w:r>
      <w:r w:rsidR="00A561F3">
        <w:t>questionario</w:t>
      </w:r>
      <w:r>
        <w:t>, ritenendo non attribuibili allo Stato come soggetto internazionale tutti i fatti illeciti degli organi statali indipendentemente dal rispetto delle disposizioni di diritto interno in tema di competenza:</w:t>
      </w:r>
    </w:p>
    <w:p w:rsidR="00CA5718" w:rsidRDefault="00CA5718" w:rsidP="00EB037D">
      <w:pPr>
        <w:spacing w:after="0" w:line="360" w:lineRule="auto"/>
        <w:ind w:firstLine="284"/>
        <w:jc w:val="both"/>
      </w:pPr>
    </w:p>
    <w:p w:rsidR="00CA5718" w:rsidRPr="00AA7042" w:rsidRDefault="00CA5718" w:rsidP="00EB037D">
      <w:pPr>
        <w:spacing w:after="0" w:line="360" w:lineRule="auto"/>
        <w:ind w:left="567" w:right="567" w:firstLine="284"/>
        <w:jc w:val="both"/>
        <w:rPr>
          <w:lang w:val="fr-FR"/>
        </w:rPr>
      </w:pPr>
      <w:r w:rsidRPr="00AA7042">
        <w:rPr>
          <w:lang w:val="fr-FR"/>
        </w:rPr>
        <w:t>“Il est vrai qu’il existe également dans le droit international l’opinion que les actes des personnes autorisées à représenter l’Etat (par exemple, ses représentants à l’étranger) peuvent directement établir la responsabilité internationale des Etats…Toutefois, cette opinion n’est pas encore généralement reconnue dans la pratique internationale"</w:t>
      </w:r>
      <w:r w:rsidRPr="00AA7042">
        <w:rPr>
          <w:rStyle w:val="Rimandonotaapidipagina"/>
        </w:rPr>
        <w:footnoteReference w:id="240"/>
      </w:r>
      <w:r w:rsidRPr="00AA7042">
        <w:rPr>
          <w:lang w:val="fr-FR"/>
        </w:rPr>
        <w:t>.</w:t>
      </w:r>
    </w:p>
    <w:p w:rsidR="00A561F3" w:rsidRDefault="00A561F3" w:rsidP="00EB037D">
      <w:pPr>
        <w:spacing w:after="0" w:line="360" w:lineRule="auto"/>
        <w:ind w:left="567" w:right="567" w:firstLine="284"/>
        <w:jc w:val="both"/>
        <w:rPr>
          <w:lang w:val="fr-FR"/>
        </w:rPr>
      </w:pPr>
    </w:p>
    <w:p w:rsidR="00CA5718" w:rsidRDefault="00826DA9" w:rsidP="00EB3AB5">
      <w:pPr>
        <w:spacing w:after="0" w:line="360" w:lineRule="auto"/>
        <w:ind w:firstLine="567"/>
        <w:jc w:val="both"/>
      </w:pPr>
      <w:r>
        <w:t>2</w:t>
      </w:r>
      <w:r w:rsidR="00EB3AB5">
        <w:t xml:space="preserve">.2 </w:t>
      </w:r>
      <w:r w:rsidR="00A561F3">
        <w:t>Le risposte positive</w:t>
      </w:r>
    </w:p>
    <w:p w:rsidR="00A561F3" w:rsidRPr="0089399F" w:rsidRDefault="00A561F3" w:rsidP="00EB037D">
      <w:pPr>
        <w:spacing w:after="0" w:line="360" w:lineRule="auto"/>
        <w:ind w:firstLine="284"/>
        <w:jc w:val="both"/>
      </w:pPr>
    </w:p>
    <w:p w:rsidR="00CA5718" w:rsidRPr="0089399F" w:rsidRDefault="00CA5718" w:rsidP="00073969">
      <w:pPr>
        <w:spacing w:after="0" w:line="360" w:lineRule="auto"/>
        <w:ind w:firstLine="284"/>
        <w:jc w:val="both"/>
      </w:pPr>
      <w:r>
        <w:t xml:space="preserve">La maggioranza degli Stati ha </w:t>
      </w:r>
      <w:r w:rsidR="007B46EE">
        <w:t xml:space="preserve">invece </w:t>
      </w:r>
      <w:r>
        <w:t xml:space="preserve">risposto positivamente ad entrambi </w:t>
      </w:r>
      <w:r w:rsidR="00BE136B">
        <w:t xml:space="preserve">i quesiti posti nel </w:t>
      </w:r>
      <w:r w:rsidR="007B46EE">
        <w:t>questionario</w:t>
      </w:r>
      <w:r>
        <w:t>.</w:t>
      </w:r>
      <w:r w:rsidR="00073969">
        <w:t xml:space="preserve"> </w:t>
      </w:r>
      <w:r w:rsidR="005E70B7" w:rsidRPr="00073969">
        <w:t xml:space="preserve">Molti hanno </w:t>
      </w:r>
      <w:r w:rsidR="00A5357E">
        <w:t xml:space="preserve">difatti </w:t>
      </w:r>
      <w:r w:rsidR="00073969" w:rsidRPr="00073969">
        <w:t xml:space="preserve">risposto positivamente al quesito formulato </w:t>
      </w:r>
      <w:r w:rsidRPr="00073969">
        <w:t xml:space="preserve">dal punto </w:t>
      </w:r>
      <w:r w:rsidRPr="00073969">
        <w:lastRenderedPageBreak/>
        <w:t>V, N° 2b)</w:t>
      </w:r>
      <w:r w:rsidR="005E70B7" w:rsidRPr="00073969">
        <w:t xml:space="preserve">, rigettando </w:t>
      </w:r>
      <w:r w:rsidRPr="00073969">
        <w:t>le conclusioni formulate dal Sottocomitato</w:t>
      </w:r>
      <w:r w:rsidRPr="00073969">
        <w:rPr>
          <w:rStyle w:val="Rimandonotaapidipagina"/>
        </w:rPr>
        <w:footnoteReference w:id="241"/>
      </w:r>
      <w:r w:rsidR="00073969">
        <w:t>, ed hanno fornito una</w:t>
      </w:r>
      <w:r w:rsidRPr="00073969">
        <w:t xml:space="preserve"> risposta analoga anche con riferimento al punto V, N° 2c)</w:t>
      </w:r>
      <w:r w:rsidRPr="00073969">
        <w:rPr>
          <w:rStyle w:val="Rimandonotaapidipagina"/>
        </w:rPr>
        <w:footnoteReference w:id="242"/>
      </w:r>
      <w:r w:rsidRPr="00073969">
        <w:t>.</w:t>
      </w:r>
      <w:r w:rsidR="00C42F7F">
        <w:t xml:space="preserve"> </w:t>
      </w:r>
    </w:p>
    <w:p w:rsidR="00CA5718" w:rsidRPr="00F30A60" w:rsidRDefault="00CA5718" w:rsidP="0021599C">
      <w:pPr>
        <w:spacing w:after="0" w:line="360" w:lineRule="auto"/>
        <w:ind w:firstLine="284"/>
        <w:jc w:val="both"/>
        <w:rPr>
          <w:lang w:val="fr-FR"/>
        </w:rPr>
      </w:pPr>
      <w:r>
        <w:t xml:space="preserve">È curioso notare che il Sottocomitato ha redatto la </w:t>
      </w:r>
      <w:r w:rsidR="00D72D31">
        <w:t xml:space="preserve">domanda nel </w:t>
      </w:r>
      <w:r>
        <w:t>punto V, N° 2b) in maniera differente rispetto a quella</w:t>
      </w:r>
      <w:r w:rsidR="0021599C">
        <w:t xml:space="preserve"> relativa al punto V, N° 2 c). </w:t>
      </w:r>
      <w:r w:rsidRPr="0021599C">
        <w:t xml:space="preserve">Solamente con riferimento a questo ultimo punto viene fatta menzione della </w:t>
      </w:r>
      <w:r w:rsidR="00073969" w:rsidRPr="0021599C">
        <w:t xml:space="preserve">possibilità di attribuire </w:t>
      </w:r>
      <w:r w:rsidRPr="0021599C">
        <w:t xml:space="preserve">allo Stato i comportamenti adottati da un organo che, </w:t>
      </w:r>
      <w:r w:rsidR="005E70B7" w:rsidRPr="0021599C">
        <w:t xml:space="preserve">nonostante l’effettivo </w:t>
      </w:r>
      <w:r w:rsidRPr="0021599C">
        <w:t xml:space="preserve">superamento dei limiti delle proprie funzioni, appaiono come tenuti nel rispetto della competenza. È probabilmente per tale ragione che numerosi Governi hanno fatto menzione di tale criterio nel riconoscere il principio dell’attribuzione allo Stato dei fatti </w:t>
      </w:r>
      <w:r w:rsidRPr="0021599C">
        <w:rPr>
          <w:i/>
        </w:rPr>
        <w:t>ultra vires</w:t>
      </w:r>
      <w:r w:rsidRPr="0021599C">
        <w:t xml:space="preserve"> degli organi statali. </w:t>
      </w:r>
      <w:r w:rsidRPr="0021599C">
        <w:rPr>
          <w:lang w:val="fr-FR"/>
        </w:rPr>
        <w:t>Ad esempio,  secondo il Governo austriaco:</w:t>
      </w:r>
      <w:r w:rsidR="00D72D31" w:rsidRPr="0021599C">
        <w:rPr>
          <w:lang w:val="fr-FR"/>
        </w:rPr>
        <w:t xml:space="preserve"> </w:t>
      </w:r>
    </w:p>
    <w:p w:rsidR="00CA5718" w:rsidRPr="00BD465E" w:rsidRDefault="00CA5718" w:rsidP="00EB037D">
      <w:pPr>
        <w:spacing w:after="0" w:line="360" w:lineRule="auto"/>
        <w:ind w:firstLine="284"/>
        <w:jc w:val="both"/>
        <w:rPr>
          <w:lang w:val="fr-FR"/>
        </w:rPr>
      </w:pPr>
    </w:p>
    <w:p w:rsidR="00CA5718" w:rsidRPr="00D72D31" w:rsidRDefault="00CA5718" w:rsidP="00EB037D">
      <w:pPr>
        <w:spacing w:after="0" w:line="360" w:lineRule="auto"/>
        <w:ind w:left="567" w:right="567" w:firstLine="284"/>
        <w:jc w:val="both"/>
        <w:rPr>
          <w:lang w:val="fr-FR"/>
        </w:rPr>
      </w:pPr>
      <w:r w:rsidRPr="00D72D31">
        <w:rPr>
          <w:lang w:val="fr-FR"/>
        </w:rPr>
        <w:t xml:space="preserve"> “l’Etat est directement responsable des dommages causés à des étrangers par des actes contraires au droit des gens et effectués par ses organes effectivement ou apparemment dans l’accomplissement de leurs devoirs”</w:t>
      </w:r>
      <w:r w:rsidRPr="00D72D31">
        <w:rPr>
          <w:rStyle w:val="Rimandonotaapidipagina"/>
          <w:lang w:val="fr-FR"/>
        </w:rPr>
        <w:footnoteReference w:id="243"/>
      </w:r>
      <w:r w:rsidRPr="00D72D31">
        <w:rPr>
          <w:lang w:val="fr-FR"/>
        </w:rPr>
        <w:t>.</w:t>
      </w:r>
    </w:p>
    <w:p w:rsidR="00CA5718" w:rsidRDefault="00CA5718" w:rsidP="00EB037D">
      <w:pPr>
        <w:spacing w:after="0" w:line="360" w:lineRule="auto"/>
        <w:ind w:firstLine="284"/>
        <w:jc w:val="both"/>
        <w:rPr>
          <w:lang w:val="fr-FR"/>
        </w:rPr>
      </w:pPr>
    </w:p>
    <w:p w:rsidR="00CA5718" w:rsidRPr="00D433D8" w:rsidRDefault="00CA5718" w:rsidP="00D84939">
      <w:pPr>
        <w:spacing w:after="0" w:line="360" w:lineRule="auto"/>
        <w:ind w:firstLine="284"/>
        <w:jc w:val="both"/>
      </w:pPr>
      <w:r>
        <w:t>Alla luce di tale risposta, p</w:t>
      </w:r>
      <w:r w:rsidRPr="00BA43D2">
        <w:t xml:space="preserve">ossono considerarsi fatti dello Stato quale soggetto internazionale le sole condotte </w:t>
      </w:r>
      <w:r w:rsidRPr="00A11E24">
        <w:rPr>
          <w:i/>
        </w:rPr>
        <w:t>ultra vires</w:t>
      </w:r>
      <w:r>
        <w:t xml:space="preserve"> </w:t>
      </w:r>
      <w:r w:rsidR="00A5357E">
        <w:t xml:space="preserve">di un </w:t>
      </w:r>
      <w:r w:rsidRPr="00BA43D2">
        <w:t xml:space="preserve">organo che appaiono ai terzi come tenute nella propria qualità ufficiale. </w:t>
      </w:r>
      <w:r>
        <w:t xml:space="preserve">La condizione attributiva dell’apparenza della funzione sembra dare </w:t>
      </w:r>
      <w:r w:rsidR="0056619C">
        <w:t xml:space="preserve">grande </w:t>
      </w:r>
      <w:r>
        <w:t>rilievo alla prospettiva della vittima che, al momento del co</w:t>
      </w:r>
      <w:r w:rsidR="00C01DC8">
        <w:t xml:space="preserve">mpimento del fatto illecito, può avere </w:t>
      </w:r>
      <w:r>
        <w:t>commesso in buona fede un plausibile errore di apprezzamento.</w:t>
      </w:r>
      <w:r w:rsidRPr="00A11E24">
        <w:t xml:space="preserve"> </w:t>
      </w:r>
      <w:r>
        <w:t>Nonostante il superamento dei limiti delle funzioni, le condotte dell’organo appaiono ai terzi come tenute nel rispetto della competenza.</w:t>
      </w:r>
      <w:r w:rsidR="00D84939">
        <w:t xml:space="preserve"> Nel paragrafo successivo il Governo austriaco ha espresso il logico </w:t>
      </w:r>
      <w:r w:rsidR="00D84939" w:rsidRPr="00D84939">
        <w:t xml:space="preserve">corollario del criterio attributivo dell’apparenza della funzione, sostenendo che </w:t>
      </w:r>
      <w:r w:rsidRPr="00D84939">
        <w:t xml:space="preserve">lo Stato non è </w:t>
      </w:r>
      <w:r w:rsidR="00D84939" w:rsidRPr="00D84939">
        <w:t xml:space="preserve">invece </w:t>
      </w:r>
      <w:r w:rsidRPr="00D84939">
        <w:t xml:space="preserve">tenuto a rispondere in ambito internazionale dei fatti dei propri organi nel caso in cui, pur avendo agito in qualità ufficiale, </w:t>
      </w:r>
      <w:r w:rsidR="00D84939" w:rsidRPr="00D84939">
        <w:t>hanno tenuto un</w:t>
      </w:r>
      <w:r w:rsidRPr="00D84939">
        <w:t>a condotta al di fuori delle proprie competenze in maniera manifesta</w:t>
      </w:r>
      <w:r w:rsidRPr="00D84939">
        <w:rPr>
          <w:rStyle w:val="Rimandonotaapidipagina"/>
        </w:rPr>
        <w:footnoteReference w:id="244"/>
      </w:r>
      <w:r w:rsidRPr="00D84939">
        <w:t>.</w:t>
      </w:r>
      <w:r w:rsidR="003B2188">
        <w:t xml:space="preserve"> </w:t>
      </w:r>
    </w:p>
    <w:p w:rsidR="00CA5718" w:rsidRDefault="003B2188" w:rsidP="00863EE7">
      <w:pPr>
        <w:spacing w:after="0" w:line="360" w:lineRule="auto"/>
        <w:ind w:firstLine="284"/>
        <w:jc w:val="both"/>
      </w:pPr>
      <w:r>
        <w:lastRenderedPageBreak/>
        <w:t xml:space="preserve">Mentre </w:t>
      </w:r>
      <w:r w:rsidR="00F82533">
        <w:t>alcuni Governi</w:t>
      </w:r>
      <w:r w:rsidR="00CA5718">
        <w:t xml:space="preserve"> sembrano aver implicitamente appoggiato la condizione attributiva dell’apparenza della funzione semplicemente rispondendo in maniera affermativa alla </w:t>
      </w:r>
      <w:r>
        <w:t>domanda posta a</w:t>
      </w:r>
      <w:r w:rsidR="00CA5718">
        <w:t>l punto V, n°2c)</w:t>
      </w:r>
      <w:r w:rsidR="00CA5718">
        <w:rPr>
          <w:rStyle w:val="Rimandonotaapidipagina"/>
        </w:rPr>
        <w:footnoteReference w:id="245"/>
      </w:r>
      <w:r w:rsidR="00CA5718">
        <w:t xml:space="preserve">, i </w:t>
      </w:r>
      <w:r w:rsidR="00CA5718" w:rsidRPr="0054579D">
        <w:t>Governi dell’Australia</w:t>
      </w:r>
      <w:r w:rsidR="00CA5718">
        <w:rPr>
          <w:rStyle w:val="Rimandonotaapidipagina"/>
        </w:rPr>
        <w:footnoteReference w:id="246"/>
      </w:r>
      <w:r w:rsidR="00CA5718" w:rsidRPr="0054579D">
        <w:t>, del Belgio</w:t>
      </w:r>
      <w:r w:rsidR="00CA5718">
        <w:rPr>
          <w:rStyle w:val="Rimandonotaapidipagina"/>
        </w:rPr>
        <w:footnoteReference w:id="247"/>
      </w:r>
      <w:r w:rsidR="00CA5718" w:rsidRPr="0054579D">
        <w:t>, della Gran Bretagna</w:t>
      </w:r>
      <w:r w:rsidR="00CA5718">
        <w:rPr>
          <w:rStyle w:val="Rimandonotaapidipagina"/>
        </w:rPr>
        <w:footnoteReference w:id="248"/>
      </w:r>
      <w:r w:rsidR="00CA5718" w:rsidRPr="0054579D">
        <w:t xml:space="preserve"> e del Giappone</w:t>
      </w:r>
      <w:r w:rsidR="00CA5718">
        <w:rPr>
          <w:rStyle w:val="Rimandonotaapidipagina"/>
        </w:rPr>
        <w:footnoteReference w:id="249"/>
      </w:r>
      <w:r w:rsidR="00CA5718" w:rsidRPr="0054579D">
        <w:t xml:space="preserve"> hanno fatto esplicito riferimento alla condizione attributiva dell’apparenza della funzione riprendendo</w:t>
      </w:r>
      <w:r w:rsidR="00CA5718">
        <w:t xml:space="preserve"> fedelmente </w:t>
      </w:r>
      <w:r w:rsidR="00CA5718" w:rsidRPr="0054579D">
        <w:t>la formula proposta dal Sottocomitato</w:t>
      </w:r>
      <w:r w:rsidR="00CA5718">
        <w:t xml:space="preserve"> con riferimento al pun</w:t>
      </w:r>
      <w:r w:rsidR="00863EE7">
        <w:t xml:space="preserve">to V, N° 2 c). </w:t>
      </w:r>
      <w:r w:rsidR="00CA5718">
        <w:t>I Governi della Bulgaria, della Danimarca, della Cecoslovacchia e degli Stati Uniti non hanno</w:t>
      </w:r>
      <w:r w:rsidR="00863EE7">
        <w:t xml:space="preserve"> invece</w:t>
      </w:r>
      <w:r w:rsidR="00CA5718">
        <w:t xml:space="preserve"> preso chiaramente posizione con riferimento a tale questione</w:t>
      </w:r>
      <w:r w:rsidR="00CA5718">
        <w:rPr>
          <w:rStyle w:val="Rimandonotaapidipagina"/>
        </w:rPr>
        <w:footnoteReference w:id="250"/>
      </w:r>
      <w:r w:rsidR="00892125">
        <w:t>.</w:t>
      </w:r>
    </w:p>
    <w:p w:rsidR="00C0699E" w:rsidRPr="0054579D" w:rsidRDefault="00C0699E" w:rsidP="00EB037D">
      <w:pPr>
        <w:spacing w:after="0" w:line="360" w:lineRule="auto"/>
        <w:ind w:firstLine="284"/>
        <w:jc w:val="both"/>
      </w:pPr>
    </w:p>
    <w:p w:rsidR="00FC5FF3" w:rsidRDefault="00826DA9" w:rsidP="00811E24">
      <w:pPr>
        <w:spacing w:after="0"/>
        <w:ind w:left="360"/>
        <w:jc w:val="both"/>
      </w:pPr>
      <w:r>
        <w:t>3</w:t>
      </w:r>
      <w:r w:rsidR="00892125">
        <w:t xml:space="preserve">. </w:t>
      </w:r>
      <w:r w:rsidR="00FC5FF3">
        <w:t>La base di discussione N° 13 elaborata dal Comitato preparatorio della Conferenza per la codificazione progressiva del diritto internazionale e le posizioni degli Stati nella Conferenza</w:t>
      </w:r>
    </w:p>
    <w:p w:rsidR="00A5016A" w:rsidRDefault="00A5016A" w:rsidP="00811E24">
      <w:pPr>
        <w:spacing w:after="0"/>
        <w:ind w:left="360"/>
        <w:jc w:val="both"/>
      </w:pPr>
    </w:p>
    <w:p w:rsidR="00CA5718" w:rsidRDefault="00CA5718" w:rsidP="003A712E">
      <w:pPr>
        <w:spacing w:after="0" w:line="360" w:lineRule="auto"/>
        <w:ind w:firstLine="284"/>
        <w:jc w:val="both"/>
      </w:pPr>
      <w:r>
        <w:t xml:space="preserve">Dall’analisi delle risposte fornite dai Governi, il Comitato preparatorio ha desunto che la maggioranza degli Stati era favorevole al principio dell’attribuzione allo Stato dei fatti </w:t>
      </w:r>
      <w:r w:rsidRPr="00005B8C">
        <w:rPr>
          <w:i/>
        </w:rPr>
        <w:t>ultra vires</w:t>
      </w:r>
      <w:r>
        <w:t xml:space="preserve"> tenuti d</w:t>
      </w:r>
      <w:r w:rsidR="00B61709">
        <w:t xml:space="preserve">ai propri organi in virtù dell’esigenza </w:t>
      </w:r>
      <w:r>
        <w:t>di garantire la sicurezza delle relazioni internazionali.</w:t>
      </w:r>
      <w:r w:rsidR="00B61709">
        <w:t xml:space="preserve"> S</w:t>
      </w:r>
      <w:r>
        <w:t>e lo Stato non fosse stato ritenuto respons</w:t>
      </w:r>
      <w:r w:rsidR="00C343F1">
        <w:t xml:space="preserve">abile nell’ordinamento </w:t>
      </w:r>
      <w:r>
        <w:t xml:space="preserve">internazionale delle condotte illecite tenute dagli organi </w:t>
      </w:r>
      <w:r w:rsidR="00811E24">
        <w:t xml:space="preserve">(nel proprio territorio come all’estero) </w:t>
      </w:r>
      <w:r>
        <w:t>nel mancato rispett</w:t>
      </w:r>
      <w:r w:rsidR="00EF5696">
        <w:t xml:space="preserve">o delle disposizioni di diritto </w:t>
      </w:r>
      <w:r>
        <w:t xml:space="preserve">interno </w:t>
      </w:r>
      <w:r w:rsidR="00811E24">
        <w:t xml:space="preserve">riguardanti la loro </w:t>
      </w:r>
      <w:r>
        <w:t>competenza sarebbe stato eccessivamente limitato l’intero regime della responsabilità internazionale</w:t>
      </w:r>
      <w:r>
        <w:rPr>
          <w:rStyle w:val="Rimandonotaapidipagina"/>
        </w:rPr>
        <w:footnoteReference w:id="251"/>
      </w:r>
      <w:r>
        <w:t>.</w:t>
      </w:r>
    </w:p>
    <w:p w:rsidR="00CA5718" w:rsidRPr="005D0CC9" w:rsidRDefault="00CA5718" w:rsidP="00EB037D">
      <w:pPr>
        <w:spacing w:after="0" w:line="360" w:lineRule="auto"/>
        <w:ind w:firstLine="284"/>
        <w:jc w:val="both"/>
      </w:pPr>
      <w:r>
        <w:t xml:space="preserve">Sulla base delle risposte fornite dagli Stati al punto V, N° 2b), il Comitato preparatorio ha redatto la base di discussione N° 13 che è stata successivamente presa in considerazione nel </w:t>
      </w:r>
      <w:r>
        <w:lastRenderedPageBreak/>
        <w:t xml:space="preserve">corso della Conferenza per la codificazione del diritto internazionale del 1930. </w:t>
      </w:r>
      <w:r w:rsidRPr="005D0CC9">
        <w:t xml:space="preserve">Il testo di tale base di discussione era il seguente: </w:t>
      </w:r>
    </w:p>
    <w:p w:rsidR="00CA5718" w:rsidRDefault="00CA5718" w:rsidP="00EB037D">
      <w:pPr>
        <w:spacing w:after="0" w:line="360" w:lineRule="auto"/>
        <w:ind w:firstLine="284"/>
        <w:jc w:val="both"/>
      </w:pPr>
    </w:p>
    <w:p w:rsidR="00CA5718" w:rsidRPr="00811E24" w:rsidRDefault="00CA5718" w:rsidP="00EB037D">
      <w:pPr>
        <w:spacing w:after="0" w:line="360" w:lineRule="auto"/>
        <w:ind w:left="567" w:right="567" w:firstLine="284"/>
        <w:jc w:val="both"/>
        <w:rPr>
          <w:lang w:val="fr-FR"/>
        </w:rPr>
      </w:pPr>
      <w:r w:rsidRPr="00811E24">
        <w:rPr>
          <w:lang w:val="fr-FR"/>
        </w:rPr>
        <w:t>“La responsabilité de l’Etat se trouve engagée si le dommage subi par un étranger résulte d’actes accomplis par ses fonctionnaires, m</w:t>
      </w:r>
      <w:r w:rsidRPr="00811E24">
        <w:rPr>
          <w:rFonts w:cstheme="minorHAnsi"/>
          <w:lang w:val="fr-FR"/>
        </w:rPr>
        <w:t>ê</w:t>
      </w:r>
      <w:r w:rsidRPr="00811E24">
        <w:rPr>
          <w:lang w:val="fr-FR"/>
        </w:rPr>
        <w:t>me en dehors de leur compétence, mais en s’autorisant le leur qualité officielle, lorsque ces actes sont contraires aux obligations internationales de l’Etat”</w:t>
      </w:r>
      <w:r w:rsidRPr="00811E24">
        <w:rPr>
          <w:rStyle w:val="Rimandonotaapidipagina"/>
          <w:lang w:val="fr-FR"/>
        </w:rPr>
        <w:footnoteReference w:id="252"/>
      </w:r>
      <w:r w:rsidRPr="00811E24">
        <w:rPr>
          <w:lang w:val="fr-FR"/>
        </w:rPr>
        <w:t xml:space="preserve">.  </w:t>
      </w:r>
    </w:p>
    <w:p w:rsidR="00CA5718" w:rsidRPr="005D0CC9" w:rsidRDefault="00CA5718" w:rsidP="00EB037D">
      <w:pPr>
        <w:spacing w:after="0" w:line="360" w:lineRule="auto"/>
        <w:ind w:firstLine="284"/>
        <w:jc w:val="both"/>
        <w:rPr>
          <w:lang w:val="fr-FR"/>
        </w:rPr>
      </w:pPr>
    </w:p>
    <w:p w:rsidR="003A712E" w:rsidRPr="00F30A60" w:rsidRDefault="00D84939" w:rsidP="00A5357E">
      <w:pPr>
        <w:spacing w:after="0" w:line="360" w:lineRule="auto"/>
        <w:ind w:firstLine="284"/>
        <w:jc w:val="both"/>
        <w:rPr>
          <w:lang w:val="fr-FR"/>
        </w:rPr>
      </w:pPr>
      <w:r>
        <w:t xml:space="preserve">Prendendo atto delle </w:t>
      </w:r>
      <w:r w:rsidRPr="00D84939">
        <w:t>osservazioni formulate</w:t>
      </w:r>
      <w:r w:rsidR="000F3427">
        <w:t xml:space="preserve"> dagli Stati con riferimento</w:t>
      </w:r>
      <w:r w:rsidRPr="00D84939">
        <w:t xml:space="preserve"> </w:t>
      </w:r>
      <w:r w:rsidR="00CA5718" w:rsidRPr="00D84939">
        <w:t>al punto V, N° 2 c) della richiesta di informazion</w:t>
      </w:r>
      <w:r w:rsidRPr="00D84939">
        <w:t>i,</w:t>
      </w:r>
      <w:r w:rsidR="00CA5718" w:rsidRPr="00D84939">
        <w:t xml:space="preserve"> il Comitato preparatorio </w:t>
      </w:r>
      <w:r w:rsidR="000F3427">
        <w:t>ha</w:t>
      </w:r>
      <w:r>
        <w:t xml:space="preserve"> </w:t>
      </w:r>
      <w:r w:rsidR="00A5357E">
        <w:t xml:space="preserve">invece </w:t>
      </w:r>
      <w:r w:rsidRPr="00D84939">
        <w:t>indicato che è sufficiente che un agente diplomatico o consolare adotti un comportamento che rientri “</w:t>
      </w:r>
      <w:r w:rsidRPr="00D84939">
        <w:rPr>
          <w:i/>
        </w:rPr>
        <w:t>dans les limites apparentes des fonctions</w:t>
      </w:r>
      <w:r w:rsidRPr="00D84939">
        <w:t>” affinché lo Stato sia tenuto a risponderne sul piano internazionale</w:t>
      </w:r>
      <w:r w:rsidR="00A5357E">
        <w:rPr>
          <w:rStyle w:val="Rimandonotaapidipagina"/>
        </w:rPr>
        <w:footnoteReference w:id="253"/>
      </w:r>
      <w:r>
        <w:t xml:space="preserve">. </w:t>
      </w:r>
      <w:r w:rsidR="000F3427">
        <w:t xml:space="preserve">Alla luce di tali risposte ha poi </w:t>
      </w:r>
      <w:r w:rsidR="00CA5718">
        <w:t>redatto la base di discussione n° 14, che però non è stata e</w:t>
      </w:r>
      <w:r w:rsidR="00A5357E">
        <w:t xml:space="preserve">saminata per mancanza di tempo. </w:t>
      </w:r>
      <w:r w:rsidR="003A712E" w:rsidRPr="00F30A60">
        <w:rPr>
          <w:lang w:val="fr-FR"/>
        </w:rPr>
        <w:t>Tale base di discussione prevedeva che:</w:t>
      </w:r>
    </w:p>
    <w:p w:rsidR="003A712E" w:rsidRPr="00F30A60" w:rsidRDefault="003A712E" w:rsidP="003A712E">
      <w:pPr>
        <w:spacing w:after="0" w:line="360" w:lineRule="auto"/>
        <w:ind w:firstLine="284"/>
        <w:jc w:val="both"/>
        <w:rPr>
          <w:lang w:val="fr-FR"/>
        </w:rPr>
      </w:pPr>
    </w:p>
    <w:p w:rsidR="003A712E" w:rsidRDefault="003A712E" w:rsidP="003A712E">
      <w:pPr>
        <w:spacing w:after="0" w:line="360" w:lineRule="auto"/>
        <w:ind w:left="567" w:right="567" w:firstLine="284"/>
        <w:jc w:val="both"/>
        <w:rPr>
          <w:lang w:val="fr-FR"/>
        </w:rPr>
      </w:pPr>
      <w:r w:rsidRPr="00947560">
        <w:rPr>
          <w:lang w:val="fr-FR"/>
        </w:rPr>
        <w:t>“Les actes accomplis par les fonctionnaires d’un Etat en pays étranger (tels que les agents diplomatiques ou les consuls) agissant dans les limites apparentes de leur fonctions sont imputables à cet Etat et peuvent, à ce titre, engager la responsabilité de celui-ci”</w:t>
      </w:r>
      <w:r w:rsidRPr="00947560">
        <w:rPr>
          <w:rStyle w:val="Rimandonotaapidipagina"/>
          <w:lang w:val="fr-FR"/>
        </w:rPr>
        <w:footnoteReference w:id="254"/>
      </w:r>
      <w:r w:rsidRPr="00947560">
        <w:rPr>
          <w:lang w:val="fr-FR"/>
        </w:rPr>
        <w:t>.</w:t>
      </w:r>
    </w:p>
    <w:p w:rsidR="003A712E" w:rsidRPr="00947560" w:rsidRDefault="003A712E" w:rsidP="003A712E">
      <w:pPr>
        <w:spacing w:after="0" w:line="360" w:lineRule="auto"/>
        <w:ind w:firstLine="284"/>
        <w:jc w:val="both"/>
        <w:rPr>
          <w:lang w:val="fr-FR"/>
        </w:rPr>
      </w:pPr>
    </w:p>
    <w:p w:rsidR="003A712E" w:rsidRDefault="003A712E" w:rsidP="003A712E">
      <w:pPr>
        <w:spacing w:after="0" w:line="360" w:lineRule="auto"/>
        <w:ind w:firstLine="284"/>
        <w:jc w:val="both"/>
      </w:pPr>
      <w:r>
        <w:t>Proprio a causa delle importanti divergenze sorte in seno alla Terza Commissione con riferimento a tale base di discussione, il delegato italiano ha proposto di sospendere il dibattito e di trattare l’annosa questione in una ulteriore conferenza</w:t>
      </w:r>
      <w:r>
        <w:rPr>
          <w:rStyle w:val="Rimandonotaapidipagina"/>
        </w:rPr>
        <w:footnoteReference w:id="255"/>
      </w:r>
      <w:r>
        <w:t>.</w:t>
      </w:r>
      <w:r w:rsidRPr="003A712E">
        <w:t xml:space="preserve"> </w:t>
      </w:r>
    </w:p>
    <w:p w:rsidR="00C07F86" w:rsidRDefault="00C07F86" w:rsidP="003A712E">
      <w:pPr>
        <w:spacing w:after="0" w:line="360" w:lineRule="auto"/>
        <w:jc w:val="both"/>
      </w:pPr>
    </w:p>
    <w:p w:rsidR="00C07F86" w:rsidRPr="00AD5ABC" w:rsidRDefault="00826DA9" w:rsidP="00AD5ABC">
      <w:pPr>
        <w:spacing w:after="0" w:line="360" w:lineRule="auto"/>
        <w:ind w:firstLine="708"/>
        <w:jc w:val="both"/>
        <w:rPr>
          <w:i/>
        </w:rPr>
      </w:pPr>
      <w:r>
        <w:t>3</w:t>
      </w:r>
      <w:r w:rsidR="00AD5ABC">
        <w:t xml:space="preserve">.1 </w:t>
      </w:r>
      <w:r w:rsidR="006F3A74" w:rsidRPr="00FC72A4">
        <w:t>Le posizioni</w:t>
      </w:r>
      <w:r w:rsidR="006F3A74">
        <w:t xml:space="preserve"> critiche rispetto all’attribuzione allo Stato dei fatti </w:t>
      </w:r>
      <w:r w:rsidR="006F3A74" w:rsidRPr="00AD5ABC">
        <w:rPr>
          <w:i/>
        </w:rPr>
        <w:t>ultra vires</w:t>
      </w:r>
    </w:p>
    <w:p w:rsidR="00E03F44" w:rsidRDefault="00E03F44" w:rsidP="00E03F44">
      <w:pPr>
        <w:spacing w:after="0" w:line="360" w:lineRule="auto"/>
        <w:ind w:firstLine="284"/>
        <w:jc w:val="both"/>
      </w:pPr>
    </w:p>
    <w:p w:rsidR="00CA5718" w:rsidRDefault="00646E77" w:rsidP="00E03F44">
      <w:pPr>
        <w:spacing w:after="0" w:line="360" w:lineRule="auto"/>
        <w:ind w:firstLine="284"/>
        <w:jc w:val="both"/>
      </w:pPr>
      <w:r>
        <w:t>Nel corso</w:t>
      </w:r>
      <w:r w:rsidR="00CA5718">
        <w:t xml:space="preserve"> del dibattito in seno alla Conferenza per la codificazione del diritto internazionale alcuni Stati hanno proposto di eliminare la base di discussione n° 13. Tale proposta è stata avanzata ad esempio dal delegato del Governo messicano, Suarez, il quale aveva anticipato la tesi dell’impossibilità di attribuire allo Stato i comportamenti adottati dai </w:t>
      </w:r>
      <w:r w:rsidR="00CA5718">
        <w:lastRenderedPageBreak/>
        <w:t xml:space="preserve">propri organi </w:t>
      </w:r>
      <w:r w:rsidR="00CA5718" w:rsidRPr="00B909C2">
        <w:rPr>
          <w:i/>
        </w:rPr>
        <w:t>ultra vires</w:t>
      </w:r>
      <w:r w:rsidR="00CA5718">
        <w:t xml:space="preserve"> già nel dibattito relativo alla base di discussione n° 12 riguardante la responsabilità dello Stato per le condotte tenute entro i limiti della competenza</w:t>
      </w:r>
      <w:r w:rsidR="00CA5718">
        <w:rPr>
          <w:rStyle w:val="Rimandonotaapidipagina"/>
        </w:rPr>
        <w:footnoteReference w:id="256"/>
      </w:r>
      <w:r w:rsidR="00CA5718">
        <w:t>.</w:t>
      </w:r>
    </w:p>
    <w:p w:rsidR="00CA5718" w:rsidRDefault="000B65DE" w:rsidP="00EB037D">
      <w:pPr>
        <w:spacing w:after="0" w:line="360" w:lineRule="auto"/>
        <w:ind w:firstLine="284"/>
        <w:jc w:val="both"/>
      </w:pPr>
      <w:r>
        <w:t>Il delegato egiziano, Badaw</w:t>
      </w:r>
      <w:r w:rsidR="00CA5718">
        <w:t xml:space="preserve">i Pacha, </w:t>
      </w:r>
      <w:r>
        <w:t>si è egualmente espresso a favore dell’</w:t>
      </w:r>
      <w:r w:rsidR="00CA5718">
        <w:t>eliminazione di tale base di discussione in ragione della mancanza di una distinzione tra organi subordinati e superiori ai fini dell’attribuzione di fatti allo Stato. A suo parere soltanto gli organi superiori sarebbero stati in grado di esprimere la volontà statale: pertanto  tutti i loro comportamenti potevano essere considerati fatti st</w:t>
      </w:r>
      <w:r w:rsidR="00C343F1">
        <w:t>atali nell’ordinamento</w:t>
      </w:r>
      <w:r w:rsidR="00CA5718">
        <w:t xml:space="preserve"> internazionale indipendentemente dal rispetto dei limiti della competenza stabiliti dal diritto interno:</w:t>
      </w:r>
    </w:p>
    <w:p w:rsidR="00CA5718" w:rsidRDefault="00CA5718" w:rsidP="00EB037D">
      <w:pPr>
        <w:spacing w:after="0" w:line="360" w:lineRule="auto"/>
        <w:ind w:left="567" w:right="567" w:firstLine="284"/>
        <w:jc w:val="both"/>
      </w:pPr>
    </w:p>
    <w:p w:rsidR="00CA5718" w:rsidRPr="00E03F44" w:rsidRDefault="00CA5718" w:rsidP="00EB037D">
      <w:pPr>
        <w:spacing w:after="0" w:line="360" w:lineRule="auto"/>
        <w:ind w:left="567" w:right="567" w:firstLine="284"/>
        <w:jc w:val="both"/>
        <w:rPr>
          <w:lang w:val="fr-FR"/>
        </w:rPr>
      </w:pPr>
      <w:r w:rsidRPr="00E03F44">
        <w:rPr>
          <w:lang w:val="fr-FR"/>
        </w:rPr>
        <w:t xml:space="preserve">“Dans ce domaine, on ne peut pas se détacher de l’idée, qu’on doit considérer que l’organe officiel qui engage la responsabilité de l’Etat internationalement, doit </w:t>
      </w:r>
      <w:r w:rsidRPr="00E03F44">
        <w:rPr>
          <w:rFonts w:cstheme="minorHAnsi"/>
          <w:lang w:val="fr-FR"/>
        </w:rPr>
        <w:t>ê</w:t>
      </w:r>
      <w:r w:rsidRPr="00E03F44">
        <w:rPr>
          <w:lang w:val="fr-FR"/>
        </w:rPr>
        <w:t>tre capable d’exprimer la volonté de l’Etat….Mais tandis que j’admets sans difficulté qu’un fonctionnaire supérieur exprime la volonté de l’Etat, j’ai les plus grandes difficultés à considérer de m</w:t>
      </w:r>
      <w:r w:rsidRPr="00E03F44">
        <w:rPr>
          <w:rFonts w:cstheme="minorHAnsi"/>
          <w:lang w:val="fr-FR"/>
        </w:rPr>
        <w:t>ê</w:t>
      </w:r>
      <w:r w:rsidRPr="00E03F44">
        <w:rPr>
          <w:lang w:val="fr-FR"/>
        </w:rPr>
        <w:t>me les fonctionnaires subalternes”</w:t>
      </w:r>
      <w:r w:rsidRPr="00E03F44">
        <w:rPr>
          <w:rStyle w:val="Rimandonotaapidipagina"/>
        </w:rPr>
        <w:footnoteReference w:id="257"/>
      </w:r>
      <w:r w:rsidRPr="00E03F44">
        <w:rPr>
          <w:lang w:val="fr-FR"/>
        </w:rPr>
        <w:t xml:space="preserve">. </w:t>
      </w:r>
    </w:p>
    <w:p w:rsidR="00CA5718" w:rsidRPr="00E03F44" w:rsidRDefault="00CA5718" w:rsidP="00EB037D">
      <w:pPr>
        <w:spacing w:after="0" w:line="360" w:lineRule="auto"/>
        <w:ind w:firstLine="284"/>
        <w:jc w:val="both"/>
        <w:rPr>
          <w:lang w:val="fr-FR"/>
        </w:rPr>
      </w:pPr>
    </w:p>
    <w:p w:rsidR="00CA5718" w:rsidRDefault="00CA5718" w:rsidP="00EB037D">
      <w:pPr>
        <w:spacing w:after="0" w:line="360" w:lineRule="auto"/>
        <w:ind w:firstLine="284"/>
        <w:jc w:val="both"/>
      </w:pPr>
      <w:r>
        <w:t xml:space="preserve">Il delegato rumeno, Sipsom, ha invece giustificato la sua proposta di eliminazione della base di discussione in virtù del fatto che l’organo incompetente non può per definizione rappresentare lo Stato e pertanto i comportamenti di un organo che contravviene alle disposizioni di diritto interno in tema di competenza devono essere assimilati a quelli di semplici privati, non essendo in grado di </w:t>
      </w:r>
      <w:r w:rsidR="00D5733D">
        <w:t xml:space="preserve">esprimere </w:t>
      </w:r>
      <w:r>
        <w:t>validamente la volontà statale:</w:t>
      </w:r>
    </w:p>
    <w:p w:rsidR="00CA5718" w:rsidRDefault="00CA5718" w:rsidP="00EB037D">
      <w:pPr>
        <w:spacing w:after="0" w:line="360" w:lineRule="auto"/>
        <w:ind w:firstLine="284"/>
        <w:jc w:val="both"/>
      </w:pPr>
    </w:p>
    <w:p w:rsidR="00CA5718" w:rsidRPr="00E03F44" w:rsidRDefault="00CA5718" w:rsidP="00EB037D">
      <w:pPr>
        <w:spacing w:after="0" w:line="360" w:lineRule="auto"/>
        <w:ind w:left="567" w:right="567" w:firstLine="284"/>
        <w:jc w:val="both"/>
        <w:rPr>
          <w:lang w:val="fr-FR"/>
        </w:rPr>
      </w:pPr>
      <w:r w:rsidRPr="00E03F44">
        <w:rPr>
          <w:lang w:val="fr-FR"/>
        </w:rPr>
        <w:t xml:space="preserve">“L’incompétent par définition ne représente pas l’Etat dans une telle manifestation; ce n’est pas en tant que délégué ou représentant de l’Etat qu’il commet cet acte. Donc, ne représentant pas l’Etat, il ne peut pas l’engager et ne peut le rendre responsable de l’Inexécution d’une obligation internationale qu’il n’a pas la charge de remplir. Qu’est le fonctionnaire incompétent au regard d’un tel acte? Un simple particulier…je crois devoir me rallier à l’opinion </w:t>
      </w:r>
      <w:r w:rsidRPr="00E03F44">
        <w:rPr>
          <w:lang w:val="fr-FR"/>
        </w:rPr>
        <w:lastRenderedPageBreak/>
        <w:t>de ceux qui demandent la suppression de la base de discussion N° 13, ce qui impliquera que, dans le cas d’incompétence, l’Etat n’est pas responsable”</w:t>
      </w:r>
      <w:r w:rsidRPr="00E03F44">
        <w:rPr>
          <w:rStyle w:val="Rimandonotaapidipagina"/>
        </w:rPr>
        <w:footnoteReference w:id="258"/>
      </w:r>
      <w:r w:rsidRPr="00E03F44">
        <w:rPr>
          <w:lang w:val="fr-FR"/>
        </w:rPr>
        <w:t>.</w:t>
      </w:r>
    </w:p>
    <w:p w:rsidR="00CA5718" w:rsidRPr="00B61F97" w:rsidRDefault="00CA5718" w:rsidP="00EB037D">
      <w:pPr>
        <w:spacing w:after="0" w:line="360" w:lineRule="auto"/>
        <w:ind w:firstLine="284"/>
        <w:jc w:val="both"/>
        <w:rPr>
          <w:lang w:val="fr-FR"/>
        </w:rPr>
      </w:pPr>
    </w:p>
    <w:p w:rsidR="00142DE0" w:rsidRDefault="00D5733D" w:rsidP="00890D54">
      <w:pPr>
        <w:spacing w:after="0" w:line="360" w:lineRule="auto"/>
        <w:ind w:firstLine="284"/>
        <w:jc w:val="both"/>
      </w:pPr>
      <w:r>
        <w:t xml:space="preserve">Le </w:t>
      </w:r>
      <w:r w:rsidR="00CA5718">
        <w:t>proposte di soppressione della base di di</w:t>
      </w:r>
      <w:r>
        <w:t>scussione N°13 si fonda</w:t>
      </w:r>
      <w:r w:rsidR="00336C9D">
        <w:t>va</w:t>
      </w:r>
      <w:r>
        <w:t>no</w:t>
      </w:r>
      <w:r w:rsidR="00336C9D">
        <w:t xml:space="preserve"> sull’idea</w:t>
      </w:r>
      <w:r w:rsidR="00CA5718">
        <w:t xml:space="preserve"> che un organo </w:t>
      </w:r>
      <w:r w:rsidR="0015410C">
        <w:t xml:space="preserve">statale </w:t>
      </w:r>
      <w:r w:rsidR="00CA5718">
        <w:t xml:space="preserve">che non è in grado di esprimere validamente la volontà dello Stato non può </w:t>
      </w:r>
      <w:r w:rsidR="00336C9D">
        <w:t>con la propria condotta far sorgere la</w:t>
      </w:r>
      <w:r w:rsidR="00CA5718">
        <w:t xml:space="preserve"> </w:t>
      </w:r>
      <w:r w:rsidR="00142DE0">
        <w:t>sua responsabilità internazionale.</w:t>
      </w:r>
      <w:r w:rsidR="00CA5718">
        <w:t xml:space="preserve"> </w:t>
      </w:r>
      <w:r w:rsidR="0015410C">
        <w:t xml:space="preserve">Mentre per il Governo egiziano solo gli organi </w:t>
      </w:r>
      <w:r w:rsidR="0015410C" w:rsidRPr="0015410C">
        <w:t xml:space="preserve">superiori che agivano </w:t>
      </w:r>
      <w:r w:rsidR="0015410C" w:rsidRPr="0015410C">
        <w:rPr>
          <w:i/>
        </w:rPr>
        <w:t>ex qualitate</w:t>
      </w:r>
      <w:r w:rsidR="0015410C" w:rsidRPr="0015410C">
        <w:t xml:space="preserve"> erano in grado di rappresentare validamente la volontà statale, indipendentemente dalla qualificazione del comportamento tenuto come </w:t>
      </w:r>
      <w:r w:rsidR="0015410C" w:rsidRPr="0015410C">
        <w:rPr>
          <w:i/>
        </w:rPr>
        <w:t xml:space="preserve">ultra vires </w:t>
      </w:r>
      <w:r w:rsidR="0015410C" w:rsidRPr="0015410C">
        <w:t>o meno</w:t>
      </w:r>
      <w:r w:rsidR="0015410C" w:rsidRPr="0015410C">
        <w:rPr>
          <w:i/>
        </w:rPr>
        <w:t>,</w:t>
      </w:r>
      <w:r w:rsidR="0015410C">
        <w:t xml:space="preserve"> </w:t>
      </w:r>
      <w:r w:rsidR="00CA5718" w:rsidRPr="0015410C">
        <w:t>per il Governo rumeno invece</w:t>
      </w:r>
      <w:r w:rsidR="0015410C">
        <w:t>, spettando al diritto interno regolare l’attribuzione di un comportamento dell’individuo-organo allo Stato,</w:t>
      </w:r>
      <w:r w:rsidR="00CA5718" w:rsidRPr="0015410C">
        <w:t xml:space="preserve"> </w:t>
      </w:r>
      <w:r w:rsidR="0015410C">
        <w:t xml:space="preserve">è proprio l’aver agito </w:t>
      </w:r>
      <w:r w:rsidR="0015410C" w:rsidRPr="0015410C">
        <w:rPr>
          <w:i/>
        </w:rPr>
        <w:t>ultra vires</w:t>
      </w:r>
      <w:r w:rsidR="0015410C">
        <w:t xml:space="preserve"> a </w:t>
      </w:r>
      <w:r w:rsidR="00890D54">
        <w:t>renderlo un puro atto individuale.</w:t>
      </w:r>
    </w:p>
    <w:p w:rsidR="00CA5718" w:rsidRDefault="00CA5718" w:rsidP="00EB037D">
      <w:pPr>
        <w:spacing w:after="0" w:line="360" w:lineRule="auto"/>
        <w:ind w:firstLine="284"/>
        <w:jc w:val="both"/>
      </w:pPr>
      <w:r>
        <w:t xml:space="preserve">Nel corso del dibattito Gustavo Guerrero, in qualità di delegato del Salvador, ha continuato a sostenere la tesi da lui espressa nel rapporto del Sottocomitato e ha proposto di sostituire il testo della base di discussione n° 13 con uno nuovo in cui veniva enunciata l’impossibilità di riconoscere lo Stato responsabile per i comportamenti illeciti tenuti dagli organi </w:t>
      </w:r>
      <w:r w:rsidRPr="00C93FF3">
        <w:rPr>
          <w:i/>
        </w:rPr>
        <w:t>ultra vires</w:t>
      </w:r>
      <w:r w:rsidRPr="00DB122C">
        <w:t>:</w:t>
      </w:r>
    </w:p>
    <w:p w:rsidR="00CA5718" w:rsidRPr="00BD465E" w:rsidRDefault="00CA5718" w:rsidP="00EB037D">
      <w:pPr>
        <w:spacing w:after="0" w:line="360" w:lineRule="auto"/>
        <w:ind w:firstLine="284"/>
        <w:jc w:val="both"/>
      </w:pPr>
    </w:p>
    <w:p w:rsidR="00CA5718" w:rsidRPr="00D00063" w:rsidRDefault="00CA5718" w:rsidP="00EB037D">
      <w:pPr>
        <w:spacing w:after="0" w:line="360" w:lineRule="auto"/>
        <w:ind w:left="567" w:right="567" w:firstLine="284"/>
        <w:jc w:val="both"/>
        <w:rPr>
          <w:lang w:val="fr-FR"/>
        </w:rPr>
      </w:pPr>
      <w:r w:rsidRPr="00D00063">
        <w:rPr>
          <w:lang w:val="fr-FR"/>
        </w:rPr>
        <w:t>“La responsabilité de l’Etat ne se trouve pas engagée si le dommage subi par un étranger résulte d’actes accomplis par ses fonctionnaires en dehors de leur compétence m</w:t>
      </w:r>
      <w:r w:rsidRPr="00D00063">
        <w:rPr>
          <w:rFonts w:cstheme="minorHAnsi"/>
          <w:lang w:val="fr-FR"/>
        </w:rPr>
        <w:t>ê</w:t>
      </w:r>
      <w:r w:rsidRPr="00D00063">
        <w:rPr>
          <w:lang w:val="fr-FR"/>
        </w:rPr>
        <w:t>me en s’autorisant de leur qualité officielle ”</w:t>
      </w:r>
      <w:r w:rsidRPr="00D00063">
        <w:rPr>
          <w:rStyle w:val="Rimandonotaapidipagina"/>
        </w:rPr>
        <w:footnoteReference w:id="259"/>
      </w:r>
      <w:r w:rsidRPr="00D00063">
        <w:rPr>
          <w:lang w:val="fr-FR"/>
        </w:rPr>
        <w:t>.</w:t>
      </w:r>
    </w:p>
    <w:p w:rsidR="00332098" w:rsidRPr="00DB122C" w:rsidRDefault="00332098" w:rsidP="00EB037D">
      <w:pPr>
        <w:spacing w:after="0" w:line="360" w:lineRule="auto"/>
        <w:ind w:left="567" w:right="567" w:firstLine="284"/>
        <w:jc w:val="both"/>
        <w:rPr>
          <w:i/>
          <w:lang w:val="fr-FR"/>
        </w:rPr>
      </w:pPr>
    </w:p>
    <w:p w:rsidR="00CA5718" w:rsidRDefault="00CA5718" w:rsidP="009B5477">
      <w:pPr>
        <w:spacing w:after="0" w:line="360" w:lineRule="auto"/>
        <w:ind w:firstLine="284"/>
        <w:jc w:val="both"/>
      </w:pPr>
      <w:r>
        <w:t xml:space="preserve">Le proposte di eliminazione della base di discussione n° 13, una volta messe ai voti in seno alla Terza Commissione, sono state rigettate dalla maggioranza degli Stati e Guerrero </w:t>
      </w:r>
      <w:r w:rsidR="00AB29B8">
        <w:t xml:space="preserve">ha ritirato </w:t>
      </w:r>
      <w:r w:rsidR="00D00063">
        <w:t xml:space="preserve">il </w:t>
      </w:r>
      <w:r>
        <w:t>testo da lui proposto</w:t>
      </w:r>
      <w:r>
        <w:rPr>
          <w:rStyle w:val="Rimandonotaapidipagina"/>
        </w:rPr>
        <w:footnoteReference w:id="260"/>
      </w:r>
      <w:r>
        <w:t>.</w:t>
      </w:r>
    </w:p>
    <w:p w:rsidR="00F1739A" w:rsidRDefault="00F1739A" w:rsidP="009B5477">
      <w:pPr>
        <w:spacing w:after="0" w:line="360" w:lineRule="auto"/>
        <w:ind w:firstLine="284"/>
        <w:jc w:val="both"/>
      </w:pPr>
    </w:p>
    <w:p w:rsidR="00000F45" w:rsidRDefault="00000F45" w:rsidP="009B5477">
      <w:pPr>
        <w:spacing w:after="0" w:line="360" w:lineRule="auto"/>
        <w:ind w:firstLine="284"/>
        <w:jc w:val="both"/>
      </w:pPr>
    </w:p>
    <w:p w:rsidR="00000F45" w:rsidRDefault="00000F45" w:rsidP="009B5477">
      <w:pPr>
        <w:spacing w:after="0" w:line="360" w:lineRule="auto"/>
        <w:ind w:firstLine="284"/>
        <w:jc w:val="both"/>
      </w:pPr>
    </w:p>
    <w:p w:rsidR="00000F45" w:rsidRDefault="00000F45" w:rsidP="009B5477">
      <w:pPr>
        <w:spacing w:after="0" w:line="360" w:lineRule="auto"/>
        <w:ind w:firstLine="284"/>
        <w:jc w:val="both"/>
      </w:pPr>
    </w:p>
    <w:p w:rsidR="00CA5718" w:rsidRDefault="00826DA9" w:rsidP="00AD5ABC">
      <w:pPr>
        <w:spacing w:after="0" w:line="360" w:lineRule="auto"/>
        <w:ind w:left="708"/>
        <w:jc w:val="both"/>
      </w:pPr>
      <w:r>
        <w:lastRenderedPageBreak/>
        <w:t>3</w:t>
      </w:r>
      <w:r w:rsidR="00AD5ABC">
        <w:t xml:space="preserve">.2 </w:t>
      </w:r>
      <w:r w:rsidR="00FC72A4">
        <w:t xml:space="preserve"> </w:t>
      </w:r>
      <w:r w:rsidR="00CA5718">
        <w:t xml:space="preserve">L’orientamento favorevole al principio dell’attribuzione dei fatti </w:t>
      </w:r>
      <w:r w:rsidR="00CA5718" w:rsidRPr="00FC72A4">
        <w:rPr>
          <w:i/>
        </w:rPr>
        <w:t>ultra vires</w:t>
      </w:r>
      <w:r w:rsidR="00AD5ABC">
        <w:t xml:space="preserve"> accolto</w:t>
      </w:r>
      <w:r w:rsidR="00CA5718">
        <w:t xml:space="preserve"> </w:t>
      </w:r>
      <w:r w:rsidR="00FC5FF3">
        <w:t xml:space="preserve">nella </w:t>
      </w:r>
      <w:r w:rsidR="00CA5718">
        <w:t>base di discussione N° 13</w:t>
      </w:r>
      <w:r w:rsidR="00CA5718">
        <w:tab/>
      </w:r>
    </w:p>
    <w:p w:rsidR="003A712E" w:rsidRDefault="003A712E" w:rsidP="009B5477">
      <w:pPr>
        <w:pStyle w:val="Paragrafoelenco"/>
        <w:spacing w:after="0" w:line="360" w:lineRule="auto"/>
        <w:ind w:left="1352"/>
        <w:jc w:val="both"/>
      </w:pPr>
    </w:p>
    <w:p w:rsidR="00CA5718" w:rsidRDefault="003A712E" w:rsidP="00D451EC">
      <w:pPr>
        <w:spacing w:after="0" w:line="360" w:lineRule="auto"/>
        <w:ind w:firstLine="284"/>
        <w:jc w:val="both"/>
      </w:pPr>
      <w:r>
        <w:t xml:space="preserve">Il principio dell’attribuzione allo Stato delle condotte tenute </w:t>
      </w:r>
      <w:r w:rsidRPr="0024118A">
        <w:rPr>
          <w:i/>
        </w:rPr>
        <w:t>ex officio</w:t>
      </w:r>
      <w:r>
        <w:t xml:space="preserve"> dai propri organi in violazione delle istruzioni ricevute, della propria competenza secondo il diritto </w:t>
      </w:r>
      <w:r w:rsidRPr="0024118A">
        <w:t>interno o comunque in violazione del diritto interno</w:t>
      </w:r>
      <w:r>
        <w:t xml:space="preserve"> è stato accolto dalla maggioranza degli Stati al termine di un acceso dibattito in seno alla terza Commissione della Conferenza di Codificazione</w:t>
      </w:r>
      <w:r>
        <w:rPr>
          <w:rStyle w:val="Rimandonotaapidipagina"/>
        </w:rPr>
        <w:footnoteReference w:id="261"/>
      </w:r>
      <w:r>
        <w:t>.</w:t>
      </w:r>
      <w:r w:rsidR="00D451EC">
        <w:t xml:space="preserve"> </w:t>
      </w:r>
      <w:r w:rsidR="00CA5718">
        <w:t xml:space="preserve">Tra le delegazioni che hanno approvato la base di discussione N° 13, numerose hanno motivato la loro opinione. </w:t>
      </w:r>
    </w:p>
    <w:p w:rsidR="00CA5718" w:rsidRDefault="00CA5718" w:rsidP="00EB037D">
      <w:pPr>
        <w:tabs>
          <w:tab w:val="left" w:pos="3366"/>
        </w:tabs>
        <w:spacing w:after="0" w:line="360" w:lineRule="auto"/>
        <w:ind w:firstLine="284"/>
        <w:jc w:val="both"/>
      </w:pPr>
      <w:r>
        <w:t>Il delegato del Sud Africa, ad esempio,</w:t>
      </w:r>
      <w:r w:rsidRPr="00DF68F7">
        <w:t xml:space="preserve"> </w:t>
      </w:r>
      <w:r>
        <w:t xml:space="preserve">ha sostenuto che lo Stato è tenuto a rispondere in ambito internazionale dei fatti illeciti </w:t>
      </w:r>
      <w:r w:rsidRPr="00F13645">
        <w:rPr>
          <w:i/>
        </w:rPr>
        <w:t>ultra vires</w:t>
      </w:r>
      <w:r>
        <w:t xml:space="preserve"> dei propri organi in ragione di un suo mancato opportuno controllo sul loro operato. Il fondamento del riconoscimento di tali comportamenti come fatti statali risiede in un omesso controllo da parte di altri organi, che ha avuto l’effetto di far partecipare lo Stato alla commissione dell’illecito. In un emendamento proposto con riferimento alla base di discussione n° 13, il delegato sudafricano ha avuto modo di precisare che la responsabilità internazionale dello Stato per comportamenti </w:t>
      </w:r>
      <w:r w:rsidRPr="00092C91">
        <w:rPr>
          <w:i/>
        </w:rPr>
        <w:t>ultra vires</w:t>
      </w:r>
      <w:r>
        <w:t xml:space="preserve"> può sorgere solo se esso, pur possedendo i mezzi per poter impedire la sua adozione, non ha mostrato un livello di diligenza congruo ad uno Stato civilizzato</w:t>
      </w:r>
      <w:r>
        <w:rPr>
          <w:rStyle w:val="Rimandonotaapidipagina"/>
        </w:rPr>
        <w:footnoteReference w:id="262"/>
      </w:r>
      <w:r>
        <w:t>.</w:t>
      </w:r>
    </w:p>
    <w:p w:rsidR="00CA5718" w:rsidRDefault="00CA5718" w:rsidP="00EB037D">
      <w:pPr>
        <w:tabs>
          <w:tab w:val="left" w:pos="3366"/>
        </w:tabs>
        <w:spacing w:after="0" w:line="360" w:lineRule="auto"/>
        <w:ind w:firstLine="284"/>
        <w:jc w:val="both"/>
      </w:pPr>
      <w:r>
        <w:t xml:space="preserve">La teoria appena esposta si differenzia da quella secondo cui può sorgere la responsabilità internazionale dello Stato all’occasione di una condotta </w:t>
      </w:r>
      <w:r w:rsidRPr="006E49B1">
        <w:rPr>
          <w:i/>
        </w:rPr>
        <w:t>ultra vires</w:t>
      </w:r>
      <w:r>
        <w:t xml:space="preserve"> di un proprio organo in base alla mancata prevenzione o repressione del fatto illecito oppure per diniego di giustizia, in quanto considera comunque un tale comportamento un fatto dello Stato.</w:t>
      </w:r>
    </w:p>
    <w:p w:rsidR="00817894" w:rsidRDefault="00CA5718" w:rsidP="00EB037D">
      <w:pPr>
        <w:tabs>
          <w:tab w:val="left" w:pos="3366"/>
        </w:tabs>
        <w:spacing w:after="0" w:line="360" w:lineRule="auto"/>
        <w:ind w:firstLine="284"/>
        <w:jc w:val="both"/>
      </w:pPr>
      <w:r>
        <w:t xml:space="preserve">Guerrero ha fortemente criticato la tesi sostenuta dal delegato sud africano in quanto a suo parere, nonostante lo Stato abbia l’obbligo di vigilare sul buon funzionamento della propria organizzazione interna, esso non è tenuto a rispondere sul piano internazionale dei comportamenti </w:t>
      </w:r>
      <w:r w:rsidRPr="000F263A">
        <w:rPr>
          <w:i/>
        </w:rPr>
        <w:t>ultra vires</w:t>
      </w:r>
      <w:r>
        <w:t xml:space="preserve"> dei propri organi dal momento che non sono in grado di rappresentare validamente la volontà statale. La responsabilità internazionale potrebbe </w:t>
      </w:r>
      <w:r>
        <w:lastRenderedPageBreak/>
        <w:t xml:space="preserve">pertanto sorgere in occasione di una tale condotta soltanto se ulteriori organi omettessero di punire coloro che avevano tenuto il comportamento in ragione dell’assenza di una legislazione adeguata o di una mancata diligenza da parte della autorità. Il fatto attribuibile allo Stato e fonte della sua responsabilità internazionale non sarebbe quindi la condotta </w:t>
      </w:r>
      <w:r w:rsidRPr="003726E0">
        <w:rPr>
          <w:i/>
        </w:rPr>
        <w:t>ultra vires</w:t>
      </w:r>
      <w:r>
        <w:t>, bensì il comportamento illecito tenuto in sua occasione da parte di ulteriori organi statali</w:t>
      </w:r>
      <w:r>
        <w:rPr>
          <w:rStyle w:val="Rimandonotaapidipagina"/>
        </w:rPr>
        <w:footnoteReference w:id="263"/>
      </w:r>
      <w:r>
        <w:t>.</w:t>
      </w:r>
    </w:p>
    <w:p w:rsidR="00CA5718" w:rsidRDefault="00CA5718" w:rsidP="00EB037D">
      <w:pPr>
        <w:tabs>
          <w:tab w:val="left" w:pos="3366"/>
        </w:tabs>
        <w:spacing w:after="0" w:line="360" w:lineRule="auto"/>
        <w:ind w:firstLine="284"/>
        <w:jc w:val="both"/>
      </w:pPr>
      <w:r>
        <w:t xml:space="preserve">Il delegato dell’India ha invece affermato la responsabilità internazionale dello Stato per comportamenti </w:t>
      </w:r>
      <w:r w:rsidRPr="00344C33">
        <w:rPr>
          <w:i/>
        </w:rPr>
        <w:t>ultra vires</w:t>
      </w:r>
      <w:r>
        <w:t xml:space="preserve"> dei propri organi in virtù della </w:t>
      </w:r>
      <w:r w:rsidRPr="009E079F">
        <w:t>teoria del rischio statale</w:t>
      </w:r>
      <w:r w:rsidRPr="009E079F">
        <w:rPr>
          <w:rStyle w:val="Rimandonotaapidipagina"/>
        </w:rPr>
        <w:footnoteReference w:id="264"/>
      </w:r>
      <w:r w:rsidRPr="009E079F">
        <w:t xml:space="preserve">. Sulla base dell’assunto che i danni derivanti da un’imperfezione del </w:t>
      </w:r>
      <w:r w:rsidR="00BC0C8A" w:rsidRPr="009E079F">
        <w:t xml:space="preserve">sistema </w:t>
      </w:r>
      <w:r w:rsidRPr="009E079F">
        <w:t>governativo devono</w:t>
      </w:r>
      <w:r>
        <w:t xml:space="preserve"> essere supportati </w:t>
      </w:r>
      <w:r w:rsidR="00BC0C8A">
        <w:t>dall’intera comunità anziché da</w:t>
      </w:r>
      <w:r>
        <w:t xml:space="preserve"> singoli individui, egli arrivava a riconoscere un obbligo per lo Stato di rispon</w:t>
      </w:r>
      <w:r w:rsidR="007030D7">
        <w:t>dere nell’ordinamento</w:t>
      </w:r>
      <w:r>
        <w:t xml:space="preserve"> internazionale delle condotte </w:t>
      </w:r>
      <w:r w:rsidRPr="00B5728B">
        <w:rPr>
          <w:i/>
        </w:rPr>
        <w:t>ultra vires</w:t>
      </w:r>
      <w:r>
        <w:t xml:space="preserve"> dei propri organi derivanti da carenze della sua organizzazione interna</w:t>
      </w:r>
      <w:r>
        <w:rPr>
          <w:rStyle w:val="Rimandonotaapidipagina"/>
        </w:rPr>
        <w:footnoteReference w:id="265"/>
      </w:r>
      <w:r>
        <w:t>.</w:t>
      </w:r>
    </w:p>
    <w:p w:rsidR="00CA5718" w:rsidRDefault="00CA5718" w:rsidP="00EB037D">
      <w:pPr>
        <w:tabs>
          <w:tab w:val="left" w:pos="3366"/>
        </w:tabs>
        <w:spacing w:after="0" w:line="360" w:lineRule="auto"/>
        <w:ind w:firstLine="284"/>
        <w:jc w:val="both"/>
      </w:pPr>
      <w:r>
        <w:t>De Visscher, in qualità di delegato del Belgio, ha sostenuto che il comportamento di un organo che ha ecceduto la propria competenza non può essere considerato un fatto dello Stato. Partendo da tale assunto, egli però giungeva ad ammettere che lo Stato è tenuto a riparare i danni commessi da un proprio organo sulla base del legame intercorrente tra l’organo responsabile e lo Stato che lo ha istituito, indipendentemente dalla circostanza che questo abbia agito nel rispetto della propria competenza.</w:t>
      </w:r>
    </w:p>
    <w:p w:rsidR="00CA5718" w:rsidRDefault="00CA5718" w:rsidP="00EB037D">
      <w:pPr>
        <w:tabs>
          <w:tab w:val="left" w:pos="3366"/>
        </w:tabs>
        <w:spacing w:after="0" w:line="360" w:lineRule="auto"/>
        <w:ind w:firstLine="284"/>
        <w:jc w:val="both"/>
      </w:pPr>
      <w:r>
        <w:t xml:space="preserve">Il fondamento della responsabilità internazionale dello Stato per comportamenti </w:t>
      </w:r>
      <w:r w:rsidRPr="00065323">
        <w:rPr>
          <w:i/>
        </w:rPr>
        <w:t>ultra vires</w:t>
      </w:r>
      <w:r w:rsidR="00C239EF">
        <w:t xml:space="preserve"> dei propri organi risiederebbe</w:t>
      </w:r>
      <w:r>
        <w:t xml:space="preserve"> a suo parere nella esigenza di garantire la sicurezza delle relazioni internazionali che diverrebbe del tutto illusoria nel caso in cui uno Stato potesse sottrarsi alla sua responsabilità internazionale facendo valere il mancato rispetto da parte dell’organo delle disposizioni di diritto interno</w:t>
      </w:r>
      <w:r>
        <w:rPr>
          <w:rStyle w:val="Rimandonotaapidipagina"/>
        </w:rPr>
        <w:footnoteReference w:id="266"/>
      </w:r>
      <w:r>
        <w:t>.</w:t>
      </w:r>
    </w:p>
    <w:p w:rsidR="00CA5718" w:rsidRDefault="00CA5718" w:rsidP="00EB037D">
      <w:pPr>
        <w:tabs>
          <w:tab w:val="left" w:pos="3366"/>
        </w:tabs>
        <w:spacing w:after="0" w:line="360" w:lineRule="auto"/>
        <w:ind w:firstLine="284"/>
        <w:jc w:val="both"/>
      </w:pPr>
      <w:r>
        <w:t>La responsabilità internazionale dello Stato fondata sulla sicurezza delle relazioni internazionali ha una natura prettamente oggettiva, “</w:t>
      </w:r>
      <w:r w:rsidRPr="00C154A3">
        <w:rPr>
          <w:i/>
        </w:rPr>
        <w:t>fondée sur le seul rapport de causalité entre l’activité d’un Etat et le fait contraire au droit international</w:t>
      </w:r>
      <w:r>
        <w:t>”</w:t>
      </w:r>
      <w:r>
        <w:rPr>
          <w:rStyle w:val="Rimandonotaapidipagina"/>
        </w:rPr>
        <w:footnoteReference w:id="267"/>
      </w:r>
      <w:r>
        <w:t xml:space="preserve">. </w:t>
      </w:r>
    </w:p>
    <w:p w:rsidR="00CA5718" w:rsidRDefault="00CA5718" w:rsidP="00EB037D">
      <w:pPr>
        <w:tabs>
          <w:tab w:val="left" w:pos="3366"/>
        </w:tabs>
        <w:spacing w:after="0" w:line="360" w:lineRule="auto"/>
        <w:ind w:firstLine="284"/>
        <w:jc w:val="both"/>
      </w:pPr>
      <w:r>
        <w:t>Ricordando che uno straniero non è tenuto a conoscere “</w:t>
      </w:r>
      <w:r w:rsidRPr="0080451E">
        <w:rPr>
          <w:i/>
        </w:rPr>
        <w:t>exactement les limites de la compétence du fonctionnaire</w:t>
      </w:r>
      <w:r>
        <w:t>”, il delegato svizzero, Dinichert, ha affermato che lo Stato è tenuto a rispondere sul piano internazionale delle condotte dei propri organi “</w:t>
      </w:r>
      <w:r w:rsidRPr="000A07C0">
        <w:rPr>
          <w:i/>
        </w:rPr>
        <w:t xml:space="preserve">aussi </w:t>
      </w:r>
      <w:r w:rsidRPr="000A07C0">
        <w:rPr>
          <w:i/>
        </w:rPr>
        <w:lastRenderedPageBreak/>
        <w:t>longte</w:t>
      </w:r>
      <w:r w:rsidR="001472B4">
        <w:rPr>
          <w:i/>
        </w:rPr>
        <w:t>mps que l’incompétence n’apparaî</w:t>
      </w:r>
      <w:r w:rsidRPr="000A07C0">
        <w:rPr>
          <w:i/>
        </w:rPr>
        <w:t>t pas d’une manière manifeste</w:t>
      </w:r>
      <w:r>
        <w:t>”</w:t>
      </w:r>
      <w:r>
        <w:rPr>
          <w:rStyle w:val="Rimandonotaapidipagina"/>
        </w:rPr>
        <w:footnoteReference w:id="268"/>
      </w:r>
      <w:r>
        <w:t>.</w:t>
      </w:r>
      <w:r w:rsidRPr="000A07C0">
        <w:t xml:space="preserve"> </w:t>
      </w:r>
      <w:r>
        <w:t xml:space="preserve">Dopo aver poi </w:t>
      </w:r>
      <w:r w:rsidR="00F843A9">
        <w:t xml:space="preserve">sostenuto </w:t>
      </w:r>
      <w:r>
        <w:t xml:space="preserve">che la responsabilità internazionale dello Stato deve essere </w:t>
      </w:r>
      <w:r w:rsidR="001472B4">
        <w:t xml:space="preserve">ammessa </w:t>
      </w:r>
      <w:r>
        <w:t>con riferimento alle condotte illecite tenute dai propri organi nel quadro apparente delle loro funzioni, il delegato svizzero ha fatto allusione anche alla base di discussione N° 14, affermando che i medesimi principi dovevano essere ammessi senza alcuna distinzione sia con riferimento ai funzionari sul suolo nazionale sia ai diplomatici o consoli all’estero</w:t>
      </w:r>
      <w:r>
        <w:rPr>
          <w:rStyle w:val="Rimandonotaapidipagina"/>
        </w:rPr>
        <w:footnoteReference w:id="269"/>
      </w:r>
      <w:r>
        <w:t>.</w:t>
      </w:r>
    </w:p>
    <w:p w:rsidR="00CA5718" w:rsidRDefault="00CA5718" w:rsidP="00EB037D">
      <w:pPr>
        <w:tabs>
          <w:tab w:val="left" w:pos="3366"/>
        </w:tabs>
        <w:spacing w:after="0" w:line="360" w:lineRule="auto"/>
        <w:ind w:firstLine="284"/>
        <w:jc w:val="both"/>
      </w:pPr>
      <w:r w:rsidRPr="00002E52">
        <w:t>Nonostante il diritto interno francese non preve</w:t>
      </w:r>
      <w:r w:rsidR="00111066">
        <w:t>desse</w:t>
      </w:r>
      <w:r w:rsidRPr="00002E52">
        <w:t xml:space="preserve"> la responsabilità dello Stato per i comportamenti irregolari dei propri organi, il delegato della Francia ha invece sostenuto che lo Stato d</w:t>
      </w:r>
      <w:r w:rsidR="00111066">
        <w:t>eve rispondere nell’ordinamento</w:t>
      </w:r>
      <w:r w:rsidRPr="00002E52">
        <w:t xml:space="preserve"> internazionale dei loro fatti illeciti </w:t>
      </w:r>
      <w:r w:rsidRPr="00002E52">
        <w:rPr>
          <w:i/>
        </w:rPr>
        <w:t>ultra vires</w:t>
      </w:r>
      <w:r w:rsidRPr="00002E52">
        <w:t xml:space="preserve"> in virtù della circostanza che gli stranieri non hanno la possibilità di partecipare all’organizzazione interna dello Stato e non devono pertanto</w:t>
      </w:r>
      <w:r>
        <w:t xml:space="preserve"> essere chiamati a subire le conseguenze di comportamenti di organi che non hanno scelto</w:t>
      </w:r>
      <w:r>
        <w:rPr>
          <w:rStyle w:val="Rimandonotaapidipagina"/>
        </w:rPr>
        <w:footnoteReference w:id="270"/>
      </w:r>
      <w:r>
        <w:t xml:space="preserve">. </w:t>
      </w:r>
    </w:p>
    <w:p w:rsidR="00CA5718" w:rsidRPr="00726F77" w:rsidRDefault="00CA5718" w:rsidP="00EB037D">
      <w:pPr>
        <w:autoSpaceDE w:val="0"/>
        <w:autoSpaceDN w:val="0"/>
        <w:adjustRightInd w:val="0"/>
        <w:spacing w:after="0" w:line="360" w:lineRule="auto"/>
        <w:ind w:firstLine="284"/>
        <w:jc w:val="both"/>
      </w:pPr>
      <w:r w:rsidRPr="00EF3CE9">
        <w:t xml:space="preserve">Il </w:t>
      </w:r>
      <w:r w:rsidR="0074610E">
        <w:t xml:space="preserve">delegato </w:t>
      </w:r>
      <w:r w:rsidRPr="00EF3CE9">
        <w:t>del Governo francese ha inoltre chiarito che ai fini del sorgere della responsabilità internazionale</w:t>
      </w:r>
      <w:r>
        <w:t xml:space="preserve"> di uno Stato per fatto illecito tenuto da un organo al di là delle proprie competenze è necessario che lo straniero abbia potuto credere che questo stesse agendo nell’esercizio delle proprie funzioni. </w:t>
      </w:r>
      <w:r w:rsidRPr="00726F77">
        <w:t>Riprendendo la tesi sostenuta dal Governo svizzero, egli ha affermato che :</w:t>
      </w:r>
    </w:p>
    <w:p w:rsidR="00CA5718" w:rsidRDefault="00CA5718" w:rsidP="00EB037D">
      <w:pPr>
        <w:autoSpaceDE w:val="0"/>
        <w:autoSpaceDN w:val="0"/>
        <w:adjustRightInd w:val="0"/>
        <w:spacing w:after="0" w:line="360" w:lineRule="auto"/>
        <w:ind w:firstLine="284"/>
        <w:jc w:val="both"/>
      </w:pPr>
    </w:p>
    <w:p w:rsidR="00CA5718" w:rsidRPr="00F843A9" w:rsidRDefault="00CA5718" w:rsidP="00EB037D">
      <w:pPr>
        <w:autoSpaceDE w:val="0"/>
        <w:autoSpaceDN w:val="0"/>
        <w:adjustRightInd w:val="0"/>
        <w:spacing w:after="0" w:line="360" w:lineRule="auto"/>
        <w:ind w:left="567" w:right="567" w:firstLine="284"/>
        <w:jc w:val="both"/>
        <w:rPr>
          <w:lang w:val="fr-FR"/>
        </w:rPr>
      </w:pPr>
      <w:r w:rsidRPr="00F843A9">
        <w:t xml:space="preserve"> </w:t>
      </w:r>
      <w:r w:rsidRPr="00F843A9">
        <w:rPr>
          <w:lang w:val="fr-FR"/>
        </w:rPr>
        <w:t xml:space="preserve">“…pour que la responsabilité de l’État soit engagée il faut que l’acte commis par le fonctionnaire en dehors de sa compétence l’ait été dans des conditions telles que l’étranger ait pu croire que le fonctionnaire agissait dans l’exercice de ses fonctions….L’élément essentiel, en pareille matière, c’est la tromperie dont l’étranger a pu </w:t>
      </w:r>
      <w:r w:rsidRPr="00F843A9">
        <w:rPr>
          <w:rFonts w:cs="Calibri"/>
          <w:lang w:val="fr-FR"/>
        </w:rPr>
        <w:t>ê</w:t>
      </w:r>
      <w:r w:rsidRPr="00F843A9">
        <w:rPr>
          <w:lang w:val="fr-FR"/>
        </w:rPr>
        <w:t>tre victime. Il faut que l’étranger, peu au courant des moeurs, des usages, de l’organisation administrative du pays dans lequel il vit, ait pu croire que l’agent de l’administration agissait dans l’exercice de ses fonctions”</w:t>
      </w:r>
      <w:r w:rsidRPr="00F843A9">
        <w:rPr>
          <w:rStyle w:val="Rimandonotaapidipagina"/>
        </w:rPr>
        <w:footnoteReference w:id="271"/>
      </w:r>
      <w:r w:rsidRPr="00F843A9">
        <w:rPr>
          <w:lang w:val="fr-FR"/>
        </w:rPr>
        <w:t xml:space="preserve">. </w:t>
      </w:r>
    </w:p>
    <w:p w:rsidR="00FD57E7" w:rsidRPr="00F843A9" w:rsidRDefault="00FD57E7" w:rsidP="00EB037D">
      <w:pPr>
        <w:autoSpaceDE w:val="0"/>
        <w:autoSpaceDN w:val="0"/>
        <w:adjustRightInd w:val="0"/>
        <w:spacing w:after="0" w:line="360" w:lineRule="auto"/>
        <w:ind w:left="567" w:right="567" w:firstLine="284"/>
        <w:jc w:val="both"/>
        <w:rPr>
          <w:lang w:val="fr-FR"/>
        </w:rPr>
      </w:pPr>
    </w:p>
    <w:p w:rsidR="00CA5718" w:rsidRPr="00A07DDB" w:rsidRDefault="00CA5718" w:rsidP="00EB037D">
      <w:pPr>
        <w:autoSpaceDE w:val="0"/>
        <w:autoSpaceDN w:val="0"/>
        <w:adjustRightInd w:val="0"/>
        <w:spacing w:after="0" w:line="360" w:lineRule="auto"/>
        <w:ind w:firstLine="284"/>
        <w:jc w:val="both"/>
      </w:pPr>
      <w:r w:rsidRPr="00A07DDB">
        <w:lastRenderedPageBreak/>
        <w:t xml:space="preserve">Potrebbero quindi essere attribuiti allo Stato soltanto quei comportamenti adottati da un </w:t>
      </w:r>
      <w:r w:rsidR="0074610E">
        <w:t xml:space="preserve">organo che, nonostante l’effettivo </w:t>
      </w:r>
      <w:r w:rsidRPr="00A07DDB">
        <w:t xml:space="preserve">superamento dei limiti delle proprie funzioni, appaiono ai terzi come tenuti nel rispetto della competenza. </w:t>
      </w:r>
      <w:r>
        <w:t>La condizione attributiva dell’apparenza della funzione finirebbe per dare rilievo al punto di vista della vittima, che</w:t>
      </w:r>
      <w:r w:rsidR="0074610E">
        <w:t>,</w:t>
      </w:r>
      <w:r>
        <w:t xml:space="preserve"> al momento del compimento del fatto illecito, ha commesso in buona fede un errore di apprezzamento. Il corollario di tale criterio risiede quindi nell’impossibilità di </w:t>
      </w:r>
      <w:r w:rsidR="0074610E">
        <w:t xml:space="preserve">considerare </w:t>
      </w:r>
      <w:r>
        <w:t>come fatti dello Stato nell’ordinamento internazionale i comportamenti illeciti adottati dai propri organi n</w:t>
      </w:r>
      <w:r w:rsidR="00CA1495">
        <w:t>el caso in cui la vittima av</w:t>
      </w:r>
      <w:r w:rsidR="0074610E">
        <w:t>ess</w:t>
      </w:r>
      <w:r>
        <w:t>e potuto rendersi conto della loro effettiva incompetenza.</w:t>
      </w:r>
    </w:p>
    <w:p w:rsidR="00CA5718" w:rsidRDefault="00CA5718" w:rsidP="00F843A9">
      <w:pPr>
        <w:tabs>
          <w:tab w:val="left" w:pos="3366"/>
        </w:tabs>
        <w:spacing w:after="0" w:line="360" w:lineRule="auto"/>
        <w:ind w:firstLine="284"/>
        <w:jc w:val="both"/>
      </w:pPr>
      <w:r>
        <w:t xml:space="preserve">Il delegato statunitense, pur </w:t>
      </w:r>
      <w:r w:rsidR="00F843A9">
        <w:t>condividendo</w:t>
      </w:r>
      <w:r w:rsidR="0074610E">
        <w:t xml:space="preserve"> </w:t>
      </w:r>
      <w:r>
        <w:t>la</w:t>
      </w:r>
      <w:r w:rsidR="00F843A9">
        <w:t xml:space="preserve"> tesi della</w:t>
      </w:r>
      <w:r>
        <w:t xml:space="preserve"> responsabilità internazionale dello Stato per le </w:t>
      </w:r>
      <w:r w:rsidRPr="005926A1">
        <w:t>condotte</w:t>
      </w:r>
      <w:r w:rsidRPr="004D77B1">
        <w:rPr>
          <w:i/>
        </w:rPr>
        <w:t xml:space="preserve"> ultra vires</w:t>
      </w:r>
      <w:r>
        <w:t xml:space="preserve"> dei propri organi, riteneva che la formulazione della base di discussione N° 13 non fosse del tutto corretta. A suo parere, il criterio risultava eccessivame</w:t>
      </w:r>
      <w:r w:rsidR="00F843A9">
        <w:t xml:space="preserve">nte restrittivo là dove </w:t>
      </w:r>
      <w:r>
        <w:t xml:space="preserve">stabiliva che uno Stato deve ritenersi internazionalmente responsabile di un comportamento </w:t>
      </w:r>
      <w:r w:rsidRPr="005926A1">
        <w:rPr>
          <w:i/>
        </w:rPr>
        <w:t>ultra vires</w:t>
      </w:r>
      <w:r>
        <w:t xml:space="preserve"> di un proprio organo solo nel caso in cui abbia effettivamente agito nel quadro generale delle competenze, essendo invece sufficiente </w:t>
      </w:r>
      <w:r w:rsidR="00F843A9">
        <w:t xml:space="preserve">a suo avviso </w:t>
      </w:r>
      <w:r>
        <w:t xml:space="preserve">ai fini attributivi che abbia agito </w:t>
      </w:r>
      <w:r w:rsidRPr="005926A1">
        <w:rPr>
          <w:i/>
        </w:rPr>
        <w:t>ex officio</w:t>
      </w:r>
      <w:r w:rsidR="00F843A9">
        <w:t xml:space="preserve">. </w:t>
      </w:r>
      <w:r>
        <w:t>Allo stesso tempo reputava che lo Stato non fosse tenuto a rispondere in ambito internazionale delle condotte tenute dall’organo manifestamente fuori dall’ambito della propria competenza, non esistendo alcun tipo di legame tra il comportamento e la funzione ufficiale svolta</w:t>
      </w:r>
      <w:r>
        <w:rPr>
          <w:rStyle w:val="Rimandonotaapidipagina"/>
        </w:rPr>
        <w:footnoteReference w:id="272"/>
      </w:r>
      <w:r>
        <w:t>.</w:t>
      </w:r>
    </w:p>
    <w:p w:rsidR="00CA5718" w:rsidRDefault="00CA5718" w:rsidP="00EB037D">
      <w:pPr>
        <w:tabs>
          <w:tab w:val="left" w:pos="3366"/>
        </w:tabs>
        <w:spacing w:after="0" w:line="360" w:lineRule="auto"/>
        <w:ind w:firstLine="284"/>
        <w:jc w:val="both"/>
      </w:pPr>
      <w:r>
        <w:t>Un altro Stato</w:t>
      </w:r>
      <w:r w:rsidR="00AE0B4F">
        <w:t xml:space="preserve"> </w:t>
      </w:r>
      <w:r w:rsidR="00F843A9">
        <w:t xml:space="preserve">tra quelli sostanzialmente favorevoli al principio enunciato nella </w:t>
      </w:r>
      <w:r>
        <w:t>base di discussione N° 13</w:t>
      </w:r>
      <w:r w:rsidR="00AE0B4F">
        <w:t>, ma che ne ha criticato la formulazione,</w:t>
      </w:r>
      <w:r>
        <w:t xml:space="preserve"> è stato il Giappone, il cui delegato ha sottolineato che doveva essere ammessa l’attribuzione di fatti </w:t>
      </w:r>
      <w:r w:rsidRPr="00DB48EC">
        <w:rPr>
          <w:i/>
        </w:rPr>
        <w:t>ultra vires</w:t>
      </w:r>
      <w:r>
        <w:t xml:space="preserve"> allo Stato solo  nell’even</w:t>
      </w:r>
      <w:r w:rsidR="0074610E">
        <w:t>tualità in cui  l’organo apparisse</w:t>
      </w:r>
      <w:r>
        <w:t xml:space="preserve"> all’esterno come aver agito nella sua qualità ufficiale</w:t>
      </w:r>
      <w:r>
        <w:rPr>
          <w:rStyle w:val="Rimandonotaapidipagina"/>
        </w:rPr>
        <w:footnoteReference w:id="273"/>
      </w:r>
      <w:r>
        <w:t>.</w:t>
      </w:r>
    </w:p>
    <w:p w:rsidR="00CA5718" w:rsidRDefault="00CA5718" w:rsidP="00EB037D">
      <w:pPr>
        <w:tabs>
          <w:tab w:val="left" w:pos="3366"/>
        </w:tabs>
        <w:spacing w:after="0" w:line="360" w:lineRule="auto"/>
        <w:ind w:firstLine="284"/>
        <w:jc w:val="both"/>
      </w:pPr>
    </w:p>
    <w:p w:rsidR="00CA5718" w:rsidRDefault="00826DA9" w:rsidP="002E7C4A">
      <w:pPr>
        <w:spacing w:after="0" w:line="360" w:lineRule="auto"/>
        <w:ind w:firstLine="708"/>
      </w:pPr>
      <w:r>
        <w:t>3</w:t>
      </w:r>
      <w:r w:rsidR="002E7C4A">
        <w:t xml:space="preserve">.3 </w:t>
      </w:r>
      <w:r w:rsidR="00CA5718">
        <w:t>L’emendamento proposto dalla delegazione svizzera</w:t>
      </w:r>
    </w:p>
    <w:p w:rsidR="00CA5718" w:rsidRDefault="00CA5718" w:rsidP="00EB037D">
      <w:pPr>
        <w:spacing w:after="0" w:line="360" w:lineRule="auto"/>
        <w:ind w:left="360" w:firstLine="284"/>
      </w:pPr>
    </w:p>
    <w:p w:rsidR="00CA5718" w:rsidRDefault="00CA5718" w:rsidP="00EB037D">
      <w:pPr>
        <w:spacing w:after="0" w:line="360" w:lineRule="auto"/>
        <w:ind w:firstLine="284"/>
        <w:jc w:val="both"/>
      </w:pPr>
      <w:r>
        <w:t xml:space="preserve">Pur ammettendo il principio della responsabilità internazionale dello Stato per i fatti illeciti </w:t>
      </w:r>
      <w:r w:rsidRPr="00535DCC">
        <w:rPr>
          <w:i/>
        </w:rPr>
        <w:t>ultra vires</w:t>
      </w:r>
      <w:r>
        <w:t xml:space="preserve"> dei propri organi, alcuni Stati hanno ritenuto che non si trattasse di un principio assoluto.</w:t>
      </w:r>
    </w:p>
    <w:p w:rsidR="00CA5718" w:rsidRDefault="00CA5718" w:rsidP="00EB037D">
      <w:pPr>
        <w:spacing w:after="0" w:line="360" w:lineRule="auto"/>
        <w:ind w:firstLine="284"/>
        <w:jc w:val="both"/>
      </w:pPr>
      <w:r>
        <w:t>Il primo Stato ad aver proposto una limitazione è stato l’Austria nell’ambito della sua risposta al punto V, N° 2b) della richiesta di informazioni preparata dal Comitato di esperti.</w:t>
      </w:r>
    </w:p>
    <w:p w:rsidR="00CA5718" w:rsidRDefault="00CA5718" w:rsidP="00EB037D">
      <w:pPr>
        <w:spacing w:after="0" w:line="360" w:lineRule="auto"/>
        <w:ind w:firstLine="284"/>
        <w:jc w:val="both"/>
      </w:pPr>
      <w:r>
        <w:lastRenderedPageBreak/>
        <w:t xml:space="preserve">Secondo il Governo austriaco, uno Stato è tenuto a rispondere in ambito internazionale dei comportamenti illeciti adottati </w:t>
      </w:r>
      <w:r w:rsidRPr="00011C1D">
        <w:rPr>
          <w:i/>
        </w:rPr>
        <w:t>ultra vires</w:t>
      </w:r>
      <w:r>
        <w:t xml:space="preserve"> dagli organi statali </w:t>
      </w:r>
      <w:r w:rsidR="00D022E2">
        <w:t xml:space="preserve">soltanto se </w:t>
      </w:r>
      <w:r>
        <w:t xml:space="preserve">almeno in apparenza </w:t>
      </w:r>
      <w:r w:rsidR="00FC72A4">
        <w:t xml:space="preserve">hanno </w:t>
      </w:r>
      <w:r>
        <w:t>agito nell’esercizio delle proprie funzioni. Nel paragrafo successivo, la medesima idea è stata espressa in forma negativa, per c</w:t>
      </w:r>
      <w:r w:rsidR="003023CF">
        <w:t>ui viene escluso che uno Stato sia</w:t>
      </w:r>
      <w:r>
        <w:t xml:space="preserve"> internazionalmente responsabile delle condotte illecite tenute dai propri organi nel caso in cui la loro incompetenza</w:t>
      </w:r>
      <w:r w:rsidRPr="001B1F1C">
        <w:t xml:space="preserve"> </w:t>
      </w:r>
      <w:r>
        <w:t>risulta manifesta</w:t>
      </w:r>
      <w:r>
        <w:rPr>
          <w:rStyle w:val="Rimandonotaapidipagina"/>
        </w:rPr>
        <w:footnoteReference w:id="274"/>
      </w:r>
      <w:r>
        <w:t>.</w:t>
      </w:r>
    </w:p>
    <w:p w:rsidR="00CA5718" w:rsidRDefault="00CA5718" w:rsidP="00EB037D">
      <w:pPr>
        <w:spacing w:after="0" w:line="360" w:lineRule="auto"/>
        <w:ind w:firstLine="284"/>
        <w:jc w:val="both"/>
      </w:pPr>
      <w:r>
        <w:t xml:space="preserve">Riprendendo </w:t>
      </w:r>
      <w:r w:rsidR="00FC72A4">
        <w:t xml:space="preserve">la </w:t>
      </w:r>
      <w:r>
        <w:t>form</w:t>
      </w:r>
      <w:r w:rsidR="00FC72A4">
        <w:t>ula negativa proposta da</w:t>
      </w:r>
      <w:r>
        <w:t>l Governo austriaco, la delegazione svizzera ha successivamente presentato alla Terza Commissione un emendamento alla base di discussione N° 13 che prevedeva di escludere la responsabilità internazionale dello Stato nell’ipotesi in cui l’incompetenza dell’organo era man</w:t>
      </w:r>
      <w:r w:rsidR="00ED776F">
        <w:t>ifesta o il comportamento da esso</w:t>
      </w:r>
      <w:r>
        <w:t xml:space="preserve"> adottato non aveva alcun tipo di rapporto con la sua funzione</w:t>
      </w:r>
      <w:r>
        <w:rPr>
          <w:rStyle w:val="Rimandonotaapidipagina"/>
        </w:rPr>
        <w:footnoteReference w:id="275"/>
      </w:r>
      <w:r>
        <w:t>.</w:t>
      </w:r>
    </w:p>
    <w:p w:rsidR="00CA5718" w:rsidRDefault="00CA5718" w:rsidP="00EB037D">
      <w:pPr>
        <w:spacing w:after="0" w:line="360" w:lineRule="auto"/>
        <w:ind w:firstLine="284"/>
        <w:jc w:val="both"/>
      </w:pPr>
      <w:r>
        <w:t xml:space="preserve">La motivazione addotta dal Governo svizzero a favore di una tale limitazione del principio si basa sulla circostanza che uno straniero non ha la possibilità di conoscere gli esatti limiti della competenza di un organo come stabiliti dal diritto interno. Uno Stato pertanto non sarà tenuto a rispondere dei comportamenti illeciti dei propri organi nel caso in cui la loro </w:t>
      </w:r>
      <w:r w:rsidR="0044228C">
        <w:t xml:space="preserve">manifesta </w:t>
      </w:r>
      <w:r>
        <w:t xml:space="preserve">incompetenza </w:t>
      </w:r>
      <w:r w:rsidR="0044228C">
        <w:t>permetteva</w:t>
      </w:r>
      <w:r>
        <w:t xml:space="preserve"> allo straniero di sfuggire agli effetti dannosi provocati dall’abuso di potere del funzionario.</w:t>
      </w:r>
    </w:p>
    <w:p w:rsidR="00CA5718" w:rsidRPr="00F25BDC" w:rsidRDefault="00CA5718" w:rsidP="00EB037D">
      <w:pPr>
        <w:spacing w:after="0" w:line="360" w:lineRule="auto"/>
        <w:ind w:firstLine="284"/>
        <w:jc w:val="both"/>
      </w:pPr>
      <w:r w:rsidRPr="00F25BDC">
        <w:t>Allo stesso tempo, però, la responsabilità internazionale dello Stato non sorge nei casi in cui :</w:t>
      </w:r>
    </w:p>
    <w:p w:rsidR="00CA5718" w:rsidRDefault="00CA5718" w:rsidP="00EB037D">
      <w:pPr>
        <w:spacing w:after="0" w:line="360" w:lineRule="auto"/>
        <w:ind w:firstLine="284"/>
        <w:jc w:val="both"/>
      </w:pPr>
    </w:p>
    <w:p w:rsidR="00CA5718" w:rsidRPr="0044228C" w:rsidRDefault="00CA5718" w:rsidP="00EB037D">
      <w:pPr>
        <w:spacing w:after="0" w:line="360" w:lineRule="auto"/>
        <w:ind w:left="567" w:right="567" w:firstLine="284"/>
        <w:jc w:val="both"/>
        <w:rPr>
          <w:lang w:val="fr-FR"/>
        </w:rPr>
      </w:pPr>
      <w:r w:rsidRPr="0044228C">
        <w:rPr>
          <w:lang w:val="fr-FR"/>
        </w:rPr>
        <w:t>“on se trouve en présence d’un fonctionnaire se comportant de telle manière qu’on puisse dire que, sans aucun doute il ne peut pas agir conformément aux instructions qu’il doit avoir reçues…à supposer, bien entendu, que l’incompétence manifeste qui appara</w:t>
      </w:r>
      <w:r w:rsidRPr="0044228C">
        <w:rPr>
          <w:rFonts w:cstheme="minorHAnsi"/>
          <w:lang w:val="fr-FR"/>
        </w:rPr>
        <w:t>î</w:t>
      </w:r>
      <w:r w:rsidRPr="0044228C">
        <w:rPr>
          <w:lang w:val="fr-FR"/>
        </w:rPr>
        <w:t>t à l’étranger, permit à cet étranger, de telle ou de telle manière, d’échapper aux effets dommageables de l’abus de pouvoir du fonctionnaire”</w:t>
      </w:r>
      <w:r w:rsidRPr="0044228C">
        <w:rPr>
          <w:rStyle w:val="Rimandonotaapidipagina"/>
          <w:lang w:val="fr-FR"/>
        </w:rPr>
        <w:footnoteReference w:id="276"/>
      </w:r>
      <w:r w:rsidRPr="0044228C">
        <w:rPr>
          <w:lang w:val="fr-FR"/>
        </w:rPr>
        <w:t>. </w:t>
      </w:r>
    </w:p>
    <w:p w:rsidR="00FD57E7" w:rsidRDefault="00FD57E7" w:rsidP="00EB037D">
      <w:pPr>
        <w:spacing w:after="0" w:line="360" w:lineRule="auto"/>
        <w:ind w:firstLine="284"/>
        <w:jc w:val="both"/>
        <w:rPr>
          <w:lang w:val="fr-FR"/>
        </w:rPr>
      </w:pPr>
    </w:p>
    <w:p w:rsidR="00CA5718" w:rsidRDefault="00CA5718" w:rsidP="00EB037D">
      <w:pPr>
        <w:spacing w:after="0" w:line="360" w:lineRule="auto"/>
        <w:ind w:firstLine="284"/>
        <w:jc w:val="both"/>
      </w:pPr>
      <w:r>
        <w:t>Numerose delegazioni hanno approvato l’emendamento svizzero, ritenendo insufficiente la base di discussione N°13</w:t>
      </w:r>
      <w:r>
        <w:rPr>
          <w:rStyle w:val="Rimandonotaapidipagina"/>
        </w:rPr>
        <w:footnoteReference w:id="277"/>
      </w:r>
      <w:r>
        <w:t xml:space="preserve">. Tra di esse sembra opportuno citare quella del Governo olandese, il cui delegato ha fatto presente che, ai fini del sorgere della responsabilità </w:t>
      </w:r>
      <w:r>
        <w:lastRenderedPageBreak/>
        <w:t>internazionale dello Stato, è necessario prendere in considerazione un elemento soggettivo, consistente nel chiedersi se lo straniero aveva realmente la possibilità di rendersi conto dell’incompetenza dell’organo</w:t>
      </w:r>
      <w:r>
        <w:rPr>
          <w:rStyle w:val="Rimandonotaapidipagina"/>
        </w:rPr>
        <w:footnoteReference w:id="278"/>
      </w:r>
      <w:r>
        <w:t>.</w:t>
      </w:r>
    </w:p>
    <w:p w:rsidR="00CA5718" w:rsidRDefault="00CA5718" w:rsidP="00EB037D">
      <w:pPr>
        <w:spacing w:after="0" w:line="360" w:lineRule="auto"/>
        <w:ind w:firstLine="284"/>
        <w:jc w:val="both"/>
      </w:pPr>
      <w:r>
        <w:t xml:space="preserve">Anche il delegato del Governo belga, De Visscher, ha ritenuto necessario prevedere una limitazione al principio della responsabilità internazionale dello Stato per i fatti illeciti </w:t>
      </w:r>
      <w:r w:rsidRPr="00C8067D">
        <w:rPr>
          <w:i/>
        </w:rPr>
        <w:t>ultra vires</w:t>
      </w:r>
      <w:r>
        <w:t xml:space="preserve"> dei p</w:t>
      </w:r>
      <w:r w:rsidR="0044228C">
        <w:t>ropri organi: uno straniero può</w:t>
      </w:r>
      <w:r>
        <w:t xml:space="preserve"> rendersi conto quando un organo agisce eccedendo la propria competenza in maniera evidente e deve pertanto sopportarne le conseguenze nel caso in cui abbia cercato di trarne vantaggio</w:t>
      </w:r>
      <w:r>
        <w:rPr>
          <w:rStyle w:val="Rimandonotaapidipagina"/>
        </w:rPr>
        <w:footnoteReference w:id="279"/>
      </w:r>
      <w:r>
        <w:t>.</w:t>
      </w:r>
    </w:p>
    <w:p w:rsidR="00CA5718" w:rsidRDefault="00CA5718" w:rsidP="00EB037D">
      <w:pPr>
        <w:tabs>
          <w:tab w:val="left" w:pos="2694"/>
        </w:tabs>
        <w:spacing w:after="0" w:line="360" w:lineRule="auto"/>
        <w:ind w:firstLine="284"/>
        <w:jc w:val="both"/>
      </w:pPr>
      <w:r>
        <w:t xml:space="preserve">Una delegazione che si è invece fermamente opposta all’approvazione dell’emendamento è stata quella sudafricana, sulla base del fatto che un tale limite al principio generale avrebbe </w:t>
      </w:r>
      <w:r w:rsidR="0044228C">
        <w:t>potuto costituire</w:t>
      </w:r>
      <w:r>
        <w:t xml:space="preserve"> una scappatoia per gli Stati, i quali avrebbero potuto in numerosi casi sfruttarla al fine di sfuggire alla propria responsabilità internazionale</w:t>
      </w:r>
      <w:r>
        <w:rPr>
          <w:rStyle w:val="Rimandonotaapidipagina"/>
        </w:rPr>
        <w:footnoteReference w:id="280"/>
      </w:r>
      <w:r>
        <w:t>. Considerando il criterio di attribuzione dell’aver agito nella propria qualità ufficiale eccessivamente restrittivo</w:t>
      </w:r>
      <w:r>
        <w:rPr>
          <w:rStyle w:val="Rimandonotaapidipagina"/>
        </w:rPr>
        <w:footnoteReference w:id="281"/>
      </w:r>
      <w:r>
        <w:t>, il delegato del Sud Africa ha inoltre proposto un emendamento che prevedeva che lo Stato deve rispondere nell’ordinamento internazionale dei comportamenti adottati dai propri organi “</w:t>
      </w:r>
      <w:r w:rsidR="00ED776F">
        <w:rPr>
          <w:i/>
        </w:rPr>
        <w:t>in the ex</w:t>
      </w:r>
      <w:r w:rsidRPr="009D031A">
        <w:rPr>
          <w:i/>
        </w:rPr>
        <w:t>ercise of official power</w:t>
      </w:r>
      <w:r>
        <w:t>” e nel caso in cui manchi al proprio obbligo di sorveglianza e di controllo</w:t>
      </w:r>
      <w:r>
        <w:rPr>
          <w:rStyle w:val="Rimandonotaapidipagina"/>
        </w:rPr>
        <w:footnoteReference w:id="282"/>
      </w:r>
      <w:r>
        <w:t>.</w:t>
      </w:r>
      <w:r w:rsidR="00183A02">
        <w:t xml:space="preserve"> </w:t>
      </w:r>
      <w:r w:rsidR="00B806A6">
        <w:t xml:space="preserve">In tale ultima circostanza naturalmente lo Stato </w:t>
      </w:r>
      <w:r w:rsidR="00136928">
        <w:t>sarebbe comunque internazionalm</w:t>
      </w:r>
      <w:r w:rsidR="00B806A6">
        <w:t>ente responsabile per un fatto o omissione propri, anche se l’offesa viene materialmente rappresentata da un fatto compiuto da un individuo-organo nella sua qualità privata.</w:t>
      </w:r>
    </w:p>
    <w:p w:rsidR="00CA5718" w:rsidRDefault="00CA5718" w:rsidP="00EB037D">
      <w:pPr>
        <w:tabs>
          <w:tab w:val="left" w:pos="3366"/>
        </w:tabs>
        <w:spacing w:after="0" w:line="360" w:lineRule="auto"/>
        <w:ind w:firstLine="284"/>
        <w:jc w:val="both"/>
      </w:pPr>
    </w:p>
    <w:p w:rsidR="00CA5718" w:rsidRDefault="00826DA9" w:rsidP="002E7C4A">
      <w:pPr>
        <w:spacing w:after="0" w:line="360" w:lineRule="auto"/>
        <w:ind w:firstLine="708"/>
        <w:jc w:val="both"/>
      </w:pPr>
      <w:r>
        <w:t>3</w:t>
      </w:r>
      <w:r w:rsidR="002E7C4A">
        <w:t xml:space="preserve">.4 </w:t>
      </w:r>
      <w:r w:rsidR="00CA5718">
        <w:t>L’articolo 8</w:t>
      </w:r>
      <w:r w:rsidR="00F86B52">
        <w:t>,</w:t>
      </w:r>
      <w:r w:rsidR="00CA5718">
        <w:t xml:space="preserve"> par. 2</w:t>
      </w:r>
      <w:r w:rsidR="00F86B52">
        <w:t>,</w:t>
      </w:r>
      <w:r w:rsidR="00CA5718">
        <w:t xml:space="preserve"> </w:t>
      </w:r>
      <w:r w:rsidR="00FC5FF3">
        <w:t xml:space="preserve">al.1 </w:t>
      </w:r>
      <w:r w:rsidR="00CA5718">
        <w:t>adottato in prima lettura dalla Terza Commissione</w:t>
      </w:r>
    </w:p>
    <w:p w:rsidR="00CA5718" w:rsidRDefault="00CA5718" w:rsidP="00EB037D">
      <w:pPr>
        <w:spacing w:after="0" w:line="360" w:lineRule="auto"/>
        <w:ind w:firstLine="284"/>
        <w:jc w:val="both"/>
      </w:pPr>
    </w:p>
    <w:p w:rsidR="00CA5718" w:rsidRDefault="00CA5718" w:rsidP="00EB037D">
      <w:pPr>
        <w:spacing w:after="0" w:line="360" w:lineRule="auto"/>
        <w:ind w:firstLine="284"/>
        <w:jc w:val="both"/>
      </w:pPr>
      <w:r>
        <w:t>La base di discussione N° 13, come emendata su proposta della Svizzera, è stata approvata dalla Te</w:t>
      </w:r>
      <w:r w:rsidR="00857AE4">
        <w:t xml:space="preserve">rza Commissione il 25 marzo </w:t>
      </w:r>
      <w:r>
        <w:t xml:space="preserve">1930 ed è stata successivamente inviata al Comitato di redazione, il quale ne ha fatto confluire il testo </w:t>
      </w:r>
      <w:r w:rsidRPr="00007ECF">
        <w:t>in quel</w:t>
      </w:r>
      <w:r>
        <w:t xml:space="preserve">lo che sarebbe divenuto </w:t>
      </w:r>
      <w:r>
        <w:lastRenderedPageBreak/>
        <w:t>l’art. 8</w:t>
      </w:r>
      <w:r w:rsidR="00F86B52">
        <w:t>,</w:t>
      </w:r>
      <w:r>
        <w:t xml:space="preserve"> par. 2</w:t>
      </w:r>
      <w:r w:rsidR="00F86B52">
        <w:t>,</w:t>
      </w:r>
      <w:r>
        <w:t xml:space="preserve"> </w:t>
      </w:r>
      <w:r w:rsidRPr="00007ECF">
        <w:t>del progetto di articoli adottato in prima lettura dalla Terza Commissione della Conferenza</w:t>
      </w:r>
      <w:r>
        <w:t>:</w:t>
      </w:r>
    </w:p>
    <w:p w:rsidR="00CA5718" w:rsidRDefault="00CA5718" w:rsidP="00EB037D">
      <w:pPr>
        <w:spacing w:after="0" w:line="360" w:lineRule="auto"/>
        <w:ind w:firstLine="284"/>
        <w:jc w:val="both"/>
      </w:pPr>
    </w:p>
    <w:p w:rsidR="00CA5718" w:rsidRPr="00F86B52" w:rsidRDefault="00CA5718" w:rsidP="00EB037D">
      <w:pPr>
        <w:spacing w:after="0" w:line="360" w:lineRule="auto"/>
        <w:ind w:left="567" w:right="567" w:firstLine="284"/>
        <w:jc w:val="both"/>
        <w:rPr>
          <w:lang w:val="fr-FR"/>
        </w:rPr>
      </w:pPr>
      <w:r w:rsidRPr="00F86B52">
        <w:rPr>
          <w:lang w:val="fr-FR"/>
        </w:rPr>
        <w:t>“La responsabilité internationale de l’Etat se trouve également engagée si le dommage subi per un étranger résulte d’actes contraires aux obligations internationales de l’Etat accomplis par ses fonctionnaires en dehors de leur compétence, mais sous le couvert de leur qualité officielle ”</w:t>
      </w:r>
      <w:r w:rsidRPr="00F86B52">
        <w:rPr>
          <w:rStyle w:val="Rimandonotaapidipagina"/>
        </w:rPr>
        <w:footnoteReference w:id="283"/>
      </w:r>
      <w:r w:rsidRPr="00F86B52">
        <w:rPr>
          <w:lang w:val="fr-FR"/>
        </w:rPr>
        <w:t>.</w:t>
      </w:r>
    </w:p>
    <w:p w:rsidR="00CA5718" w:rsidRDefault="00CA5718" w:rsidP="00EB037D">
      <w:pPr>
        <w:spacing w:after="0" w:line="360" w:lineRule="auto"/>
        <w:ind w:left="567" w:right="567" w:firstLine="284"/>
        <w:jc w:val="both"/>
        <w:rPr>
          <w:lang w:val="fr-FR"/>
        </w:rPr>
      </w:pPr>
    </w:p>
    <w:p w:rsidR="00CA5718" w:rsidRDefault="00CA5718" w:rsidP="00EB037D">
      <w:pPr>
        <w:spacing w:after="0" w:line="360" w:lineRule="auto"/>
        <w:ind w:firstLine="284"/>
        <w:jc w:val="both"/>
      </w:pPr>
      <w:r w:rsidRPr="001D608D">
        <w:t>La limitazione al principio</w:t>
      </w:r>
      <w:r w:rsidR="00534CFE">
        <w:t xml:space="preserve"> generale è stata inserita nel</w:t>
      </w:r>
      <w:r w:rsidRPr="001D608D">
        <w:t xml:space="preserve"> secondo capoverso dell’art. </w:t>
      </w:r>
      <w:r>
        <w:t>8</w:t>
      </w:r>
      <w:r w:rsidR="00534CFE">
        <w:t xml:space="preserve">, nel </w:t>
      </w:r>
      <w:r>
        <w:t xml:space="preserve"> par. 2 e prevede che:</w:t>
      </w:r>
    </w:p>
    <w:p w:rsidR="00CA5718" w:rsidRDefault="00CA5718" w:rsidP="00EB037D">
      <w:pPr>
        <w:spacing w:after="0" w:line="360" w:lineRule="auto"/>
        <w:ind w:firstLine="284"/>
        <w:jc w:val="both"/>
      </w:pPr>
    </w:p>
    <w:p w:rsidR="00CA5718" w:rsidRPr="00534CFE" w:rsidRDefault="00CA5718" w:rsidP="00EB037D">
      <w:pPr>
        <w:spacing w:after="0" w:line="360" w:lineRule="auto"/>
        <w:ind w:left="567" w:right="567" w:firstLine="284"/>
        <w:jc w:val="both"/>
        <w:rPr>
          <w:lang w:val="fr-FR"/>
        </w:rPr>
      </w:pPr>
      <w:r w:rsidRPr="00534CFE">
        <w:rPr>
          <w:lang w:val="fr-FR"/>
        </w:rPr>
        <w:t>“Toutefois, la responsabilité internationale de l’Etat ne sera pas engagée si l’incompétence du fonctionnaire était si manifeste que l’étranger devait s’en rendre compte et pouvait, de ce fait, éviter le dommage”</w:t>
      </w:r>
      <w:r w:rsidRPr="00534CFE">
        <w:rPr>
          <w:rStyle w:val="Rimandonotaapidipagina"/>
          <w:lang w:val="fr-FR"/>
        </w:rPr>
        <w:footnoteReference w:id="284"/>
      </w:r>
      <w:r w:rsidRPr="00534CFE">
        <w:rPr>
          <w:lang w:val="fr-FR"/>
        </w:rPr>
        <w:t>.</w:t>
      </w:r>
    </w:p>
    <w:p w:rsidR="00CA5718" w:rsidRPr="001D608D" w:rsidRDefault="00CA5718" w:rsidP="00EB037D">
      <w:pPr>
        <w:spacing w:after="0" w:line="360" w:lineRule="auto"/>
        <w:ind w:left="567" w:right="567" w:firstLine="284"/>
        <w:jc w:val="both"/>
        <w:rPr>
          <w:lang w:val="fr-FR"/>
        </w:rPr>
      </w:pPr>
    </w:p>
    <w:p w:rsidR="00CA5718" w:rsidRDefault="00CA5718" w:rsidP="00EB037D">
      <w:pPr>
        <w:spacing w:after="0" w:line="360" w:lineRule="auto"/>
        <w:ind w:firstLine="284"/>
        <w:jc w:val="both"/>
      </w:pPr>
      <w:r w:rsidRPr="007F0852">
        <w:t xml:space="preserve">A causa  dei numerosi dissensi sorti, la Terza Commissione ha rinunciato </w:t>
      </w:r>
      <w:r w:rsidR="00DE3129" w:rsidRPr="007F0852">
        <w:t>a presentare</w:t>
      </w:r>
      <w:r w:rsidRPr="007F0852">
        <w:t xml:space="preserve"> alla Conferenza delle conclusioni relative alla responsabilità degli Stati per danni causati sul loro territorio alla persona o ai beni degli stranieri</w:t>
      </w:r>
      <w:r w:rsidRPr="007F0852">
        <w:rPr>
          <w:rStyle w:val="Rimandonotaapidipagina"/>
        </w:rPr>
        <w:footnoteReference w:id="285"/>
      </w:r>
      <w:r w:rsidR="00E00531" w:rsidRPr="007F0852">
        <w:t>.</w:t>
      </w:r>
      <w:r w:rsidR="00534CFE">
        <w:t xml:space="preserve"> </w:t>
      </w:r>
    </w:p>
    <w:p w:rsidR="00534CFE" w:rsidRDefault="00534CFE" w:rsidP="00EB037D">
      <w:pPr>
        <w:spacing w:after="0" w:line="360" w:lineRule="auto"/>
        <w:ind w:firstLine="284"/>
        <w:jc w:val="both"/>
      </w:pPr>
    </w:p>
    <w:p w:rsidR="00DF1322" w:rsidRDefault="00826DA9" w:rsidP="00EB037D">
      <w:pPr>
        <w:spacing w:after="0" w:line="360" w:lineRule="auto"/>
        <w:ind w:firstLine="284"/>
        <w:jc w:val="both"/>
      </w:pPr>
      <w:r>
        <w:t>4</w:t>
      </w:r>
      <w:r w:rsidR="00CA5718">
        <w:t xml:space="preserve">. </w:t>
      </w:r>
      <w:r w:rsidR="0005008E">
        <w:t xml:space="preserve">Riflessioni conclusive </w:t>
      </w:r>
      <w:r w:rsidR="00F479A7">
        <w:t>circa</w:t>
      </w:r>
      <w:r w:rsidR="00CA5718">
        <w:t xml:space="preserve"> </w:t>
      </w:r>
      <w:r w:rsidR="00CA5718" w:rsidRPr="00DF1322">
        <w:t>l’evoluzione della prassi internazionale</w:t>
      </w:r>
    </w:p>
    <w:p w:rsidR="00CA5718" w:rsidRDefault="00DF1322" w:rsidP="00EB037D">
      <w:pPr>
        <w:spacing w:after="0" w:line="360" w:lineRule="auto"/>
        <w:ind w:firstLine="284"/>
        <w:jc w:val="both"/>
      </w:pPr>
      <w:r>
        <w:t xml:space="preserve"> </w:t>
      </w:r>
    </w:p>
    <w:p w:rsidR="000D035C" w:rsidRDefault="00FC27AC" w:rsidP="000D035C">
      <w:pPr>
        <w:spacing w:after="0" w:line="360" w:lineRule="auto"/>
        <w:ind w:firstLine="284"/>
        <w:jc w:val="both"/>
        <w:rPr>
          <w:color w:val="FF0000"/>
        </w:rPr>
      </w:pPr>
      <w:r>
        <w:t>A partire dall</w:t>
      </w:r>
      <w:r w:rsidR="00CA5718">
        <w:t xml:space="preserve">’inizio </w:t>
      </w:r>
      <w:r w:rsidR="00CA5718" w:rsidRPr="009305B0">
        <w:t>del ventesimo secolo la prassi degli Stati e l</w:t>
      </w:r>
      <w:r w:rsidR="00CA5718">
        <w:t xml:space="preserve">a giurisprudenza internazionale </w:t>
      </w:r>
      <w:r w:rsidR="00CA5718" w:rsidRPr="009305B0">
        <w:t>hanno progressivamente riconosciuto il principio dell</w:t>
      </w:r>
      <w:r w:rsidR="000D035C">
        <w:t>a responsabilità internazionale dello Stato p</w:t>
      </w:r>
      <w:r w:rsidR="00CA5718" w:rsidRPr="009305B0">
        <w:t>e</w:t>
      </w:r>
      <w:r w:rsidR="000D035C">
        <w:t xml:space="preserve">r </w:t>
      </w:r>
      <w:r w:rsidR="00CA5718" w:rsidRPr="009305B0">
        <w:t xml:space="preserve">i comportamenti tenuti </w:t>
      </w:r>
      <w:r w:rsidR="00CA5718" w:rsidRPr="009305B0">
        <w:rPr>
          <w:i/>
        </w:rPr>
        <w:t>ex officio</w:t>
      </w:r>
      <w:r w:rsidR="00CA5718" w:rsidRPr="009305B0">
        <w:t xml:space="preserve"> dai propri organi in violazione di istruzioni ricevute, </w:t>
      </w:r>
      <w:r w:rsidR="000D035C">
        <w:t xml:space="preserve"> </w:t>
      </w:r>
      <w:r w:rsidR="00CA5718" w:rsidRPr="009305B0">
        <w:t>della propria competenza secondo il diritto interno o comunque in violazione del diritto interno.</w:t>
      </w:r>
      <w:r w:rsidR="000D035C" w:rsidRPr="000D035C">
        <w:t xml:space="preserve"> </w:t>
      </w:r>
      <w:r w:rsidR="00CA5718" w:rsidRPr="009305B0">
        <w:t xml:space="preserve">Tale evoluzione </w:t>
      </w:r>
      <w:r w:rsidR="006421EB">
        <w:t xml:space="preserve">si collega alla </w:t>
      </w:r>
      <w:r w:rsidR="000B6418">
        <w:t xml:space="preserve">considerazione </w:t>
      </w:r>
      <w:r w:rsidR="006421EB">
        <w:t xml:space="preserve">dell’impossibilità per </w:t>
      </w:r>
      <w:r w:rsidR="00CA5718" w:rsidRPr="009305B0">
        <w:t xml:space="preserve">uno Stato </w:t>
      </w:r>
      <w:r w:rsidR="00CA5718">
        <w:t xml:space="preserve">di invocare una disposizione del proprio ordinamento </w:t>
      </w:r>
      <w:r w:rsidR="00CA5718" w:rsidRPr="009305B0">
        <w:t>al fine di sottrarsi alla responsabilità internazionale.</w:t>
      </w:r>
      <w:r w:rsidR="00CA5718">
        <w:t xml:space="preserve"> Sembrano pertanto ampiamente superate le </w:t>
      </w:r>
      <w:r w:rsidR="00CA5718">
        <w:lastRenderedPageBreak/>
        <w:t xml:space="preserve">tesi che </w:t>
      </w:r>
      <w:r w:rsidR="000D035C">
        <w:t xml:space="preserve">riconoscevano </w:t>
      </w:r>
      <w:r w:rsidR="00CA5718">
        <w:t xml:space="preserve">rilevanza esclusiva al diritto </w:t>
      </w:r>
      <w:r w:rsidR="006421EB">
        <w:t>interno al fine di determinare l’attribuzione dell’illecito internazionale allo Stato</w:t>
      </w:r>
      <w:r w:rsidR="00CA5718">
        <w:t xml:space="preserve">, secondo cui dovevano </w:t>
      </w:r>
      <w:r w:rsidR="000D035C">
        <w:t xml:space="preserve">ammettersi </w:t>
      </w:r>
      <w:r w:rsidR="00CA5718">
        <w:t xml:space="preserve">come propri dello Stato soltanto i comportamenti </w:t>
      </w:r>
      <w:r w:rsidR="000D035C">
        <w:t xml:space="preserve">adottati </w:t>
      </w:r>
      <w:r w:rsidR="000D035C" w:rsidRPr="000D035C">
        <w:rPr>
          <w:i/>
        </w:rPr>
        <w:t>intra vires</w:t>
      </w:r>
      <w:r w:rsidR="000D035C">
        <w:t xml:space="preserve"> da</w:t>
      </w:r>
      <w:r w:rsidR="00CA5718">
        <w:t xml:space="preserve"> individui o enti dotati della qualità organica in base al diritto interno.</w:t>
      </w:r>
      <w:r w:rsidR="00CA5718" w:rsidRPr="00211BC9">
        <w:rPr>
          <w:color w:val="FF0000"/>
        </w:rPr>
        <w:t xml:space="preserve"> </w:t>
      </w:r>
    </w:p>
    <w:p w:rsidR="00CA5718" w:rsidRPr="000D035C" w:rsidRDefault="000D035C" w:rsidP="000D035C">
      <w:pPr>
        <w:spacing w:after="0" w:line="360" w:lineRule="auto"/>
        <w:ind w:firstLine="284"/>
        <w:jc w:val="both"/>
      </w:pPr>
      <w:r>
        <w:t xml:space="preserve">È opportuno notare come, </w:t>
      </w:r>
      <w:r w:rsidR="00933295">
        <w:t xml:space="preserve">anche </w:t>
      </w:r>
      <w:r>
        <w:t xml:space="preserve">nella prassi internazionale dei primi </w:t>
      </w:r>
      <w:r w:rsidR="00564065">
        <w:t xml:space="preserve">anni </w:t>
      </w:r>
      <w:r>
        <w:t xml:space="preserve">del ventesimo secolo, il problema dei fatti illeciti internazionali </w:t>
      </w:r>
      <w:r w:rsidRPr="00D9464A">
        <w:rPr>
          <w:i/>
        </w:rPr>
        <w:t>ultra vires</w:t>
      </w:r>
      <w:r>
        <w:t xml:space="preserve"> venga ancora posto soltanto nel senso di  accertare se lo Stato sia tenuto a risponderne internazionalmente, piuttosto che indagare la possibilità di considerarli fatti dello Stato quale soggetto di diritto internazionale.</w:t>
      </w:r>
    </w:p>
    <w:p w:rsidR="00F30A60" w:rsidRDefault="00CA5718" w:rsidP="0036757F">
      <w:pPr>
        <w:spacing w:after="0" w:line="360" w:lineRule="auto"/>
        <w:ind w:firstLine="284"/>
        <w:jc w:val="both"/>
      </w:pPr>
      <w:r w:rsidRPr="006E7D34">
        <w:t xml:space="preserve">Il principio </w:t>
      </w:r>
      <w:r w:rsidR="000D035C">
        <w:t xml:space="preserve">della responsabilità dello Stato per i </w:t>
      </w:r>
      <w:r w:rsidRPr="006E7D34">
        <w:t>fatti</w:t>
      </w:r>
      <w:r w:rsidR="000D035C">
        <w:t xml:space="preserve"> illeciti</w:t>
      </w:r>
      <w:r w:rsidRPr="006E7D34">
        <w:t xml:space="preserve"> </w:t>
      </w:r>
      <w:r w:rsidRPr="006E7D34">
        <w:rPr>
          <w:i/>
        </w:rPr>
        <w:t>ultra vires</w:t>
      </w:r>
      <w:r>
        <w:t xml:space="preserve"> dei propri organi non può comunque</w:t>
      </w:r>
      <w:r w:rsidRPr="006E7D34">
        <w:t xml:space="preserve"> definirsi ancora pienamen</w:t>
      </w:r>
      <w:r w:rsidR="00E5696B">
        <w:t>te cristallizzato all’inizio del novecento</w:t>
      </w:r>
      <w:r w:rsidRPr="006E7D34">
        <w:t>. Per quanto concerne le prese di posizione degli Stati, ad esempio, tale principio</w:t>
      </w:r>
      <w:r w:rsidR="00D30076">
        <w:t xml:space="preserve"> veniva generalmente invocato</w:t>
      </w:r>
      <w:r w:rsidRPr="009B1BF3">
        <w:t xml:space="preserve"> dallo Stato </w:t>
      </w:r>
      <w:r>
        <w:t xml:space="preserve">leso, al fine di rivendicare la responsabilità internazionale dello Stato il cui organo aveva commesso il fatto. </w:t>
      </w:r>
      <w:r w:rsidR="002F4017">
        <w:t>Ciò a riprova del fatto che, nella corrispondenza diplomatica, le considerazioni di stampo giuridico sono spesso legate alle particolarità del caso di specie e a</w:t>
      </w:r>
      <w:r w:rsidR="005D42FA">
        <w:t>lle</w:t>
      </w:r>
      <w:r w:rsidR="002F4017">
        <w:t xml:space="preserve"> ragioni di natura prettamente politica.</w:t>
      </w:r>
    </w:p>
    <w:p w:rsidR="0036757F" w:rsidRDefault="00CA5718" w:rsidP="0036757F">
      <w:pPr>
        <w:spacing w:after="0" w:line="360" w:lineRule="auto"/>
        <w:ind w:firstLine="284"/>
        <w:jc w:val="both"/>
      </w:pPr>
      <w:r>
        <w:t xml:space="preserve">Per quanto concerne la giurisprudenza internazionale, le </w:t>
      </w:r>
      <w:r w:rsidR="00EB2DAC">
        <w:t>decisioni</w:t>
      </w:r>
      <w:r>
        <w:t xml:space="preserve"> rese dalle Commissioni miste dei reclami nell’ambito degli arbitrati venezuelani possono considerarsi una sorta di “</w:t>
      </w:r>
      <w:r w:rsidRPr="00E566AF">
        <w:rPr>
          <w:i/>
        </w:rPr>
        <w:t>trait d’union</w:t>
      </w:r>
      <w:r>
        <w:t xml:space="preserve">” tra la giurisprudenza del diciannovesimo e quella del ventesimo secolo in quanto, nonostante non venga più prevista un’assimilazione dei fatti illeciti </w:t>
      </w:r>
      <w:r w:rsidRPr="003151DF">
        <w:rPr>
          <w:i/>
        </w:rPr>
        <w:t>ultra vires</w:t>
      </w:r>
      <w:r>
        <w:t xml:space="preserve"> degli organi statali a comportamenti di privati, in alcune circostanze la responsabilità in</w:t>
      </w:r>
      <w:r w:rsidR="00EB2DAC">
        <w:t>ternazionale dello Stato è</w:t>
      </w:r>
      <w:r>
        <w:t xml:space="preserve"> fatta dipendere dall’atteggiamento adottato da parte del Governo rispetto alla condotta illecita </w:t>
      </w:r>
      <w:r w:rsidR="00FC3CA7">
        <w:t>non</w:t>
      </w:r>
      <w:r w:rsidR="005C0A74">
        <w:t xml:space="preserve"> autorizzata, quale ad esempio il suo mancato esplicito disconoscimento.</w:t>
      </w:r>
    </w:p>
    <w:p w:rsidR="00F30A60" w:rsidRDefault="0036757F" w:rsidP="00F30A60">
      <w:pPr>
        <w:spacing w:after="0" w:line="360" w:lineRule="auto"/>
        <w:ind w:firstLine="284"/>
        <w:jc w:val="both"/>
      </w:pPr>
      <w:r>
        <w:t xml:space="preserve">Nonostante non si faccia ancora </w:t>
      </w:r>
      <w:r w:rsidR="00564065">
        <w:t>menzione de</w:t>
      </w:r>
      <w:r>
        <w:t xml:space="preserve">ll’attribuzione di condotte allo Stato, a </w:t>
      </w:r>
      <w:r w:rsidR="005C0A74" w:rsidRPr="00AD18ED">
        <w:t xml:space="preserve">partire dalle decisioni rese dalle Commissioni miste dei reclami con riferimento alle controversie sorte tra la Repubblica del Venezuela e numerosi cittadini stranieri ivi residenti, si </w:t>
      </w:r>
      <w:r>
        <w:t>è ammesso</w:t>
      </w:r>
      <w:r w:rsidR="005C0A74" w:rsidRPr="00AD18ED">
        <w:t xml:space="preserve"> che la responsabilità internazionale dello Stato per i fatti illeciti </w:t>
      </w:r>
      <w:r w:rsidR="005C0A74" w:rsidRPr="00AD18ED">
        <w:rPr>
          <w:i/>
        </w:rPr>
        <w:t>ultra vires</w:t>
      </w:r>
      <w:r w:rsidR="005C0A74" w:rsidRPr="00AD18ED">
        <w:t xml:space="preserve"> dei propri organi sorga non in virtù del fatto che ulteriori organi statali hanno omesso di adottare le misure idonee a prevenire o reprimere tali comportamenti, bensì alla luce della circostanza che per il diritto internazionale tali fatti </w:t>
      </w:r>
      <w:r w:rsidR="00564065">
        <w:t xml:space="preserve">fossero </w:t>
      </w:r>
      <w:r w:rsidR="00B54E18" w:rsidRPr="00AD18ED">
        <w:t>riferibili allo Stato</w:t>
      </w:r>
      <w:r w:rsidR="00AD18ED" w:rsidRPr="00AD18ED">
        <w:t>.</w:t>
      </w:r>
    </w:p>
    <w:p w:rsidR="000E532A" w:rsidRDefault="00CA5718" w:rsidP="00F30A60">
      <w:pPr>
        <w:spacing w:after="0" w:line="360" w:lineRule="auto"/>
        <w:ind w:firstLine="284"/>
        <w:jc w:val="both"/>
      </w:pPr>
      <w:r>
        <w:t>Le pronunce</w:t>
      </w:r>
      <w:r w:rsidRPr="006E7D34">
        <w:t xml:space="preserve"> </w:t>
      </w:r>
      <w:r>
        <w:t>più significative, che rappresentano il punto di arrivo dell’evoluzione e dell’affermazione progressiva del principio dell</w:t>
      </w:r>
      <w:r w:rsidR="00F30A60">
        <w:t xml:space="preserve">a responsabilità dello Stato per </w:t>
      </w:r>
      <w:r>
        <w:t xml:space="preserve">le condotte tenute dagli organi statali pur nel mancato rispetto dei limiti della competenza, sono state rese a partire dagli anni venti del ventesimo secolo. </w:t>
      </w:r>
    </w:p>
    <w:p w:rsidR="00CA5718" w:rsidRDefault="00CA5718" w:rsidP="00EB037D">
      <w:pPr>
        <w:spacing w:after="0" w:line="360" w:lineRule="auto"/>
        <w:ind w:firstLine="284"/>
        <w:jc w:val="both"/>
      </w:pPr>
      <w:r>
        <w:lastRenderedPageBreak/>
        <w:t>Al fine del sorgere della responsabilità internazionale dello Stato per comportamenti tenuti d</w:t>
      </w:r>
      <w:r w:rsidR="00D30076">
        <w:t>ai suoi</w:t>
      </w:r>
      <w:r>
        <w:t xml:space="preserve"> organi </w:t>
      </w:r>
      <w:r w:rsidRPr="009915AE">
        <w:rPr>
          <w:i/>
        </w:rPr>
        <w:t>ultra vires</w:t>
      </w:r>
      <w:r>
        <w:t>, è stato ritenuto necessario che questi avessero agito almeno in apparenza nel rispetto delle competenze previste dal diritto interno oppure si fossero avvalsi di mezzi messi loro a disposizione in virtù della funzione svolta.</w:t>
      </w:r>
    </w:p>
    <w:p w:rsidR="00CA5718" w:rsidRPr="00820EAF" w:rsidRDefault="00CA5718" w:rsidP="00EB037D">
      <w:pPr>
        <w:spacing w:after="0" w:line="360" w:lineRule="auto"/>
        <w:ind w:firstLine="284"/>
        <w:jc w:val="both"/>
      </w:pPr>
      <w:r>
        <w:t xml:space="preserve">Se ne desume che nel caso in cui </w:t>
      </w:r>
      <w:r w:rsidRPr="00431933">
        <w:t xml:space="preserve">un organo </w:t>
      </w:r>
      <w:r>
        <w:t>agisce nella sua qualità ufficiale, il fatto che il comportamento è stato adottato al di fuori della s</w:t>
      </w:r>
      <w:r w:rsidR="00D30076">
        <w:t xml:space="preserve">ua competenza risulta in sé </w:t>
      </w:r>
      <w:r>
        <w:t>irrilevante ai fini del sorgere della responsabilità internazionale dello Stato, il quale non è tenuto a rispo</w:t>
      </w:r>
      <w:r w:rsidR="00A24446">
        <w:t>ndere nell’ordinamento</w:t>
      </w:r>
      <w:r>
        <w:t xml:space="preserve"> internazionale delle condotte dei propri organi soltanto nel caso in cui siano prive di una connessione con la funzione ufficiale e siano state quindi tenute a titolo privato.</w:t>
      </w:r>
      <w:r w:rsidR="004F373F">
        <w:t xml:space="preserve"> </w:t>
      </w:r>
    </w:p>
    <w:p w:rsidR="00CA5718" w:rsidRDefault="00CA5718" w:rsidP="00EB037D">
      <w:pPr>
        <w:spacing w:after="0" w:line="360" w:lineRule="auto"/>
        <w:ind w:firstLine="284"/>
        <w:jc w:val="both"/>
      </w:pPr>
      <w:r w:rsidRPr="005311B8">
        <w:t>Egualmente, nell’ambito dei lavori di codificazione avvenuti sotto l’egida della Società delle Nazioni, la maggioranza degli Stati ha rigettato la tesi di Guerrero secondo cui le condotte</w:t>
      </w:r>
      <w:r w:rsidRPr="005311B8">
        <w:rPr>
          <w:i/>
        </w:rPr>
        <w:t xml:space="preserve"> ultra vires</w:t>
      </w:r>
      <w:r w:rsidRPr="005311B8">
        <w:t xml:space="preserve"> degli organi</w:t>
      </w:r>
      <w:r w:rsidR="00D30076">
        <w:t xml:space="preserve"> non potevano essere considerate</w:t>
      </w:r>
      <w:r w:rsidRPr="005311B8">
        <w:t xml:space="preserve"> fatti sta</w:t>
      </w:r>
      <w:r w:rsidR="00A24446">
        <w:t xml:space="preserve">tali nell’ordinamento </w:t>
      </w:r>
      <w:r w:rsidRPr="005311B8">
        <w:t>internazionale.</w:t>
      </w:r>
    </w:p>
    <w:p w:rsidR="00CA5718" w:rsidRDefault="004217F6" w:rsidP="005C0A74">
      <w:pPr>
        <w:tabs>
          <w:tab w:val="left" w:pos="6521"/>
        </w:tabs>
        <w:spacing w:after="0" w:line="360" w:lineRule="auto"/>
        <w:ind w:firstLine="284"/>
        <w:jc w:val="both"/>
      </w:pPr>
      <w:r>
        <w:t xml:space="preserve">Mentre </w:t>
      </w:r>
      <w:r w:rsidR="009C5608">
        <w:t>alcuni Stati</w:t>
      </w:r>
      <w:r w:rsidR="00CA5718">
        <w:t xml:space="preserve"> hanno reputato che condotte tenute da funzionari nel territorio nazionale, servendosi della propria qualità ufficiale ma eccedendo i limiti della propria competenza, dovessero essere assimilati ad atti di privati in quanto non rappresentativ</w:t>
      </w:r>
      <w:r>
        <w:t xml:space="preserve">i della volontà statale, la maggioranza ha affermato </w:t>
      </w:r>
      <w:r w:rsidR="00CA5718">
        <w:t xml:space="preserve">il principio generale della responsabilità internazionale dello Stato per fatti illeciti </w:t>
      </w:r>
      <w:r w:rsidR="00CA5718" w:rsidRPr="00E407A2">
        <w:rPr>
          <w:i/>
        </w:rPr>
        <w:t>ultra vires</w:t>
      </w:r>
      <w:r w:rsidR="007D7DA7">
        <w:t xml:space="preserve"> dei propri organi.</w:t>
      </w:r>
    </w:p>
    <w:p w:rsidR="00857851" w:rsidRDefault="007D7DA7" w:rsidP="00FA2766">
      <w:pPr>
        <w:spacing w:after="0" w:line="360" w:lineRule="auto"/>
        <w:ind w:firstLine="284"/>
        <w:jc w:val="both"/>
      </w:pPr>
      <w:r>
        <w:t xml:space="preserve">Dal momento che </w:t>
      </w:r>
      <w:r w:rsidR="00CA5718">
        <w:t xml:space="preserve">il diritto internazionale impone allo Stato l’obbligo di organizzarsi in maniera adeguata e di esercitare un controllo sufficiente sull’attività dei propri organi, </w:t>
      </w:r>
      <w:r>
        <w:t xml:space="preserve">si </w:t>
      </w:r>
      <w:r w:rsidR="00CA5718">
        <w:t>arrivava a concludere che un comportamento illecito non autorizzato da essi tenuto do</w:t>
      </w:r>
      <w:r>
        <w:t>vesse</w:t>
      </w:r>
      <w:r w:rsidR="00F30A60">
        <w:t xml:space="preserve"> comportare la responsabilità internazionale dello Stato </w:t>
      </w:r>
      <w:r w:rsidR="00CA5718">
        <w:t xml:space="preserve">in ragione della </w:t>
      </w:r>
      <w:r w:rsidR="00F30A60">
        <w:t xml:space="preserve">sua </w:t>
      </w:r>
      <w:r w:rsidR="00CA5718">
        <w:t xml:space="preserve">partecipazione </w:t>
      </w:r>
      <w:r w:rsidR="00F30A60">
        <w:t>all’</w:t>
      </w:r>
      <w:r w:rsidR="00CA5718">
        <w:t>esecuzione</w:t>
      </w:r>
      <w:r w:rsidR="00F30A60">
        <w:t xml:space="preserve"> del fatto</w:t>
      </w:r>
      <w:r w:rsidR="00FA2766">
        <w:t>,</w:t>
      </w:r>
      <w:r w:rsidR="00CA5718">
        <w:t xml:space="preserve"> in virtù del suo </w:t>
      </w:r>
      <w:r w:rsidR="009C5608">
        <w:t xml:space="preserve">omesso controllo o sorveglianza sui propri organi. </w:t>
      </w:r>
      <w:r>
        <w:t>Rifacendosi</w:t>
      </w:r>
      <w:r w:rsidR="00CA5718">
        <w:t xml:space="preserve"> alla teoria </w:t>
      </w:r>
      <w:r w:rsidRPr="009E079F">
        <w:t xml:space="preserve">del rischio statale, </w:t>
      </w:r>
      <w:r w:rsidR="00857851" w:rsidRPr="009E079F">
        <w:t>lo Stato do</w:t>
      </w:r>
      <w:r w:rsidR="00CA5718" w:rsidRPr="009E079F">
        <w:t>ve</w:t>
      </w:r>
      <w:r w:rsidR="00857851" w:rsidRPr="009E079F">
        <w:t>va</w:t>
      </w:r>
      <w:r w:rsidR="00CA5718" w:rsidRPr="009E079F">
        <w:t xml:space="preserve"> </w:t>
      </w:r>
      <w:r w:rsidR="00857851" w:rsidRPr="009E079F">
        <w:t>quindi rispondere internazionalmente</w:t>
      </w:r>
      <w:r w:rsidR="00CA5718" w:rsidRPr="009E079F">
        <w:t xml:space="preserve"> </w:t>
      </w:r>
      <w:r w:rsidR="00857851" w:rsidRPr="009E079F">
        <w:t xml:space="preserve">di tali fatti illeciti </w:t>
      </w:r>
      <w:r w:rsidR="00CA5718" w:rsidRPr="009E079F">
        <w:t xml:space="preserve">in quanto </w:t>
      </w:r>
      <w:r w:rsidR="00857851" w:rsidRPr="009E079F">
        <w:t>erano</w:t>
      </w:r>
      <w:r w:rsidR="00CA5718" w:rsidRPr="009E079F">
        <w:t xml:space="preserve"> frutto di carenze della propria organizzazione interna</w:t>
      </w:r>
      <w:r w:rsidR="00857851" w:rsidRPr="009E079F">
        <w:t>. Poichè</w:t>
      </w:r>
      <w:r w:rsidR="00CA5718" w:rsidRPr="009E079F">
        <w:t xml:space="preserve"> soltanto lo Stato </w:t>
      </w:r>
      <w:r w:rsidR="00857851" w:rsidRPr="009E079F">
        <w:t xml:space="preserve">gode </w:t>
      </w:r>
      <w:r w:rsidR="00CA5718" w:rsidRPr="009E079F">
        <w:t>della facoltà di scegliere</w:t>
      </w:r>
      <w:r w:rsidR="00CA5718">
        <w:t xml:space="preserve"> quali individui o enti dotare dello </w:t>
      </w:r>
      <w:r w:rsidR="00CA5718" w:rsidRPr="007E106E">
        <w:rPr>
          <w:i/>
        </w:rPr>
        <w:t xml:space="preserve">status </w:t>
      </w:r>
      <w:r w:rsidR="00CA5718">
        <w:t>organico, questi aveva come contropartita il dovere di sopportare in ambito internazionale le conseguenze delle proprie scelte.</w:t>
      </w:r>
      <w:r w:rsidR="00FA2766">
        <w:t xml:space="preserve"> La</w:t>
      </w:r>
      <w:r w:rsidR="00857851">
        <w:t xml:space="preserve"> responsabi</w:t>
      </w:r>
      <w:r w:rsidR="00FA2766">
        <w:t xml:space="preserve">lità internazionale dello Stato, nell’ipotesi dei fatti illeciti </w:t>
      </w:r>
      <w:r w:rsidR="00FA2766" w:rsidRPr="00857851">
        <w:rPr>
          <w:i/>
        </w:rPr>
        <w:t xml:space="preserve">ultra vires </w:t>
      </w:r>
      <w:r w:rsidR="00FA2766">
        <w:t xml:space="preserve">dei suoi organi, </w:t>
      </w:r>
      <w:r w:rsidR="00857851">
        <w:t xml:space="preserve">si fondava quindi su una garanzia che esso prestava agli altri soggetti internazionali per </w:t>
      </w:r>
      <w:r w:rsidR="00FA2766">
        <w:t>i fatti dannosi causati dall’attività della propria organizzazione interna, in modo tale da assicurare la sicurezza delle relazioni internazionali.</w:t>
      </w:r>
    </w:p>
    <w:p w:rsidR="00FD4E42" w:rsidRDefault="00236B53" w:rsidP="00236B53">
      <w:pPr>
        <w:spacing w:after="0" w:line="360" w:lineRule="auto"/>
        <w:ind w:firstLine="284"/>
        <w:jc w:val="both"/>
      </w:pPr>
      <w:r w:rsidRPr="00236B53">
        <w:lastRenderedPageBreak/>
        <w:t>Con riferimento alla prassi internazionale finora esaminata</w:t>
      </w:r>
      <w:r>
        <w:t xml:space="preserve">, la questione di sapere se lo Stato sia tenuto a rispondere sul piano internazionale dei fatti illeciti </w:t>
      </w:r>
      <w:r w:rsidRPr="00236B53">
        <w:rPr>
          <w:i/>
        </w:rPr>
        <w:t>ultra vires</w:t>
      </w:r>
      <w:r>
        <w:t xml:space="preserve"> dei propri organi si è posta esclusivamente rispetto a coloro che godono dello </w:t>
      </w:r>
      <w:r w:rsidRPr="00236B53">
        <w:rPr>
          <w:i/>
        </w:rPr>
        <w:t>status</w:t>
      </w:r>
      <w:r>
        <w:t xml:space="preserve"> di organo in base al diritto interno. La </w:t>
      </w:r>
      <w:r w:rsidR="004F373F" w:rsidRPr="00E00531">
        <w:t xml:space="preserve">possibilità di applicare questo principio anche alla situazione di individui che esercitano in fatto funzioni di governo per conto dello Stato </w:t>
      </w:r>
      <w:r w:rsidR="00390127" w:rsidRPr="00E00531">
        <w:t xml:space="preserve">sembra riconosciuta in maniera implicita soltanto nella decisione resa nel caso </w:t>
      </w:r>
      <w:r w:rsidR="00390127" w:rsidRPr="00E00531">
        <w:rPr>
          <w:i/>
        </w:rPr>
        <w:t>Stephens</w:t>
      </w:r>
      <w:r w:rsidR="00390127" w:rsidRPr="00E00531">
        <w:rPr>
          <w:rStyle w:val="Rimandonotaapidipagina"/>
        </w:rPr>
        <w:footnoteReference w:id="286"/>
      </w:r>
      <w:r w:rsidR="00390127" w:rsidRPr="00E00531">
        <w:t>.</w:t>
      </w:r>
      <w:r w:rsidR="00FD4E42" w:rsidRPr="00E00531">
        <w:t xml:space="preserve"> In tale circostanza il Messico aveva tentato di sfuggire la propria responsabilità internazionale sostenendo che l’individuo autore dell’illecito</w:t>
      </w:r>
      <w:r w:rsidR="000545E1">
        <w:t xml:space="preserve">, un privato incaricato di svolgere una pubblica funzione, </w:t>
      </w:r>
      <w:r w:rsidR="00FD4E42" w:rsidRPr="00E00531">
        <w:t xml:space="preserve"> aveva agito senza rispettare le istruzioni ricevute. La Commissione, pur riconoscendo che erano state violate le disposizioni dell’ordinamento interno in relazione ad attività di ispezioni condotte da organi statali, ha comunque ritenuto che il fatto fosse attribuibile allo Stato.</w:t>
      </w:r>
    </w:p>
    <w:p w:rsidR="00933295" w:rsidRPr="00236B53" w:rsidRDefault="00236B53" w:rsidP="00933295">
      <w:pPr>
        <w:spacing w:after="0" w:line="360" w:lineRule="auto"/>
        <w:ind w:firstLine="284"/>
        <w:jc w:val="both"/>
      </w:pPr>
      <w:r w:rsidRPr="00236B53">
        <w:t xml:space="preserve">Coloro che </w:t>
      </w:r>
      <w:r>
        <w:t xml:space="preserve">hanno reputato </w:t>
      </w:r>
      <w:r w:rsidRPr="00236B53">
        <w:t xml:space="preserve">possibile che lo Stato </w:t>
      </w:r>
      <w:r>
        <w:t xml:space="preserve">rispondesse </w:t>
      </w:r>
      <w:r w:rsidRPr="00236B53">
        <w:t xml:space="preserve">internazionalmente dei fatti illeciti </w:t>
      </w:r>
      <w:r w:rsidRPr="00236B53">
        <w:rPr>
          <w:i/>
        </w:rPr>
        <w:t>ultra vires</w:t>
      </w:r>
      <w:r w:rsidRPr="00236B53">
        <w:t xml:space="preserve"> dei propri organi</w:t>
      </w:r>
      <w:r>
        <w:t xml:space="preserve"> hanno individuato anche delle eccezioni a tale principio.</w:t>
      </w:r>
    </w:p>
    <w:p w:rsidR="00CA5718" w:rsidRDefault="00CA5718" w:rsidP="00EB037D">
      <w:pPr>
        <w:spacing w:after="0" w:line="360" w:lineRule="auto"/>
        <w:ind w:firstLine="284"/>
        <w:jc w:val="both"/>
      </w:pPr>
      <w:r>
        <w:t xml:space="preserve">In numerose circostanze si è ad esempio sostenuto che possono essere considerati fatti dello Stato quale soggetto internazionale le sole condotte </w:t>
      </w:r>
      <w:r w:rsidRPr="003F37E7">
        <w:rPr>
          <w:i/>
        </w:rPr>
        <w:t>ultra vires</w:t>
      </w:r>
      <w:r>
        <w:t xml:space="preserve"> di un organo che appaiono da questo tenute nel rispetto dei limiti della propria competenza. Risulterebbero pertanto attribuibili allo Stato quei comportamenti adottati da un organo che, nonostante il reale superamento dei limiti delle proprie funzioni, appaiono ai terzi come tenuti </w:t>
      </w:r>
      <w:r w:rsidRPr="003F37E7">
        <w:rPr>
          <w:i/>
        </w:rPr>
        <w:t>intra vires</w:t>
      </w:r>
      <w:r>
        <w:t>.</w:t>
      </w:r>
    </w:p>
    <w:p w:rsidR="00CA5718" w:rsidRDefault="00CA5718" w:rsidP="00EB037D">
      <w:pPr>
        <w:spacing w:after="0" w:line="360" w:lineRule="auto"/>
        <w:ind w:firstLine="284"/>
        <w:jc w:val="both"/>
      </w:pPr>
      <w:r>
        <w:t xml:space="preserve">La condizione attributiva dell’apparenza della funzione finisce per dare rilievo al punto di vista della vittima che, al momento del compimento del fatto illecito, </w:t>
      </w:r>
      <w:r w:rsidR="000B799D">
        <w:t xml:space="preserve">può aver commesso </w:t>
      </w:r>
      <w:r>
        <w:t>in buona fede un plausibile errore di apprezzamento.</w:t>
      </w:r>
    </w:p>
    <w:p w:rsidR="004379C0" w:rsidRDefault="00CA5718" w:rsidP="00EB037D">
      <w:pPr>
        <w:spacing w:after="0" w:line="360" w:lineRule="auto"/>
        <w:ind w:firstLine="284"/>
        <w:jc w:val="both"/>
      </w:pPr>
      <w:r>
        <w:t xml:space="preserve">Dal momento </w:t>
      </w:r>
      <w:r w:rsidRPr="007D7DA7">
        <w:t xml:space="preserve">che </w:t>
      </w:r>
      <w:r w:rsidR="007D7DA7" w:rsidRPr="007D7DA7">
        <w:t xml:space="preserve">il criterio </w:t>
      </w:r>
      <w:r w:rsidRPr="007D7DA7">
        <w:t>dell’apparenza della funzione</w:t>
      </w:r>
      <w:r w:rsidR="00AC190C" w:rsidRPr="007D7DA7">
        <w:t xml:space="preserve"> </w:t>
      </w:r>
      <w:r w:rsidRPr="007D7DA7">
        <w:t>non era in grado di fornire in alcune circostanze una soluzione soddisfacente con riferimento ai</w:t>
      </w:r>
      <w:r>
        <w:t xml:space="preserve"> danni subiti dagli stranieri, nella prassi internazionale </w:t>
      </w:r>
      <w:r w:rsidR="00135173">
        <w:t>si è fatto ricorso da parte di alcuni Stati al</w:t>
      </w:r>
      <w:r>
        <w:t xml:space="preserve"> criterio attributivo dei mezzi messi a disposizione dell’organo in ragione della funzione svolta.</w:t>
      </w:r>
    </w:p>
    <w:p w:rsidR="00CA5718" w:rsidRDefault="0012133E" w:rsidP="00EB037D">
      <w:pPr>
        <w:spacing w:after="0" w:line="360" w:lineRule="auto"/>
        <w:ind w:firstLine="284"/>
        <w:jc w:val="both"/>
      </w:pPr>
      <w:r w:rsidRPr="0012133E">
        <w:t xml:space="preserve">Dal momento che in alcuni </w:t>
      </w:r>
      <w:r w:rsidR="00CA5718" w:rsidRPr="0012133E">
        <w:t xml:space="preserve">casi </w:t>
      </w:r>
      <w:r w:rsidRPr="0012133E">
        <w:t xml:space="preserve">il </w:t>
      </w:r>
      <w:r w:rsidR="00CA5718" w:rsidRPr="0012133E">
        <w:t xml:space="preserve">terzo avrebbe potuto ragionevolmente rendersi conto che l’organo nell’agire non stava rispettando la propria competenza, </w:t>
      </w:r>
      <w:r w:rsidR="00BA59BD" w:rsidRPr="0012133E">
        <w:t xml:space="preserve">ma non per questo evitare di subire il danno, </w:t>
      </w:r>
      <w:r w:rsidR="00CA5718" w:rsidRPr="0012133E">
        <w:t xml:space="preserve">tale ulteriore criterio permetteva di </w:t>
      </w:r>
      <w:r w:rsidRPr="0012133E">
        <w:t>riferir</w:t>
      </w:r>
      <w:r w:rsidR="00CA5718" w:rsidRPr="0012133E">
        <w:t xml:space="preserve">e allo Stato i comportamenti </w:t>
      </w:r>
      <w:r w:rsidR="00CA5718" w:rsidRPr="0012133E">
        <w:rPr>
          <w:i/>
        </w:rPr>
        <w:t>ultra vires</w:t>
      </w:r>
      <w:r w:rsidR="00CA5718" w:rsidRPr="0012133E">
        <w:t xml:space="preserve"> adottati dagli organi statali anche nei casi in cui neanche in apparenza potevano sembrare rientrare nel quadro della competenza, allorché il compimento dei fatti illeciti era stato reso possibile da un </w:t>
      </w:r>
      <w:r w:rsidR="000B799D" w:rsidRPr="0012133E">
        <w:t>uso abusivo dei mezzi messi</w:t>
      </w:r>
      <w:r w:rsidR="00CA5718" w:rsidRPr="0012133E">
        <w:t xml:space="preserve"> a disposizione da parte dello Stato per l’esercizio regolare delle funzioni.</w:t>
      </w:r>
      <w:r w:rsidR="00135173">
        <w:t xml:space="preserve"> </w:t>
      </w:r>
    </w:p>
    <w:p w:rsidR="0012133E" w:rsidRDefault="000B799D" w:rsidP="0012133E">
      <w:pPr>
        <w:spacing w:after="0" w:line="360" w:lineRule="auto"/>
        <w:ind w:firstLine="284"/>
        <w:jc w:val="both"/>
      </w:pPr>
      <w:r>
        <w:lastRenderedPageBreak/>
        <w:t xml:space="preserve">È </w:t>
      </w:r>
      <w:r w:rsidR="00CA5718">
        <w:t xml:space="preserve">stato </w:t>
      </w:r>
      <w:r w:rsidR="00933295">
        <w:t xml:space="preserve">infine </w:t>
      </w:r>
      <w:r w:rsidR="00CA5718">
        <w:t xml:space="preserve">sostenuto in alcune circostanze che lo Stato non è tenuto a rispondere sul piano internazionale dei fatti illeciti </w:t>
      </w:r>
      <w:r w:rsidR="00CA5718" w:rsidRPr="00104AAB">
        <w:rPr>
          <w:i/>
        </w:rPr>
        <w:t>ultra vires</w:t>
      </w:r>
      <w:r w:rsidR="00CA5718">
        <w:t xml:space="preserve"> dei propri organi nel caso in cui la loro incompetenza è a tal punto manifesta da apparire incontrovertibile agli occhi del terzo leso.</w:t>
      </w:r>
      <w:r w:rsidR="0012133E" w:rsidRPr="0012133E">
        <w:t xml:space="preserve"> </w:t>
      </w:r>
      <w:r w:rsidR="0012133E">
        <w:t xml:space="preserve">Tale limitazione al principio generale </w:t>
      </w:r>
      <w:r w:rsidR="00933295">
        <w:t xml:space="preserve">sembrava trovare </w:t>
      </w:r>
      <w:r w:rsidR="0012133E">
        <w:t xml:space="preserve">riscontro nella prassi dell’epoca ed è stata inoltre codificata, su proposta della Svizzera, all’art. 8 par. 2 </w:t>
      </w:r>
      <w:r w:rsidR="0012133E" w:rsidRPr="00007ECF">
        <w:t>del progetto di articoli adottato in prima lettura dalla Terza Commissione della Conferenza</w:t>
      </w:r>
      <w:r w:rsidR="0012133E">
        <w:t xml:space="preserve"> di codificazione istituita in seno alla Società delle Nazioni.</w:t>
      </w:r>
    </w:p>
    <w:p w:rsidR="00CA5718" w:rsidRDefault="00CA5718" w:rsidP="0012133E">
      <w:pPr>
        <w:spacing w:after="0" w:line="360" w:lineRule="auto"/>
        <w:ind w:firstLine="284"/>
        <w:jc w:val="both"/>
      </w:pPr>
      <w:r w:rsidRPr="002F7273">
        <w:t>Alla luce della prassi fin qui esaminata sembra pertanto possibile affermare che, al fine di garantire la sicurezza delle relazioni internazionali, lo Stato è tenuto a rispondere sul piano internazionale delle condotte non autorizzate dei propri organi nel caso in cui l’illecito è stato reso possibile in virtù della qualità di organo di cui un individuo o ente godono in base al diritto interno e dell’autorità che deriva loro dall’esercitare una funzione ufficiale.</w:t>
      </w:r>
      <w:r w:rsidR="00EA1898">
        <w:t xml:space="preserve"> </w:t>
      </w:r>
      <w:r w:rsidR="0012133E">
        <w:t xml:space="preserve">Secondo tale schema concettuale, la responsabilità internazionale dello Stato per i fatti </w:t>
      </w:r>
      <w:r w:rsidR="0080404B">
        <w:t xml:space="preserve">illeciti </w:t>
      </w:r>
      <w:r w:rsidR="0012133E" w:rsidRPr="00FE7C93">
        <w:rPr>
          <w:i/>
        </w:rPr>
        <w:t>ultra vires</w:t>
      </w:r>
      <w:r w:rsidR="0012133E">
        <w:t xml:space="preserve"> dei propri organi sarebbe </w:t>
      </w:r>
      <w:r w:rsidR="00391D18">
        <w:t xml:space="preserve">invece </w:t>
      </w:r>
      <w:r w:rsidR="0012133E">
        <w:t xml:space="preserve">esclusa sia </w:t>
      </w:r>
      <w:r w:rsidR="00C43BBC">
        <w:t>nel caso in cui un organo agisca</w:t>
      </w:r>
      <w:r w:rsidR="0012133E">
        <w:t xml:space="preserve"> nella propria capacità privata</w:t>
      </w:r>
      <w:r w:rsidR="00C43BBC">
        <w:t>, sia nel caso in cui esso tenga</w:t>
      </w:r>
      <w:r w:rsidR="0012133E">
        <w:t xml:space="preserve"> una condotta totalmente estranea alla propria competenza, pur </w:t>
      </w:r>
      <w:r w:rsidR="00C762F1">
        <w:t xml:space="preserve">agendo nell’esercizio delle </w:t>
      </w:r>
      <w:r w:rsidR="0012133E">
        <w:t>funzioni</w:t>
      </w:r>
      <w:r w:rsidR="00C762F1">
        <w:t>.</w:t>
      </w:r>
    </w:p>
    <w:p w:rsidR="000E532A" w:rsidRDefault="000E532A" w:rsidP="00EB037D">
      <w:pPr>
        <w:spacing w:after="0" w:line="360" w:lineRule="auto"/>
        <w:ind w:firstLine="284"/>
        <w:jc w:val="both"/>
      </w:pPr>
    </w:p>
    <w:p w:rsidR="002A5880" w:rsidRDefault="002A5880" w:rsidP="00391D18">
      <w:pPr>
        <w:spacing w:after="0"/>
      </w:pPr>
    </w:p>
    <w:p w:rsidR="002F4017" w:rsidRDefault="002F4017" w:rsidP="00391D18">
      <w:pPr>
        <w:spacing w:after="0"/>
      </w:pPr>
    </w:p>
    <w:p w:rsidR="00391D18" w:rsidRDefault="00391D18" w:rsidP="00391D18">
      <w:pPr>
        <w:spacing w:after="0"/>
      </w:pPr>
    </w:p>
    <w:p w:rsidR="00000F45" w:rsidRDefault="00000F45" w:rsidP="00EB037D">
      <w:pPr>
        <w:spacing w:after="0"/>
        <w:ind w:firstLine="284"/>
        <w:jc w:val="center"/>
        <w:rPr>
          <w:smallCaps/>
        </w:rPr>
      </w:pPr>
    </w:p>
    <w:p w:rsidR="00000F45" w:rsidRDefault="00000F45" w:rsidP="00EB037D">
      <w:pPr>
        <w:spacing w:after="0"/>
        <w:ind w:firstLine="284"/>
        <w:jc w:val="center"/>
        <w:rPr>
          <w:smallCaps/>
        </w:rPr>
      </w:pPr>
    </w:p>
    <w:p w:rsidR="00000F45" w:rsidRDefault="00000F45" w:rsidP="00EB037D">
      <w:pPr>
        <w:spacing w:after="0"/>
        <w:ind w:firstLine="284"/>
        <w:jc w:val="center"/>
        <w:rPr>
          <w:smallCaps/>
        </w:rPr>
      </w:pPr>
    </w:p>
    <w:p w:rsidR="00000F45" w:rsidRDefault="00000F45" w:rsidP="00EB037D">
      <w:pPr>
        <w:spacing w:after="0"/>
        <w:ind w:firstLine="284"/>
        <w:jc w:val="center"/>
        <w:rPr>
          <w:smallCaps/>
        </w:rPr>
      </w:pPr>
    </w:p>
    <w:p w:rsidR="00000F45" w:rsidRDefault="00000F45" w:rsidP="00EB037D">
      <w:pPr>
        <w:spacing w:after="0"/>
        <w:ind w:firstLine="284"/>
        <w:jc w:val="center"/>
        <w:rPr>
          <w:smallCaps/>
        </w:rPr>
      </w:pPr>
    </w:p>
    <w:p w:rsidR="00000F45" w:rsidRDefault="00000F45" w:rsidP="00EB037D">
      <w:pPr>
        <w:spacing w:after="0"/>
        <w:ind w:firstLine="284"/>
        <w:jc w:val="center"/>
        <w:rPr>
          <w:smallCaps/>
        </w:rPr>
      </w:pPr>
    </w:p>
    <w:p w:rsidR="00000F45" w:rsidRDefault="00000F45" w:rsidP="00EB037D">
      <w:pPr>
        <w:spacing w:after="0"/>
        <w:ind w:firstLine="284"/>
        <w:jc w:val="center"/>
        <w:rPr>
          <w:smallCaps/>
        </w:rPr>
      </w:pPr>
    </w:p>
    <w:p w:rsidR="00000F45" w:rsidRDefault="00000F45" w:rsidP="00EB037D">
      <w:pPr>
        <w:spacing w:after="0"/>
        <w:ind w:firstLine="284"/>
        <w:jc w:val="center"/>
        <w:rPr>
          <w:smallCaps/>
        </w:rPr>
      </w:pPr>
    </w:p>
    <w:p w:rsidR="00000F45" w:rsidRDefault="00000F45" w:rsidP="00EB037D">
      <w:pPr>
        <w:spacing w:after="0"/>
        <w:ind w:firstLine="284"/>
        <w:jc w:val="center"/>
        <w:rPr>
          <w:smallCaps/>
        </w:rPr>
      </w:pPr>
    </w:p>
    <w:p w:rsidR="00000F45" w:rsidRDefault="00000F45" w:rsidP="00EB037D">
      <w:pPr>
        <w:spacing w:after="0"/>
        <w:ind w:firstLine="284"/>
        <w:jc w:val="center"/>
        <w:rPr>
          <w:smallCaps/>
        </w:rPr>
      </w:pPr>
    </w:p>
    <w:p w:rsidR="00000F45" w:rsidRDefault="00000F45" w:rsidP="00EB037D">
      <w:pPr>
        <w:spacing w:after="0"/>
        <w:ind w:firstLine="284"/>
        <w:jc w:val="center"/>
        <w:rPr>
          <w:smallCaps/>
        </w:rPr>
      </w:pPr>
    </w:p>
    <w:p w:rsidR="00000F45" w:rsidRDefault="00000F45" w:rsidP="00EB037D">
      <w:pPr>
        <w:spacing w:after="0"/>
        <w:ind w:firstLine="284"/>
        <w:jc w:val="center"/>
        <w:rPr>
          <w:smallCaps/>
        </w:rPr>
      </w:pPr>
    </w:p>
    <w:p w:rsidR="00000F45" w:rsidRDefault="00000F45" w:rsidP="00EB037D">
      <w:pPr>
        <w:spacing w:after="0"/>
        <w:ind w:firstLine="284"/>
        <w:jc w:val="center"/>
        <w:rPr>
          <w:smallCaps/>
        </w:rPr>
      </w:pPr>
    </w:p>
    <w:p w:rsidR="00000F45" w:rsidRDefault="00000F45" w:rsidP="00EB037D">
      <w:pPr>
        <w:spacing w:after="0"/>
        <w:ind w:firstLine="284"/>
        <w:jc w:val="center"/>
        <w:rPr>
          <w:smallCaps/>
        </w:rPr>
      </w:pPr>
    </w:p>
    <w:p w:rsidR="00000F45" w:rsidRDefault="00000F45" w:rsidP="00EB037D">
      <w:pPr>
        <w:spacing w:after="0"/>
        <w:ind w:firstLine="284"/>
        <w:jc w:val="center"/>
        <w:rPr>
          <w:smallCaps/>
        </w:rPr>
      </w:pPr>
    </w:p>
    <w:p w:rsidR="00000F45" w:rsidRDefault="00000F45" w:rsidP="00EB037D">
      <w:pPr>
        <w:spacing w:after="0"/>
        <w:ind w:firstLine="284"/>
        <w:jc w:val="center"/>
        <w:rPr>
          <w:smallCaps/>
        </w:rPr>
      </w:pPr>
    </w:p>
    <w:p w:rsidR="00000F45" w:rsidRDefault="00000F45" w:rsidP="00EB037D">
      <w:pPr>
        <w:spacing w:after="0"/>
        <w:ind w:firstLine="284"/>
        <w:jc w:val="center"/>
        <w:rPr>
          <w:smallCaps/>
        </w:rPr>
      </w:pPr>
    </w:p>
    <w:p w:rsidR="00000F45" w:rsidRDefault="00000F45" w:rsidP="00EB037D">
      <w:pPr>
        <w:spacing w:after="0"/>
        <w:ind w:firstLine="284"/>
        <w:jc w:val="center"/>
        <w:rPr>
          <w:smallCaps/>
        </w:rPr>
      </w:pPr>
    </w:p>
    <w:p w:rsidR="00000F45" w:rsidRDefault="00000F45" w:rsidP="00EB037D">
      <w:pPr>
        <w:spacing w:after="0"/>
        <w:ind w:firstLine="284"/>
        <w:jc w:val="center"/>
        <w:rPr>
          <w:smallCaps/>
        </w:rPr>
      </w:pPr>
    </w:p>
    <w:p w:rsidR="00333C13" w:rsidRPr="00E24722" w:rsidRDefault="00E24722" w:rsidP="00EB037D">
      <w:pPr>
        <w:spacing w:after="0"/>
        <w:ind w:firstLine="284"/>
        <w:jc w:val="center"/>
        <w:rPr>
          <w:smallCaps/>
        </w:rPr>
      </w:pPr>
      <w:r w:rsidRPr="00E24722">
        <w:rPr>
          <w:smallCaps/>
        </w:rPr>
        <w:lastRenderedPageBreak/>
        <w:t>CAPITOLO III</w:t>
      </w:r>
    </w:p>
    <w:p w:rsidR="00333C13" w:rsidRDefault="00333C13" w:rsidP="00EB037D">
      <w:pPr>
        <w:spacing w:after="0"/>
        <w:ind w:firstLine="284"/>
        <w:jc w:val="center"/>
      </w:pPr>
    </w:p>
    <w:p w:rsidR="00333C13" w:rsidRDefault="00E24722" w:rsidP="00EB037D">
      <w:pPr>
        <w:spacing w:after="0"/>
        <w:ind w:firstLine="284"/>
        <w:jc w:val="center"/>
      </w:pPr>
      <w:r w:rsidRPr="0047135E">
        <w:t>IL PRINCIPIO DELL’ATTRIBUZIONE ALLO STATO DEI</w:t>
      </w:r>
      <w:r>
        <w:t xml:space="preserve"> FATTI</w:t>
      </w:r>
      <w:r w:rsidRPr="0047135E">
        <w:t xml:space="preserve"> </w:t>
      </w:r>
      <w:r w:rsidRPr="0047135E">
        <w:rPr>
          <w:i/>
        </w:rPr>
        <w:t>ULTRA VIRES</w:t>
      </w:r>
      <w:r w:rsidRPr="0047135E">
        <w:t xml:space="preserve"> DEI PROPRI ORGANI NELLA PRASSI</w:t>
      </w:r>
      <w:r>
        <w:t xml:space="preserve"> E NELLA GIURISPRUDENZA INTERNAZIONALE RECENTI</w:t>
      </w:r>
    </w:p>
    <w:p w:rsidR="00333C13" w:rsidRDefault="00333C13" w:rsidP="00EB037D">
      <w:pPr>
        <w:spacing w:after="0"/>
        <w:ind w:firstLine="284"/>
        <w:jc w:val="both"/>
      </w:pPr>
    </w:p>
    <w:p w:rsidR="00333C13" w:rsidRPr="00122260" w:rsidRDefault="00333C13" w:rsidP="00122260">
      <w:pPr>
        <w:spacing w:after="0"/>
        <w:ind w:firstLine="284"/>
        <w:jc w:val="both"/>
        <w:rPr>
          <w:sz w:val="16"/>
          <w:szCs w:val="16"/>
        </w:rPr>
      </w:pPr>
      <w:r w:rsidRPr="00BC1CC5">
        <w:rPr>
          <w:sz w:val="16"/>
          <w:szCs w:val="16"/>
        </w:rPr>
        <w:t>SOMMARIO</w:t>
      </w:r>
      <w:r>
        <w:rPr>
          <w:sz w:val="16"/>
          <w:szCs w:val="16"/>
        </w:rPr>
        <w:t xml:space="preserve">: </w:t>
      </w:r>
      <w:r w:rsidRPr="00EE6071">
        <w:rPr>
          <w:i/>
          <w:sz w:val="16"/>
          <w:szCs w:val="16"/>
        </w:rPr>
        <w:t xml:space="preserve">Sezione </w:t>
      </w:r>
      <w:r w:rsidR="00E24722">
        <w:rPr>
          <w:i/>
          <w:sz w:val="16"/>
          <w:szCs w:val="16"/>
        </w:rPr>
        <w:t>I</w:t>
      </w:r>
      <w:r w:rsidRPr="00F90DCD">
        <w:rPr>
          <w:sz w:val="16"/>
          <w:szCs w:val="16"/>
        </w:rPr>
        <w:t>. La codificazione del principio dell’attrib</w:t>
      </w:r>
      <w:r w:rsidR="004F0E9F">
        <w:rPr>
          <w:sz w:val="16"/>
          <w:szCs w:val="16"/>
        </w:rPr>
        <w:t>uzione allo Stato dei fatti</w:t>
      </w:r>
      <w:r w:rsidRPr="00F90DCD">
        <w:rPr>
          <w:sz w:val="16"/>
          <w:szCs w:val="16"/>
        </w:rPr>
        <w:t xml:space="preserve"> </w:t>
      </w:r>
      <w:r w:rsidRPr="00E20E85">
        <w:rPr>
          <w:i/>
          <w:sz w:val="16"/>
          <w:szCs w:val="16"/>
        </w:rPr>
        <w:t>ultra vires</w:t>
      </w:r>
      <w:r w:rsidRPr="00F90DCD">
        <w:rPr>
          <w:sz w:val="16"/>
          <w:szCs w:val="16"/>
        </w:rPr>
        <w:t xml:space="preserve"> dei propri organi da parte della Commissione del diritto internazionale</w:t>
      </w:r>
      <w:r w:rsidR="0083631A">
        <w:rPr>
          <w:sz w:val="16"/>
          <w:szCs w:val="16"/>
        </w:rPr>
        <w:t xml:space="preserve">: </w:t>
      </w:r>
      <w:r w:rsidR="00A93C16">
        <w:rPr>
          <w:sz w:val="16"/>
          <w:szCs w:val="16"/>
        </w:rPr>
        <w:t>1</w:t>
      </w:r>
      <w:r>
        <w:rPr>
          <w:sz w:val="16"/>
          <w:szCs w:val="16"/>
        </w:rPr>
        <w:t xml:space="preserve">. </w:t>
      </w:r>
      <w:r w:rsidRPr="00F90DCD">
        <w:rPr>
          <w:sz w:val="16"/>
          <w:szCs w:val="16"/>
        </w:rPr>
        <w:t xml:space="preserve">Il principio dell’attribuzione allo Stato dei fatti </w:t>
      </w:r>
      <w:r w:rsidRPr="00E20E85">
        <w:rPr>
          <w:i/>
          <w:sz w:val="16"/>
          <w:szCs w:val="16"/>
        </w:rPr>
        <w:t>ultra vires</w:t>
      </w:r>
      <w:r w:rsidRPr="00F90DCD">
        <w:rPr>
          <w:sz w:val="16"/>
          <w:szCs w:val="16"/>
        </w:rPr>
        <w:t xml:space="preserve"> nei</w:t>
      </w:r>
      <w:r w:rsidR="00EA545E">
        <w:rPr>
          <w:sz w:val="16"/>
          <w:szCs w:val="16"/>
        </w:rPr>
        <w:t xml:space="preserve"> rapporti di García–</w:t>
      </w:r>
      <w:r w:rsidR="00A93C16">
        <w:rPr>
          <w:sz w:val="16"/>
          <w:szCs w:val="16"/>
        </w:rPr>
        <w:t>Amador – 2</w:t>
      </w:r>
      <w:r>
        <w:rPr>
          <w:sz w:val="16"/>
          <w:szCs w:val="16"/>
        </w:rPr>
        <w:t>. La nozione di organo nel progetto di artico</w:t>
      </w:r>
      <w:r w:rsidR="00A93C16">
        <w:rPr>
          <w:sz w:val="16"/>
          <w:szCs w:val="16"/>
        </w:rPr>
        <w:t>li adottato in prima lettura - 3</w:t>
      </w:r>
      <w:r w:rsidRPr="00F90DCD">
        <w:rPr>
          <w:sz w:val="16"/>
          <w:szCs w:val="16"/>
        </w:rPr>
        <w:t xml:space="preserve">. Il principio dell’attribuzione allo Stato dei fatti </w:t>
      </w:r>
      <w:r w:rsidRPr="00E20E85">
        <w:rPr>
          <w:i/>
          <w:sz w:val="16"/>
          <w:szCs w:val="16"/>
        </w:rPr>
        <w:t>ultra vires</w:t>
      </w:r>
      <w:r w:rsidRPr="00F90DCD">
        <w:rPr>
          <w:sz w:val="16"/>
          <w:szCs w:val="16"/>
        </w:rPr>
        <w:t xml:space="preserve"> nel qu</w:t>
      </w:r>
      <w:r w:rsidR="00F96716">
        <w:rPr>
          <w:sz w:val="16"/>
          <w:szCs w:val="16"/>
        </w:rPr>
        <w:t>arto rapporto di</w:t>
      </w:r>
      <w:r w:rsidR="00A93C16">
        <w:rPr>
          <w:sz w:val="16"/>
          <w:szCs w:val="16"/>
        </w:rPr>
        <w:t xml:space="preserve"> Ago – 4</w:t>
      </w:r>
      <w:r w:rsidR="0083631A">
        <w:rPr>
          <w:sz w:val="16"/>
          <w:szCs w:val="16"/>
        </w:rPr>
        <w:t>. Il dibattito in seno alla Commissione</w:t>
      </w:r>
      <w:r w:rsidRPr="00F90DCD">
        <w:rPr>
          <w:sz w:val="16"/>
          <w:szCs w:val="16"/>
        </w:rPr>
        <w:t xml:space="preserve"> circa l’art. 10 proposto dal relatore sp</w:t>
      </w:r>
      <w:r w:rsidR="00A93C16">
        <w:rPr>
          <w:sz w:val="16"/>
          <w:szCs w:val="16"/>
        </w:rPr>
        <w:t>eciale e la sua approvazione – 5</w:t>
      </w:r>
      <w:r w:rsidRPr="00F90DCD">
        <w:rPr>
          <w:sz w:val="16"/>
          <w:szCs w:val="16"/>
        </w:rPr>
        <w:t>. Le prese di posizione degli Stati con riferimento all’ar</w:t>
      </w:r>
      <w:r w:rsidR="00AC49F2">
        <w:rPr>
          <w:sz w:val="16"/>
          <w:szCs w:val="16"/>
        </w:rPr>
        <w:t>t.</w:t>
      </w:r>
      <w:r>
        <w:rPr>
          <w:sz w:val="16"/>
          <w:szCs w:val="16"/>
        </w:rPr>
        <w:t xml:space="preserve"> 10 ad</w:t>
      </w:r>
      <w:r w:rsidR="00A93C16">
        <w:rPr>
          <w:sz w:val="16"/>
          <w:szCs w:val="16"/>
        </w:rPr>
        <w:t>ottato dalla Commissione – 6</w:t>
      </w:r>
      <w:r w:rsidR="0083631A">
        <w:rPr>
          <w:sz w:val="16"/>
          <w:szCs w:val="16"/>
        </w:rPr>
        <w:t>. L’ampliamento</w:t>
      </w:r>
      <w:r>
        <w:rPr>
          <w:sz w:val="16"/>
          <w:szCs w:val="16"/>
        </w:rPr>
        <w:t xml:space="preserve"> della nozione di organo nel progetto di articoli</w:t>
      </w:r>
      <w:r w:rsidR="00A93C16">
        <w:rPr>
          <w:sz w:val="16"/>
          <w:szCs w:val="16"/>
        </w:rPr>
        <w:t xml:space="preserve"> adottato in seconda lettura - 7</w:t>
      </w:r>
      <w:r w:rsidRPr="00F90DCD">
        <w:rPr>
          <w:sz w:val="16"/>
          <w:szCs w:val="16"/>
        </w:rPr>
        <w:t>. Il principio dell’attribuzione allo Stato dei fatti</w:t>
      </w:r>
      <w:r w:rsidRPr="00E20E85">
        <w:rPr>
          <w:i/>
          <w:sz w:val="16"/>
          <w:szCs w:val="16"/>
        </w:rPr>
        <w:t xml:space="preserve"> ultra vires </w:t>
      </w:r>
      <w:r w:rsidR="00F96716">
        <w:rPr>
          <w:sz w:val="16"/>
          <w:szCs w:val="16"/>
        </w:rPr>
        <w:t xml:space="preserve">nel primo rapporto di </w:t>
      </w:r>
      <w:r w:rsidRPr="00F90DCD">
        <w:rPr>
          <w:sz w:val="16"/>
          <w:szCs w:val="16"/>
        </w:rPr>
        <w:t xml:space="preserve">Crawford – </w:t>
      </w:r>
      <w:r w:rsidR="00A93C16">
        <w:rPr>
          <w:sz w:val="16"/>
          <w:szCs w:val="16"/>
        </w:rPr>
        <w:t>8</w:t>
      </w:r>
      <w:r>
        <w:rPr>
          <w:sz w:val="16"/>
          <w:szCs w:val="16"/>
        </w:rPr>
        <w:t xml:space="preserve">. </w:t>
      </w:r>
      <w:r w:rsidR="0083631A">
        <w:rPr>
          <w:sz w:val="16"/>
          <w:szCs w:val="16"/>
        </w:rPr>
        <w:t>L’art. 7 del progetto adottato in seconda lettura: elementi comuni e di distinzione rispetto all’art</w:t>
      </w:r>
      <w:r w:rsidR="003719E8">
        <w:rPr>
          <w:sz w:val="16"/>
          <w:szCs w:val="16"/>
        </w:rPr>
        <w:t xml:space="preserve">. 10 adottato in prima lettura. </w:t>
      </w:r>
      <w:r w:rsidRPr="00EE6071">
        <w:rPr>
          <w:i/>
          <w:sz w:val="16"/>
          <w:szCs w:val="16"/>
        </w:rPr>
        <w:t xml:space="preserve">Sezione </w:t>
      </w:r>
      <w:r w:rsidR="00E24722">
        <w:rPr>
          <w:i/>
          <w:sz w:val="16"/>
          <w:szCs w:val="16"/>
        </w:rPr>
        <w:t>II</w:t>
      </w:r>
      <w:r>
        <w:rPr>
          <w:sz w:val="16"/>
          <w:szCs w:val="16"/>
        </w:rPr>
        <w:t xml:space="preserve">. </w:t>
      </w:r>
      <w:r w:rsidR="00F43F60" w:rsidRPr="00F43F60">
        <w:rPr>
          <w:sz w:val="16"/>
          <w:szCs w:val="16"/>
        </w:rPr>
        <w:t>La prassi e la giurisprudenza internazionale contemporanee e successive ai lavori di codificazione della Commissione del diritto internazionale</w:t>
      </w:r>
      <w:r>
        <w:rPr>
          <w:sz w:val="16"/>
          <w:szCs w:val="16"/>
        </w:rPr>
        <w:t xml:space="preserve">: 1. </w:t>
      </w:r>
      <w:r w:rsidR="002D2297">
        <w:rPr>
          <w:sz w:val="16"/>
          <w:szCs w:val="16"/>
        </w:rPr>
        <w:t>Premessa – 2. La prassi degli Stati - 3</w:t>
      </w:r>
      <w:r w:rsidRPr="004333A7">
        <w:rPr>
          <w:sz w:val="16"/>
          <w:szCs w:val="16"/>
        </w:rPr>
        <w:t>.</w:t>
      </w:r>
      <w:r w:rsidR="002E7C4A">
        <w:rPr>
          <w:sz w:val="16"/>
          <w:szCs w:val="16"/>
        </w:rPr>
        <w:t xml:space="preserve"> La giurisprudenza arbitrale – </w:t>
      </w:r>
      <w:r w:rsidR="002D2297">
        <w:rPr>
          <w:sz w:val="16"/>
          <w:szCs w:val="16"/>
        </w:rPr>
        <w:t>3</w:t>
      </w:r>
      <w:r w:rsidRPr="004333A7">
        <w:rPr>
          <w:sz w:val="16"/>
          <w:szCs w:val="16"/>
        </w:rPr>
        <w:t>.</w:t>
      </w:r>
      <w:r w:rsidR="002E7C4A">
        <w:rPr>
          <w:sz w:val="16"/>
          <w:szCs w:val="16"/>
        </w:rPr>
        <w:t>1</w:t>
      </w:r>
      <w:r w:rsidRPr="004333A7">
        <w:rPr>
          <w:sz w:val="16"/>
          <w:szCs w:val="16"/>
        </w:rPr>
        <w:t xml:space="preserve"> Le pronunce rese dal Tribunal</w:t>
      </w:r>
      <w:r w:rsidR="004F43E9">
        <w:rPr>
          <w:sz w:val="16"/>
          <w:szCs w:val="16"/>
        </w:rPr>
        <w:t>e dei reclami</w:t>
      </w:r>
      <w:r w:rsidR="002E7C4A">
        <w:rPr>
          <w:sz w:val="16"/>
          <w:szCs w:val="16"/>
        </w:rPr>
        <w:t xml:space="preserve"> Iran/Stati Uniti – </w:t>
      </w:r>
      <w:r w:rsidR="002D2297">
        <w:rPr>
          <w:sz w:val="16"/>
          <w:szCs w:val="16"/>
        </w:rPr>
        <w:t>3</w:t>
      </w:r>
      <w:r w:rsidRPr="004333A7">
        <w:rPr>
          <w:sz w:val="16"/>
          <w:szCs w:val="16"/>
        </w:rPr>
        <w:t>.</w:t>
      </w:r>
      <w:r w:rsidR="002E7C4A">
        <w:rPr>
          <w:sz w:val="16"/>
          <w:szCs w:val="16"/>
        </w:rPr>
        <w:t>2</w:t>
      </w:r>
      <w:r w:rsidRPr="004333A7">
        <w:rPr>
          <w:sz w:val="16"/>
          <w:szCs w:val="16"/>
        </w:rPr>
        <w:t xml:space="preserve"> Le sentenze rese da Tribunali arbitra</w:t>
      </w:r>
      <w:r w:rsidR="002D2297">
        <w:rPr>
          <w:sz w:val="16"/>
          <w:szCs w:val="16"/>
        </w:rPr>
        <w:t>li istituiti in ambito ICSID</w:t>
      </w:r>
      <w:r w:rsidR="00B623EC">
        <w:rPr>
          <w:sz w:val="16"/>
          <w:szCs w:val="16"/>
        </w:rPr>
        <w:t xml:space="preserve"> </w:t>
      </w:r>
      <w:r w:rsidR="00B623EC" w:rsidRPr="00B623EC">
        <w:rPr>
          <w:sz w:val="16"/>
          <w:szCs w:val="16"/>
        </w:rPr>
        <w:t>prima dell’adozione in seconda lettura del progetto di articoli della CDI</w:t>
      </w:r>
      <w:r w:rsidR="002D2297">
        <w:rPr>
          <w:sz w:val="16"/>
          <w:szCs w:val="16"/>
        </w:rPr>
        <w:t xml:space="preserve"> - </w:t>
      </w:r>
      <w:r w:rsidR="00540D17">
        <w:rPr>
          <w:sz w:val="16"/>
          <w:szCs w:val="16"/>
        </w:rPr>
        <w:t xml:space="preserve">3.3 </w:t>
      </w:r>
      <w:r w:rsidR="00540D17" w:rsidRPr="00F479A7">
        <w:rPr>
          <w:sz w:val="16"/>
          <w:szCs w:val="16"/>
        </w:rPr>
        <w:t>Segue:</w:t>
      </w:r>
      <w:r w:rsidR="00540D17" w:rsidRPr="00540D17">
        <w:rPr>
          <w:sz w:val="16"/>
          <w:szCs w:val="16"/>
        </w:rPr>
        <w:t xml:space="preserve"> Le sentenze rese successivamente all’adozione in seconda lettura del progetto di articoli della CDI</w:t>
      </w:r>
      <w:r w:rsidR="00540D17">
        <w:rPr>
          <w:sz w:val="16"/>
          <w:szCs w:val="16"/>
        </w:rPr>
        <w:t xml:space="preserve"> - </w:t>
      </w:r>
      <w:r w:rsidR="002D2297">
        <w:rPr>
          <w:sz w:val="16"/>
          <w:szCs w:val="16"/>
        </w:rPr>
        <w:t>4</w:t>
      </w:r>
      <w:r w:rsidRPr="004333A7">
        <w:rPr>
          <w:sz w:val="16"/>
          <w:szCs w:val="16"/>
        </w:rPr>
        <w:t>. La giurisprudenza in tema di tutela internaz</w:t>
      </w:r>
      <w:r w:rsidR="002E7C4A">
        <w:rPr>
          <w:sz w:val="16"/>
          <w:szCs w:val="16"/>
        </w:rPr>
        <w:t xml:space="preserve">ionale dei diritti dell’uomo – </w:t>
      </w:r>
      <w:r w:rsidR="002D2297">
        <w:rPr>
          <w:sz w:val="16"/>
          <w:szCs w:val="16"/>
        </w:rPr>
        <w:t>4</w:t>
      </w:r>
      <w:r w:rsidRPr="004333A7">
        <w:rPr>
          <w:sz w:val="16"/>
          <w:szCs w:val="16"/>
        </w:rPr>
        <w:t>.</w:t>
      </w:r>
      <w:r w:rsidR="002E7C4A">
        <w:rPr>
          <w:sz w:val="16"/>
          <w:szCs w:val="16"/>
        </w:rPr>
        <w:t>1</w:t>
      </w:r>
      <w:r w:rsidRPr="004333A7">
        <w:rPr>
          <w:sz w:val="16"/>
          <w:szCs w:val="16"/>
        </w:rPr>
        <w:t xml:space="preserve">  Le sentenze della Corte e</w:t>
      </w:r>
      <w:r w:rsidR="002E7C4A">
        <w:rPr>
          <w:sz w:val="16"/>
          <w:szCs w:val="16"/>
        </w:rPr>
        <w:t xml:space="preserve">uropea dei diritti dell’uomo – </w:t>
      </w:r>
      <w:r w:rsidR="002D2297">
        <w:rPr>
          <w:sz w:val="16"/>
          <w:szCs w:val="16"/>
        </w:rPr>
        <w:t>4</w:t>
      </w:r>
      <w:r w:rsidRPr="004333A7">
        <w:rPr>
          <w:sz w:val="16"/>
          <w:szCs w:val="16"/>
        </w:rPr>
        <w:t>.</w:t>
      </w:r>
      <w:r w:rsidR="002E7C4A">
        <w:rPr>
          <w:sz w:val="16"/>
          <w:szCs w:val="16"/>
        </w:rPr>
        <w:t>1.1</w:t>
      </w:r>
      <w:r w:rsidRPr="004333A7">
        <w:rPr>
          <w:sz w:val="16"/>
          <w:szCs w:val="16"/>
        </w:rPr>
        <w:t xml:space="preserve"> La Corte </w:t>
      </w:r>
      <w:r w:rsidR="00A97153">
        <w:rPr>
          <w:sz w:val="16"/>
          <w:szCs w:val="16"/>
        </w:rPr>
        <w:t>europea dei diritti dell’uomo: l</w:t>
      </w:r>
      <w:r w:rsidRPr="004333A7">
        <w:rPr>
          <w:sz w:val="16"/>
          <w:szCs w:val="16"/>
        </w:rPr>
        <w:t xml:space="preserve">a sentenza resa nel caso </w:t>
      </w:r>
      <w:r w:rsidRPr="00EE6071">
        <w:rPr>
          <w:i/>
          <w:sz w:val="16"/>
          <w:szCs w:val="16"/>
        </w:rPr>
        <w:t xml:space="preserve">Irlanda </w:t>
      </w:r>
      <w:r w:rsidRPr="0075333D">
        <w:rPr>
          <w:sz w:val="16"/>
          <w:szCs w:val="16"/>
        </w:rPr>
        <w:t>c.</w:t>
      </w:r>
      <w:r w:rsidRPr="00EE6071">
        <w:rPr>
          <w:i/>
          <w:sz w:val="16"/>
          <w:szCs w:val="16"/>
        </w:rPr>
        <w:t xml:space="preserve"> Regno</w:t>
      </w:r>
      <w:r w:rsidR="0008584B">
        <w:rPr>
          <w:sz w:val="16"/>
          <w:szCs w:val="16"/>
        </w:rPr>
        <w:t xml:space="preserve"> Unito – </w:t>
      </w:r>
      <w:r w:rsidR="002D2297">
        <w:rPr>
          <w:sz w:val="16"/>
          <w:szCs w:val="16"/>
        </w:rPr>
        <w:t>4.</w:t>
      </w:r>
      <w:r w:rsidR="002E7C4A">
        <w:rPr>
          <w:sz w:val="16"/>
          <w:szCs w:val="16"/>
        </w:rPr>
        <w:t>1</w:t>
      </w:r>
      <w:r w:rsidR="0008584B">
        <w:rPr>
          <w:sz w:val="16"/>
          <w:szCs w:val="16"/>
        </w:rPr>
        <w:t>.</w:t>
      </w:r>
      <w:r w:rsidR="002E7C4A">
        <w:rPr>
          <w:sz w:val="16"/>
          <w:szCs w:val="16"/>
        </w:rPr>
        <w:t>2</w:t>
      </w:r>
      <w:r w:rsidR="0008584B">
        <w:rPr>
          <w:sz w:val="16"/>
          <w:szCs w:val="16"/>
        </w:rPr>
        <w:t xml:space="preserve"> La sentenza </w:t>
      </w:r>
      <w:r w:rsidRPr="0075333D">
        <w:rPr>
          <w:i/>
          <w:sz w:val="16"/>
          <w:szCs w:val="16"/>
        </w:rPr>
        <w:t xml:space="preserve">Assanidze </w:t>
      </w:r>
      <w:r w:rsidRPr="0075333D">
        <w:rPr>
          <w:sz w:val="16"/>
          <w:szCs w:val="16"/>
        </w:rPr>
        <w:t>c.</w:t>
      </w:r>
      <w:r w:rsidRPr="005D07EE">
        <w:rPr>
          <w:i/>
          <w:sz w:val="16"/>
          <w:szCs w:val="16"/>
        </w:rPr>
        <w:t xml:space="preserve"> Georgia</w:t>
      </w:r>
      <w:r w:rsidR="006F50CF">
        <w:rPr>
          <w:sz w:val="16"/>
          <w:szCs w:val="16"/>
        </w:rPr>
        <w:t xml:space="preserve"> – </w:t>
      </w:r>
      <w:r w:rsidR="002D2297">
        <w:rPr>
          <w:sz w:val="16"/>
          <w:szCs w:val="16"/>
        </w:rPr>
        <w:t>4</w:t>
      </w:r>
      <w:r w:rsidR="002E7C4A">
        <w:rPr>
          <w:sz w:val="16"/>
          <w:szCs w:val="16"/>
        </w:rPr>
        <w:t>.1.</w:t>
      </w:r>
      <w:r w:rsidR="006F50CF">
        <w:rPr>
          <w:sz w:val="16"/>
          <w:szCs w:val="16"/>
        </w:rPr>
        <w:t>3. La sentenza</w:t>
      </w:r>
      <w:r w:rsidRPr="004333A7">
        <w:rPr>
          <w:sz w:val="16"/>
          <w:szCs w:val="16"/>
        </w:rPr>
        <w:t xml:space="preserve"> </w:t>
      </w:r>
      <w:r w:rsidRPr="004333A7">
        <w:rPr>
          <w:i/>
          <w:sz w:val="16"/>
          <w:szCs w:val="16"/>
        </w:rPr>
        <w:t xml:space="preserve">Ilascu e altri </w:t>
      </w:r>
      <w:r w:rsidRPr="0075333D">
        <w:rPr>
          <w:sz w:val="16"/>
          <w:szCs w:val="16"/>
        </w:rPr>
        <w:t>c.</w:t>
      </w:r>
      <w:r w:rsidRPr="004333A7">
        <w:rPr>
          <w:i/>
          <w:sz w:val="16"/>
          <w:szCs w:val="16"/>
        </w:rPr>
        <w:t xml:space="preserve"> Moldova e Russia</w:t>
      </w:r>
      <w:r w:rsidR="002E7C4A">
        <w:rPr>
          <w:sz w:val="16"/>
          <w:szCs w:val="16"/>
        </w:rPr>
        <w:t xml:space="preserve"> – </w:t>
      </w:r>
      <w:r w:rsidR="002D2297">
        <w:rPr>
          <w:sz w:val="16"/>
          <w:szCs w:val="16"/>
        </w:rPr>
        <w:t>4</w:t>
      </w:r>
      <w:r w:rsidR="002E7C4A">
        <w:rPr>
          <w:sz w:val="16"/>
          <w:szCs w:val="16"/>
        </w:rPr>
        <w:t>.2</w:t>
      </w:r>
      <w:r w:rsidR="00483A21">
        <w:rPr>
          <w:sz w:val="16"/>
          <w:szCs w:val="16"/>
        </w:rPr>
        <w:t xml:space="preserve"> Le sentenze della Corte i</w:t>
      </w:r>
      <w:r w:rsidRPr="004333A7">
        <w:rPr>
          <w:sz w:val="16"/>
          <w:szCs w:val="16"/>
        </w:rPr>
        <w:t xml:space="preserve">nteramericana dei diritti dell’uomo – </w:t>
      </w:r>
      <w:r w:rsidR="002D2297">
        <w:rPr>
          <w:sz w:val="16"/>
          <w:szCs w:val="16"/>
        </w:rPr>
        <w:t>4</w:t>
      </w:r>
      <w:r w:rsidR="002E7C4A">
        <w:rPr>
          <w:sz w:val="16"/>
          <w:szCs w:val="16"/>
        </w:rPr>
        <w:t>.2.1</w:t>
      </w:r>
      <w:r w:rsidR="001D1B62">
        <w:rPr>
          <w:sz w:val="16"/>
          <w:szCs w:val="16"/>
        </w:rPr>
        <w:t xml:space="preserve"> La sentenza</w:t>
      </w:r>
      <w:r w:rsidRPr="004333A7">
        <w:rPr>
          <w:sz w:val="16"/>
          <w:szCs w:val="16"/>
        </w:rPr>
        <w:t xml:space="preserve"> re</w:t>
      </w:r>
      <w:r w:rsidR="001D1B62">
        <w:rPr>
          <w:sz w:val="16"/>
          <w:szCs w:val="16"/>
        </w:rPr>
        <w:t xml:space="preserve">sa nel caso </w:t>
      </w:r>
      <w:r w:rsidRPr="004333A7">
        <w:rPr>
          <w:i/>
          <w:sz w:val="16"/>
          <w:szCs w:val="16"/>
        </w:rPr>
        <w:t>Velásquez Rodríguez</w:t>
      </w:r>
      <w:r w:rsidR="006B48C5">
        <w:rPr>
          <w:sz w:val="16"/>
          <w:szCs w:val="16"/>
        </w:rPr>
        <w:t xml:space="preserve">– </w:t>
      </w:r>
      <w:r w:rsidR="002D2297">
        <w:rPr>
          <w:sz w:val="16"/>
          <w:szCs w:val="16"/>
        </w:rPr>
        <w:t>4</w:t>
      </w:r>
      <w:r w:rsidR="002E7C4A">
        <w:rPr>
          <w:sz w:val="16"/>
          <w:szCs w:val="16"/>
        </w:rPr>
        <w:t>.2.2</w:t>
      </w:r>
      <w:r w:rsidR="006B48C5" w:rsidRPr="006B48C5">
        <w:rPr>
          <w:sz w:val="16"/>
          <w:szCs w:val="16"/>
        </w:rPr>
        <w:t xml:space="preserve"> La sentenza resa nel caso </w:t>
      </w:r>
      <w:r w:rsidR="006B48C5" w:rsidRPr="0075333D">
        <w:rPr>
          <w:i/>
          <w:sz w:val="16"/>
          <w:szCs w:val="16"/>
        </w:rPr>
        <w:t xml:space="preserve">Mapiripán Massacre </w:t>
      </w:r>
      <w:r w:rsidR="006B48C5" w:rsidRPr="0075333D">
        <w:rPr>
          <w:sz w:val="16"/>
          <w:szCs w:val="16"/>
        </w:rPr>
        <w:t>c.</w:t>
      </w:r>
      <w:r w:rsidR="006B48C5" w:rsidRPr="0075333D">
        <w:rPr>
          <w:i/>
          <w:sz w:val="16"/>
          <w:szCs w:val="16"/>
        </w:rPr>
        <w:t xml:space="preserve"> Colombia</w:t>
      </w:r>
      <w:r w:rsidR="002E7C4A">
        <w:rPr>
          <w:sz w:val="16"/>
          <w:szCs w:val="16"/>
        </w:rPr>
        <w:t xml:space="preserve"> – </w:t>
      </w:r>
      <w:r w:rsidR="002D2297">
        <w:rPr>
          <w:sz w:val="16"/>
          <w:szCs w:val="16"/>
        </w:rPr>
        <w:t>4</w:t>
      </w:r>
      <w:r w:rsidR="002E7C4A">
        <w:rPr>
          <w:sz w:val="16"/>
          <w:szCs w:val="16"/>
        </w:rPr>
        <w:t>.2.3</w:t>
      </w:r>
      <w:r w:rsidR="006B48C5">
        <w:rPr>
          <w:sz w:val="16"/>
          <w:szCs w:val="16"/>
        </w:rPr>
        <w:t xml:space="preserve"> </w:t>
      </w:r>
      <w:r w:rsidRPr="004333A7">
        <w:rPr>
          <w:sz w:val="16"/>
          <w:szCs w:val="16"/>
        </w:rPr>
        <w:t xml:space="preserve">Altre sentenze della Corte interamericana in cui è stato enunciato il principio della responsabilità internazionale dello Stato per attività </w:t>
      </w:r>
      <w:r w:rsidRPr="004333A7">
        <w:rPr>
          <w:i/>
          <w:sz w:val="16"/>
          <w:szCs w:val="16"/>
        </w:rPr>
        <w:t>ultra vires</w:t>
      </w:r>
      <w:r w:rsidR="002E7C4A">
        <w:rPr>
          <w:sz w:val="16"/>
          <w:szCs w:val="16"/>
        </w:rPr>
        <w:t xml:space="preserve"> dei propri organi – </w:t>
      </w:r>
      <w:r w:rsidR="002D2297">
        <w:rPr>
          <w:sz w:val="16"/>
          <w:szCs w:val="16"/>
        </w:rPr>
        <w:t>4</w:t>
      </w:r>
      <w:r w:rsidRPr="004333A7">
        <w:rPr>
          <w:sz w:val="16"/>
          <w:szCs w:val="16"/>
        </w:rPr>
        <w:t>.</w:t>
      </w:r>
      <w:r w:rsidR="002E7C4A">
        <w:rPr>
          <w:sz w:val="16"/>
          <w:szCs w:val="16"/>
        </w:rPr>
        <w:t>3</w:t>
      </w:r>
      <w:r w:rsidR="00EF39BD">
        <w:rPr>
          <w:sz w:val="16"/>
          <w:szCs w:val="16"/>
        </w:rPr>
        <w:t xml:space="preserve"> L’orientamento</w:t>
      </w:r>
      <w:r w:rsidR="002E7C4A">
        <w:rPr>
          <w:sz w:val="16"/>
          <w:szCs w:val="16"/>
        </w:rPr>
        <w:t xml:space="preserve"> del</w:t>
      </w:r>
      <w:r w:rsidR="002D2297">
        <w:rPr>
          <w:sz w:val="16"/>
          <w:szCs w:val="16"/>
        </w:rPr>
        <w:t xml:space="preserve"> Comitato dei diritti umani – 5</w:t>
      </w:r>
      <w:r w:rsidRPr="004333A7">
        <w:rPr>
          <w:sz w:val="16"/>
          <w:szCs w:val="16"/>
        </w:rPr>
        <w:t>. La giurisprudenza del Tribunale penale interna</w:t>
      </w:r>
      <w:r w:rsidR="00122260">
        <w:rPr>
          <w:sz w:val="16"/>
          <w:szCs w:val="16"/>
        </w:rPr>
        <w:t xml:space="preserve">zionale per la </w:t>
      </w:r>
      <w:r w:rsidR="00122260" w:rsidRPr="00122260">
        <w:rPr>
          <w:i/>
          <w:sz w:val="16"/>
          <w:szCs w:val="16"/>
        </w:rPr>
        <w:t>ex</w:t>
      </w:r>
      <w:r w:rsidR="00122260">
        <w:rPr>
          <w:sz w:val="16"/>
          <w:szCs w:val="16"/>
        </w:rPr>
        <w:t>-I</w:t>
      </w:r>
      <w:r w:rsidR="002D2297">
        <w:rPr>
          <w:sz w:val="16"/>
          <w:szCs w:val="16"/>
        </w:rPr>
        <w:t>ugoslavia – 6</w:t>
      </w:r>
      <w:r w:rsidRPr="004333A7">
        <w:rPr>
          <w:sz w:val="16"/>
          <w:szCs w:val="16"/>
        </w:rPr>
        <w:t xml:space="preserve">. La giurisprudenza della Corte internazionale di giustizia – </w:t>
      </w:r>
      <w:r w:rsidR="002D2297" w:rsidRPr="002D2297">
        <w:rPr>
          <w:sz w:val="16"/>
          <w:szCs w:val="16"/>
        </w:rPr>
        <w:t xml:space="preserve">6.1 La sentenza resa nel caso delle </w:t>
      </w:r>
      <w:r w:rsidR="002D2297" w:rsidRPr="007607C8">
        <w:rPr>
          <w:i/>
          <w:sz w:val="16"/>
          <w:szCs w:val="16"/>
        </w:rPr>
        <w:t>Attività m</w:t>
      </w:r>
      <w:r w:rsidR="0096197A" w:rsidRPr="007607C8">
        <w:rPr>
          <w:i/>
          <w:sz w:val="16"/>
          <w:szCs w:val="16"/>
        </w:rPr>
        <w:t>i</w:t>
      </w:r>
      <w:r w:rsidR="002D2297" w:rsidRPr="007607C8">
        <w:rPr>
          <w:i/>
          <w:sz w:val="16"/>
          <w:szCs w:val="16"/>
        </w:rPr>
        <w:t>litari e paramilitari in e contro il Nicaragua</w:t>
      </w:r>
      <w:r w:rsidR="002D2297">
        <w:rPr>
          <w:sz w:val="16"/>
          <w:szCs w:val="16"/>
        </w:rPr>
        <w:t xml:space="preserve">  - 6.2</w:t>
      </w:r>
      <w:r w:rsidRPr="004333A7">
        <w:rPr>
          <w:sz w:val="16"/>
          <w:szCs w:val="16"/>
        </w:rPr>
        <w:t xml:space="preserve"> La sentenza resa nel caso delle </w:t>
      </w:r>
      <w:r w:rsidR="007607C8">
        <w:rPr>
          <w:i/>
          <w:sz w:val="16"/>
          <w:szCs w:val="16"/>
        </w:rPr>
        <w:t>A</w:t>
      </w:r>
      <w:r w:rsidR="00266430">
        <w:rPr>
          <w:i/>
          <w:sz w:val="16"/>
          <w:szCs w:val="16"/>
        </w:rPr>
        <w:t>ttivitá</w:t>
      </w:r>
      <w:r w:rsidRPr="001118C4">
        <w:rPr>
          <w:i/>
          <w:sz w:val="16"/>
          <w:szCs w:val="16"/>
        </w:rPr>
        <w:t xml:space="preserve"> militari sul territorio del Congo</w:t>
      </w:r>
      <w:r w:rsidR="002D2297">
        <w:rPr>
          <w:sz w:val="16"/>
          <w:szCs w:val="16"/>
        </w:rPr>
        <w:t xml:space="preserve"> – </w:t>
      </w:r>
      <w:r w:rsidR="002D2297" w:rsidRPr="002D2297">
        <w:rPr>
          <w:sz w:val="16"/>
          <w:szCs w:val="16"/>
        </w:rPr>
        <w:t>6</w:t>
      </w:r>
      <w:r w:rsidRPr="002D2297">
        <w:rPr>
          <w:sz w:val="16"/>
          <w:szCs w:val="16"/>
        </w:rPr>
        <w:t>.</w:t>
      </w:r>
      <w:r w:rsidR="002D2297" w:rsidRPr="002D2297">
        <w:rPr>
          <w:sz w:val="16"/>
          <w:szCs w:val="16"/>
        </w:rPr>
        <w:t>3</w:t>
      </w:r>
      <w:r w:rsidRPr="004333A7">
        <w:rPr>
          <w:sz w:val="16"/>
          <w:szCs w:val="16"/>
        </w:rPr>
        <w:t xml:space="preserve"> La sentenza resa nel caso della </w:t>
      </w:r>
      <w:r w:rsidR="007607C8">
        <w:rPr>
          <w:i/>
          <w:sz w:val="16"/>
          <w:szCs w:val="16"/>
        </w:rPr>
        <w:t>A</w:t>
      </w:r>
      <w:r w:rsidRPr="009379EE">
        <w:rPr>
          <w:i/>
          <w:sz w:val="16"/>
          <w:szCs w:val="16"/>
        </w:rPr>
        <w:t>pplicazione della Convenzione sul genocidio</w:t>
      </w:r>
      <w:r w:rsidR="005D07EE">
        <w:rPr>
          <w:sz w:val="16"/>
          <w:szCs w:val="16"/>
        </w:rPr>
        <w:t xml:space="preserve"> </w:t>
      </w:r>
      <w:r w:rsidR="002D2297">
        <w:rPr>
          <w:sz w:val="16"/>
          <w:szCs w:val="16"/>
        </w:rPr>
        <w:t>- 7</w:t>
      </w:r>
      <w:r w:rsidRPr="004333A7">
        <w:rPr>
          <w:sz w:val="16"/>
          <w:szCs w:val="16"/>
        </w:rPr>
        <w:t xml:space="preserve">. </w:t>
      </w:r>
      <w:r w:rsidR="00AE0246" w:rsidRPr="00AE0246">
        <w:rPr>
          <w:sz w:val="16"/>
          <w:szCs w:val="16"/>
        </w:rPr>
        <w:t>Osservazioni sulla prassi e giurisprudenza recenti</w:t>
      </w:r>
      <w:r w:rsidR="00AE0246">
        <w:rPr>
          <w:sz w:val="16"/>
          <w:szCs w:val="16"/>
        </w:rPr>
        <w:t>.</w:t>
      </w:r>
    </w:p>
    <w:p w:rsidR="00333C13" w:rsidRPr="004333A7" w:rsidRDefault="00333C13" w:rsidP="00EB037D">
      <w:pPr>
        <w:spacing w:after="0"/>
        <w:ind w:firstLine="284"/>
        <w:jc w:val="both"/>
      </w:pPr>
    </w:p>
    <w:p w:rsidR="00E24722" w:rsidRPr="00E24722" w:rsidRDefault="008F67CA" w:rsidP="00E24722">
      <w:pPr>
        <w:spacing w:after="0"/>
        <w:ind w:firstLine="284"/>
        <w:jc w:val="center"/>
        <w:rPr>
          <w:i/>
        </w:rPr>
      </w:pPr>
      <w:r>
        <w:rPr>
          <w:i/>
        </w:rPr>
        <w:t>Sezione I</w:t>
      </w:r>
    </w:p>
    <w:p w:rsidR="00333C13" w:rsidRDefault="00E24722" w:rsidP="00E24722">
      <w:pPr>
        <w:spacing w:after="0"/>
        <w:ind w:firstLine="284"/>
        <w:jc w:val="center"/>
      </w:pPr>
      <w:r w:rsidRPr="004333A7">
        <w:t>LA CODIFICAZIONE DEL PRINCIPIO DELL’ATTRIBUZIONE</w:t>
      </w:r>
      <w:r>
        <w:t xml:space="preserve"> ALLO STATO </w:t>
      </w:r>
      <w:r w:rsidR="006D363D">
        <w:t xml:space="preserve">DEI FATTI </w:t>
      </w:r>
      <w:r w:rsidRPr="00B842D3">
        <w:rPr>
          <w:i/>
        </w:rPr>
        <w:t>ULTRA VIRES</w:t>
      </w:r>
      <w:r>
        <w:t xml:space="preserve"> DEI PROPRI ORGANI DA PARTE DELLA COMMISSIONE DEL DIRITTO INTERNAZIONALE</w:t>
      </w:r>
    </w:p>
    <w:p w:rsidR="00510600" w:rsidRDefault="00510600" w:rsidP="00A93C16">
      <w:pPr>
        <w:spacing w:after="0" w:line="360" w:lineRule="auto"/>
      </w:pPr>
    </w:p>
    <w:p w:rsidR="00333C13" w:rsidRDefault="00333C13" w:rsidP="008629FF">
      <w:pPr>
        <w:pStyle w:val="Paragrafoelenco"/>
        <w:numPr>
          <w:ilvl w:val="0"/>
          <w:numId w:val="3"/>
        </w:numPr>
        <w:spacing w:after="0" w:line="360" w:lineRule="auto"/>
      </w:pPr>
      <w:r>
        <w:t xml:space="preserve">Il principio dell’attribuzione allo Stato dei fatti </w:t>
      </w:r>
      <w:r w:rsidRPr="00510600">
        <w:rPr>
          <w:i/>
        </w:rPr>
        <w:t>ultra vires</w:t>
      </w:r>
      <w:r>
        <w:t xml:space="preserve"> nei rapporti di Garc</w:t>
      </w:r>
      <w:r w:rsidRPr="00510600">
        <w:rPr>
          <w:rFonts w:cstheme="minorHAnsi"/>
        </w:rPr>
        <w:t>í</w:t>
      </w:r>
      <w:r w:rsidR="00510600">
        <w:t>a-</w:t>
      </w:r>
      <w:r>
        <w:t>Amador</w:t>
      </w:r>
    </w:p>
    <w:p w:rsidR="00333C13" w:rsidRDefault="00333C13" w:rsidP="00EB037D">
      <w:pPr>
        <w:spacing w:after="0" w:line="360" w:lineRule="auto"/>
        <w:ind w:firstLine="284"/>
        <w:jc w:val="both"/>
      </w:pPr>
    </w:p>
    <w:p w:rsidR="003E458F" w:rsidRDefault="00F54AE7" w:rsidP="00624482">
      <w:pPr>
        <w:spacing w:after="0" w:line="360" w:lineRule="auto"/>
        <w:ind w:firstLine="284"/>
        <w:jc w:val="both"/>
      </w:pPr>
      <w:r>
        <w:t>Come precedentemente accennato</w:t>
      </w:r>
      <w:r>
        <w:rPr>
          <w:rStyle w:val="Rimandonotaapidipagina"/>
        </w:rPr>
        <w:footnoteReference w:id="287"/>
      </w:r>
      <w:r>
        <w:t xml:space="preserve">, anche la Commissione del diritto internazionale </w:t>
      </w:r>
      <w:r w:rsidR="003E458F">
        <w:t xml:space="preserve">(CDI) </w:t>
      </w:r>
      <w:r>
        <w:t>si è occupata di codificare i principi di diritto internazionale inerenti la responsabilità interna</w:t>
      </w:r>
      <w:r w:rsidR="003E458F">
        <w:t>zionale dello Stato e,</w:t>
      </w:r>
      <w:r w:rsidR="003E458F" w:rsidRPr="003E458F">
        <w:t xml:space="preserve"> </w:t>
      </w:r>
      <w:r w:rsidR="003E458F">
        <w:t xml:space="preserve">alla luce dell’importanza </w:t>
      </w:r>
      <w:r w:rsidR="006D363D">
        <w:t>del suo contributo all’</w:t>
      </w:r>
      <w:r w:rsidR="00624482">
        <w:t xml:space="preserve">identificazione della regola in materia di </w:t>
      </w:r>
      <w:r w:rsidR="003E458F">
        <w:t xml:space="preserve">attribuzione </w:t>
      </w:r>
      <w:r w:rsidR="00624482">
        <w:t>allo Stato d</w:t>
      </w:r>
      <w:r w:rsidR="003E458F">
        <w:t xml:space="preserve">i fatti </w:t>
      </w:r>
      <w:r w:rsidR="00624482">
        <w:t xml:space="preserve">illeciti </w:t>
      </w:r>
      <w:r w:rsidR="003E458F" w:rsidRPr="00624482">
        <w:rPr>
          <w:i/>
        </w:rPr>
        <w:t>ultra vires</w:t>
      </w:r>
      <w:r w:rsidR="003E458F">
        <w:t xml:space="preserve"> dei propri organi</w:t>
      </w:r>
      <w:r w:rsidR="00624482">
        <w:t>,</w:t>
      </w:r>
      <w:r w:rsidR="00624482" w:rsidRPr="00624482">
        <w:t xml:space="preserve"> </w:t>
      </w:r>
      <w:r w:rsidR="003E458F">
        <w:t>si è ritenuto opportuno dedicarvi un’apposita sezione.</w:t>
      </w:r>
    </w:p>
    <w:p w:rsidR="00800993" w:rsidRDefault="00F54AE7" w:rsidP="00800993">
      <w:pPr>
        <w:spacing w:after="0" w:line="360" w:lineRule="auto"/>
        <w:ind w:firstLine="284"/>
        <w:jc w:val="both"/>
      </w:pPr>
      <w:r>
        <w:t xml:space="preserve"> In quanto organo sussidiario dell’Assemblea Generale delle Nazioni Unite incaricato di promuovere la codificazione e lo sviluppo progressivo del diritto internazionale, la C</w:t>
      </w:r>
      <w:r w:rsidR="003E458F">
        <w:t>DI</w:t>
      </w:r>
      <w:r>
        <w:t xml:space="preserve"> ha inserito la responsabilità intern</w:t>
      </w:r>
      <w:r w:rsidR="00266430">
        <w:t>azionale dello Stato nell’elenco</w:t>
      </w:r>
      <w:r>
        <w:t xml:space="preserve"> delle quattordici materie suscettibili di essere cod</w:t>
      </w:r>
      <w:r w:rsidR="00CF66D9">
        <w:t xml:space="preserve">ificate e, nel 1955, ha nominato </w:t>
      </w:r>
      <w:r>
        <w:t>Francisco Garc</w:t>
      </w:r>
      <w:r>
        <w:rPr>
          <w:rFonts w:cstheme="minorHAnsi"/>
        </w:rPr>
        <w:t>í</w:t>
      </w:r>
      <w:r>
        <w:t>a Amado</w:t>
      </w:r>
      <w:r w:rsidR="00CF66D9">
        <w:t xml:space="preserve">r </w:t>
      </w:r>
      <w:r w:rsidR="003E458F">
        <w:t xml:space="preserve">come primo </w:t>
      </w:r>
      <w:r w:rsidR="00CF66D9">
        <w:t>relatore speciale per tale tema.</w:t>
      </w:r>
    </w:p>
    <w:p w:rsidR="00BD40F5" w:rsidRDefault="00333C13" w:rsidP="00144AED">
      <w:pPr>
        <w:spacing w:after="0" w:line="360" w:lineRule="auto"/>
        <w:ind w:firstLine="284"/>
        <w:jc w:val="both"/>
      </w:pPr>
      <w:r>
        <w:lastRenderedPageBreak/>
        <w:t>Nel corso della nona sessione della Commissione del diritto internazionale, il relatore speciale ha presentato il suo secondo rapporto dedicato allo studio della responsabilità dello Stato in ragione dei danni causati sul proprio territorio alla persona o ai beni degli stranieri</w:t>
      </w:r>
      <w:r>
        <w:rPr>
          <w:rStyle w:val="Rimandonotaapidipagina"/>
        </w:rPr>
        <w:footnoteReference w:id="288"/>
      </w:r>
      <w:r>
        <w:t>.</w:t>
      </w:r>
      <w:r w:rsidR="004D2454">
        <w:t xml:space="preserve"> </w:t>
      </w:r>
      <w:r w:rsidR="00AD4654">
        <w:t xml:space="preserve">Per la prima volta il problema dei fatti illeciti internazionali </w:t>
      </w:r>
      <w:r w:rsidR="00AD4654" w:rsidRPr="00AD4654">
        <w:rPr>
          <w:i/>
        </w:rPr>
        <w:t>ultra vires</w:t>
      </w:r>
      <w:r w:rsidR="00AD4654" w:rsidRPr="00AD4654">
        <w:t xml:space="preserve"> </w:t>
      </w:r>
      <w:r w:rsidR="00AD4654">
        <w:t>viene qui studiato in termini di attribuzione di condotte</w:t>
      </w:r>
      <w:r w:rsidR="00994ACE">
        <w:t>,</w:t>
      </w:r>
      <w:r w:rsidR="00AD4654">
        <w:t xml:space="preserve"> e non di responsablità internazion</w:t>
      </w:r>
      <w:r w:rsidR="003F772B">
        <w:t xml:space="preserve">ale. Ci si domanda cioè se </w:t>
      </w:r>
      <w:r w:rsidR="003F772B">
        <w:rPr>
          <w:rFonts w:cstheme="minorHAnsi"/>
        </w:rPr>
        <w:t xml:space="preserve">le condotte tenute dagli </w:t>
      </w:r>
      <w:r w:rsidR="003F772B" w:rsidRPr="00C30B8E">
        <w:rPr>
          <w:rFonts w:cstheme="minorHAnsi"/>
        </w:rPr>
        <w:t>organi</w:t>
      </w:r>
      <w:r w:rsidR="003F772B">
        <w:rPr>
          <w:rFonts w:cstheme="minorHAnsi"/>
        </w:rPr>
        <w:t xml:space="preserve"> statali</w:t>
      </w:r>
      <w:r w:rsidR="00BD40F5">
        <w:rPr>
          <w:rFonts w:cstheme="minorHAnsi"/>
        </w:rPr>
        <w:t xml:space="preserve">, </w:t>
      </w:r>
      <w:r w:rsidR="003F772B" w:rsidRPr="00C30B8E">
        <w:rPr>
          <w:rFonts w:cstheme="minorHAnsi"/>
        </w:rPr>
        <w:t>eccedendo i limiti della competenza oppure contravvenendo alle istruzioni</w:t>
      </w:r>
      <w:r w:rsidR="003F772B">
        <w:rPr>
          <w:rFonts w:cstheme="minorHAnsi"/>
        </w:rPr>
        <w:t xml:space="preserve"> ricevute</w:t>
      </w:r>
      <w:r w:rsidR="00BD40F5">
        <w:rPr>
          <w:rFonts w:cstheme="minorHAnsi"/>
        </w:rPr>
        <w:t>,</w:t>
      </w:r>
      <w:r w:rsidR="00AD4654">
        <w:t xml:space="preserve"> possano ritenersi dei fatti dello Stato quale soggetto internazionale</w:t>
      </w:r>
      <w:r w:rsidR="00BD40F5">
        <w:t xml:space="preserve"> </w:t>
      </w:r>
      <w:r w:rsidR="003F772B">
        <w:t>e non più soltanto se lo Stato sia tenuto a risponderne internazionalmente.</w:t>
      </w:r>
    </w:p>
    <w:p w:rsidR="00333C13" w:rsidRDefault="00994ACE" w:rsidP="00EB037D">
      <w:pPr>
        <w:spacing w:after="0" w:line="360" w:lineRule="auto"/>
        <w:ind w:firstLine="284"/>
        <w:jc w:val="both"/>
      </w:pPr>
      <w:r>
        <w:t>Il</w:t>
      </w:r>
      <w:r w:rsidR="00333C13">
        <w:t xml:space="preserve"> rapporto</w:t>
      </w:r>
      <w:r>
        <w:t xml:space="preserve"> del relatore</w:t>
      </w:r>
      <w:r w:rsidR="00333C13">
        <w:t xml:space="preserve"> considerava il problema dell’attribuzione allo Stato dei </w:t>
      </w:r>
      <w:r>
        <w:t xml:space="preserve">fatti </w:t>
      </w:r>
      <w:r w:rsidR="00333C13">
        <w:rPr>
          <w:i/>
        </w:rPr>
        <w:t>ultra vires</w:t>
      </w:r>
      <w:r w:rsidR="00333C13">
        <w:t xml:space="preserve"> solo con riferimento agli organi del potere esecutivo, </w:t>
      </w:r>
      <w:r w:rsidR="00574EE3">
        <w:t xml:space="preserve">come se escludesse implicitamente </w:t>
      </w:r>
      <w:r w:rsidR="00333C13">
        <w:t xml:space="preserve">che gli organi appartenenti al potere legislativo o giudiziario </w:t>
      </w:r>
      <w:r w:rsidR="00126127">
        <w:t xml:space="preserve">potessero </w:t>
      </w:r>
      <w:r w:rsidR="00333C13">
        <w:t>adottare tali tipi di condotte</w:t>
      </w:r>
      <w:r w:rsidR="00333C13">
        <w:rPr>
          <w:rStyle w:val="Rimandonotaapidipagina"/>
        </w:rPr>
        <w:footnoteReference w:id="289"/>
      </w:r>
      <w:r w:rsidR="00333C13">
        <w:t>.</w:t>
      </w:r>
    </w:p>
    <w:p w:rsidR="00333C13" w:rsidRDefault="00333C13" w:rsidP="00962148">
      <w:pPr>
        <w:spacing w:after="0" w:line="360" w:lineRule="auto"/>
        <w:ind w:firstLine="284"/>
        <w:jc w:val="both"/>
      </w:pPr>
      <w:r>
        <w:t>L’art. 3</w:t>
      </w:r>
      <w:r w:rsidR="00A97895">
        <w:t>,</w:t>
      </w:r>
      <w:r>
        <w:t xml:space="preserve"> par. 2</w:t>
      </w:r>
      <w:r w:rsidR="00A97895">
        <w:t>,</w:t>
      </w:r>
      <w:r>
        <w:t xml:space="preserve"> </w:t>
      </w:r>
      <w:r w:rsidR="00266430">
        <w:t xml:space="preserve">del progetto del relatore </w:t>
      </w:r>
      <w:r>
        <w:t>prevedeva che la responsabilità in</w:t>
      </w:r>
      <w:r w:rsidR="00266430">
        <w:t>ternazionale di uno Stato potesse</w:t>
      </w:r>
      <w:r>
        <w:t xml:space="preserve"> sorgere nel caso in cui un </w:t>
      </w:r>
      <w:r w:rsidR="00A97895">
        <w:t xml:space="preserve">funzionario </w:t>
      </w:r>
      <w:r>
        <w:t>statale adottava un comportamento illecito eccedendo la propria competenza, ma agendo “</w:t>
      </w:r>
      <w:r w:rsidR="00962148" w:rsidRPr="00962148">
        <w:rPr>
          <w:i/>
        </w:rPr>
        <w:t>by virtue of his official capacity</w:t>
      </w:r>
      <w:r w:rsidRPr="00962148">
        <w:t>”</w:t>
      </w:r>
      <w:r>
        <w:rPr>
          <w:rStyle w:val="Rimandonotaapidipagina"/>
        </w:rPr>
        <w:footnoteReference w:id="290"/>
      </w:r>
      <w:r w:rsidRPr="00962148">
        <w:t>.</w:t>
      </w:r>
      <w:r w:rsidR="00A97895" w:rsidRPr="00962148">
        <w:t xml:space="preserve"> </w:t>
      </w:r>
    </w:p>
    <w:p w:rsidR="002F4E23" w:rsidRDefault="00333C13" w:rsidP="00EB037D">
      <w:pPr>
        <w:spacing w:after="0" w:line="360" w:lineRule="auto"/>
        <w:ind w:firstLine="284"/>
        <w:jc w:val="both"/>
      </w:pPr>
      <w:r>
        <w:t xml:space="preserve">Il paragrafo successivo conteneva una </w:t>
      </w:r>
      <w:r w:rsidR="00266430">
        <w:t xml:space="preserve">deroga </w:t>
      </w:r>
      <w:r>
        <w:t>al principio precedentemente esposto, in qua</w:t>
      </w:r>
      <w:r w:rsidR="00266430">
        <w:t>nto stabiliva che lo Stato non era</w:t>
      </w:r>
      <w:r>
        <w:t xml:space="preserve"> tenuto a rispondere sul piano internazionale di un tale comportamento nel caso in</w:t>
      </w:r>
      <w:r w:rsidR="00266430">
        <w:t xml:space="preserve"> cui la mancanza di competenza fosse</w:t>
      </w:r>
      <w:r>
        <w:t xml:space="preserve"> talmente evidente da permettere allo straniero di rendersene conto ed evitare quindi il danno</w:t>
      </w:r>
      <w:r w:rsidR="002F4E23">
        <w:t>:</w:t>
      </w:r>
    </w:p>
    <w:p w:rsidR="002F4E23" w:rsidRDefault="002F4E23" w:rsidP="00EB037D">
      <w:pPr>
        <w:spacing w:after="0" w:line="360" w:lineRule="auto"/>
        <w:ind w:firstLine="284"/>
        <w:jc w:val="both"/>
      </w:pPr>
    </w:p>
    <w:p w:rsidR="00333C13" w:rsidRPr="00787B84" w:rsidRDefault="002F4E23" w:rsidP="00EB037D">
      <w:pPr>
        <w:autoSpaceDE w:val="0"/>
        <w:autoSpaceDN w:val="0"/>
        <w:adjustRightInd w:val="0"/>
        <w:spacing w:after="0" w:line="360" w:lineRule="auto"/>
        <w:ind w:left="720" w:right="720" w:firstLine="284"/>
        <w:jc w:val="both"/>
        <w:rPr>
          <w:lang w:val="en-US"/>
        </w:rPr>
      </w:pPr>
      <w:r w:rsidRPr="00787B84">
        <w:rPr>
          <w:lang w:val="en-US"/>
        </w:rPr>
        <w:t>“Notwithstanding the provisions of the foregoing paragraph, the international responsibility of the State shall not be involved if the lack of competence was so apparent that the alien should have been aware of it and could, in consequence, have avoided the injury</w:t>
      </w:r>
      <w:r w:rsidRPr="00787B84">
        <w:rPr>
          <w:rFonts w:ascii="Times New Roman" w:hAnsi="Times New Roman" w:cs="Times New Roman"/>
          <w:sz w:val="18"/>
          <w:szCs w:val="18"/>
          <w:lang w:val="en-US"/>
        </w:rPr>
        <w:t>”</w:t>
      </w:r>
      <w:r w:rsidR="00333C13" w:rsidRPr="00787B84">
        <w:rPr>
          <w:rStyle w:val="Rimandonotaapidipagina"/>
        </w:rPr>
        <w:footnoteReference w:id="291"/>
      </w:r>
      <w:r w:rsidR="00333C13" w:rsidRPr="00787B84">
        <w:rPr>
          <w:lang w:val="en-US"/>
        </w:rPr>
        <w:t>.</w:t>
      </w:r>
    </w:p>
    <w:p w:rsidR="002F4E23" w:rsidRPr="002F4E23" w:rsidRDefault="002F4E23" w:rsidP="00EB037D">
      <w:pPr>
        <w:autoSpaceDE w:val="0"/>
        <w:autoSpaceDN w:val="0"/>
        <w:adjustRightInd w:val="0"/>
        <w:spacing w:after="0" w:line="240" w:lineRule="auto"/>
        <w:ind w:firstLine="284"/>
        <w:jc w:val="both"/>
        <w:rPr>
          <w:i/>
          <w:lang w:val="en-US"/>
        </w:rPr>
      </w:pPr>
    </w:p>
    <w:p w:rsidR="00333C13" w:rsidRDefault="00266430" w:rsidP="00EB037D">
      <w:pPr>
        <w:spacing w:after="0" w:line="360" w:lineRule="auto"/>
        <w:ind w:firstLine="284"/>
        <w:jc w:val="both"/>
      </w:pPr>
      <w:r>
        <w:lastRenderedPageBreak/>
        <w:t>Il caso in cui l’organo tenga</w:t>
      </w:r>
      <w:r w:rsidR="00333C13">
        <w:t xml:space="preserve"> una condotta in maniera man</w:t>
      </w:r>
      <w:r w:rsidR="00F25088">
        <w:t xml:space="preserve">ifestamente incompetente viene </w:t>
      </w:r>
      <w:r w:rsidR="00333C13">
        <w:t>paragonato dal relatore ad un comportamento di un semplice privato, di cui lo Stato non è tenuto a rispond</w:t>
      </w:r>
      <w:r w:rsidR="00A24446">
        <w:t>ere nell’ordinamento i</w:t>
      </w:r>
      <w:r w:rsidR="00333C13">
        <w:t>nternazionale.</w:t>
      </w:r>
    </w:p>
    <w:p w:rsidR="00333C13" w:rsidRDefault="00266430" w:rsidP="00EB037D">
      <w:pPr>
        <w:spacing w:after="0" w:line="360" w:lineRule="auto"/>
        <w:ind w:firstLine="284"/>
        <w:jc w:val="both"/>
      </w:pPr>
      <w:r>
        <w:t>Lo Stato sarebbe</w:t>
      </w:r>
      <w:r w:rsidR="00333C13" w:rsidRPr="002C5A1B">
        <w:t xml:space="preserve"> pertanto</w:t>
      </w:r>
      <w:r w:rsidR="00333C13">
        <w:t xml:space="preserve"> internazionalmente responsabile del</w:t>
      </w:r>
      <w:r w:rsidR="00333C13" w:rsidRPr="002C5A1B">
        <w:t xml:space="preserve"> comportamento </w:t>
      </w:r>
      <w:r w:rsidR="00333C13">
        <w:t>illecito non autorizzato dei propri organi</w:t>
      </w:r>
      <w:r w:rsidR="00333C13" w:rsidRPr="002C5A1B">
        <w:t xml:space="preserve"> nel caso in cui questi appaiano agire agli occhi del terzo</w:t>
      </w:r>
      <w:r w:rsidR="00333C13">
        <w:t xml:space="preserve"> nel quadro delle loro funzioni,</w:t>
      </w:r>
      <w:r w:rsidR="00333C13" w:rsidRPr="002C5A1B">
        <w:t xml:space="preserve"> mentre la responsabilità internazionale non potrebbe sorgere nel caso in cui le condotte apparissero manifestamente estranee alla loro competenza.</w:t>
      </w:r>
    </w:p>
    <w:p w:rsidR="002228DB" w:rsidRPr="00695927" w:rsidRDefault="00333C13" w:rsidP="00EB037D">
      <w:pPr>
        <w:spacing w:after="0" w:line="360" w:lineRule="auto"/>
        <w:ind w:firstLine="284"/>
        <w:jc w:val="both"/>
        <w:rPr>
          <w:lang w:val="en-US"/>
        </w:rPr>
      </w:pPr>
      <w:r>
        <w:t>Al fine di garantire maggiore sistematicità al progetto, nel sesto rapporto presentato nel 1961, il relatore Garc</w:t>
      </w:r>
      <w:r>
        <w:rPr>
          <w:rFonts w:cstheme="minorHAnsi"/>
        </w:rPr>
        <w:t>í</w:t>
      </w:r>
      <w:r>
        <w:t xml:space="preserve">a–Amador </w:t>
      </w:r>
      <w:r w:rsidR="005E4E53">
        <w:t>ne ha presentato una seconda versione. I</w:t>
      </w:r>
      <w:r>
        <w:t xml:space="preserve"> vari articoli </w:t>
      </w:r>
      <w:r w:rsidR="005E4E53">
        <w:t xml:space="preserve">riguardanti </w:t>
      </w:r>
      <w:r>
        <w:t xml:space="preserve">l’attribuzione di condotte allo Stato </w:t>
      </w:r>
      <w:r w:rsidR="005E4E53">
        <w:t xml:space="preserve">sono riuniti </w:t>
      </w:r>
      <w:r>
        <w:t xml:space="preserve">all’interno di un unico capitolo. </w:t>
      </w:r>
      <w:r w:rsidR="002228DB">
        <w:t xml:space="preserve">La questione dell’attribuzione allo Stato dei fatti </w:t>
      </w:r>
      <w:r w:rsidR="002228DB" w:rsidRPr="002228DB">
        <w:rPr>
          <w:i/>
        </w:rPr>
        <w:t>ultra vires</w:t>
      </w:r>
      <w:r w:rsidR="005E4E53">
        <w:t xml:space="preserve"> è</w:t>
      </w:r>
      <w:r w:rsidR="002228DB">
        <w:t xml:space="preserve"> trattata dall’art 12, disposizione dedicata agli atti e le omissioni degli orga</w:t>
      </w:r>
      <w:r w:rsidR="005E4E53">
        <w:t xml:space="preserve">ni e dei funzionari in generale. </w:t>
      </w:r>
      <w:r w:rsidR="005E4E53" w:rsidRPr="00695927">
        <w:rPr>
          <w:lang w:val="en-US"/>
        </w:rPr>
        <w:t>Essa era così formulata:</w:t>
      </w:r>
    </w:p>
    <w:p w:rsidR="002228DB" w:rsidRPr="00695927" w:rsidRDefault="002228DB" w:rsidP="00EB037D">
      <w:pPr>
        <w:spacing w:after="0" w:line="360" w:lineRule="auto"/>
        <w:ind w:firstLine="284"/>
        <w:jc w:val="both"/>
        <w:rPr>
          <w:lang w:val="en-US"/>
        </w:rPr>
      </w:pPr>
    </w:p>
    <w:p w:rsidR="002228DB" w:rsidRPr="005E4E53" w:rsidRDefault="002228DB" w:rsidP="005E4E53">
      <w:pPr>
        <w:spacing w:after="0" w:line="360" w:lineRule="auto"/>
        <w:ind w:left="720" w:right="720" w:firstLine="284"/>
        <w:jc w:val="both"/>
        <w:rPr>
          <w:lang w:val="en-US"/>
        </w:rPr>
      </w:pPr>
      <w:r w:rsidRPr="005E4E53">
        <w:rPr>
          <w:lang w:val="en-US"/>
        </w:rPr>
        <w:t>“1.</w:t>
      </w:r>
      <w:r w:rsidR="002F4E23" w:rsidRPr="005E4E53">
        <w:rPr>
          <w:lang w:val="en-US"/>
        </w:rPr>
        <w:t xml:space="preserve"> </w:t>
      </w:r>
      <w:r w:rsidRPr="005E4E53">
        <w:rPr>
          <w:lang w:val="en-US"/>
        </w:rPr>
        <w:t xml:space="preserve">An act or omission which </w:t>
      </w:r>
      <w:r w:rsidR="00B5705E" w:rsidRPr="005E4E53">
        <w:rPr>
          <w:lang w:val="en-US"/>
        </w:rPr>
        <w:t xml:space="preserve">contravenes international law is </w:t>
      </w:r>
      <w:r w:rsidRPr="005E4E53">
        <w:rPr>
          <w:lang w:val="en-US"/>
        </w:rPr>
        <w:t>imputable to the State if the orga</w:t>
      </w:r>
      <w:r w:rsidR="00B5705E" w:rsidRPr="005E4E53">
        <w:rPr>
          <w:lang w:val="en-US"/>
        </w:rPr>
        <w:t xml:space="preserve">ns or officials concerned acted </w:t>
      </w:r>
      <w:r w:rsidRPr="005E4E53">
        <w:rPr>
          <w:lang w:val="en-US"/>
        </w:rPr>
        <w:t>within the limits of thei</w:t>
      </w:r>
      <w:r w:rsidR="00B5705E" w:rsidRPr="005E4E53">
        <w:rPr>
          <w:lang w:val="en-US"/>
        </w:rPr>
        <w:t xml:space="preserve">r competence. </w:t>
      </w:r>
      <w:r w:rsidRPr="005E4E53">
        <w:rPr>
          <w:lang w:val="en-US"/>
        </w:rPr>
        <w:t>2. An act or omission shall lik</w:t>
      </w:r>
      <w:r w:rsidR="00B5705E" w:rsidRPr="005E4E53">
        <w:rPr>
          <w:lang w:val="en-US"/>
        </w:rPr>
        <w:t xml:space="preserve">ewise be imputable to the State </w:t>
      </w:r>
      <w:r w:rsidRPr="005E4E53">
        <w:rPr>
          <w:lang w:val="en-US"/>
        </w:rPr>
        <w:t>if the organs or officials concerned exceeded their competence</w:t>
      </w:r>
      <w:r w:rsidR="005E4E53" w:rsidRPr="005E4E53">
        <w:rPr>
          <w:lang w:val="en-US"/>
        </w:rPr>
        <w:t xml:space="preserve"> </w:t>
      </w:r>
      <w:r w:rsidRPr="005E4E53">
        <w:rPr>
          <w:lang w:val="en-US"/>
        </w:rPr>
        <w:t>but purported to be acting in their official capacity.</w:t>
      </w:r>
      <w:r w:rsidR="00B5705E" w:rsidRPr="005E4E53">
        <w:rPr>
          <w:lang w:val="en-US"/>
        </w:rPr>
        <w:t xml:space="preserve"> </w:t>
      </w:r>
      <w:r w:rsidRPr="005E4E53">
        <w:rPr>
          <w:lang w:val="en-US"/>
        </w:rPr>
        <w:t>3. Notwithstanding the provisi</w:t>
      </w:r>
      <w:r w:rsidR="00B5705E" w:rsidRPr="005E4E53">
        <w:rPr>
          <w:lang w:val="en-US"/>
        </w:rPr>
        <w:t xml:space="preserve">ons of the foregoing paragraph, </w:t>
      </w:r>
      <w:r w:rsidRPr="005E4E53">
        <w:rPr>
          <w:lang w:val="en-US"/>
        </w:rPr>
        <w:t>the act or omission shall not be im</w:t>
      </w:r>
      <w:r w:rsidR="00B5705E" w:rsidRPr="005E4E53">
        <w:rPr>
          <w:lang w:val="en-US"/>
        </w:rPr>
        <w:t xml:space="preserve">putable to the State if the act </w:t>
      </w:r>
      <w:r w:rsidRPr="005E4E53">
        <w:rPr>
          <w:lang w:val="en-US"/>
        </w:rPr>
        <w:t>exceeding the competence of th</w:t>
      </w:r>
      <w:r w:rsidR="00B5705E" w:rsidRPr="005E4E53">
        <w:rPr>
          <w:lang w:val="en-US"/>
        </w:rPr>
        <w:t xml:space="preserve">e officials or organs concerned </w:t>
      </w:r>
      <w:r w:rsidRPr="005E4E53">
        <w:rPr>
          <w:lang w:val="en-US"/>
        </w:rPr>
        <w:t>was by its nature totally outside t</w:t>
      </w:r>
      <w:r w:rsidR="00B5705E" w:rsidRPr="005E4E53">
        <w:rPr>
          <w:lang w:val="en-US"/>
        </w:rPr>
        <w:t xml:space="preserve">he scope of their functions and </w:t>
      </w:r>
      <w:r w:rsidRPr="005E4E53">
        <w:rPr>
          <w:lang w:val="en-US"/>
        </w:rPr>
        <w:t>powers, even though they ma</w:t>
      </w:r>
      <w:r w:rsidR="00B5705E" w:rsidRPr="005E4E53">
        <w:rPr>
          <w:lang w:val="en-US"/>
        </w:rPr>
        <w:t xml:space="preserve">y to some extent have relied on </w:t>
      </w:r>
      <w:r w:rsidRPr="005E4E53">
        <w:rPr>
          <w:lang w:val="en-US"/>
        </w:rPr>
        <w:t>their official position or used the me</w:t>
      </w:r>
      <w:r w:rsidR="00B5705E" w:rsidRPr="005E4E53">
        <w:rPr>
          <w:lang w:val="en-US"/>
        </w:rPr>
        <w:t xml:space="preserve">ans at their disposal by reason of that position. </w:t>
      </w:r>
      <w:r w:rsidRPr="005E4E53">
        <w:rPr>
          <w:lang w:val="en-US"/>
        </w:rPr>
        <w:t>4. Similarly, the act or omissio</w:t>
      </w:r>
      <w:r w:rsidR="00B5705E" w:rsidRPr="005E4E53">
        <w:rPr>
          <w:lang w:val="en-US"/>
        </w:rPr>
        <w:t xml:space="preserve">n shall not be imputable to the </w:t>
      </w:r>
      <w:r w:rsidRPr="005E4E53">
        <w:rPr>
          <w:lang w:val="en-US"/>
        </w:rPr>
        <w:t>State if it was so manifestly outs</w:t>
      </w:r>
      <w:r w:rsidR="00B5705E" w:rsidRPr="005E4E53">
        <w:rPr>
          <w:lang w:val="en-US"/>
        </w:rPr>
        <w:t xml:space="preserve">ide the competence of the organ </w:t>
      </w:r>
      <w:r w:rsidRPr="005E4E53">
        <w:rPr>
          <w:lang w:val="en-US"/>
        </w:rPr>
        <w:t>or official concerned that the alie</w:t>
      </w:r>
      <w:r w:rsidR="00B5705E" w:rsidRPr="005E4E53">
        <w:rPr>
          <w:lang w:val="en-US"/>
        </w:rPr>
        <w:t xml:space="preserve">n should have been aware of the </w:t>
      </w:r>
      <w:r w:rsidRPr="005E4E53">
        <w:rPr>
          <w:lang w:val="en-US"/>
        </w:rPr>
        <w:t>fact and could, in conseq</w:t>
      </w:r>
      <w:r w:rsidR="00B5705E" w:rsidRPr="005E4E53">
        <w:rPr>
          <w:lang w:val="en-US"/>
        </w:rPr>
        <w:t xml:space="preserve">uence, have avoided the injury. </w:t>
      </w:r>
      <w:r w:rsidRPr="005E4E53">
        <w:rPr>
          <w:lang w:val="en-US"/>
        </w:rPr>
        <w:t>5. For the purposes of the provisi</w:t>
      </w:r>
      <w:r w:rsidR="00B5705E" w:rsidRPr="005E4E53">
        <w:rPr>
          <w:lang w:val="en-US"/>
        </w:rPr>
        <w:t xml:space="preserve">ons of this article, the act or </w:t>
      </w:r>
      <w:r w:rsidRPr="005E4E53">
        <w:rPr>
          <w:lang w:val="en-US"/>
        </w:rPr>
        <w:t>omission shall be proved in co</w:t>
      </w:r>
      <w:r w:rsidR="00B5705E" w:rsidRPr="005E4E53">
        <w:rPr>
          <w:lang w:val="en-US"/>
        </w:rPr>
        <w:t xml:space="preserve">nformity with the municipal law </w:t>
      </w:r>
      <w:r w:rsidRPr="005E4E53">
        <w:rPr>
          <w:lang w:val="en-US"/>
        </w:rPr>
        <w:t>of t</w:t>
      </w:r>
      <w:r w:rsidR="00355466" w:rsidRPr="005E4E53">
        <w:rPr>
          <w:lang w:val="en-US"/>
        </w:rPr>
        <w:t>he State to which it is imputed</w:t>
      </w:r>
      <w:r w:rsidRPr="005E4E53">
        <w:rPr>
          <w:lang w:val="en-US"/>
        </w:rPr>
        <w:t>”</w:t>
      </w:r>
      <w:r w:rsidR="00355466" w:rsidRPr="005E4E53">
        <w:rPr>
          <w:rStyle w:val="Rimandonotaapidipagina"/>
          <w:lang w:val="en-US"/>
        </w:rPr>
        <w:footnoteReference w:id="292"/>
      </w:r>
    </w:p>
    <w:p w:rsidR="002228DB" w:rsidRPr="002228DB" w:rsidRDefault="002228DB" w:rsidP="00EB037D">
      <w:pPr>
        <w:spacing w:after="0" w:line="360" w:lineRule="auto"/>
        <w:ind w:firstLine="284"/>
        <w:jc w:val="both"/>
        <w:rPr>
          <w:lang w:val="en-US"/>
        </w:rPr>
      </w:pPr>
    </w:p>
    <w:p w:rsidR="0041756A" w:rsidRDefault="00144AED" w:rsidP="0041756A">
      <w:pPr>
        <w:spacing w:after="0" w:line="360" w:lineRule="auto"/>
        <w:ind w:firstLine="284"/>
        <w:jc w:val="both"/>
      </w:pPr>
      <w:r w:rsidRPr="00144AED">
        <w:lastRenderedPageBreak/>
        <w:t xml:space="preserve">Alla luce di tale disposizione potevano essere </w:t>
      </w:r>
      <w:r w:rsidR="0041756A">
        <w:t xml:space="preserve">pertanto </w:t>
      </w:r>
      <w:r w:rsidRPr="00144AED">
        <w:t xml:space="preserve">considerati fatti dello Stato quale soggetto internazionale le sole condotte tenute </w:t>
      </w:r>
      <w:r w:rsidRPr="00144AED">
        <w:rPr>
          <w:i/>
        </w:rPr>
        <w:t>ultra vires</w:t>
      </w:r>
      <w:r w:rsidRPr="00144AED">
        <w:t xml:space="preserve"> da un organo che apparivano alla vittima come tenute nella propria qualità ufficiale, nonostante l’effettivo superamento dei limiti delle proprie </w:t>
      </w:r>
      <w:r w:rsidRPr="0041756A">
        <w:t xml:space="preserve">funzioni. </w:t>
      </w:r>
      <w:r w:rsidR="0041756A" w:rsidRPr="0041756A">
        <w:t>Nel caso in cui invece il terzo in causa avesse potuto rendersi conto dell’incompetenza dell’organo</w:t>
      </w:r>
      <w:r w:rsidR="0041756A">
        <w:t xml:space="preserve"> e avesse di conseguenza potuto evit</w:t>
      </w:r>
      <w:r w:rsidR="00946FD9">
        <w:t>a</w:t>
      </w:r>
      <w:r w:rsidR="0041756A">
        <w:t xml:space="preserve">re il danno, il fatto </w:t>
      </w:r>
      <w:r w:rsidR="0041756A" w:rsidRPr="0041756A">
        <w:rPr>
          <w:i/>
        </w:rPr>
        <w:t>ultra vires</w:t>
      </w:r>
      <w:r w:rsidR="0041756A">
        <w:t xml:space="preserve"> era assimilabile al fatto di un privato e non poteva pertanto essere attribuito allo Stato.</w:t>
      </w:r>
    </w:p>
    <w:p w:rsidR="00333C13" w:rsidRDefault="00C13852" w:rsidP="0041756A">
      <w:pPr>
        <w:spacing w:after="0" w:line="360" w:lineRule="auto"/>
        <w:ind w:firstLine="284"/>
        <w:jc w:val="both"/>
      </w:pPr>
      <w:r>
        <w:t xml:space="preserve">Occupata con la codificazione di altre materie, </w:t>
      </w:r>
      <w:r w:rsidR="00B110FA">
        <w:t>la CDI non ha</w:t>
      </w:r>
      <w:r w:rsidR="00333C13">
        <w:t xml:space="preserve"> potuto </w:t>
      </w:r>
      <w:r w:rsidR="00994ACE">
        <w:t xml:space="preserve">poi </w:t>
      </w:r>
      <w:r w:rsidR="00333C13">
        <w:t xml:space="preserve">procedere all’esame </w:t>
      </w:r>
      <w:r>
        <w:t>dei progetti di articoli presentati da García-Amador prima che egli lasciasse la Com</w:t>
      </w:r>
      <w:r w:rsidR="00266430">
        <w:t>missione. Nessuno dei progetti di articolo</w:t>
      </w:r>
      <w:r>
        <w:t xml:space="preserve"> presentati è stato dunque adottato dalla CDI.</w:t>
      </w:r>
    </w:p>
    <w:p w:rsidR="00333C13" w:rsidRDefault="00333C13" w:rsidP="00EB037D">
      <w:pPr>
        <w:spacing w:after="0" w:line="360" w:lineRule="auto"/>
        <w:ind w:firstLine="284"/>
        <w:jc w:val="both"/>
      </w:pPr>
    </w:p>
    <w:p w:rsidR="00333C13" w:rsidRDefault="00333C13" w:rsidP="008629FF">
      <w:pPr>
        <w:pStyle w:val="Paragrafoelenco"/>
        <w:numPr>
          <w:ilvl w:val="0"/>
          <w:numId w:val="3"/>
        </w:numPr>
        <w:spacing w:after="0" w:line="360" w:lineRule="auto"/>
        <w:jc w:val="both"/>
      </w:pPr>
      <w:r>
        <w:t xml:space="preserve">La nozione di organo nel progetto di articoli adottato in prima lettura </w:t>
      </w:r>
    </w:p>
    <w:p w:rsidR="00333C13" w:rsidRDefault="00333C13" w:rsidP="00EB037D">
      <w:pPr>
        <w:spacing w:after="0" w:line="360" w:lineRule="auto"/>
        <w:ind w:firstLine="284"/>
        <w:jc w:val="both"/>
      </w:pPr>
    </w:p>
    <w:p w:rsidR="0076754B" w:rsidRDefault="00567CA9" w:rsidP="0076754B">
      <w:pPr>
        <w:spacing w:after="0" w:line="360" w:lineRule="auto"/>
        <w:ind w:firstLine="284"/>
        <w:jc w:val="both"/>
      </w:pPr>
      <w:r>
        <w:t>Con l’adozione il 18 dicembre 1961 della risoluzione 1686 (XVI), l’Assemblea Generale ha raccomandato alla CDI di proseguire nella codificazione della responsabilità internazionale dello Stato ed è stato nominato come nuovo relatore speciale Roberto Ago. Accogliendo le critiche formulate circa l’approccio previamente adottato, egli ha deciso di affrontare il tema focalizzandosi sulle conseguenze della violazione di un obbligo internazionale, senza occuparsi delle norme sostanziali la cui violazione è all’origine della</w:t>
      </w:r>
      <w:r w:rsidR="0076754B">
        <w:t xml:space="preserve"> responsabilità internazionale.</w:t>
      </w:r>
    </w:p>
    <w:p w:rsidR="00333C13" w:rsidRDefault="00333C13" w:rsidP="0076754B">
      <w:pPr>
        <w:spacing w:after="0" w:line="360" w:lineRule="auto"/>
        <w:ind w:firstLine="284"/>
        <w:jc w:val="both"/>
      </w:pPr>
      <w:r>
        <w:t xml:space="preserve">I principi in tema di attribuzione dell’illecito internazionale contenuti nel progetto di articoli approvato in prima lettura dalla Commissione del diritto internazionale si rifanno in larga misura </w:t>
      </w:r>
      <w:r w:rsidR="00B600B9">
        <w:t xml:space="preserve">proprio </w:t>
      </w:r>
      <w:r>
        <w:t>all’impianto proposto dal relatore Ago.</w:t>
      </w:r>
      <w:r w:rsidR="0076754B">
        <w:t xml:space="preserve"> Si ritiene</w:t>
      </w:r>
      <w:r w:rsidR="00F00AAA">
        <w:t xml:space="preserve"> dunque opportuno soffermarsi sulla concezione accolta da quest’ultimo.</w:t>
      </w:r>
    </w:p>
    <w:p w:rsidR="00333C13" w:rsidRDefault="00333C13" w:rsidP="00EB037D">
      <w:pPr>
        <w:spacing w:after="0" w:line="360" w:lineRule="auto"/>
        <w:ind w:firstLine="284"/>
        <w:jc w:val="both"/>
      </w:pPr>
      <w:r>
        <w:t>Pur partendo dal presupposto che l’operazione di riferire una certa condotta di individui allo Stato è regolata da precisi criteri stabiliti da norme di diritto internazionale che sono del tutto autonomi rispetto a quelli che disciplinano l’attribuzione di un fatto allo Stato nell’ordinamento interno, Ago esclude che l’organizzazione dello Stato sia un fenomeno regol</w:t>
      </w:r>
      <w:r w:rsidR="00B600B9">
        <w:t>ato dal diritto internazionale.</w:t>
      </w:r>
      <w:r w:rsidR="00716CA4">
        <w:t xml:space="preserve"> L</w:t>
      </w:r>
      <w:r w:rsidRPr="00923E83">
        <w:t xml:space="preserve">’organizzazione dello Stato </w:t>
      </w:r>
      <w:r>
        <w:t xml:space="preserve">è </w:t>
      </w:r>
      <w:r w:rsidRPr="00923E83">
        <w:t xml:space="preserve">per il diritto </w:t>
      </w:r>
      <w:r w:rsidR="00716CA4">
        <w:t>internazionale un dato di fatto,</w:t>
      </w:r>
      <w:r w:rsidR="00716CA4" w:rsidRPr="00716CA4">
        <w:t xml:space="preserve"> </w:t>
      </w:r>
      <w:r w:rsidR="00716CA4">
        <w:t xml:space="preserve">costituendo </w:t>
      </w:r>
      <w:r w:rsidR="00716CA4" w:rsidRPr="00923E83">
        <w:t>“</w:t>
      </w:r>
      <w:r w:rsidR="00716CA4" w:rsidRPr="00923E83">
        <w:rPr>
          <w:i/>
        </w:rPr>
        <w:t>l’ensemble des structures concrètes par lesquelles il manifeste son existence et exerce son action</w:t>
      </w:r>
      <w:r w:rsidR="00716CA4" w:rsidRPr="00923E83">
        <w:t>”</w:t>
      </w:r>
      <w:r w:rsidR="00716CA4">
        <w:rPr>
          <w:rStyle w:val="Rimandonotaapidipagina"/>
          <w:lang w:val="fr-FR"/>
        </w:rPr>
        <w:footnoteReference w:id="293"/>
      </w:r>
      <w:r w:rsidR="00716CA4">
        <w:t>.</w:t>
      </w:r>
    </w:p>
    <w:p w:rsidR="00333C13" w:rsidRDefault="00333C13" w:rsidP="00EB037D">
      <w:pPr>
        <w:spacing w:after="0" w:line="360" w:lineRule="auto"/>
        <w:ind w:firstLine="284"/>
        <w:jc w:val="both"/>
      </w:pPr>
      <w:r>
        <w:t>Sul piano del diritto internazionale, però, l’organizzazione dello Stato deve comunque essere intes</w:t>
      </w:r>
      <w:r w:rsidR="0043798D">
        <w:t>a come una realtà strutturata in base a</w:t>
      </w:r>
      <w:r>
        <w:t xml:space="preserve"> regole giuridiche di cui lo stesso Stato si </w:t>
      </w:r>
      <w:r>
        <w:lastRenderedPageBreak/>
        <w:t>è dotato, finendo così per essere identificata con la sua organizzazione giuridica interna</w:t>
      </w:r>
      <w:r>
        <w:rPr>
          <w:rStyle w:val="Rimandonotaapidipagina"/>
        </w:rPr>
        <w:footnoteReference w:id="294"/>
      </w:r>
      <w:r>
        <w:t>. La logica conseguenza derivante da tali premesse è che gli organi dello Stato corrispondono a quegli individui o enti che godono di tale qualità in base al diritto interno statale.</w:t>
      </w:r>
    </w:p>
    <w:p w:rsidR="00B600B9" w:rsidRDefault="00333C13" w:rsidP="00B600B9">
      <w:pPr>
        <w:spacing w:after="0" w:line="360" w:lineRule="auto"/>
        <w:ind w:firstLine="284"/>
        <w:jc w:val="both"/>
      </w:pPr>
      <w:r>
        <w:t xml:space="preserve">Individuando nel riferimento al diritto interno l’unico criterio per identificare gli individui che possiedono la qualità organica ai fini dell’attribuzione di una condotta allo Stato, </w:t>
      </w:r>
      <w:r w:rsidR="0043798D">
        <w:t xml:space="preserve">il progetto di articoli elaborato da Ago e, sulla base di esso, </w:t>
      </w:r>
      <w:r>
        <w:t xml:space="preserve">il progetto di articoli adottato in prima lettura </w:t>
      </w:r>
      <w:r w:rsidR="0043798D">
        <w:t xml:space="preserve">dalla CDI </w:t>
      </w:r>
      <w:r>
        <w:t>finisce per accogliere una nozione restrittiva di organo</w:t>
      </w:r>
      <w:r>
        <w:rPr>
          <w:rStyle w:val="Rimandonotaapidipagina"/>
        </w:rPr>
        <w:footnoteReference w:id="295"/>
      </w:r>
      <w:r>
        <w:t xml:space="preserve">. </w:t>
      </w:r>
    </w:p>
    <w:p w:rsidR="00BF4589" w:rsidRDefault="00B600B9" w:rsidP="00BF4589">
      <w:pPr>
        <w:spacing w:after="0" w:line="360" w:lineRule="auto"/>
        <w:ind w:firstLine="284"/>
        <w:jc w:val="both"/>
      </w:pPr>
      <w:r>
        <w:t>In virtù dell’importanza assegnata al dato formale di diritto interno ai fini della rilevazione della qualità di organo, nel progetto di articoli adottato in prima lettura si rinviene inoltre una distinzione fra gli organi e gli individui che, pur se formalmente sprovvisti della qualità di organi, sono incaricati in base al diritto interno  dell’esercizio di prerogative del potere di governo</w:t>
      </w:r>
      <w:r>
        <w:rPr>
          <w:rStyle w:val="Rimandonotaapidipagina"/>
        </w:rPr>
        <w:footnoteReference w:id="296"/>
      </w:r>
      <w:r w:rsidR="00BF4589">
        <w:t>.</w:t>
      </w:r>
    </w:p>
    <w:p w:rsidR="00333C13" w:rsidRDefault="00B600B9" w:rsidP="00BF4589">
      <w:pPr>
        <w:spacing w:after="0" w:line="360" w:lineRule="auto"/>
        <w:ind w:firstLine="284"/>
        <w:jc w:val="both"/>
      </w:pPr>
      <w:r>
        <w:t>Tale categoria si distingue da quella degli individui o enti che godono della qualità di organi dello Stato per il fatto di essere organi di enti che possiedono una personalità giuridica di diritto interno distinta da quella dello Stato, pur assolvendo funzioni per suo conto</w:t>
      </w:r>
      <w:r>
        <w:rPr>
          <w:rStyle w:val="Rimandonotaapidipagina"/>
        </w:rPr>
        <w:footnoteReference w:id="297"/>
      </w:r>
      <w:r>
        <w:t xml:space="preserve">. Secondo la CDI, le condotte di tali organi sono attribuibili allo Stato limitatamente </w:t>
      </w:r>
      <w:r>
        <w:lastRenderedPageBreak/>
        <w:t>al caso in cui siano state tenute nel rispetto dei compiti espressamente loro conferiti dal diritto interno</w:t>
      </w:r>
      <w:r>
        <w:rPr>
          <w:rStyle w:val="Rimandonotaapidipagina"/>
        </w:rPr>
        <w:footnoteReference w:id="298"/>
      </w:r>
      <w:r>
        <w:t>.</w:t>
      </w:r>
    </w:p>
    <w:p w:rsidR="00333C13" w:rsidRDefault="00333C13" w:rsidP="00EB037D">
      <w:pPr>
        <w:spacing w:after="0" w:line="360" w:lineRule="auto"/>
        <w:ind w:firstLine="284"/>
        <w:jc w:val="both"/>
      </w:pPr>
      <w:r>
        <w:t>Fondandosi sul principio dell’autonomia del diritto internazionale nell’individuare i criteri giuridici capaci di chiarire in presenza di quali condizioni un dato comportamento può essere considerato u</w:t>
      </w:r>
      <w:r w:rsidR="00BF5CD8">
        <w:t>n fatto dello Stato, Ago sostiene</w:t>
      </w:r>
      <w:r>
        <w:t xml:space="preserve"> allo</w:t>
      </w:r>
      <w:r w:rsidR="0043798D">
        <w:t xml:space="preserve"> stesso tempo l’esistenza </w:t>
      </w:r>
      <w:r>
        <w:t>di</w:t>
      </w:r>
      <w:r w:rsidR="0043798D">
        <w:t xml:space="preserve"> criteri attributivi ulteriori </w:t>
      </w:r>
      <w:r>
        <w:t xml:space="preserve">rispetto a quello del riferimento al diritto interno e maggiormente ispirati </w:t>
      </w:r>
      <w:r w:rsidR="0043798D">
        <w:t xml:space="preserve">al principio di effettività. Egli </w:t>
      </w:r>
      <w:r>
        <w:t xml:space="preserve">fa essenzialmente riferimento alle ipotesi in cui </w:t>
      </w:r>
      <w:r w:rsidR="0043798D">
        <w:t xml:space="preserve">lo Stato si avvale </w:t>
      </w:r>
      <w:r>
        <w:t xml:space="preserve">di individui o enti esterni all’apparato dello Stato al fine di svolgere determinate attività. </w:t>
      </w:r>
    </w:p>
    <w:p w:rsidR="00333C13" w:rsidRDefault="00333C13" w:rsidP="00EB037D">
      <w:pPr>
        <w:spacing w:after="0" w:line="360" w:lineRule="auto"/>
        <w:ind w:firstLine="284"/>
        <w:jc w:val="both"/>
      </w:pPr>
      <w:r>
        <w:t xml:space="preserve">Tra i vari criteri </w:t>
      </w:r>
      <w:r w:rsidR="008B02E5">
        <w:t xml:space="preserve">di attribuzione </w:t>
      </w:r>
      <w:r>
        <w:t>che si basano sull’esistenza di un legame fattuale tra l’individuo agente e lo Stato, quello di portata generale fonda l’attribuzione allo Stato di un comportamento tenuto da un individuo che non gode della qualità organica in virtù del diritto interno sulla circostanza che abbia agito in fatto dietro istruzioni o sotto il controllo di organi statali</w:t>
      </w:r>
      <w:r>
        <w:rPr>
          <w:rStyle w:val="Rimandonotaapidipagina"/>
        </w:rPr>
        <w:footnoteReference w:id="299"/>
      </w:r>
      <w:r>
        <w:t>.</w:t>
      </w:r>
      <w:r w:rsidR="008B02E5">
        <w:t xml:space="preserve"> L’individuo non diviene organo dello Stato ai fini del diritto internazionale, ma il suo comportamento è ugualmente attribuibile allo Stato.</w:t>
      </w:r>
    </w:p>
    <w:p w:rsidR="00333C13" w:rsidRDefault="004C3499" w:rsidP="00EB037D">
      <w:pPr>
        <w:spacing w:after="0" w:line="360" w:lineRule="auto"/>
        <w:ind w:firstLine="284"/>
        <w:jc w:val="both"/>
      </w:pPr>
      <w:r>
        <w:lastRenderedPageBreak/>
        <w:t>L’esclusione</w:t>
      </w:r>
      <w:r w:rsidR="00333C13">
        <w:t xml:space="preserve"> della possibilità che elementi fattuali possano avere un ruolo nel determinare lo </w:t>
      </w:r>
      <w:r w:rsidR="00333C13" w:rsidRPr="00F62D40">
        <w:rPr>
          <w:i/>
        </w:rPr>
        <w:t>status</w:t>
      </w:r>
      <w:r w:rsidR="00333C13">
        <w:t xml:space="preserve"> </w:t>
      </w:r>
      <w:r w:rsidR="00F374FF">
        <w:t xml:space="preserve">di organi dello Stato </w:t>
      </w:r>
      <w:r w:rsidR="00333C13">
        <w:t>di individui che il diritto interno non quali</w:t>
      </w:r>
      <w:r w:rsidR="00665E77">
        <w:t>fica come tali, finisce</w:t>
      </w:r>
      <w:r w:rsidR="00F641EF">
        <w:t xml:space="preserve"> per ricondurre lo </w:t>
      </w:r>
      <w:r w:rsidR="00333C13">
        <w:t>schema elaborato</w:t>
      </w:r>
      <w:r w:rsidR="00F641EF">
        <w:t xml:space="preserve"> dal relatore e accolto</w:t>
      </w:r>
      <w:r w:rsidR="00333C13">
        <w:t xml:space="preserve"> dalla Commissione a delle regole attributive che si differenziano in base al tipo di relazione che lega l’individuo agente allo Stato. </w:t>
      </w:r>
    </w:p>
    <w:p w:rsidR="00333C13" w:rsidRDefault="00333C13" w:rsidP="00EB037D">
      <w:pPr>
        <w:spacing w:after="0" w:line="360" w:lineRule="auto"/>
        <w:ind w:firstLine="284"/>
        <w:jc w:val="both"/>
      </w:pPr>
      <w:r>
        <w:t>L’approccio della Commissione si fonda difatti sulla distinzione fra coloro che sono formalmente legati allo Stato e gli individui che agiscono in fatto su istruzione, o sotto la direzione o  il controllo, di organi statali.</w:t>
      </w:r>
      <w:r w:rsidRPr="009A13C1">
        <w:t xml:space="preserve"> </w:t>
      </w:r>
    </w:p>
    <w:p w:rsidR="00333C13" w:rsidRDefault="00333C13" w:rsidP="00EB037D">
      <w:pPr>
        <w:spacing w:after="0" w:line="360" w:lineRule="auto"/>
        <w:ind w:firstLine="284"/>
        <w:jc w:val="both"/>
      </w:pPr>
      <w:r>
        <w:t>Nonostante il riferimento al diritto interno permetta indubbiamente di fis</w:t>
      </w:r>
      <w:r w:rsidR="00980F12">
        <w:t>sare un criterio dotato</w:t>
      </w:r>
      <w:r>
        <w:t xml:space="preserve"> di un elevato grado di certezza, rimane il fatto che la scelta di non dare rilevanza alla possibilità che tra Stato ed individuo sussista un legame fattuale differente rispetto a quello che prevede un controllo statale su ogni s</w:t>
      </w:r>
      <w:r w:rsidR="0021249E">
        <w:t>pecifico comportamento adottato</w:t>
      </w:r>
      <w:r>
        <w:t xml:space="preserve"> relega i criteri di attribuzione ispirati al principio di effettività ad un ruolo marginale nel sistema elaborato.</w:t>
      </w:r>
    </w:p>
    <w:p w:rsidR="00333C13" w:rsidRDefault="00333C13" w:rsidP="00877373">
      <w:pPr>
        <w:spacing w:after="0" w:line="360" w:lineRule="auto"/>
        <w:ind w:firstLine="284"/>
        <w:jc w:val="both"/>
      </w:pPr>
      <w:r>
        <w:t>In base ad esso, infatti, le condotte tenute nell’esercizio delle funzioni da individui che godono d</w:t>
      </w:r>
      <w:r w:rsidR="00790E1B">
        <w:t>ella qualità organica in virtù de</w:t>
      </w:r>
      <w:r>
        <w:t xml:space="preserve">l diritto interno sono attribuibili allo Stato sul piano internazionale senza che sia necessario determinare in base a </w:t>
      </w:r>
      <w:r w:rsidRPr="00877373">
        <w:t>quale impulso</w:t>
      </w:r>
      <w:r>
        <w:t xml:space="preserve"> essi abbiano agito</w:t>
      </w:r>
      <w:r>
        <w:rPr>
          <w:rStyle w:val="Rimandonotaapidipagina"/>
        </w:rPr>
        <w:footnoteReference w:id="300"/>
      </w:r>
      <w:r>
        <w:t xml:space="preserve">. </w:t>
      </w:r>
      <w:r w:rsidR="00671001">
        <w:t>Nel caso di compor</w:t>
      </w:r>
      <w:r w:rsidR="009374D4">
        <w:t>t</w:t>
      </w:r>
      <w:r w:rsidR="00671001">
        <w:t xml:space="preserve">amenti tenuti da un </w:t>
      </w:r>
      <w:r w:rsidR="0021249E">
        <w:t>organo, è necessario quindi stabilire se chi ha agito intrattiene con lo Stato un rapporto a tal punto stretto tale da giustificare l’attribuzione in via generale ad esso del suo comportamento, salvo naturalmente il limite delle condotte tenute a titolo privato</w:t>
      </w:r>
      <w:r w:rsidR="00F065CA">
        <w:t xml:space="preserve">. </w:t>
      </w:r>
      <w:r>
        <w:t>Nel caso in cui invece l’individuo agente sia privo di un legame formale con l’apparato statale, risulta necessario accertare che abbia tenuto delle condotte dietro istruzioni o sotto il controllo di organi al fine di considerarli fatti sta</w:t>
      </w:r>
      <w:r w:rsidR="00671001">
        <w:t xml:space="preserve">tali sul piano internazionale. </w:t>
      </w:r>
      <w:r w:rsidR="00F065CA">
        <w:t>L</w:t>
      </w:r>
      <w:r>
        <w:t>a possibilità di riferire allo Stato un comportamento sul piano internazionale dipende dall’accertamento dell’esistenza tra l’ente e l’individuo-agente di un rapporto puntuale che si è venuto a costitui</w:t>
      </w:r>
      <w:r w:rsidR="00671001">
        <w:t>re in ragione e nei limiti delle istruzio</w:t>
      </w:r>
      <w:r w:rsidR="0052159C">
        <w:t>n</w:t>
      </w:r>
      <w:r w:rsidR="00671001">
        <w:t>i ricevute</w:t>
      </w:r>
      <w:r>
        <w:rPr>
          <w:rStyle w:val="Rimandonotaapidipagina"/>
        </w:rPr>
        <w:footnoteReference w:id="301"/>
      </w:r>
      <w:r>
        <w:t>.</w:t>
      </w:r>
    </w:p>
    <w:p w:rsidR="00333C13" w:rsidRDefault="00333C13" w:rsidP="00EB037D">
      <w:pPr>
        <w:spacing w:after="0" w:line="360" w:lineRule="auto"/>
        <w:ind w:firstLine="284"/>
        <w:jc w:val="both"/>
      </w:pPr>
    </w:p>
    <w:p w:rsidR="00333C13" w:rsidRDefault="00333C13" w:rsidP="008629FF">
      <w:pPr>
        <w:pStyle w:val="Paragrafoelenco"/>
        <w:numPr>
          <w:ilvl w:val="0"/>
          <w:numId w:val="3"/>
        </w:numPr>
        <w:spacing w:after="0" w:line="360" w:lineRule="auto"/>
      </w:pPr>
      <w:r>
        <w:lastRenderedPageBreak/>
        <w:t xml:space="preserve">Il principio dell’attribuzione allo Stato dei fatti </w:t>
      </w:r>
      <w:r w:rsidRPr="00EF6FA0">
        <w:rPr>
          <w:i/>
        </w:rPr>
        <w:t>ultra vires</w:t>
      </w:r>
      <w:r w:rsidR="0058708D">
        <w:t xml:space="preserve"> nel quarto rapporto di </w:t>
      </w:r>
      <w:r>
        <w:t>Ago</w:t>
      </w:r>
    </w:p>
    <w:p w:rsidR="00333C13" w:rsidRDefault="00333C13" w:rsidP="00EB037D">
      <w:pPr>
        <w:spacing w:after="0" w:line="360" w:lineRule="auto"/>
        <w:ind w:firstLine="284"/>
      </w:pPr>
    </w:p>
    <w:p w:rsidR="00EF6FA0" w:rsidRPr="00B600B9" w:rsidRDefault="00333C13" w:rsidP="00EB037D">
      <w:pPr>
        <w:spacing w:after="0" w:line="360" w:lineRule="auto"/>
        <w:ind w:firstLine="284"/>
        <w:jc w:val="both"/>
      </w:pPr>
      <w:r>
        <w:t xml:space="preserve">Come </w:t>
      </w:r>
      <w:r w:rsidRPr="00B600B9">
        <w:t>precedentemente rilevato, il relatore Ago reputa che un particolare regime attributivo trovi applicazione in relazione agli organi statali</w:t>
      </w:r>
      <w:r w:rsidRPr="00B600B9">
        <w:rPr>
          <w:i/>
        </w:rPr>
        <w:t xml:space="preserve"> </w:t>
      </w:r>
      <w:r w:rsidR="000B0B7B" w:rsidRPr="00B600B9">
        <w:t xml:space="preserve">ed agli </w:t>
      </w:r>
      <w:r w:rsidRPr="00B600B9">
        <w:t>enti abilitati dal diritto interno all’esercizio di prerogative del pubblico potere in virtù del legame formale che li lega allo Stato</w:t>
      </w:r>
    </w:p>
    <w:p w:rsidR="00333C13" w:rsidRDefault="00333C13" w:rsidP="00EF6FA0">
      <w:pPr>
        <w:spacing w:after="0" w:line="360" w:lineRule="auto"/>
        <w:ind w:firstLine="284"/>
        <w:jc w:val="both"/>
      </w:pPr>
      <w:r w:rsidRPr="00B600B9">
        <w:t>In sede di inquadramento</w:t>
      </w:r>
      <w:r>
        <w:t xml:space="preserve"> generale delle regole in materia di attribuzione di condotte, Ago utilizza quindi il termine “organo” per i</w:t>
      </w:r>
      <w:r w:rsidR="006B175E">
        <w:t>ndicare coloro che sono legati</w:t>
      </w:r>
      <w:r>
        <w:t xml:space="preserve"> allo Stato da un tipo di vincolo particolarmente intenso, in virtù del quale si realizza la massima identificazione tra un individuo o ente e l’organizzazione statale.</w:t>
      </w:r>
    </w:p>
    <w:p w:rsidR="00333C13" w:rsidRDefault="00333C13" w:rsidP="00EB037D">
      <w:pPr>
        <w:spacing w:after="0" w:line="360" w:lineRule="auto"/>
        <w:ind w:firstLine="284"/>
        <w:jc w:val="both"/>
      </w:pPr>
      <w:r>
        <w:t>Proprio la realizzazione del massimo livello di identificazione tra un individuo o ente e l’organizzazione statale giustifica quindi il particolare regime attributivo che si applica con riferimento all’ipotesi dell’</w:t>
      </w:r>
      <w:r w:rsidR="00EF6FA0">
        <w:t>individuo-</w:t>
      </w:r>
      <w:r>
        <w:t xml:space="preserve">organo e la distinzione rispetto all’ipotesi di individui che agiscono su istruzioni o sotto la direzione e il controllo di organi statali. Così, qualsiasi condotta tenuta da un organo </w:t>
      </w:r>
      <w:r w:rsidR="00EF6FA0">
        <w:t xml:space="preserve">dello Stato </w:t>
      </w:r>
      <w:r>
        <w:t>nell’esercizio delle proprie funzioni deve essere ritenuta un fatto dello Stato sul piano internazionale indipendentemente dal rispetto dei limiti delle funzioni ad esso assegnate.</w:t>
      </w:r>
    </w:p>
    <w:p w:rsidR="00333C13" w:rsidRDefault="00333C13" w:rsidP="00EB037D">
      <w:pPr>
        <w:spacing w:after="0" w:line="360" w:lineRule="auto"/>
        <w:ind w:firstLine="284"/>
        <w:jc w:val="both"/>
      </w:pPr>
      <w:r>
        <w:t xml:space="preserve">Dato che l’organizzazione dello Stato dal punto di vista del diritto internazionale viene identificata con l’organizzazione giuridica interna, Ago ritiene che la questione della possibilità di attribuire allo Stato i fatti </w:t>
      </w:r>
      <w:r w:rsidRPr="00894911">
        <w:rPr>
          <w:i/>
        </w:rPr>
        <w:t>ultra vires</w:t>
      </w:r>
      <w:r>
        <w:t xml:space="preserve"> sorga esclusivamente con riferimento agli individui o enti che godono della qualifica organica in base al diritto interno ed agli </w:t>
      </w:r>
      <w:r w:rsidR="00BB741D">
        <w:t xml:space="preserve">individui che godono della qualifica di </w:t>
      </w:r>
      <w:r>
        <w:t>organi di enti abilitati dal diritto interno all’esercizio di prerogative del pubblico potere</w:t>
      </w:r>
      <w:r>
        <w:rPr>
          <w:rStyle w:val="Rimandonotaapidipagina"/>
        </w:rPr>
        <w:footnoteReference w:id="302"/>
      </w:r>
      <w:r>
        <w:t>.</w:t>
      </w:r>
    </w:p>
    <w:p w:rsidR="00333C13" w:rsidRDefault="00333C13" w:rsidP="00EB037D">
      <w:pPr>
        <w:spacing w:after="0" w:line="360" w:lineRule="auto"/>
        <w:ind w:firstLine="284"/>
        <w:jc w:val="both"/>
      </w:pPr>
      <w:r>
        <w:t>In particolare, egli sostiene che la regola in base a cui lo Stato risponde solo delle condotte tenute dall’organo nell’esercizio delle proprie funzioni presuppone necessariamente un rinvio al diritto interno al fine di determinare quali siano le funzioni di tale organo.</w:t>
      </w:r>
    </w:p>
    <w:p w:rsidR="00333C13" w:rsidRDefault="007843BD" w:rsidP="00EB037D">
      <w:pPr>
        <w:spacing w:after="0" w:line="360" w:lineRule="auto"/>
        <w:ind w:firstLine="284"/>
        <w:jc w:val="both"/>
      </w:pPr>
      <w:r>
        <w:t xml:space="preserve">Non si possono invece </w:t>
      </w:r>
      <w:r w:rsidR="00333C13">
        <w:t>reputare fatti dello Stato sul piano internazionale le condotte di individui che agiscono in fatto per suo conto nell’eventualità in cui siano state te</w:t>
      </w:r>
      <w:r w:rsidR="00BF4589">
        <w:t>nute n</w:t>
      </w:r>
      <w:r w:rsidR="00AB25C7">
        <w:t xml:space="preserve">on rispettando le </w:t>
      </w:r>
      <w:r w:rsidR="00333C13">
        <w:t>istruzioni ricevute o senza il controllo di organi statali</w:t>
      </w:r>
      <w:r w:rsidR="00333C13">
        <w:rPr>
          <w:rStyle w:val="Rimandonotaapidipagina"/>
        </w:rPr>
        <w:footnoteReference w:id="303"/>
      </w:r>
      <w:r w:rsidR="00333C13">
        <w:t>.</w:t>
      </w:r>
    </w:p>
    <w:p w:rsidR="00333C13" w:rsidRPr="003C188B" w:rsidRDefault="00333C13" w:rsidP="00EB037D">
      <w:pPr>
        <w:spacing w:after="0" w:line="360" w:lineRule="auto"/>
        <w:ind w:firstLine="284"/>
        <w:jc w:val="both"/>
      </w:pPr>
      <w:r>
        <w:lastRenderedPageBreak/>
        <w:t xml:space="preserve">Reputando </w:t>
      </w:r>
      <w:r w:rsidRPr="003C188B">
        <w:t>l’attribuzione un’operazione giuridica fondata su autonomi criteri propri del diritto internazionale, Ago si discosta inoltre dagli autori che ritenevano impossibile definire una condotta irregolare dal punto di vista interno come un fatto statale nell’a</w:t>
      </w:r>
      <w:r w:rsidR="00A24446">
        <w:t>mbito dell’ordinamento</w:t>
      </w:r>
      <w:r w:rsidRPr="003C188B">
        <w:t xml:space="preserve"> internazionale.</w:t>
      </w:r>
    </w:p>
    <w:p w:rsidR="00333C13" w:rsidRDefault="00333C13" w:rsidP="00EB037D">
      <w:pPr>
        <w:spacing w:after="0" w:line="360" w:lineRule="auto"/>
        <w:ind w:firstLine="284"/>
        <w:jc w:val="both"/>
      </w:pPr>
      <w:r>
        <w:t xml:space="preserve">Egli definisce </w:t>
      </w:r>
      <w:r w:rsidRPr="003C188B">
        <w:t xml:space="preserve">un comportamento adottato da un organo </w:t>
      </w:r>
      <w:r w:rsidRPr="003C188B">
        <w:rPr>
          <w:i/>
        </w:rPr>
        <w:t>ultra vires</w:t>
      </w:r>
      <w:r w:rsidRPr="003C188B">
        <w:t xml:space="preserve"> come un fatto statale </w:t>
      </w:r>
      <w:r>
        <w:t xml:space="preserve">sul piano </w:t>
      </w:r>
      <w:r w:rsidRPr="003C188B">
        <w:t>internazionale</w:t>
      </w:r>
      <w:r>
        <w:t xml:space="preserve">, intendendo </w:t>
      </w:r>
      <w:r w:rsidR="00714A73">
        <w:t xml:space="preserve">affermare </w:t>
      </w:r>
      <w:r>
        <w:t xml:space="preserve">l’esistenza di precise regole di attribuzione appartenenti al diritto internazionale che non si limitano ad operare un rinvio all’organizzazione che di fatto lo Stato ha provveduto a darsi, ma che offrono dei criteri giuridici identificabili attraverso l’esame della prassi in grado di individuare le condizioni in presenza delle quali una certa condotta può essere ritenuta un fatto dello Stato. </w:t>
      </w:r>
    </w:p>
    <w:p w:rsidR="00333C13" w:rsidRDefault="00333C13" w:rsidP="00EB037D">
      <w:pPr>
        <w:spacing w:after="0" w:line="360" w:lineRule="auto"/>
        <w:ind w:firstLine="284"/>
        <w:jc w:val="both"/>
      </w:pPr>
      <w:r>
        <w:t>Dal momento che la macchina statale e le disposi</w:t>
      </w:r>
      <w:r w:rsidR="00A24446">
        <w:t>zioni dell’ordinamento</w:t>
      </w:r>
      <w:r>
        <w:t xml:space="preserve"> interno volte a regolarne l’attività</w:t>
      </w:r>
      <w:r w:rsidRPr="00BD7A67">
        <w:t xml:space="preserve"> </w:t>
      </w:r>
      <w:r>
        <w:t>sono dei semplici fatti per il diritto internazionale, l’attribuzione o meno di un comportamento allo Stato come soggetto di diritto internazionale avviene, a suo parere, sulla base di regole giuridiche indipendenti rispetto a quelle che ne disciplinano la natura di fatto statale dal pun</w:t>
      </w:r>
      <w:r w:rsidR="00A24446">
        <w:t xml:space="preserve">to di vista dell’ordinamento </w:t>
      </w:r>
      <w:r>
        <w:t>interno</w:t>
      </w:r>
      <w:r>
        <w:rPr>
          <w:rStyle w:val="Rimandonotaapidipagina"/>
        </w:rPr>
        <w:footnoteReference w:id="304"/>
      </w:r>
      <w:r>
        <w:t>.</w:t>
      </w:r>
    </w:p>
    <w:p w:rsidR="00333C13" w:rsidRDefault="00333C13" w:rsidP="00EB037D">
      <w:pPr>
        <w:spacing w:after="0" w:line="360" w:lineRule="auto"/>
        <w:ind w:firstLine="284"/>
        <w:jc w:val="both"/>
      </w:pPr>
      <w:r w:rsidRPr="00B438F3">
        <w:t xml:space="preserve">Il </w:t>
      </w:r>
      <w:r>
        <w:t xml:space="preserve">criterio </w:t>
      </w:r>
      <w:r w:rsidRPr="00B438F3">
        <w:t>utilizzato dal diritto inter</w:t>
      </w:r>
      <w:r>
        <w:t>nazionale al fine di accertare</w:t>
      </w:r>
      <w:r w:rsidRPr="00B438F3">
        <w:t xml:space="preserve"> se un comporta</w:t>
      </w:r>
      <w:r w:rsidR="00714A73">
        <w:t>mento adottato da un organo debba</w:t>
      </w:r>
      <w:r w:rsidRPr="00B438F3">
        <w:t xml:space="preserve"> essere </w:t>
      </w:r>
      <w:r>
        <w:t>considerato</w:t>
      </w:r>
      <w:r w:rsidRPr="00B438F3">
        <w:t xml:space="preserve"> un fatto dello Stato </w:t>
      </w:r>
      <w:r>
        <w:t xml:space="preserve">non </w:t>
      </w:r>
      <w:r w:rsidRPr="00B438F3">
        <w:t xml:space="preserve">si fonda </w:t>
      </w:r>
      <w:r>
        <w:t>su disposi</w:t>
      </w:r>
      <w:r w:rsidR="00AE190F">
        <w:t>zioni di diritto interno;</w:t>
      </w:r>
      <w:r>
        <w:t xml:space="preserve"> in questo contesto, il </w:t>
      </w:r>
      <w:r w:rsidRPr="00472DF0">
        <w:t xml:space="preserve">principio di effettività viene </w:t>
      </w:r>
      <w:r w:rsidR="00472DF0" w:rsidRPr="00472DF0">
        <w:t>bilanciato</w:t>
      </w:r>
      <w:r w:rsidR="00472DF0">
        <w:t xml:space="preserve"> </w:t>
      </w:r>
      <w:r>
        <w:t>con esigenze di differente natura volte ad assicurare la stabilità e la sicurezza delle relazioni internazionali.</w:t>
      </w:r>
    </w:p>
    <w:p w:rsidR="00333C13" w:rsidRDefault="00333C13" w:rsidP="00EB037D">
      <w:pPr>
        <w:spacing w:after="0" w:line="360" w:lineRule="auto"/>
        <w:ind w:firstLine="284"/>
        <w:jc w:val="both"/>
      </w:pPr>
      <w:r>
        <w:lastRenderedPageBreak/>
        <w:t xml:space="preserve">Secondo Ago, sul piano internazionale uno Stato deve riconoscere di aver agito ogniqualvolta persone o enti incaricati di agire per suo conto appaiono effettivamente adottare dei comportamenti in suo nome, indipendentemente dal fatto che non abbiano rispettato i limiti formali della propria competenza, abbiano violato disposizioni del diritto interno oppure abbiano contravvenuto alle istruzioni loro impartite dai superiori. </w:t>
      </w:r>
    </w:p>
    <w:p w:rsidR="00333C13" w:rsidRDefault="00333C13" w:rsidP="00EB037D">
      <w:pPr>
        <w:spacing w:after="0" w:line="360" w:lineRule="auto"/>
        <w:ind w:firstLine="284"/>
        <w:jc w:val="both"/>
      </w:pPr>
      <w:r>
        <w:t xml:space="preserve">Lo Stato deve quindi rispondere delle condotte non autorizzate dei propri organi in quanto l’illecito è stato reso possibile in virtù dello </w:t>
      </w:r>
      <w:r w:rsidRPr="00C07B96">
        <w:rPr>
          <w:i/>
        </w:rPr>
        <w:t xml:space="preserve">status </w:t>
      </w:r>
      <w:r>
        <w:t>organico di cui un individuo o ente gode e dell’autorità che deriva loro dall’esercitare una funzione ufficiale. L’apparenza creata dallo Stato attraverso il riconoscimento della qualità organica prevale sulla circostanza che la condotta effettivamente</w:t>
      </w:r>
      <w:r w:rsidR="00714A73">
        <w:t xml:space="preserve"> tenuta dall’organo non rifletta</w:t>
      </w:r>
      <w:r>
        <w:t xml:space="preserve"> le scelte operate dall’ente.</w:t>
      </w:r>
    </w:p>
    <w:p w:rsidR="00333C13" w:rsidRDefault="00333C13" w:rsidP="00EB037D">
      <w:pPr>
        <w:spacing w:after="0" w:line="360" w:lineRule="auto"/>
        <w:ind w:firstLine="284"/>
        <w:jc w:val="both"/>
      </w:pPr>
      <w:r>
        <w:t xml:space="preserve">L’irregolarità di una condotta dal punto di </w:t>
      </w:r>
      <w:r w:rsidR="00A24446">
        <w:t>vista dell’ordinamento</w:t>
      </w:r>
      <w:r>
        <w:t xml:space="preserve"> interno è ininfluente ai fini della sua attribuzione allo Stato come soggetto di</w:t>
      </w:r>
      <w:r w:rsidR="009F53C1">
        <w:t xml:space="preserve"> diritto internazionale, a condizione</w:t>
      </w:r>
      <w:r>
        <w:t xml:space="preserve"> che sia stata però tenuta dall’organo nell’esercizio delle proprie funzioni.</w:t>
      </w:r>
    </w:p>
    <w:p w:rsidR="00084967" w:rsidRDefault="00333C13" w:rsidP="00EB037D">
      <w:pPr>
        <w:spacing w:after="0" w:line="360" w:lineRule="auto"/>
        <w:ind w:firstLine="284"/>
        <w:jc w:val="both"/>
      </w:pPr>
      <w:r>
        <w:t xml:space="preserve">Seguendo sempre la logica dettata dall’esigenza di garantire la sicurezza delle relazioni internazionali, </w:t>
      </w:r>
      <w:r w:rsidR="00714A73">
        <w:t xml:space="preserve">Ago </w:t>
      </w:r>
      <w:r>
        <w:t xml:space="preserve">individua delle limitazioni all’applicazione del criterio attributivo dell’apparenza della funzione: mentre possono essere riferite allo Stato le condotte </w:t>
      </w:r>
      <w:r w:rsidRPr="00B26B80">
        <w:rPr>
          <w:i/>
        </w:rPr>
        <w:t>ultra vires</w:t>
      </w:r>
      <w:r>
        <w:t xml:space="preserve"> che appaiono tenute dagli organi nel </w:t>
      </w:r>
      <w:r w:rsidRPr="00084967">
        <w:t xml:space="preserve">rispetto della propria competenza, non possono essere ad esso attribuiti quei comportamenti </w:t>
      </w:r>
      <w:r w:rsidRPr="00084967">
        <w:rPr>
          <w:i/>
        </w:rPr>
        <w:t>ultra vires</w:t>
      </w:r>
      <w:r w:rsidRPr="00084967">
        <w:t xml:space="preserve"> tenuti da un organo manifestamente al di fuori della propria competenza oppure nell’ambito di funzioni statali così visibilmente differenti rispetto a quelle</w:t>
      </w:r>
      <w:r w:rsidR="00D8531B" w:rsidRPr="00084967">
        <w:t xml:space="preserve"> a</w:t>
      </w:r>
      <w:r w:rsidRPr="00084967">
        <w:t xml:space="preserve"> lui spettanti, da non lasciare alcun dubbio</w:t>
      </w:r>
      <w:r>
        <w:t xml:space="preserve"> circa l’impossibilità di riconoscerne la natura di fatto dello Stato quale soggetto di diritto internazionale. </w:t>
      </w:r>
    </w:p>
    <w:p w:rsidR="00333C13" w:rsidRDefault="00333C13" w:rsidP="00EB037D">
      <w:pPr>
        <w:spacing w:after="0" w:line="360" w:lineRule="auto"/>
        <w:ind w:firstLine="284"/>
        <w:jc w:val="both"/>
      </w:pPr>
      <w:r>
        <w:t>La responsabilità dello Stato per i fatti dei propri organi sarebbe quindi esclusa sia nel caso in cui un organo adotta un comportamento totalmente privo di legame con le funzioni lui assegnate, vale a dire nel caso in c</w:t>
      </w:r>
      <w:r w:rsidR="008778A4">
        <w:t>ui agisce nella propria qualit</w:t>
      </w:r>
      <w:r w:rsidR="00236D71">
        <w:t>à</w:t>
      </w:r>
      <w:r>
        <w:t xml:space="preserve"> privata, sia nel caso in cui tiene una condotta </w:t>
      </w:r>
      <w:r w:rsidR="003A4CDD">
        <w:t xml:space="preserve">a titolo ufficiale ma </w:t>
      </w:r>
      <w:r>
        <w:t xml:space="preserve">completamente estranea alla </w:t>
      </w:r>
      <w:r w:rsidR="00236D71">
        <w:t>propria competenza</w:t>
      </w:r>
      <w:r>
        <w:t>.</w:t>
      </w:r>
    </w:p>
    <w:p w:rsidR="00333C13" w:rsidRDefault="001B141A" w:rsidP="003A4CDD">
      <w:pPr>
        <w:spacing w:after="0" w:line="360" w:lineRule="auto"/>
        <w:ind w:firstLine="284"/>
        <w:jc w:val="both"/>
      </w:pPr>
      <w:r>
        <w:t>L</w:t>
      </w:r>
      <w:r w:rsidR="00333C13">
        <w:t>a condizione attributiva dell’apparenza della funzione ed il conseguente corollario della manifesta incompetenza dell’organo avevano fino a quel momento trovato fondamento nella prassi su consider</w:t>
      </w:r>
      <w:r w:rsidR="003A4CDD">
        <w:t>azioni prettamente soggettive. In altri termini, l</w:t>
      </w:r>
      <w:r w:rsidR="00333C13">
        <w:t>’attribuzione di una condotta non autorizzata allo Stato era stata fatta unicamente dipendere dalla circost</w:t>
      </w:r>
      <w:r w:rsidR="00714A73">
        <w:t>anza che il terzo leso non avesse potuto</w:t>
      </w:r>
      <w:r w:rsidR="00333C13">
        <w:t xml:space="preserve"> rendersi conto del mancato rispetto della propria competenza da parte dell’organo.</w:t>
      </w:r>
    </w:p>
    <w:p w:rsidR="00333C13" w:rsidRDefault="00333C13" w:rsidP="00EB037D">
      <w:pPr>
        <w:spacing w:after="0" w:line="360" w:lineRule="auto"/>
        <w:ind w:firstLine="284"/>
        <w:jc w:val="both"/>
      </w:pPr>
      <w:r>
        <w:lastRenderedPageBreak/>
        <w:t>Criticando l’approccio precedentemente adottato dal relatore Garc</w:t>
      </w:r>
      <w:r>
        <w:rPr>
          <w:rFonts w:cstheme="minorHAnsi"/>
        </w:rPr>
        <w:t>í</w:t>
      </w:r>
      <w:r>
        <w:t>a–Amador</w:t>
      </w:r>
      <w:r>
        <w:rPr>
          <w:rStyle w:val="Rimandonotaapidipagina"/>
        </w:rPr>
        <w:footnoteReference w:id="305"/>
      </w:r>
      <w:r>
        <w:t>, A</w:t>
      </w:r>
      <w:r w:rsidR="00E10BB8">
        <w:t>go chiarisce che la</w:t>
      </w:r>
      <w:r>
        <w:t xml:space="preserve"> “manifesta incompetenza” deve </w:t>
      </w:r>
      <w:r w:rsidR="00E10BB8">
        <w:t xml:space="preserve">essere </w:t>
      </w:r>
      <w:r>
        <w:t xml:space="preserve">una qualità oggettiva dal momento che sarebbe ingiusto far dipendere l’attribuzione allo Stato di una </w:t>
      </w:r>
      <w:r w:rsidRPr="005123AB">
        <w:t>condotta non autorizzata di un</w:t>
      </w:r>
      <w:r>
        <w:t xml:space="preserve"> proprio organo dalla circostanza che la vittima, resasi conto dell’incompetenza, era in grado di prevenire la commissione dell’illecito</w:t>
      </w:r>
      <w:r>
        <w:rPr>
          <w:rStyle w:val="Rimandonotaapidipagina"/>
        </w:rPr>
        <w:footnoteReference w:id="306"/>
      </w:r>
      <w:r>
        <w:t xml:space="preserve">. </w:t>
      </w:r>
    </w:p>
    <w:p w:rsidR="00333C13" w:rsidRDefault="004545D7" w:rsidP="00EB037D">
      <w:pPr>
        <w:spacing w:after="0" w:line="360" w:lineRule="auto"/>
        <w:ind w:firstLine="284"/>
        <w:jc w:val="both"/>
      </w:pPr>
      <w:r w:rsidRPr="00084967">
        <w:t>L</w:t>
      </w:r>
      <w:r w:rsidR="00333C13" w:rsidRPr="00084967">
        <w:t>’applicazione delle sopramenzionate condizioni attributive sarebbe risultata condizionata dalla determinazione delle circostanze del singolo caso di specie e della conoscenza delle reali competenze dell’individuo-organo agente da parte del terzo.</w:t>
      </w:r>
      <w:r w:rsidR="00333C13">
        <w:t xml:space="preserve"> </w:t>
      </w:r>
    </w:p>
    <w:p w:rsidR="00333C13" w:rsidRDefault="00333C13" w:rsidP="00EB037D">
      <w:pPr>
        <w:spacing w:after="0" w:line="360" w:lineRule="auto"/>
        <w:ind w:firstLine="284"/>
        <w:jc w:val="both"/>
      </w:pPr>
      <w:r>
        <w:t xml:space="preserve">Secondo il relatore, </w:t>
      </w:r>
      <w:r w:rsidR="00E10BB8">
        <w:t xml:space="preserve">il limite della </w:t>
      </w:r>
      <w:r>
        <w:t>“manifesta incompetenza” sarebbe stato utile anche per ragioni di coerenza con il testo dell’art. 46 della Convenzione di Vienna sul diritto dei trattati, secondo cui un accordo si presume valido, anche se concluso in violazione delle norme interne sulla competenza a stipulare, a meno che la violazione del diritto interno non sia oggettivamente manifesta e non riguardi norme interne di importanza fondamentale</w:t>
      </w:r>
      <w:r>
        <w:rPr>
          <w:rStyle w:val="Rimandonotaapidipagina"/>
        </w:rPr>
        <w:footnoteReference w:id="307"/>
      </w:r>
      <w:r>
        <w:t>.</w:t>
      </w:r>
    </w:p>
    <w:p w:rsidR="00333C13" w:rsidRDefault="00333C13" w:rsidP="00EB037D">
      <w:pPr>
        <w:spacing w:after="0" w:line="360" w:lineRule="auto"/>
        <w:ind w:firstLine="284"/>
        <w:jc w:val="both"/>
      </w:pPr>
      <w:r>
        <w:lastRenderedPageBreak/>
        <w:t xml:space="preserve">Il relatore ha concluso il proprio studio circa l’attribuzione allo Stato dei fatti </w:t>
      </w:r>
      <w:r w:rsidRPr="00A11002">
        <w:rPr>
          <w:i/>
        </w:rPr>
        <w:t>ultra vires</w:t>
      </w:r>
      <w:r>
        <w:t xml:space="preserve"> dei propri organi sottomettendo ai membri de</w:t>
      </w:r>
      <w:r w:rsidR="00E10BB8">
        <w:t xml:space="preserve">lla CDI un progetto di art. </w:t>
      </w:r>
      <w:r>
        <w:t>10, in cui il principio generale e le limitazioni venivano e</w:t>
      </w:r>
      <w:r w:rsidR="00E10BB8">
        <w:t>nunciati</w:t>
      </w:r>
      <w:r>
        <w:t xml:space="preserve"> in due distinti paragrafi</w:t>
      </w:r>
      <w:r>
        <w:rPr>
          <w:rStyle w:val="Rimandonotaapidipagina"/>
        </w:rPr>
        <w:footnoteReference w:id="308"/>
      </w:r>
      <w:r>
        <w:t>:</w:t>
      </w:r>
    </w:p>
    <w:p w:rsidR="00333C13" w:rsidRDefault="00333C13" w:rsidP="00EB037D">
      <w:pPr>
        <w:spacing w:after="0" w:line="360" w:lineRule="auto"/>
        <w:ind w:firstLine="284"/>
        <w:jc w:val="both"/>
      </w:pPr>
    </w:p>
    <w:p w:rsidR="00333C13" w:rsidRPr="00E10BB8" w:rsidRDefault="00333C13" w:rsidP="00EB037D">
      <w:pPr>
        <w:spacing w:after="0" w:line="360" w:lineRule="auto"/>
        <w:ind w:left="567" w:right="567" w:firstLine="284"/>
        <w:jc w:val="both"/>
        <w:rPr>
          <w:lang w:val="fr-FR"/>
        </w:rPr>
      </w:pPr>
      <w:r w:rsidRPr="00E10BB8">
        <w:rPr>
          <w:lang w:val="fr-FR"/>
        </w:rPr>
        <w:t>“Le comportement d’un organe de l’Etat ou d’une institution publique distincte qui, tout en agissant en sa qualité officielle, dépasse sa compétence selon le droit interne ou contrevient aux prescriptions de ce droit concernant son activité est néanmoins considéré comme un fait de l’Etat sur le plan du droit international.</w:t>
      </w:r>
    </w:p>
    <w:p w:rsidR="00333C13" w:rsidRPr="00E10BB8" w:rsidRDefault="00333C13" w:rsidP="00EB037D">
      <w:pPr>
        <w:spacing w:after="0" w:line="360" w:lineRule="auto"/>
        <w:ind w:left="567" w:right="567" w:firstLine="284"/>
        <w:jc w:val="both"/>
        <w:rPr>
          <w:lang w:val="fr-FR"/>
        </w:rPr>
      </w:pPr>
      <w:r w:rsidRPr="00E10BB8">
        <w:rPr>
          <w:lang w:val="fr-FR"/>
        </w:rPr>
        <w:t>Toutefois, un tel comportement n’est pas considéré comme un fait de l’Etat si, de par sa nature, il était totalement étranger aux fonctions spécifiques de l’organe ou si, m</w:t>
      </w:r>
      <w:r w:rsidRPr="00E10BB8">
        <w:rPr>
          <w:rFonts w:cstheme="minorHAnsi"/>
          <w:lang w:val="fr-FR"/>
        </w:rPr>
        <w:t>ê</w:t>
      </w:r>
      <w:r w:rsidRPr="00E10BB8">
        <w:rPr>
          <w:lang w:val="fr-FR"/>
        </w:rPr>
        <w:t>me sous d’autres aspects, l’incompétence de l’organe était manifeste”</w:t>
      </w:r>
      <w:r w:rsidRPr="00E10BB8">
        <w:rPr>
          <w:rStyle w:val="Rimandonotaapidipagina"/>
          <w:lang w:val="fr-FR"/>
        </w:rPr>
        <w:footnoteReference w:id="309"/>
      </w:r>
      <w:r w:rsidRPr="00E10BB8">
        <w:rPr>
          <w:lang w:val="fr-FR"/>
        </w:rPr>
        <w:t>.</w:t>
      </w:r>
    </w:p>
    <w:p w:rsidR="00333C13" w:rsidRDefault="00333C13" w:rsidP="00EB037D">
      <w:pPr>
        <w:spacing w:after="0" w:line="360" w:lineRule="auto"/>
        <w:ind w:firstLine="284"/>
        <w:jc w:val="both"/>
        <w:rPr>
          <w:i/>
          <w:lang w:val="fr-FR"/>
        </w:rPr>
      </w:pPr>
    </w:p>
    <w:p w:rsidR="00333C13" w:rsidRDefault="00333C13" w:rsidP="00EB037D">
      <w:pPr>
        <w:spacing w:after="0" w:line="360" w:lineRule="auto"/>
        <w:ind w:firstLine="284"/>
        <w:jc w:val="both"/>
      </w:pPr>
      <w:r w:rsidRPr="00BF4589">
        <w:t>L’assenza di riferimenti precisi a dati della prassi internazionale sembra suffragare l’ipotesi che la qualità</w:t>
      </w:r>
      <w:r>
        <w:t xml:space="preserve"> oggettiva della manifesta incompetenza sia stata codificata sulla base di considerazioni di principio con il precipuo obiettivo di garantire la sua applicazione con riferimento alla violazione di qualsiasi norma primaria, indipendentemente dal suo contenuto. </w:t>
      </w:r>
    </w:p>
    <w:p w:rsidR="00F7100A" w:rsidRPr="008E2D89" w:rsidRDefault="00333C13" w:rsidP="00EB037D">
      <w:pPr>
        <w:spacing w:after="0" w:line="360" w:lineRule="auto"/>
        <w:ind w:firstLine="284"/>
        <w:jc w:val="both"/>
      </w:pPr>
      <w:r>
        <w:t>L’oggettivizzazione della lim</w:t>
      </w:r>
      <w:r w:rsidR="00360CC5">
        <w:t xml:space="preserve">itazione, però, non era del tutto </w:t>
      </w:r>
      <w:r>
        <w:t xml:space="preserve">funzionale alla logica dettata dall’esigenza di garantire la sicurezza delle relazioni internazionali, dal momento che uno Stato poteva comunque tentare di avvalersene per </w:t>
      </w:r>
      <w:r w:rsidRPr="002C5A1B">
        <w:t xml:space="preserve">sfuggire </w:t>
      </w:r>
      <w:r w:rsidR="00360CC5">
        <w:t>al</w:t>
      </w:r>
      <w:r w:rsidRPr="002C5A1B">
        <w:t>la propria responsabilità internazionale</w:t>
      </w:r>
      <w:r>
        <w:t xml:space="preserve"> negando che un fatto fosse ad esso</w:t>
      </w:r>
      <w:r w:rsidRPr="002C5A1B">
        <w:t xml:space="preserve"> riferibile in ragione della circostanza che nel caso di specie l’organo aveva ecceduto la propria competenza in maniera</w:t>
      </w:r>
      <w:r>
        <w:t xml:space="preserve"> oggettivamente</w:t>
      </w:r>
      <w:r w:rsidRPr="002C5A1B">
        <w:t xml:space="preserve"> manifesta ed evidente.</w:t>
      </w:r>
    </w:p>
    <w:p w:rsidR="00333C13" w:rsidRDefault="00333C13" w:rsidP="00EB037D">
      <w:pPr>
        <w:spacing w:after="0" w:line="360" w:lineRule="auto"/>
        <w:ind w:firstLine="284"/>
        <w:jc w:val="both"/>
      </w:pPr>
    </w:p>
    <w:p w:rsidR="005115FE" w:rsidRDefault="005115FE" w:rsidP="00EB037D">
      <w:pPr>
        <w:spacing w:after="0" w:line="360" w:lineRule="auto"/>
        <w:ind w:firstLine="284"/>
        <w:jc w:val="both"/>
      </w:pPr>
    </w:p>
    <w:p w:rsidR="005115FE" w:rsidRDefault="005115FE" w:rsidP="00EB037D">
      <w:pPr>
        <w:spacing w:after="0" w:line="360" w:lineRule="auto"/>
        <w:ind w:firstLine="284"/>
        <w:jc w:val="both"/>
      </w:pPr>
    </w:p>
    <w:p w:rsidR="005115FE" w:rsidRDefault="005115FE" w:rsidP="00EB037D">
      <w:pPr>
        <w:spacing w:after="0" w:line="360" w:lineRule="auto"/>
        <w:ind w:firstLine="284"/>
        <w:jc w:val="both"/>
      </w:pPr>
    </w:p>
    <w:p w:rsidR="005115FE" w:rsidRPr="008E2D89" w:rsidRDefault="005115FE" w:rsidP="00EB037D">
      <w:pPr>
        <w:spacing w:after="0" w:line="360" w:lineRule="auto"/>
        <w:ind w:firstLine="284"/>
        <w:jc w:val="both"/>
      </w:pPr>
    </w:p>
    <w:p w:rsidR="00333C13" w:rsidRPr="00976AD8" w:rsidRDefault="00333C13" w:rsidP="008629FF">
      <w:pPr>
        <w:pStyle w:val="Paragrafoelenco"/>
        <w:numPr>
          <w:ilvl w:val="0"/>
          <w:numId w:val="3"/>
        </w:numPr>
        <w:spacing w:after="0"/>
        <w:jc w:val="both"/>
      </w:pPr>
      <w:r w:rsidRPr="00976AD8">
        <w:lastRenderedPageBreak/>
        <w:t>Il dibattito in seno alla Commiss</w:t>
      </w:r>
      <w:r w:rsidR="002A11BD">
        <w:t xml:space="preserve">ione circa </w:t>
      </w:r>
      <w:r w:rsidRPr="00976AD8">
        <w:t>l’art. 10 proposto dal relatore speciale e la sua approvazione</w:t>
      </w:r>
    </w:p>
    <w:p w:rsidR="00333C13" w:rsidRPr="003363AD" w:rsidRDefault="00333C13" w:rsidP="00EB037D">
      <w:pPr>
        <w:spacing w:after="0" w:line="360" w:lineRule="auto"/>
        <w:ind w:firstLine="284"/>
        <w:jc w:val="both"/>
        <w:rPr>
          <w:highlight w:val="yellow"/>
        </w:rPr>
      </w:pPr>
    </w:p>
    <w:p w:rsidR="00333C13" w:rsidRDefault="003E0F2D" w:rsidP="00EB037D">
      <w:pPr>
        <w:spacing w:after="0" w:line="360" w:lineRule="auto"/>
        <w:ind w:firstLine="284"/>
        <w:jc w:val="both"/>
      </w:pPr>
      <w:r>
        <w:t>Nel corso</w:t>
      </w:r>
      <w:r w:rsidR="00333C13" w:rsidRPr="00976AD8">
        <w:t xml:space="preserve"> del dibattito</w:t>
      </w:r>
      <w:r>
        <w:t xml:space="preserve"> sul</w:t>
      </w:r>
      <w:r w:rsidR="00333C13">
        <w:t xml:space="preserve">l’art. 10 proposto da Ago, il principio generale in tema di attribuzione allo Stato dei fatti </w:t>
      </w:r>
      <w:r w:rsidR="00333C13" w:rsidRPr="003C4D03">
        <w:rPr>
          <w:i/>
        </w:rPr>
        <w:t>ultra vires</w:t>
      </w:r>
      <w:r w:rsidR="00333C13">
        <w:t xml:space="preserve"> degli organi statali ha ricevuto l’approvazione di tutti i membri della Commissione</w:t>
      </w:r>
      <w:r w:rsidR="00333C13">
        <w:rPr>
          <w:rStyle w:val="Rimandonotaapidipagina"/>
        </w:rPr>
        <w:footnoteReference w:id="310"/>
      </w:r>
      <w:r w:rsidR="00333C13">
        <w:t>.</w:t>
      </w:r>
    </w:p>
    <w:p w:rsidR="00333C13" w:rsidRDefault="00333C13" w:rsidP="00EB037D">
      <w:pPr>
        <w:spacing w:after="0" w:line="360" w:lineRule="auto"/>
        <w:ind w:firstLine="284"/>
        <w:jc w:val="both"/>
      </w:pPr>
      <w:r>
        <w:t>Le motivazioni da essi addotte al fine di giustificare tale principio attributivo si ispirano all’esigenza di garantire la chiarezza e la sicurezza d</w:t>
      </w:r>
      <w:r w:rsidR="00714A73">
        <w:t>elle relazioni internazionali nel senso che l</w:t>
      </w:r>
      <w:r>
        <w:t>o Stato deve riconoscere di aver agito ogniqualvolta un indivi</w:t>
      </w:r>
      <w:r w:rsidR="00360CC5">
        <w:t>duo o ente a cui ha conferito</w:t>
      </w:r>
      <w:r>
        <w:t xml:space="preserve"> lo</w:t>
      </w:r>
      <w:r w:rsidRPr="001D24B7">
        <w:rPr>
          <w:i/>
        </w:rPr>
        <w:t xml:space="preserve"> status</w:t>
      </w:r>
      <w:r>
        <w:rPr>
          <w:i/>
        </w:rPr>
        <w:t xml:space="preserve"> </w:t>
      </w:r>
      <w:r w:rsidRPr="001D24B7">
        <w:t>organico</w:t>
      </w:r>
      <w:r>
        <w:t xml:space="preserve"> appare effettivamente agire per suo conto, indipendentemente dal rispetto delle disposizioni del diritto interno o delle istruzioni impartite. </w:t>
      </w:r>
    </w:p>
    <w:p w:rsidR="00333C13" w:rsidRDefault="00333C13" w:rsidP="00EB037D">
      <w:pPr>
        <w:spacing w:after="0" w:line="360" w:lineRule="auto"/>
        <w:ind w:firstLine="284"/>
        <w:jc w:val="both"/>
      </w:pPr>
      <w:r>
        <w:t>A loro parere se tale principio non fosse stato accettato, uno Stato avrebbe potuto facilmente sfuggire alla responsabilità internazionale facendo valere il mancato rispetto della propria competenza da parte dell’organo autore</w:t>
      </w:r>
      <w:r w:rsidR="00633E0B">
        <w:t xml:space="preserve"> dell’illecito. Secondo </w:t>
      </w:r>
      <w:r>
        <w:t>Bedjaoui e Sette Camara, chiedere allo Stato reclamante di provare che l’org</w:t>
      </w:r>
      <w:r w:rsidR="00A1240F">
        <w:t>ano dello Stato convenuto non abbia</w:t>
      </w:r>
      <w:r>
        <w:t xml:space="preserve"> violato le disposizioni del diritto interno o contravvenuto </w:t>
      </w:r>
      <w:r w:rsidR="00A1240F">
        <w:t>al</w:t>
      </w:r>
      <w:r>
        <w:t>le istruzioni degli organi superiori al fine del riconoscimento della sua responsabi</w:t>
      </w:r>
      <w:r w:rsidR="00A64663">
        <w:t>lità internazionale, significherebbe</w:t>
      </w:r>
      <w:r>
        <w:t xml:space="preserve"> esigere una </w:t>
      </w:r>
      <w:r w:rsidRPr="00CA1DE1">
        <w:rPr>
          <w:i/>
        </w:rPr>
        <w:t>probatio diabolica</w:t>
      </w:r>
      <w:r w:rsidRPr="00CA1DE1">
        <w:rPr>
          <w:rStyle w:val="Rimandonotaapidipagina"/>
        </w:rPr>
        <w:footnoteReference w:id="311"/>
      </w:r>
      <w:r w:rsidRPr="00CA1DE1">
        <w:t>.</w:t>
      </w:r>
    </w:p>
    <w:p w:rsidR="00333C13" w:rsidRDefault="00333C13" w:rsidP="00EB037D">
      <w:pPr>
        <w:spacing w:after="0" w:line="360" w:lineRule="auto"/>
        <w:ind w:firstLine="284"/>
        <w:jc w:val="both"/>
      </w:pPr>
      <w:r>
        <w:t xml:space="preserve">L’introduzione del limite della manifesta incompetenza dell’organo ad agire è stata invece fonte di un acceso dibattito in seno alla Commissione. </w:t>
      </w:r>
    </w:p>
    <w:p w:rsidR="00333C13" w:rsidRDefault="00333C13" w:rsidP="00EB037D">
      <w:pPr>
        <w:spacing w:after="0" w:line="360" w:lineRule="auto"/>
        <w:ind w:firstLine="284"/>
        <w:jc w:val="both"/>
      </w:pPr>
      <w:r>
        <w:t xml:space="preserve">Alcuni membri hanno sostenuto che tale limitazione trovava riscontro esclusivamente nella prassi in tema di trattamento degli stranieri e non poteva quindi essere estesa anche ad altre ipotesi di violazione di norme internazionali. Secondo Ouchakov, se da una parte una eccezione al principio di base espresso nel primo paragrafo poteva essere presa in considerazione con riferimento al trattamento degli stranieri, dall’altra risultava inaccettabile nei casi di violazioni del diritto internazionale quali l’aggressione o la minaccia </w:t>
      </w:r>
      <w:r>
        <w:lastRenderedPageBreak/>
        <w:t>alla pace</w:t>
      </w:r>
      <w:r>
        <w:rPr>
          <w:rStyle w:val="Rimandonotaapidipagina"/>
        </w:rPr>
        <w:footnoteReference w:id="312"/>
      </w:r>
      <w:r>
        <w:t>. Egli ha pertanto proposto di eliminare tale paragrafo o di mantenerlo solo con riferimento ai casi di danni subiti da privati</w:t>
      </w:r>
      <w:r>
        <w:rPr>
          <w:rStyle w:val="Rimandonotaapidipagina"/>
        </w:rPr>
        <w:footnoteReference w:id="313"/>
      </w:r>
      <w:r>
        <w:t>.</w:t>
      </w:r>
    </w:p>
    <w:p w:rsidR="00084967" w:rsidRDefault="00333C13" w:rsidP="00EB037D">
      <w:pPr>
        <w:spacing w:after="0" w:line="360" w:lineRule="auto"/>
        <w:ind w:firstLine="284"/>
        <w:jc w:val="both"/>
      </w:pPr>
      <w:r>
        <w:t xml:space="preserve">Altri membri della Commissione hanno sostenuto che il secondo paragrafo previsto dal relatore limitava eccessivamente la responsabilità internazionale dello Stato </w:t>
      </w:r>
      <w:r w:rsidR="00EC4030">
        <w:t xml:space="preserve">data </w:t>
      </w:r>
      <w:r>
        <w:t xml:space="preserve">l’impossibilità per le vittime di sottrarsi ai fatti commessi dagli organi che abusano dei mezzi messi loro a disposizione in relazione alla funzione svolta. Prendendo come esempio la sentenza resa </w:t>
      </w:r>
      <w:r w:rsidR="00EC4030">
        <w:t xml:space="preserve">dalla </w:t>
      </w:r>
      <w:r w:rsidR="00084967" w:rsidRPr="00084967">
        <w:t>Commissione generale</w:t>
      </w:r>
      <w:r w:rsidR="00084967">
        <w:t xml:space="preserve"> dei reclami tra Stati Uniti d’America e Messico </w:t>
      </w:r>
      <w:r>
        <w:t>nel caso</w:t>
      </w:r>
      <w:r w:rsidRPr="008E7094">
        <w:rPr>
          <w:i/>
        </w:rPr>
        <w:t xml:space="preserve"> Youmans</w:t>
      </w:r>
      <w:r w:rsidRPr="003B4B6B">
        <w:rPr>
          <w:rStyle w:val="Rimandonotaapidipagina"/>
        </w:rPr>
        <w:footnoteReference w:id="314"/>
      </w:r>
      <w:r>
        <w:t xml:space="preserve">, essi hanno ritenuto inaccettabile che uno Stato potesse sottrarsi alla responsabilità internazionale invocando la manifesta incompetenza degli organi autori dell’illecito dal momento che le vittime </w:t>
      </w:r>
      <w:r w:rsidR="00084967">
        <w:t xml:space="preserve">non avrebbero in qualsiasi modo potuto evitare il danno. </w:t>
      </w:r>
    </w:p>
    <w:p w:rsidR="00333C13" w:rsidRPr="00BF4589" w:rsidRDefault="00333C13" w:rsidP="00EB037D">
      <w:pPr>
        <w:spacing w:after="0" w:line="360" w:lineRule="auto"/>
        <w:ind w:firstLine="284"/>
        <w:jc w:val="both"/>
      </w:pPr>
      <w:r>
        <w:t>Secondo Kearn</w:t>
      </w:r>
      <w:r w:rsidR="005B673F">
        <w:t>e</w:t>
      </w:r>
      <w:r>
        <w:t xml:space="preserve">y, ad esempio, con riferimento ai comportamenti adottati dalle forze armate, dalla polizia e dagli organismi paramilitari, la responsabilità internazionale dello Stato deve sorgere anche nel caso in cui siano manifestamente incompetenti dal momento che </w:t>
      </w:r>
      <w:r w:rsidRPr="00BF4589">
        <w:t>“c’est sur l’ordre de l’Etat que ledits organes ont été dotés des moyens de causer un dommage”</w:t>
      </w:r>
      <w:r w:rsidRPr="00BF4589">
        <w:rPr>
          <w:rStyle w:val="Rimandonotaapidipagina"/>
        </w:rPr>
        <w:footnoteReference w:id="315"/>
      </w:r>
      <w:r w:rsidRPr="00BF4589">
        <w:t>.</w:t>
      </w:r>
    </w:p>
    <w:p w:rsidR="00333C13" w:rsidRDefault="00333C13" w:rsidP="00EB037D">
      <w:pPr>
        <w:spacing w:after="0" w:line="360" w:lineRule="auto"/>
        <w:ind w:firstLine="284"/>
        <w:jc w:val="both"/>
      </w:pPr>
      <w:r w:rsidRPr="00BF4589">
        <w:t xml:space="preserve">Altri ancora hanno </w:t>
      </w:r>
      <w:r w:rsidR="00EA50C8" w:rsidRPr="00BF4589">
        <w:t xml:space="preserve">affermato che era errato allineare </w:t>
      </w:r>
      <w:r w:rsidRPr="00BF4589">
        <w:t>la disposizione in tema di attr</w:t>
      </w:r>
      <w:r>
        <w:t xml:space="preserve">ibuzione allo Stato di fatti </w:t>
      </w:r>
      <w:r w:rsidRPr="00C85F23">
        <w:rPr>
          <w:i/>
        </w:rPr>
        <w:t>ultra vires</w:t>
      </w:r>
      <w:r>
        <w:t xml:space="preserve"> con l’art. 46 della Convenzione di Vienna sul diritto dei trattati,</w:t>
      </w:r>
      <w:r w:rsidR="00EA50C8">
        <w:t xml:space="preserve"> mediante l’uso della limitazione della</w:t>
      </w:r>
      <w:r>
        <w:t xml:space="preserve"> “manifesta incompetenza”.</w:t>
      </w:r>
    </w:p>
    <w:p w:rsidR="00333C13" w:rsidRPr="003B4B6B" w:rsidRDefault="00333C13" w:rsidP="00EB037D">
      <w:pPr>
        <w:spacing w:after="0" w:line="360" w:lineRule="auto"/>
        <w:ind w:firstLine="284"/>
        <w:jc w:val="both"/>
      </w:pPr>
      <w:r>
        <w:t xml:space="preserve">Secondo Tammes, tale espressione assume in ambito di attribuzione di condotte allo Stato </w:t>
      </w:r>
      <w:r w:rsidR="00EA50C8">
        <w:t xml:space="preserve">ai fini di determinarne la responabilità </w:t>
      </w:r>
      <w:r>
        <w:t xml:space="preserve">un’accezione completamente differente rispetto a quella </w:t>
      </w:r>
      <w:r w:rsidR="00C326C6">
        <w:t xml:space="preserve">prevista </w:t>
      </w:r>
      <w:r>
        <w:t xml:space="preserve">nel diritto dei trattati. Un trattato internazionale è difatti concluso in un contesto di buona fede, in cui </w:t>
      </w:r>
      <w:r w:rsidR="00EA50C8">
        <w:t xml:space="preserve">gli organi </w:t>
      </w:r>
      <w:r>
        <w:t xml:space="preserve">legittimati alla sua conclusione sono </w:t>
      </w:r>
      <w:r>
        <w:lastRenderedPageBreak/>
        <w:t>direttamente indicati all’art. 7 della Co</w:t>
      </w:r>
      <w:r w:rsidR="00EA50C8">
        <w:t xml:space="preserve">nvenzione di Vienna. Se era </w:t>
      </w:r>
      <w:r>
        <w:t>evidente che l’organo di una parte con</w:t>
      </w:r>
      <w:r w:rsidR="00930BA7">
        <w:t xml:space="preserve">traente non </w:t>
      </w:r>
      <w:r w:rsidR="005B673F">
        <w:t>a</w:t>
      </w:r>
      <w:r w:rsidR="00930BA7">
        <w:t>veva</w:t>
      </w:r>
      <w:r w:rsidR="005B673F">
        <w:t xml:space="preserve"> la competenza a concludere il trattato</w:t>
      </w:r>
      <w:r>
        <w:t>, l’altra parte non può lamentarsi se l’invalidità viene successivamente invocata. Nel contesto della responsabilità in</w:t>
      </w:r>
      <w:r w:rsidR="00EA50C8">
        <w:t>ternazionale, invece, la vittima si confronta</w:t>
      </w:r>
      <w:r>
        <w:t xml:space="preserve"> con comportamenti di </w:t>
      </w:r>
      <w:r w:rsidR="00EA50C8">
        <w:t xml:space="preserve">organi di un altro Stato </w:t>
      </w:r>
      <w:r>
        <w:t>senza considerare se possono essere ritenuti fatti sta</w:t>
      </w:r>
      <w:r w:rsidR="00A24446">
        <w:t xml:space="preserve">tali nell’ordinamento </w:t>
      </w:r>
      <w:r w:rsidR="00A70B89">
        <w:t xml:space="preserve">internazionale. </w:t>
      </w:r>
      <w:r>
        <w:t xml:space="preserve">Soltanto in circostanze eccezionali </w:t>
      </w:r>
      <w:r w:rsidR="00C326C6">
        <w:t>l’ignoranza</w:t>
      </w:r>
      <w:r>
        <w:t xml:space="preserve"> della parte lesa può avere un ruolo determinante</w:t>
      </w:r>
      <w:r>
        <w:rPr>
          <w:rStyle w:val="Rimandonotaapidipagina"/>
        </w:rPr>
        <w:footnoteReference w:id="316"/>
      </w:r>
      <w:r>
        <w:t xml:space="preserve">. </w:t>
      </w:r>
    </w:p>
    <w:p w:rsidR="00333C13" w:rsidRDefault="00333C13" w:rsidP="00EB037D">
      <w:pPr>
        <w:spacing w:after="0" w:line="360" w:lineRule="auto"/>
        <w:ind w:firstLine="284"/>
        <w:jc w:val="both"/>
      </w:pPr>
      <w:r>
        <w:t>Sette Camara riteneva che una tale limitazione</w:t>
      </w:r>
      <w:r w:rsidR="00EA50C8">
        <w:t xml:space="preserve"> al principio generale non avesse</w:t>
      </w:r>
      <w:r>
        <w:t xml:space="preserve"> alcuna ragion d’essere</w:t>
      </w:r>
      <w:r w:rsidR="00EA50C8">
        <w:t xml:space="preserve"> per un differente motivo</w:t>
      </w:r>
      <w:r>
        <w:t>. Nel caso in cui un organo agiva in maniera manifestamente incompetente, la condotta era assimilabile a quella di un semplice privato e, in base all’art. 11 del progetto</w:t>
      </w:r>
      <w:r w:rsidR="00EA50C8">
        <w:t xml:space="preserve"> che si occupava di comportamenti di privati</w:t>
      </w:r>
      <w:r>
        <w:t>, non poteva essere attribuita allo Stato. Il secondo paragrafo dell’art. 10 era pertanto considerato superfluo, in quanto considerava delle ipotesi che erano già ricomprese nel campo di applicazione dell’art. 11</w:t>
      </w:r>
      <w:r>
        <w:rPr>
          <w:rStyle w:val="Rimandonotaapidipagina"/>
        </w:rPr>
        <w:footnoteReference w:id="317"/>
      </w:r>
      <w:r>
        <w:t>.</w:t>
      </w:r>
    </w:p>
    <w:p w:rsidR="00333C13" w:rsidRDefault="00333C13" w:rsidP="00EB037D">
      <w:pPr>
        <w:spacing w:after="0" w:line="360" w:lineRule="auto"/>
        <w:ind w:firstLine="284"/>
        <w:jc w:val="both"/>
      </w:pPr>
      <w:r>
        <w:t>A seguito di tali osservazioni, il relatore speciale ha affermato che, nonostante il limite dell</w:t>
      </w:r>
      <w:r w:rsidR="00EA50C8">
        <w:t>a manifesta incompetenza trovasse</w:t>
      </w:r>
      <w:r>
        <w:t xml:space="preserve"> riscontro nei dati offerti dalla prassi internazionale in tema di trattamento degli stranieri, era preferibile non codificarlo al fine di evitare ch</w:t>
      </w:r>
      <w:r w:rsidR="003E1D02">
        <w:t xml:space="preserve">e uno Stato potesse invocare </w:t>
      </w:r>
      <w:r>
        <w:t>scappatoie per sfuggire alla propria responsabilità internazionale</w:t>
      </w:r>
      <w:r>
        <w:rPr>
          <w:rStyle w:val="Rimandonotaapidipagina"/>
        </w:rPr>
        <w:footnoteReference w:id="318"/>
      </w:r>
      <w:r>
        <w:t>.</w:t>
      </w:r>
    </w:p>
    <w:p w:rsidR="00333C13" w:rsidRDefault="00EA50C8" w:rsidP="00EB037D">
      <w:pPr>
        <w:spacing w:after="0" w:line="360" w:lineRule="auto"/>
        <w:ind w:firstLine="284"/>
        <w:jc w:val="both"/>
      </w:pPr>
      <w:r>
        <w:t xml:space="preserve">Nel corso del dibattito il relatore </w:t>
      </w:r>
      <w:r w:rsidR="00333C13">
        <w:t xml:space="preserve">ha pertanto proposto di sopprimere il secondo paragrafo oppure di conservarlo, modificandone però la formulazione nel senso seguente: </w:t>
      </w:r>
    </w:p>
    <w:p w:rsidR="00333C13" w:rsidRDefault="00333C13" w:rsidP="00EB037D">
      <w:pPr>
        <w:spacing w:after="0" w:line="360" w:lineRule="auto"/>
        <w:ind w:left="567" w:right="567" w:firstLine="284"/>
        <w:jc w:val="both"/>
      </w:pPr>
    </w:p>
    <w:p w:rsidR="00333C13" w:rsidRPr="00EA50C8" w:rsidRDefault="00333C13" w:rsidP="00EB037D">
      <w:pPr>
        <w:spacing w:after="0" w:line="360" w:lineRule="auto"/>
        <w:ind w:left="567" w:right="567" w:firstLine="284"/>
        <w:jc w:val="both"/>
        <w:rPr>
          <w:lang w:val="fr-FR"/>
        </w:rPr>
      </w:pPr>
      <w:r w:rsidRPr="00EA50C8">
        <w:rPr>
          <w:lang w:val="fr-FR"/>
        </w:rPr>
        <w:t>“l’attribution à l’Etat du comportement de l’organe n’est exclue que dans le cas où il est manifeste que l’organe n’a agi qu’en qualité privée”</w:t>
      </w:r>
      <w:r w:rsidRPr="00EA50C8">
        <w:rPr>
          <w:rStyle w:val="Rimandonotaapidipagina"/>
        </w:rPr>
        <w:footnoteReference w:id="319"/>
      </w:r>
      <w:r w:rsidRPr="00EA50C8">
        <w:rPr>
          <w:lang w:val="fr-FR"/>
        </w:rPr>
        <w:t>.</w:t>
      </w:r>
    </w:p>
    <w:p w:rsidR="00333C13" w:rsidRPr="00C65E53" w:rsidRDefault="00333C13" w:rsidP="00EB037D">
      <w:pPr>
        <w:spacing w:after="0" w:line="360" w:lineRule="auto"/>
        <w:ind w:left="567" w:right="567" w:firstLine="284"/>
        <w:jc w:val="both"/>
        <w:rPr>
          <w:lang w:val="fr-FR"/>
        </w:rPr>
      </w:pPr>
    </w:p>
    <w:p w:rsidR="00333C13" w:rsidRDefault="00333C13" w:rsidP="00EB037D">
      <w:pPr>
        <w:spacing w:after="0" w:line="360" w:lineRule="auto"/>
        <w:ind w:firstLine="284"/>
        <w:jc w:val="both"/>
      </w:pPr>
      <w:r>
        <w:t xml:space="preserve">I membri della CDI hanno dubitato dell’opportunità di una tale disposizione. Dal momento che già gli artt. 5, 7, 12 e 13 della prima parte del progetto prevedevano che potevano essere attribuiti allo Stato soltanto i comportamenti di un organo che gode di tale </w:t>
      </w:r>
      <w:r w:rsidRPr="006F609C">
        <w:rPr>
          <w:i/>
        </w:rPr>
        <w:t>status</w:t>
      </w:r>
      <w:r>
        <w:t xml:space="preserve"> in base al diritto interno e che ha agito nella sua qualità ufficiale, ne derivava </w:t>
      </w:r>
      <w:r>
        <w:lastRenderedPageBreak/>
        <w:t>logicamente che se un organo adottava un comportamento a titolo puramente privato</w:t>
      </w:r>
      <w:r w:rsidR="00EA50C8">
        <w:t>, tale comportamento</w:t>
      </w:r>
      <w:r>
        <w:t xml:space="preserve"> non poteva essere attribuito allo Stato.</w:t>
      </w:r>
    </w:p>
    <w:p w:rsidR="00333C13" w:rsidRDefault="00EA50C8" w:rsidP="00EB037D">
      <w:pPr>
        <w:spacing w:after="0" w:line="360" w:lineRule="auto"/>
        <w:ind w:firstLine="284"/>
        <w:jc w:val="both"/>
      </w:pPr>
      <w:r>
        <w:t xml:space="preserve">La precisazione contenuta </w:t>
      </w:r>
      <w:r w:rsidR="00333C13">
        <w:t xml:space="preserve">nella nuova formulazione del secondo paragrafo </w:t>
      </w:r>
      <w:r>
        <w:t xml:space="preserve">era </w:t>
      </w:r>
      <w:r w:rsidR="00333C13">
        <w:t>superflua in quanto implicitamente contenuta nel testo delle disposizioni precedentemente citate</w:t>
      </w:r>
      <w:r w:rsidR="00333C13">
        <w:rPr>
          <w:rStyle w:val="Rimandonotaapidipagina"/>
        </w:rPr>
        <w:footnoteReference w:id="320"/>
      </w:r>
      <w:r w:rsidR="00333C13">
        <w:t xml:space="preserve"> e codificata all’art. 11 della prima parte del progetto</w:t>
      </w:r>
      <w:r w:rsidR="00333C13">
        <w:rPr>
          <w:rStyle w:val="Rimandonotaapidipagina"/>
        </w:rPr>
        <w:footnoteReference w:id="321"/>
      </w:r>
      <w:r w:rsidR="00333C13">
        <w:t xml:space="preserve">. La Commissione ha quindi deciso di non prendere in considerazione l’incompetenza manifesta dell’organo come circostanza suscettibile di escludere l’attribuzione di comportamenti allo Stato ed ha accolto in prima lettura la seguente formulazione del principio dell’attribuzione allo Stato dei fatti </w:t>
      </w:r>
      <w:r w:rsidR="00333C13" w:rsidRPr="00765F8E">
        <w:rPr>
          <w:i/>
        </w:rPr>
        <w:t>ultra vires</w:t>
      </w:r>
      <w:r w:rsidR="00333C13">
        <w:t xml:space="preserve"> dei propri organi:</w:t>
      </w:r>
    </w:p>
    <w:p w:rsidR="00333C13" w:rsidRDefault="00333C13" w:rsidP="00EB037D">
      <w:pPr>
        <w:spacing w:after="0" w:line="360" w:lineRule="auto"/>
        <w:ind w:firstLine="284"/>
        <w:jc w:val="both"/>
      </w:pPr>
    </w:p>
    <w:p w:rsidR="00333C13" w:rsidRPr="005C17AE" w:rsidRDefault="00333C13" w:rsidP="00902A51">
      <w:pPr>
        <w:spacing w:after="0" w:line="360" w:lineRule="auto"/>
        <w:ind w:left="567" w:right="567" w:firstLine="284"/>
        <w:jc w:val="both"/>
      </w:pPr>
      <w:r w:rsidRPr="00D65E16">
        <w:rPr>
          <w:lang w:val="fr-FR"/>
        </w:rPr>
        <w:t>“</w:t>
      </w:r>
      <w:r w:rsidR="00902A51" w:rsidRPr="00D65E16">
        <w:rPr>
          <w:lang w:val="fr-FR"/>
        </w:rPr>
        <w:t xml:space="preserve"> </w:t>
      </w:r>
      <w:r w:rsidR="00902A51">
        <w:rPr>
          <w:lang w:val="fr-FR"/>
        </w:rPr>
        <w:t xml:space="preserve">Le comportement d'un organe de </w:t>
      </w:r>
      <w:r w:rsidR="00902A51" w:rsidRPr="00902A51">
        <w:rPr>
          <w:lang w:val="fr-FR"/>
        </w:rPr>
        <w:t>l'Et</w:t>
      </w:r>
      <w:r w:rsidR="00902A51">
        <w:rPr>
          <w:lang w:val="fr-FR"/>
        </w:rPr>
        <w:t xml:space="preserve">at, d'une collectivité publique territoriale ou d'une entité habilitée à l'exercice de prérogatives de la puissance </w:t>
      </w:r>
      <w:r w:rsidR="00902A51" w:rsidRPr="00902A51">
        <w:rPr>
          <w:lang w:val="fr-FR"/>
        </w:rPr>
        <w:t>publ</w:t>
      </w:r>
      <w:r w:rsidR="00902A51">
        <w:rPr>
          <w:lang w:val="fr-FR"/>
        </w:rPr>
        <w:t xml:space="preserve">ique, ledit organe ayant agi en </w:t>
      </w:r>
      <w:r w:rsidR="00902A51" w:rsidRPr="00902A51">
        <w:rPr>
          <w:lang w:val="fr-FR"/>
        </w:rPr>
        <w:t>cet</w:t>
      </w:r>
      <w:r w:rsidR="00902A51">
        <w:rPr>
          <w:lang w:val="fr-FR"/>
        </w:rPr>
        <w:t xml:space="preserve">te qualité, est considéré comme </w:t>
      </w:r>
      <w:r w:rsidR="00902A51" w:rsidRPr="00902A51">
        <w:rPr>
          <w:lang w:val="fr-FR"/>
        </w:rPr>
        <w:t xml:space="preserve">un </w:t>
      </w:r>
      <w:r w:rsidR="00902A51">
        <w:rPr>
          <w:lang w:val="fr-FR"/>
        </w:rPr>
        <w:t xml:space="preserve">fait de l'Etat d'après le droit international même si, en </w:t>
      </w:r>
      <w:r w:rsidR="00902A51" w:rsidRPr="00902A51">
        <w:rPr>
          <w:lang w:val="fr-FR"/>
        </w:rPr>
        <w:t>l'oc</w:t>
      </w:r>
      <w:r w:rsidR="00902A51">
        <w:rPr>
          <w:lang w:val="fr-FR"/>
        </w:rPr>
        <w:t xml:space="preserve">currence, l'organe a dépassé sa </w:t>
      </w:r>
      <w:r w:rsidR="00902A51" w:rsidRPr="00902A51">
        <w:rPr>
          <w:lang w:val="fr-FR"/>
        </w:rPr>
        <w:t>compétence selon le droit interne ou</w:t>
      </w:r>
      <w:r w:rsidR="00902A51">
        <w:rPr>
          <w:lang w:val="fr-FR"/>
        </w:rPr>
        <w:t xml:space="preserve"> </w:t>
      </w:r>
      <w:r w:rsidR="00902A51" w:rsidRPr="00902A51">
        <w:rPr>
          <w:lang w:val="fr-FR"/>
        </w:rPr>
        <w:t>a contrevenu aux instructions</w:t>
      </w:r>
      <w:r w:rsidR="00902A51">
        <w:rPr>
          <w:lang w:val="fr-FR"/>
        </w:rPr>
        <w:t xml:space="preserve"> </w:t>
      </w:r>
      <w:r w:rsidR="00902A51" w:rsidRPr="00902A51">
        <w:rPr>
          <w:lang w:val="fr-FR"/>
        </w:rPr>
        <w:t>concernant son activité.</w:t>
      </w:r>
      <w:r w:rsidR="00902A51">
        <w:rPr>
          <w:lang w:val="fr-FR"/>
        </w:rPr>
        <w:t> </w:t>
      </w:r>
      <w:r w:rsidRPr="00D65E16">
        <w:rPr>
          <w:lang w:val="fr-FR"/>
        </w:rPr>
        <w:t>”</w:t>
      </w:r>
      <w:r>
        <w:rPr>
          <w:rStyle w:val="Rimandonotaapidipagina"/>
          <w:lang w:val="fr-FR"/>
        </w:rPr>
        <w:footnoteReference w:id="322"/>
      </w:r>
      <w:r w:rsidRPr="005C17AE">
        <w:t>.</w:t>
      </w:r>
    </w:p>
    <w:p w:rsidR="00333C13" w:rsidRPr="005C17AE" w:rsidRDefault="00333C13" w:rsidP="00EB037D">
      <w:pPr>
        <w:spacing w:after="0" w:line="360" w:lineRule="auto"/>
        <w:ind w:firstLine="284"/>
        <w:jc w:val="both"/>
      </w:pPr>
    </w:p>
    <w:p w:rsidR="00333C13" w:rsidRDefault="00333C13" w:rsidP="00EB037D">
      <w:pPr>
        <w:spacing w:after="0" w:line="360" w:lineRule="auto"/>
        <w:ind w:firstLine="284"/>
        <w:jc w:val="both"/>
      </w:pPr>
      <w:r w:rsidRPr="005C17AE">
        <w:t>L’aver agito in qualità ufficiale o nell’esercizio delle proprie funzioni è stato</w:t>
      </w:r>
      <w:r w:rsidR="00A1240F">
        <w:t xml:space="preserve"> ritenuto pertanto da</w:t>
      </w:r>
      <w:r w:rsidRPr="005C17AE">
        <w:t>lla Commissio</w:t>
      </w:r>
      <w:r>
        <w:t>ne</w:t>
      </w:r>
      <w:r w:rsidRPr="00716747">
        <w:t xml:space="preserve"> l’unico criterio in grado di distinguere</w:t>
      </w:r>
      <w:r>
        <w:t>,</w:t>
      </w:r>
      <w:r w:rsidRPr="00716747">
        <w:t xml:space="preserve"> </w:t>
      </w:r>
      <w:r>
        <w:t xml:space="preserve">tra i vari comportamenti adottati da un individuo o ente che gode dello </w:t>
      </w:r>
      <w:r w:rsidRPr="00716747">
        <w:rPr>
          <w:i/>
        </w:rPr>
        <w:t xml:space="preserve">status </w:t>
      </w:r>
      <w:r>
        <w:t>organico, quali devono essere considerati fatti attr</w:t>
      </w:r>
      <w:r w:rsidR="0077704C">
        <w:t>ibuibili allo Stato e quali dev</w:t>
      </w:r>
      <w:r>
        <w:t>ono invece essere assimilati a fatti di semplici privati.</w:t>
      </w:r>
    </w:p>
    <w:p w:rsidR="00333C13" w:rsidRDefault="00333C13" w:rsidP="00EB037D">
      <w:pPr>
        <w:spacing w:after="0" w:line="360" w:lineRule="auto"/>
        <w:ind w:firstLine="284"/>
        <w:jc w:val="both"/>
      </w:pPr>
      <w:r>
        <w:t>La medesima condizione attributiva era già st</w:t>
      </w:r>
      <w:r w:rsidR="0077704C">
        <w:t>ata precedentemente codificata ne</w:t>
      </w:r>
      <w:r>
        <w:t>ll’art. 5 del progetto, che considera attribuibili allo Stato tutti i comportamenti tenuti dagli organi nella propria qualità ufficiale.</w:t>
      </w:r>
    </w:p>
    <w:p w:rsidR="00333C13" w:rsidRDefault="00333C13" w:rsidP="00EB037D">
      <w:pPr>
        <w:spacing w:after="0" w:line="360" w:lineRule="auto"/>
        <w:ind w:firstLine="284"/>
        <w:jc w:val="both"/>
      </w:pPr>
      <w:r>
        <w:t xml:space="preserve">L’art. 10 deve essere considerato, pertanto, un corollario di tale disposizione, volto a sottolineare l’ininfluenza della regolarità di una condotta di un organo rispetto al diritto interno ai fini della sua attribuzione allo </w:t>
      </w:r>
      <w:r w:rsidR="00A24446">
        <w:t xml:space="preserve">Stato nell’ordinamento </w:t>
      </w:r>
      <w:r>
        <w:t xml:space="preserve"> internazionale.</w:t>
      </w:r>
    </w:p>
    <w:p w:rsidR="00AF04BD" w:rsidRDefault="003D440B" w:rsidP="00B544A3">
      <w:pPr>
        <w:spacing w:after="0" w:line="360" w:lineRule="auto"/>
        <w:ind w:firstLine="284"/>
        <w:jc w:val="both"/>
      </w:pPr>
      <w:r>
        <w:t xml:space="preserve">Benché </w:t>
      </w:r>
      <w:r w:rsidR="00333C13">
        <w:t>alcuni membri della Commissione del diritto internazionale a</w:t>
      </w:r>
      <w:r>
        <w:t>vessero</w:t>
      </w:r>
      <w:r w:rsidR="00333C13">
        <w:t xml:space="preserve"> fatto riferimento alla condizione attributiva dei mezzi messi a disposizione dell’organo per il </w:t>
      </w:r>
      <w:r w:rsidR="00333C13">
        <w:lastRenderedPageBreak/>
        <w:t xml:space="preserve">regolare svolgimento delle funzioni come criterio in grado di precisare quando una condotta </w:t>
      </w:r>
      <w:r w:rsidR="00333C13" w:rsidRPr="007265E9">
        <w:rPr>
          <w:i/>
        </w:rPr>
        <w:t>ultra vires</w:t>
      </w:r>
      <w:r w:rsidR="00333C13">
        <w:t xml:space="preserve"> deve essere riferita allo Stato</w:t>
      </w:r>
      <w:r w:rsidR="00333C13">
        <w:rPr>
          <w:rStyle w:val="Rimandonotaapidipagina"/>
        </w:rPr>
        <w:footnoteReference w:id="323"/>
      </w:r>
      <w:r w:rsidR="00333C13">
        <w:t>,</w:t>
      </w:r>
      <w:r w:rsidR="0077704C">
        <w:t xml:space="preserve"> di tale condizione</w:t>
      </w:r>
      <w:r>
        <w:t xml:space="preserve"> l’art. 10 non fa menzione. I</w:t>
      </w:r>
      <w:r w:rsidR="00333C13">
        <w:t>l relatore</w:t>
      </w:r>
      <w:r>
        <w:t>, infatti, si era</w:t>
      </w:r>
      <w:r w:rsidR="00333C13">
        <w:t xml:space="preserve"> fermamente opposto in quanto</w:t>
      </w:r>
      <w:r w:rsidR="006B4B20">
        <w:t xml:space="preserve"> a suo avviso </w:t>
      </w:r>
      <w:r w:rsidR="00333C13">
        <w:t xml:space="preserve">la natura di fatto statale di una condotta tenuta da </w:t>
      </w:r>
      <w:r w:rsidR="00E70E44">
        <w:t xml:space="preserve">un organo non può </w:t>
      </w:r>
      <w:r w:rsidR="00333C13">
        <w:t>essere determinata dagli strumenti util</w:t>
      </w:r>
      <w:r w:rsidR="00B544A3">
        <w:t xml:space="preserve">izzati per il suo compimento. </w:t>
      </w:r>
      <w:r w:rsidR="00333C13">
        <w:t>Difatti un organo statale potrebbe utilizzare i mezzi messi a disposizione dallo Stato per lo svolgimento delle sue funzioni per tenere un comportamento di natura puramente privata; allo stesso tempo la circostanza che esso non abbia fatto uso di tali strumenti non significa necessariamente che una data condotta non possa essere ad esso attribuita sul piano internazionale</w:t>
      </w:r>
      <w:r w:rsidR="00333C13">
        <w:rPr>
          <w:rStyle w:val="Rimandonotaapidipagina"/>
        </w:rPr>
        <w:footnoteReference w:id="324"/>
      </w:r>
      <w:r w:rsidR="00333C13">
        <w:t xml:space="preserve">. </w:t>
      </w:r>
    </w:p>
    <w:p w:rsidR="00333C13" w:rsidRPr="00D554D9" w:rsidRDefault="00333C13" w:rsidP="00EB037D">
      <w:pPr>
        <w:spacing w:after="0" w:line="360" w:lineRule="auto"/>
        <w:ind w:firstLine="284"/>
        <w:jc w:val="both"/>
      </w:pPr>
      <w:r>
        <w:t>Tale posizione è rinvenibile anche nel commentario della disposizione del progetto adottato in pri</w:t>
      </w:r>
      <w:r w:rsidR="00D82FF7">
        <w:t>ma lettura, secondo cui la qual</w:t>
      </w:r>
      <w:r>
        <w:t>ità ufficiale con cui un organo agisce non può essere determinata dall’uso dei mezzi della funzione. Ciò non toglie naturalmente che, nella circostanza in cui un organo utilizzi i mezzi della funzione per adottare un comportamento in qualità di privato, lo Stato possa comunque incorrere nella responsabilità internazionale in ragione però del mancato rispetto degli obblighi di prevenzione o repressione spettanti ad ulteriori organi statali</w:t>
      </w:r>
      <w:r>
        <w:rPr>
          <w:rStyle w:val="Rimandonotaapidipagina"/>
        </w:rPr>
        <w:footnoteReference w:id="325"/>
      </w:r>
      <w:r>
        <w:t>.</w:t>
      </w:r>
    </w:p>
    <w:p w:rsidR="00333C13" w:rsidRPr="00D554D9" w:rsidRDefault="00333C13" w:rsidP="00EB037D">
      <w:pPr>
        <w:spacing w:after="0"/>
        <w:ind w:firstLine="284"/>
        <w:jc w:val="both"/>
      </w:pPr>
    </w:p>
    <w:p w:rsidR="00333C13" w:rsidRDefault="00333C13" w:rsidP="008629FF">
      <w:pPr>
        <w:pStyle w:val="Paragrafoelenco"/>
        <w:numPr>
          <w:ilvl w:val="0"/>
          <w:numId w:val="3"/>
        </w:numPr>
        <w:spacing w:after="0"/>
        <w:jc w:val="both"/>
      </w:pPr>
      <w:r>
        <w:t>Le prese di posizione degli Stati</w:t>
      </w:r>
      <w:r w:rsidRPr="0008688C">
        <w:t xml:space="preserve"> </w:t>
      </w:r>
      <w:r>
        <w:t>c</w:t>
      </w:r>
      <w:r w:rsidR="002A11BD">
        <w:t>on riferimento all’art.</w:t>
      </w:r>
      <w:r w:rsidR="007269A4">
        <w:t xml:space="preserve"> 10 adottato dalla Commissione</w:t>
      </w:r>
    </w:p>
    <w:p w:rsidR="00333C13" w:rsidRDefault="00333C13" w:rsidP="00EB037D">
      <w:pPr>
        <w:spacing w:after="0"/>
        <w:ind w:firstLine="284"/>
        <w:jc w:val="both"/>
      </w:pPr>
    </w:p>
    <w:p w:rsidR="00333C13" w:rsidRDefault="00B544A3" w:rsidP="00EB037D">
      <w:pPr>
        <w:spacing w:after="0" w:line="360" w:lineRule="auto"/>
        <w:ind w:firstLine="284"/>
        <w:jc w:val="both"/>
      </w:pPr>
      <w:r>
        <w:t xml:space="preserve">Gli Stati membri delle Nazioni Unite hanno avuto modo di esprimersi nel 1975 sul progetto di art. 10 adottato dalla CDI in prima lettura nel corso del dibattio sul rapporto della CDI </w:t>
      </w:r>
      <w:r w:rsidR="00333C13">
        <w:t>in seno alla ses</w:t>
      </w:r>
      <w:r>
        <w:t xml:space="preserve">ta commissione dell’Assemblea generale delle Nazioni Unite. </w:t>
      </w:r>
      <w:r>
        <w:lastRenderedPageBreak/>
        <w:t xml:space="preserve">Numerose sono state le prese di posizione </w:t>
      </w:r>
      <w:r w:rsidR="00333C13">
        <w:t xml:space="preserve">con riferimento al principio dell’attribuzione allo Stato dei fatti </w:t>
      </w:r>
      <w:r w:rsidR="00333C13" w:rsidRPr="002B7504">
        <w:rPr>
          <w:i/>
        </w:rPr>
        <w:t>ultra vires</w:t>
      </w:r>
      <w:r w:rsidR="00333C13">
        <w:t xml:space="preserve"> dei propri organi.</w:t>
      </w:r>
    </w:p>
    <w:p w:rsidR="00333C13" w:rsidRDefault="00333C13" w:rsidP="00EB037D">
      <w:pPr>
        <w:spacing w:after="0" w:line="360" w:lineRule="auto"/>
        <w:ind w:firstLine="284"/>
        <w:jc w:val="both"/>
      </w:pPr>
      <w:r w:rsidRPr="00E5762F">
        <w:t>Nell’esprimere un’opinione circa la prima parte del progetto adottato dalla Commissione del diritto internazionale in tema di responsabilità inte</w:t>
      </w:r>
      <w:r w:rsidR="00084D57" w:rsidRPr="00E5762F">
        <w:t>rnazionale dello Stato, molti</w:t>
      </w:r>
      <w:r w:rsidRPr="00E5762F">
        <w:t xml:space="preserve"> Stati si sono mostrati favorevoli al principio espresso dall’art. 10, senza però motivare la propria scelta</w:t>
      </w:r>
      <w:r w:rsidRPr="00E5762F">
        <w:rPr>
          <w:rStyle w:val="Rimandonotaapidipagina"/>
        </w:rPr>
        <w:footnoteReference w:id="326"/>
      </w:r>
      <w:r w:rsidRPr="00E5762F">
        <w:t>.</w:t>
      </w:r>
      <w:r w:rsidR="00D17C2A" w:rsidRPr="00E5762F">
        <w:t xml:space="preserve"> </w:t>
      </w:r>
      <w:r w:rsidRPr="00E5762F">
        <w:t xml:space="preserve">Tra </w:t>
      </w:r>
      <w:r w:rsidR="00084D57" w:rsidRPr="00E5762F">
        <w:t>gli Stati che hanno sostenuto</w:t>
      </w:r>
      <w:r w:rsidR="008D56ED" w:rsidRPr="00E5762F">
        <w:t xml:space="preserve"> il principio, l’</w:t>
      </w:r>
      <w:r w:rsidRPr="00E5762F">
        <w:t>Oman e</w:t>
      </w:r>
      <w:r w:rsidR="008D56ED" w:rsidRPr="00E5762F">
        <w:t xml:space="preserve"> i</w:t>
      </w:r>
      <w:r w:rsidRPr="00E5762F">
        <w:t>l Kuwait hanno sottolineato l’irrilevanza del rispetto da parte dell’organo</w:t>
      </w:r>
      <w:r>
        <w:t xml:space="preserve"> delle disposizioni di diritto interno in tema di competenza o delle istruzioni impartitegli al fine dell’attribuzione delle sue condotte allo Stato quale soggetto del diritto internazionale. Lo Stato difatti non può invocare il mancato rispetto di disposizioni di diritto interno al fine di sfuggire alla propria responsabilità internazionale</w:t>
      </w:r>
      <w:r>
        <w:rPr>
          <w:rStyle w:val="Rimandonotaapidipagina"/>
        </w:rPr>
        <w:footnoteReference w:id="327"/>
      </w:r>
      <w:r>
        <w:t>.</w:t>
      </w:r>
    </w:p>
    <w:p w:rsidR="00333C13" w:rsidRDefault="0077704C" w:rsidP="00EB037D">
      <w:pPr>
        <w:spacing w:after="0" w:line="360" w:lineRule="auto"/>
        <w:ind w:firstLine="284"/>
        <w:jc w:val="both"/>
      </w:pPr>
      <w:r>
        <w:t>A</w:t>
      </w:r>
      <w:r w:rsidR="007D0440">
        <w:t xml:space="preserve">lcuni Stati hanno </w:t>
      </w:r>
      <w:r w:rsidR="00333C13">
        <w:t>criticato la scelta della condizione attributiva dell’aver agito nella propria qualità ufficiale come criterio in grado di individuare quali comportamenti tenuti da un organo possono essere considerati attribuibili allo Stato. Secondo il Paraguay, ad esempio, il riferimento a tale condizione attributiva doveva essere eliminato dal testo dell’art. 10</w:t>
      </w:r>
      <w:r w:rsidR="009D475A">
        <w:t xml:space="preserve">, in virtù della </w:t>
      </w:r>
      <w:r w:rsidR="00333C13">
        <w:t>difficoltà nella prassi internazionale di operare una distinzione tra i comportamenti adottati</w:t>
      </w:r>
      <w:r w:rsidR="009D475A">
        <w:t xml:space="preserve"> da un organo nella sua qualità</w:t>
      </w:r>
      <w:r w:rsidR="00333C13">
        <w:t xml:space="preserve"> ufficiale e quelli tenuti come privato</w:t>
      </w:r>
      <w:r w:rsidR="00333C13">
        <w:rPr>
          <w:rStyle w:val="Rimandonotaapidipagina"/>
        </w:rPr>
        <w:footnoteReference w:id="328"/>
      </w:r>
      <w:r w:rsidR="00333C13">
        <w:t xml:space="preserve">. Il delegato del Giappone, Yokota, </w:t>
      </w:r>
      <w:r w:rsidR="00A97E4B">
        <w:t>pur accettando</w:t>
      </w:r>
      <w:r w:rsidR="00333C13">
        <w:t xml:space="preserve"> la formulazione della Commissione secondo cui il solo criterio da applicare per l’attribuzione allo Stato dei comportamenti </w:t>
      </w:r>
      <w:r w:rsidR="00333C13" w:rsidRPr="00C47098">
        <w:rPr>
          <w:i/>
        </w:rPr>
        <w:t>ultra vires</w:t>
      </w:r>
      <w:r w:rsidR="00333C13">
        <w:t xml:space="preserve"> dei propri organi è la circostanza che abbiano agito nella loro qualità </w:t>
      </w:r>
      <w:r w:rsidR="008D56ED">
        <w:t>ufficiale, ha espresso qualche perplessità.</w:t>
      </w:r>
    </w:p>
    <w:p w:rsidR="008D56ED" w:rsidRPr="00C15E28" w:rsidRDefault="008D56ED" w:rsidP="00EB037D">
      <w:pPr>
        <w:spacing w:after="0" w:line="360" w:lineRule="auto"/>
        <w:ind w:firstLine="284"/>
        <w:jc w:val="both"/>
        <w:rPr>
          <w:lang w:val="fr-FR"/>
        </w:rPr>
      </w:pPr>
      <w:r w:rsidRPr="00C15E28">
        <w:rPr>
          <w:lang w:val="fr-FR"/>
        </w:rPr>
        <w:t>Egli si preoccupava:</w:t>
      </w:r>
    </w:p>
    <w:p w:rsidR="00333C13" w:rsidRPr="00C15E28" w:rsidRDefault="00333C13" w:rsidP="00EB037D">
      <w:pPr>
        <w:spacing w:after="0" w:line="360" w:lineRule="auto"/>
        <w:ind w:firstLine="284"/>
        <w:jc w:val="both"/>
        <w:rPr>
          <w:lang w:val="fr-FR"/>
        </w:rPr>
      </w:pPr>
    </w:p>
    <w:p w:rsidR="00333C13" w:rsidRPr="00923461" w:rsidRDefault="00333C13" w:rsidP="00EB037D">
      <w:pPr>
        <w:spacing w:after="0" w:line="360" w:lineRule="auto"/>
        <w:ind w:left="567" w:right="567" w:firstLine="284"/>
        <w:jc w:val="both"/>
        <w:rPr>
          <w:lang w:val="fr-FR"/>
        </w:rPr>
      </w:pPr>
      <w:r w:rsidRPr="00923461">
        <w:rPr>
          <w:lang w:val="fr-FR"/>
        </w:rPr>
        <w:t xml:space="preserve"> </w:t>
      </w:r>
      <w:r w:rsidR="00C15E28" w:rsidRPr="00923461">
        <w:rPr>
          <w:lang w:val="fr-FR"/>
        </w:rPr>
        <w:t>“</w:t>
      </w:r>
      <w:r w:rsidRPr="00923461">
        <w:rPr>
          <w:lang w:val="fr-FR"/>
        </w:rPr>
        <w:t>des difficultés que l’application de cette règle ne manquera pas de soulever dans la pratique…Il n’est pas toujours facile d’établir dans un cas donné en quelle qualité la personne en cause a agi”</w:t>
      </w:r>
      <w:r w:rsidRPr="00923461">
        <w:rPr>
          <w:rStyle w:val="Rimandonotaapidipagina"/>
        </w:rPr>
        <w:footnoteReference w:id="329"/>
      </w:r>
      <w:r w:rsidRPr="00923461">
        <w:rPr>
          <w:lang w:val="fr-FR"/>
        </w:rPr>
        <w:t>.</w:t>
      </w:r>
    </w:p>
    <w:p w:rsidR="00333C13" w:rsidRPr="00923461" w:rsidRDefault="00333C13" w:rsidP="00EB037D">
      <w:pPr>
        <w:spacing w:after="0" w:line="360" w:lineRule="auto"/>
        <w:ind w:firstLine="284"/>
        <w:jc w:val="both"/>
        <w:rPr>
          <w:lang w:val="fr-FR"/>
        </w:rPr>
      </w:pPr>
    </w:p>
    <w:p w:rsidR="00333C13" w:rsidRDefault="00333C13" w:rsidP="00EB037D">
      <w:pPr>
        <w:autoSpaceDE w:val="0"/>
        <w:autoSpaceDN w:val="0"/>
        <w:adjustRightInd w:val="0"/>
        <w:spacing w:after="0" w:line="360" w:lineRule="auto"/>
        <w:ind w:firstLine="284"/>
        <w:jc w:val="both"/>
      </w:pPr>
      <w:r>
        <w:t xml:space="preserve">Piena approvazione del principio, come formulato all’art. 10 da parte della Commissione, è stata </w:t>
      </w:r>
      <w:r w:rsidR="00923461">
        <w:t xml:space="preserve">invece </w:t>
      </w:r>
      <w:r w:rsidR="0077704C">
        <w:t>data dal</w:t>
      </w:r>
      <w:r>
        <w:t xml:space="preserve"> Brasile. Il delegato del Governo brasiliano</w:t>
      </w:r>
      <w:r w:rsidR="00020632">
        <w:t xml:space="preserve"> (oltre che membro della Commissione)</w:t>
      </w:r>
      <w:r>
        <w:t>, Sette Camara, ha ritenuto impossibile contestare la regola secondo cui uno Stato è responsabile del comportamento dei propri organi e degli enti abilitati all’esercizio del pubblico potere nel caso in cui abbiano agito nella loro qualità ufficiale, ma contravvenendo alle disposizioni del diritto interno o alle istruzioni ricevute, in virtù della necessità di garantire la sicurezza delle relazioni internazionali. L’intero istituto della responsabilità internazionale, a suo parere, sarebbe stato fortemente minato nel caso in cui l’attribuzione di una condotta allo Stato fosse stata fatta dipendere dalle regole in tema di competenza stabilite dal diritto interno, le quali possono facilmente essere modificate dallo Stato secondo le proprie esigenze mediante il ricorso alle procedure costituzionali.</w:t>
      </w:r>
    </w:p>
    <w:p w:rsidR="00333C13" w:rsidRPr="00695A09" w:rsidRDefault="00333C13" w:rsidP="00EB037D">
      <w:pPr>
        <w:autoSpaceDE w:val="0"/>
        <w:autoSpaceDN w:val="0"/>
        <w:adjustRightInd w:val="0"/>
        <w:spacing w:after="0" w:line="360" w:lineRule="auto"/>
        <w:ind w:firstLine="284"/>
        <w:jc w:val="both"/>
      </w:pPr>
      <w:r w:rsidRPr="00695A09">
        <w:t>La delegazione brasiliana ha inoltre visto con favore l’eliminazione del limite della manifesta incompete</w:t>
      </w:r>
      <w:r w:rsidR="007B32F9">
        <w:t>nza dell’organo dal momento che</w:t>
      </w:r>
      <w:r w:rsidRPr="00695A09">
        <w:t>:</w:t>
      </w:r>
    </w:p>
    <w:p w:rsidR="00333C13" w:rsidRDefault="00333C13" w:rsidP="00EB037D">
      <w:pPr>
        <w:autoSpaceDE w:val="0"/>
        <w:autoSpaceDN w:val="0"/>
        <w:adjustRightInd w:val="0"/>
        <w:spacing w:after="0" w:line="360" w:lineRule="auto"/>
        <w:ind w:left="567" w:right="567" w:firstLine="284"/>
        <w:jc w:val="both"/>
      </w:pPr>
    </w:p>
    <w:p w:rsidR="00333C13" w:rsidRPr="00387E3C" w:rsidRDefault="00333C13" w:rsidP="00EB037D">
      <w:pPr>
        <w:autoSpaceDE w:val="0"/>
        <w:autoSpaceDN w:val="0"/>
        <w:adjustRightInd w:val="0"/>
        <w:spacing w:after="0" w:line="360" w:lineRule="auto"/>
        <w:ind w:left="567" w:right="567" w:firstLine="284"/>
        <w:jc w:val="both"/>
        <w:rPr>
          <w:lang w:val="fr-FR"/>
        </w:rPr>
      </w:pPr>
      <w:r w:rsidRPr="00387E3C">
        <w:t xml:space="preserve"> </w:t>
      </w:r>
      <w:r w:rsidRPr="00387E3C">
        <w:rPr>
          <w:lang w:val="fr-FR"/>
        </w:rPr>
        <w:t>“les actes qui dépassent manifestement la compétence des organes d’un Etat ne sont évidemment, en effet, que de simples actes de personnes privées, relevant à ce titre d’un article différent du projet, et en particulier de l’article 11 du projet d’articles”</w:t>
      </w:r>
      <w:r w:rsidRPr="00387E3C">
        <w:rPr>
          <w:rStyle w:val="Rimandonotaapidipagina"/>
          <w:lang w:val="fr-FR"/>
        </w:rPr>
        <w:footnoteReference w:id="330"/>
      </w:r>
      <w:r w:rsidRPr="00387E3C">
        <w:rPr>
          <w:lang w:val="fr-FR"/>
        </w:rPr>
        <w:t>.</w:t>
      </w:r>
    </w:p>
    <w:p w:rsidR="00333C13" w:rsidRDefault="00333C13" w:rsidP="00EB037D">
      <w:pPr>
        <w:autoSpaceDE w:val="0"/>
        <w:autoSpaceDN w:val="0"/>
        <w:adjustRightInd w:val="0"/>
        <w:spacing w:after="0" w:line="360" w:lineRule="auto"/>
        <w:ind w:firstLine="284"/>
        <w:jc w:val="both"/>
        <w:rPr>
          <w:lang w:val="fr-FR"/>
        </w:rPr>
      </w:pPr>
    </w:p>
    <w:p w:rsidR="00333C13" w:rsidRDefault="00333C13" w:rsidP="00EB037D">
      <w:pPr>
        <w:autoSpaceDE w:val="0"/>
        <w:autoSpaceDN w:val="0"/>
        <w:adjustRightInd w:val="0"/>
        <w:spacing w:after="0" w:line="360" w:lineRule="auto"/>
        <w:ind w:firstLine="284"/>
        <w:jc w:val="both"/>
      </w:pPr>
      <w:r w:rsidRPr="00C4746C">
        <w:t>La delegazione indonesiana, dopo aver individuato nella</w:t>
      </w:r>
      <w:r>
        <w:t xml:space="preserve"> stabilità </w:t>
      </w:r>
      <w:r w:rsidRPr="00C4746C">
        <w:t>delle relazioni internazionali</w:t>
      </w:r>
      <w:r>
        <w:t xml:space="preserve"> la ragione per cui è necessario riconoscere l’attribuzione allo Stato delle condotte </w:t>
      </w:r>
      <w:r w:rsidRPr="00C4746C">
        <w:rPr>
          <w:i/>
        </w:rPr>
        <w:t>ultra vires</w:t>
      </w:r>
      <w:r>
        <w:t xml:space="preserve"> degli organi statali</w:t>
      </w:r>
      <w:r w:rsidRPr="00C4746C">
        <w:t>,</w:t>
      </w:r>
      <w:r>
        <w:t xml:space="preserve"> ha invece sottolineato l’esigenza di limitare la portata del principio enunciato all’art. 10. I dati offerti dalla pr</w:t>
      </w:r>
      <w:r w:rsidR="00C46D43">
        <w:t>a</w:t>
      </w:r>
      <w:r w:rsidR="0092730A">
        <w:t>ssi internazionale dimostrerebber</w:t>
      </w:r>
      <w:r w:rsidR="00387E3C">
        <w:t>o</w:t>
      </w:r>
      <w:r>
        <w:t xml:space="preserve"> che lo Stato non deve essere ritenuto internazionalmente responsabile dei </w:t>
      </w:r>
      <w:r>
        <w:lastRenderedPageBreak/>
        <w:t>fatti illeciti dei propri organi nel caso in cui l’incompetenza dell’organo era manifesta e la parte lesa avrebbe potuto evitare il suo verificarsi</w:t>
      </w:r>
      <w:r>
        <w:rPr>
          <w:rStyle w:val="Rimandonotaapidipagina"/>
        </w:rPr>
        <w:footnoteReference w:id="331"/>
      </w:r>
      <w:r>
        <w:t xml:space="preserve">. </w:t>
      </w:r>
    </w:p>
    <w:p w:rsidR="00333C13" w:rsidRDefault="00C40844" w:rsidP="00EB037D">
      <w:pPr>
        <w:autoSpaceDE w:val="0"/>
        <w:autoSpaceDN w:val="0"/>
        <w:adjustRightInd w:val="0"/>
        <w:spacing w:after="0" w:line="360" w:lineRule="auto"/>
        <w:ind w:firstLine="284"/>
        <w:jc w:val="both"/>
      </w:pPr>
      <w:r>
        <w:t xml:space="preserve">Nel </w:t>
      </w:r>
      <w:r w:rsidR="00333C13">
        <w:t>dibattito in seno alla sesta Commissione dell’Assemblea Generale, soltanto due Stati si sono mostrati contrari al principio attributivo espresso dall’art. 10.</w:t>
      </w:r>
    </w:p>
    <w:p w:rsidR="00333C13" w:rsidRDefault="00333C13" w:rsidP="00EB037D">
      <w:pPr>
        <w:autoSpaceDE w:val="0"/>
        <w:autoSpaceDN w:val="0"/>
        <w:adjustRightInd w:val="0"/>
        <w:spacing w:after="0" w:line="360" w:lineRule="auto"/>
        <w:ind w:firstLine="284"/>
        <w:jc w:val="both"/>
      </w:pPr>
      <w:r>
        <w:t>Prendendo in considerazione il problema dalla sola prospettiva della responsabilità internazionale dello Stato in caso di violazione delle disposizioni che regolano il trattamento degli stranieri, il delegato cubano ha ritenuto impossibile che lo Stato debba rispondere in ambito internazionale dei comportamenti dei propri organi che nell’agire non rispettano la propria competenza, dal momento che la vittima, anche se è uno straniero, ha il diritto di utilizzare i mezzi di ricorso interni</w:t>
      </w:r>
      <w:r>
        <w:rPr>
          <w:rStyle w:val="Rimandonotaapidipagina"/>
        </w:rPr>
        <w:footnoteReference w:id="332"/>
      </w:r>
      <w:r>
        <w:t>.</w:t>
      </w:r>
    </w:p>
    <w:p w:rsidR="00333C13" w:rsidRDefault="0003787F" w:rsidP="00B31A1A">
      <w:pPr>
        <w:autoSpaceDE w:val="0"/>
        <w:autoSpaceDN w:val="0"/>
        <w:adjustRightInd w:val="0"/>
        <w:spacing w:after="0" w:line="360" w:lineRule="auto"/>
        <w:ind w:firstLine="284"/>
        <w:jc w:val="both"/>
      </w:pPr>
      <w:r>
        <w:t>Durante il dibattito svoltosi nel 1975,</w:t>
      </w:r>
      <w:r w:rsidR="00333C13">
        <w:t xml:space="preserve"> anche il delegato del Bangladesh aveva ritenuto che possono essere attribuiti allo Stato soltanto i comportamenti adottati dagli organi nel rispetto dei limiti della competenza come stabiliti dal diritto interno</w:t>
      </w:r>
      <w:r w:rsidR="00333C13">
        <w:rPr>
          <w:rStyle w:val="Rimandonotaapidipagina"/>
        </w:rPr>
        <w:footnoteReference w:id="333"/>
      </w:r>
      <w:r w:rsidR="00B31A1A">
        <w:t xml:space="preserve">. </w:t>
      </w:r>
      <w:r w:rsidR="00333C13">
        <w:t>Tuttavia</w:t>
      </w:r>
      <w:r w:rsidR="00B31A1A">
        <w:t xml:space="preserve"> successivamente,</w:t>
      </w:r>
      <w:r w:rsidR="00333C13">
        <w:t xml:space="preserve"> </w:t>
      </w:r>
      <w:r w:rsidR="00333C13" w:rsidRPr="002854E8">
        <w:t xml:space="preserve">nel 1979, durante la trentaquattresima sessione della sesta Commissione dell’Assemblea Generale, il governo del Bangladesh ha ammesso che la condotta di un organo che agisce nel mancato rispetto della propria competenza deve considerarsi attribuibile allo Stato in linea con quanto previsto dall’art. </w:t>
      </w:r>
      <w:r w:rsidR="00333C13">
        <w:t>10 del progetto di articoli della Commissione</w:t>
      </w:r>
      <w:r w:rsidR="00333C13">
        <w:rPr>
          <w:rStyle w:val="Rimandonotaapidipagina"/>
          <w:lang w:val="en-US"/>
        </w:rPr>
        <w:footnoteReference w:id="334"/>
      </w:r>
      <w:r w:rsidR="00333C13">
        <w:t>.</w:t>
      </w:r>
      <w:r w:rsidR="00773AE6">
        <w:t xml:space="preserve"> </w:t>
      </w:r>
    </w:p>
    <w:p w:rsidR="00333C13" w:rsidRDefault="00333C13" w:rsidP="00661F1C">
      <w:pPr>
        <w:spacing w:after="0" w:line="360" w:lineRule="auto"/>
        <w:ind w:firstLine="284"/>
        <w:jc w:val="both"/>
      </w:pPr>
      <w:r>
        <w:t>Prima di procedere alla seconda lettura del progetto di articoli, la CDI ha deciso di comunicare agli Stati membri delle Nazioni Unite i primi tre capitoli inerenti la sua prima parte</w:t>
      </w:r>
      <w:r>
        <w:rPr>
          <w:rStyle w:val="Rimandonotaapidipagina"/>
        </w:rPr>
        <w:footnoteReference w:id="335"/>
      </w:r>
      <w:r w:rsidR="00661F1C">
        <w:t xml:space="preserve">. </w:t>
      </w:r>
      <w:r>
        <w:t xml:space="preserve">A seguito dell’approvazione di tale decisione da parte dell’Assemblea Generale, in una lettera datata 18 gennaio 1979 il Segretario generale ha chiesto ai Governi di comunicare </w:t>
      </w:r>
      <w:r w:rsidR="00661F1C">
        <w:t xml:space="preserve">per iscritto </w:t>
      </w:r>
      <w:r>
        <w:t>le loro osservazioni ed i loro commenti in merito alle disposizioni del progetto.</w:t>
      </w:r>
    </w:p>
    <w:p w:rsidR="00333C13" w:rsidRPr="00E626F3" w:rsidRDefault="00333C13" w:rsidP="00EB037D">
      <w:pPr>
        <w:spacing w:after="0" w:line="360" w:lineRule="auto"/>
        <w:ind w:firstLine="284"/>
        <w:jc w:val="both"/>
      </w:pPr>
      <w:r>
        <w:t xml:space="preserve">Ad eccezione di </w:t>
      </w:r>
      <w:r w:rsidRPr="00E626F3">
        <w:t>qualche osservazione di pura forma riguardo alla redazione dell’art.</w:t>
      </w:r>
      <w:r w:rsidR="003E4F1C">
        <w:t xml:space="preserve"> 10, nessun governo ha criticato</w:t>
      </w:r>
      <w:r w:rsidRPr="00E626F3">
        <w:t xml:space="preserve"> il principio dell’attribuzione allo Stato dei fatti </w:t>
      </w:r>
      <w:r w:rsidRPr="00E626F3">
        <w:rPr>
          <w:i/>
        </w:rPr>
        <w:t>ultra vires</w:t>
      </w:r>
      <w:r w:rsidRPr="00E626F3">
        <w:t xml:space="preserve"> dei propri organi.</w:t>
      </w:r>
    </w:p>
    <w:p w:rsidR="00AF04BD" w:rsidRDefault="00661F1C" w:rsidP="00EB037D">
      <w:pPr>
        <w:spacing w:after="0" w:line="360" w:lineRule="auto"/>
        <w:ind w:firstLine="284"/>
        <w:jc w:val="both"/>
      </w:pPr>
      <w:r>
        <w:lastRenderedPageBreak/>
        <w:t>In particolare i</w:t>
      </w:r>
      <w:r w:rsidR="00333C13" w:rsidRPr="00E626F3">
        <w:t>l Governo del Cile ha ritenuto che tale disposizione trovava pieno riscontro nei dati offerti dalla prassi internazionale e si fondava su considerazioni di ordine meramente pratico, in quanto è i</w:t>
      </w:r>
      <w:r w:rsidR="00AF04BD">
        <w:t>mpossibile per gli Stati sapere:</w:t>
      </w:r>
    </w:p>
    <w:p w:rsidR="00AF04BD" w:rsidRDefault="00AF04BD" w:rsidP="00EB037D">
      <w:pPr>
        <w:spacing w:after="0" w:line="360" w:lineRule="auto"/>
        <w:ind w:firstLine="284"/>
        <w:jc w:val="both"/>
      </w:pPr>
    </w:p>
    <w:p w:rsidR="00333C13" w:rsidRPr="00F65E8C" w:rsidRDefault="00333C13" w:rsidP="00EB037D">
      <w:pPr>
        <w:spacing w:after="0" w:line="360" w:lineRule="auto"/>
        <w:ind w:left="567" w:right="567" w:firstLine="284"/>
        <w:jc w:val="both"/>
        <w:rPr>
          <w:lang w:val="fr-FR"/>
        </w:rPr>
      </w:pPr>
      <w:r w:rsidRPr="00F65E8C">
        <w:rPr>
          <w:lang w:val="fr-FR"/>
        </w:rPr>
        <w:t>“de manière absolument s</w:t>
      </w:r>
      <w:r w:rsidRPr="00F65E8C">
        <w:rPr>
          <w:rFonts w:cstheme="minorHAnsi"/>
          <w:lang w:val="fr-FR"/>
        </w:rPr>
        <w:t>û</w:t>
      </w:r>
      <w:r w:rsidRPr="00F65E8C">
        <w:rPr>
          <w:lang w:val="fr-FR"/>
        </w:rPr>
        <w:t>re quand les organes étatiques ou les entités connexes se maintiennent dans les limites fixées par la législation interne ou quand ils les dépassent”</w:t>
      </w:r>
      <w:r w:rsidRPr="00F65E8C">
        <w:rPr>
          <w:rStyle w:val="Rimandonotaapidipagina"/>
        </w:rPr>
        <w:footnoteReference w:id="336"/>
      </w:r>
      <w:r w:rsidRPr="00F65E8C">
        <w:rPr>
          <w:lang w:val="fr-FR"/>
        </w:rPr>
        <w:t>.</w:t>
      </w:r>
    </w:p>
    <w:p w:rsidR="00AF04BD" w:rsidRPr="00AF04BD" w:rsidRDefault="00AF04BD" w:rsidP="00EB037D">
      <w:pPr>
        <w:spacing w:after="0" w:line="360" w:lineRule="auto"/>
        <w:ind w:firstLine="284"/>
        <w:jc w:val="both"/>
        <w:rPr>
          <w:lang w:val="fr-FR"/>
        </w:rPr>
      </w:pPr>
    </w:p>
    <w:p w:rsidR="00333C13" w:rsidRDefault="00333C13" w:rsidP="00EB037D">
      <w:pPr>
        <w:spacing w:after="0" w:line="360" w:lineRule="auto"/>
        <w:ind w:firstLine="284"/>
        <w:jc w:val="both"/>
      </w:pPr>
      <w:r>
        <w:t>Al fine di garantire la sicurezza delle relazioni internazionali uno Stato deve pertanto rispondere sul piano internazionale dei comportamenti non autorizzati dei propri organi in quanto gli altri soggetti internazionali devono poter fare affidamento sulle scelte che esso mostra di aver preso in riferimento al modo di essere della propria organizzazione. L’apparenza creata dallo Stato attraverso il riconoscimento della qualità organica prevale sulla circostanza che il comportamento adottato dall’organo in una data circostanza rifletta effettivamente delle scelte da esso operate.</w:t>
      </w:r>
    </w:p>
    <w:p w:rsidR="00DD6E4E" w:rsidRDefault="003E4F1C" w:rsidP="0092730A">
      <w:pPr>
        <w:spacing w:after="0" w:line="360" w:lineRule="auto"/>
        <w:ind w:firstLine="284"/>
        <w:jc w:val="both"/>
      </w:pPr>
      <w:r>
        <w:t xml:space="preserve">Anche </w:t>
      </w:r>
      <w:r w:rsidR="00333C13">
        <w:t>i Governi dei Paesi Bassi</w:t>
      </w:r>
      <w:r w:rsidR="00333C13">
        <w:rPr>
          <w:rStyle w:val="Rimandonotaapidipagina"/>
        </w:rPr>
        <w:footnoteReference w:id="337"/>
      </w:r>
      <w:r w:rsidR="00333C13">
        <w:t>, della Jugoslavia</w:t>
      </w:r>
      <w:r w:rsidR="00333C13">
        <w:rPr>
          <w:rStyle w:val="Rimandonotaapidipagina"/>
        </w:rPr>
        <w:footnoteReference w:id="338"/>
      </w:r>
      <w:r w:rsidR="00333C13">
        <w:t>, della Repubblica federale di Germania</w:t>
      </w:r>
      <w:r w:rsidR="00333C13">
        <w:rPr>
          <w:rStyle w:val="Rimandonotaapidipagina"/>
        </w:rPr>
        <w:footnoteReference w:id="339"/>
      </w:r>
      <w:r w:rsidR="00333C13">
        <w:t xml:space="preserve"> e della Mongolia</w:t>
      </w:r>
      <w:r w:rsidR="00333C13">
        <w:rPr>
          <w:rStyle w:val="Rimandonotaapidipagina"/>
        </w:rPr>
        <w:footnoteReference w:id="340"/>
      </w:r>
      <w:r w:rsidR="00333C13">
        <w:t xml:space="preserve"> hanno sostenuto il principio espresso dall’art. 10, senza però motivare la propria scelta.</w:t>
      </w:r>
    </w:p>
    <w:p w:rsidR="005115FE" w:rsidRDefault="005115FE" w:rsidP="0092730A">
      <w:pPr>
        <w:spacing w:after="0" w:line="360" w:lineRule="auto"/>
        <w:ind w:firstLine="284"/>
        <w:jc w:val="both"/>
      </w:pPr>
    </w:p>
    <w:p w:rsidR="00333C13" w:rsidRDefault="00541EB4" w:rsidP="008629FF">
      <w:pPr>
        <w:pStyle w:val="Paragrafoelenco"/>
        <w:numPr>
          <w:ilvl w:val="0"/>
          <w:numId w:val="3"/>
        </w:numPr>
        <w:spacing w:after="0" w:line="360" w:lineRule="auto"/>
        <w:jc w:val="both"/>
      </w:pPr>
      <w:r>
        <w:t>L’ampliamento</w:t>
      </w:r>
      <w:r w:rsidR="00333C13" w:rsidRPr="003F4BD5">
        <w:t xml:space="preserve"> della nozione di organo nel progetto di articoli adottato in seconda lettura</w:t>
      </w:r>
    </w:p>
    <w:p w:rsidR="007B32F9" w:rsidRDefault="007B32F9" w:rsidP="00890195">
      <w:pPr>
        <w:spacing w:after="0" w:line="360" w:lineRule="auto"/>
        <w:ind w:left="360"/>
        <w:jc w:val="both"/>
      </w:pPr>
    </w:p>
    <w:p w:rsidR="00B42056" w:rsidRDefault="00B42056" w:rsidP="00890195">
      <w:pPr>
        <w:spacing w:after="0" w:line="360" w:lineRule="auto"/>
        <w:ind w:firstLine="284"/>
        <w:jc w:val="both"/>
      </w:pPr>
      <w:r w:rsidRPr="005C17AE">
        <w:t>A seguito dell’adozione in prima lettura del progetto di articoli sulla responsabilità internazionale dello Stato nel 1996, il relatore speciale James Crawford, nel suo primo rapporto, ha riesaminato gli articoli inerenti la prima parte del progetto</w:t>
      </w:r>
      <w:r w:rsidRPr="005C17AE">
        <w:rPr>
          <w:rStyle w:val="Rimandonotaapidipagina"/>
        </w:rPr>
        <w:footnoteReference w:id="341"/>
      </w:r>
      <w:r w:rsidRPr="005C17AE">
        <w:t>.</w:t>
      </w:r>
    </w:p>
    <w:p w:rsidR="001C7852" w:rsidRDefault="007B329C" w:rsidP="0092236C">
      <w:pPr>
        <w:spacing w:after="0" w:line="360" w:lineRule="auto"/>
        <w:ind w:firstLine="284"/>
        <w:jc w:val="both"/>
      </w:pPr>
      <w:r>
        <w:t xml:space="preserve">Accogliendo </w:t>
      </w:r>
      <w:r w:rsidR="00F90441">
        <w:t xml:space="preserve">le </w:t>
      </w:r>
      <w:r>
        <w:t>critiche che erano state mosse da alcuni Stati</w:t>
      </w:r>
      <w:r w:rsidR="00C654E4">
        <w:rPr>
          <w:rStyle w:val="Rimandonotaapidipagina"/>
        </w:rPr>
        <w:footnoteReference w:id="342"/>
      </w:r>
      <w:r w:rsidR="00C654E4">
        <w:t>, il relatore</w:t>
      </w:r>
      <w:r w:rsidR="008C6E39">
        <w:t xml:space="preserve"> ha </w:t>
      </w:r>
      <w:r w:rsidR="00EF1A23">
        <w:t xml:space="preserve">in particolare </w:t>
      </w:r>
      <w:r w:rsidR="008C6E39">
        <w:t>deciso di abbandonare l’idea secondo cui il riferimento al diritto interno</w:t>
      </w:r>
      <w:r w:rsidR="008C6E39" w:rsidRPr="008C6E39">
        <w:t xml:space="preserve"> </w:t>
      </w:r>
      <w:r w:rsidR="008C6E39">
        <w:t xml:space="preserve">è </w:t>
      </w:r>
      <w:r w:rsidR="008C6E39">
        <w:lastRenderedPageBreak/>
        <w:t xml:space="preserve">l’esclusivo criterio </w:t>
      </w:r>
      <w:r w:rsidR="006F1510">
        <w:t xml:space="preserve">al fine di </w:t>
      </w:r>
      <w:r w:rsidR="008C6E39">
        <w:t xml:space="preserve">determinare se un individuo gode della qualità di organo. </w:t>
      </w:r>
      <w:r w:rsidR="00CB26FA">
        <w:t xml:space="preserve">Crawford, pur non soffermandosi ad esaminare le ragioni che avevano indotto Ago ad identificare l’organizzazione dello Stato sul piano internazionale con la sua organizzazione giuridica interna, </w:t>
      </w:r>
      <w:r w:rsidR="006F1510">
        <w:t>ha fondato</w:t>
      </w:r>
      <w:r w:rsidR="00CB26FA">
        <w:t xml:space="preserve"> </w:t>
      </w:r>
      <w:r w:rsidR="006B262F">
        <w:t xml:space="preserve">invece </w:t>
      </w:r>
      <w:r w:rsidR="00CB26FA">
        <w:t xml:space="preserve">la ricostruzione teorica del fenomeno </w:t>
      </w:r>
      <w:r w:rsidR="003531DE">
        <w:t>attributivo</w:t>
      </w:r>
      <w:r w:rsidR="00F543ED">
        <w:t xml:space="preserve"> sull’idea</w:t>
      </w:r>
      <w:r w:rsidR="00CB26FA">
        <w:t xml:space="preserve"> che l</w:t>
      </w:r>
      <w:r w:rsidR="00DE7432">
        <w:t xml:space="preserve">o Stato </w:t>
      </w:r>
      <w:r w:rsidR="00CB26FA">
        <w:t xml:space="preserve">è </w:t>
      </w:r>
      <w:r w:rsidR="00DE7432">
        <w:t xml:space="preserve">un ente reale organizzato, i cui organi sono tutti gli individui o enti che compongono tale organizzazione. </w:t>
      </w:r>
    </w:p>
    <w:p w:rsidR="001C7852" w:rsidRDefault="001C7852" w:rsidP="001C7852">
      <w:pPr>
        <w:spacing w:after="0" w:line="360" w:lineRule="auto"/>
        <w:ind w:firstLine="284"/>
        <w:jc w:val="both"/>
      </w:pPr>
      <w:r>
        <w:t>Il riferimento al diritto interno risulterebbe a suo parere insufficiente al fine di accertare la qualità di organo, sia perché in numerosi ordinamenti interni la prassi ha un ruolo preminente a tal riguardo sia perché il diritto interno potrebbe non classificare in modo esaustivo gli individui o enti che hanno tale qualità</w:t>
      </w:r>
      <w:r w:rsidR="00F90441">
        <w:rPr>
          <w:rStyle w:val="Rimandonotaapidipagina"/>
        </w:rPr>
        <w:footnoteReference w:id="343"/>
      </w:r>
      <w:r>
        <w:t xml:space="preserve">. Il principale argomento addotto </w:t>
      </w:r>
      <w:r w:rsidR="00DA79CD">
        <w:t xml:space="preserve">dal relatore </w:t>
      </w:r>
      <w:r w:rsidR="00F90441">
        <w:t xml:space="preserve">a sostegno della sua tesi </w:t>
      </w:r>
      <w:r>
        <w:t xml:space="preserve">concerne il timore di un uso distorto da parte dello Stato del criterio del riferimento esclusivo al diritto interno, in grado di minare la sicurezza delle relazioni internazionali. </w:t>
      </w:r>
    </w:p>
    <w:p w:rsidR="00F90441" w:rsidRDefault="001C7852" w:rsidP="00F90441">
      <w:pPr>
        <w:spacing w:after="0" w:line="360" w:lineRule="auto"/>
        <w:ind w:firstLine="284"/>
        <w:jc w:val="both"/>
      </w:pPr>
      <w:r>
        <w:t xml:space="preserve">Far dipendere l’attribuzione di un fatto illecito allo Stato dall’accertamento della qualità di organo in base al criterio del riferimento esclusivo al suo diritto interno, avrebbe potuto </w:t>
      </w:r>
      <w:r w:rsidR="00DA79CD">
        <w:t xml:space="preserve">infatti </w:t>
      </w:r>
      <w:r>
        <w:t>essere</w:t>
      </w:r>
      <w:r w:rsidR="00884DE1">
        <w:t xml:space="preserve"> da esso sfruttato</w:t>
      </w:r>
      <w:r>
        <w:t xml:space="preserve"> al fine di sfuggire alla responsabilità internazionale invocando l’impossibilità di considerare come propria la condotta tenuta da individui che, pur risultando effettivamente integrati nella sua struttura di governo, non godono dello </w:t>
      </w:r>
      <w:r w:rsidRPr="009641C3">
        <w:rPr>
          <w:i/>
        </w:rPr>
        <w:t>status</w:t>
      </w:r>
      <w:r>
        <w:t xml:space="preserve"> organico a causa dell’inesistenza di un legame formale di diritto interno</w:t>
      </w:r>
      <w:r>
        <w:rPr>
          <w:rStyle w:val="Rimandonotaapidipagina"/>
        </w:rPr>
        <w:footnoteReference w:id="344"/>
      </w:r>
      <w:r>
        <w:t xml:space="preserve">. </w:t>
      </w:r>
    </w:p>
    <w:p w:rsidR="0003302F" w:rsidRDefault="00333C13" w:rsidP="00F90441">
      <w:pPr>
        <w:spacing w:after="0" w:line="360" w:lineRule="auto"/>
        <w:ind w:firstLine="284"/>
        <w:jc w:val="both"/>
      </w:pPr>
      <w:r>
        <w:lastRenderedPageBreak/>
        <w:t xml:space="preserve">L’art. 4 del testo di articoli adottato in seconda lettura dalla Commissione </w:t>
      </w:r>
      <w:r w:rsidR="000A365D">
        <w:t xml:space="preserve">segue le indicazioni fornite dal relatore Crawford, </w:t>
      </w:r>
      <w:r>
        <w:t xml:space="preserve">non individuando nel riferimento al diritto interno il criterio esclusivo al fine dell’accertamento di quali individui o enti godono della qualità organica. </w:t>
      </w:r>
      <w:r w:rsidR="00F84D5F">
        <w:t>La disposizione, corrispondente all’ 5 del progetto di articoli adottato in prima lettura, prevede che:</w:t>
      </w:r>
    </w:p>
    <w:p w:rsidR="00F84D5F" w:rsidRDefault="00F84D5F" w:rsidP="00F90441">
      <w:pPr>
        <w:spacing w:after="0" w:line="360" w:lineRule="auto"/>
        <w:ind w:firstLine="284"/>
        <w:jc w:val="both"/>
      </w:pPr>
    </w:p>
    <w:p w:rsidR="00F84D5F" w:rsidRDefault="00F84D5F" w:rsidP="00612C77">
      <w:pPr>
        <w:spacing w:after="0" w:line="360" w:lineRule="auto"/>
        <w:ind w:left="567" w:right="567" w:firstLine="284"/>
        <w:jc w:val="both"/>
        <w:rPr>
          <w:lang w:val="en-US"/>
        </w:rPr>
      </w:pPr>
      <w:r w:rsidRPr="00F84D5F">
        <w:rPr>
          <w:lang w:val="en-US"/>
        </w:rPr>
        <w:t xml:space="preserve">“ The conduct of any </w:t>
      </w:r>
      <w:r>
        <w:rPr>
          <w:lang w:val="en-US"/>
        </w:rPr>
        <w:t xml:space="preserve">State organ shall be considered </w:t>
      </w:r>
      <w:r w:rsidRPr="00F84D5F">
        <w:rPr>
          <w:lang w:val="en-US"/>
        </w:rPr>
        <w:t>an act of that</w:t>
      </w:r>
      <w:r>
        <w:rPr>
          <w:lang w:val="en-US"/>
        </w:rPr>
        <w:t xml:space="preserve"> State under international law, </w:t>
      </w:r>
      <w:r w:rsidRPr="00F84D5F">
        <w:rPr>
          <w:lang w:val="en-US"/>
        </w:rPr>
        <w:t>whether the organ exercises l</w:t>
      </w:r>
      <w:r>
        <w:rPr>
          <w:lang w:val="en-US"/>
        </w:rPr>
        <w:t xml:space="preserve">egislative, executive, judicial </w:t>
      </w:r>
      <w:r w:rsidRPr="00F84D5F">
        <w:rPr>
          <w:lang w:val="en-US"/>
        </w:rPr>
        <w:t>or any other functi</w:t>
      </w:r>
      <w:r>
        <w:rPr>
          <w:lang w:val="en-US"/>
        </w:rPr>
        <w:t xml:space="preserve">ons, whatever position it holds </w:t>
      </w:r>
      <w:r w:rsidRPr="00F84D5F">
        <w:rPr>
          <w:lang w:val="en-US"/>
        </w:rPr>
        <w:t>in the organization of the St</w:t>
      </w:r>
      <w:r>
        <w:rPr>
          <w:lang w:val="en-US"/>
        </w:rPr>
        <w:t xml:space="preserve">ate, and whatever its character </w:t>
      </w:r>
      <w:r w:rsidRPr="00F84D5F">
        <w:rPr>
          <w:lang w:val="en-US"/>
        </w:rPr>
        <w:t>as an organ of</w:t>
      </w:r>
      <w:r>
        <w:rPr>
          <w:lang w:val="en-US"/>
        </w:rPr>
        <w:t xml:space="preserve"> the central Government or of a </w:t>
      </w:r>
      <w:r w:rsidRPr="00F84D5F">
        <w:rPr>
          <w:lang w:val="en-US"/>
        </w:rPr>
        <w:t>ter</w:t>
      </w:r>
      <w:r>
        <w:rPr>
          <w:lang w:val="en-US"/>
        </w:rPr>
        <w:t>ritorial unit of the State.</w:t>
      </w:r>
    </w:p>
    <w:p w:rsidR="00F84D5F" w:rsidRPr="00F84D5F" w:rsidRDefault="00F84D5F" w:rsidP="00612C77">
      <w:pPr>
        <w:spacing w:after="0" w:line="360" w:lineRule="auto"/>
        <w:ind w:left="567" w:right="567" w:firstLine="284"/>
        <w:jc w:val="both"/>
        <w:rPr>
          <w:lang w:val="en-US"/>
        </w:rPr>
      </w:pPr>
      <w:r w:rsidRPr="00F84D5F">
        <w:rPr>
          <w:lang w:val="en-US"/>
        </w:rPr>
        <w:t xml:space="preserve"> An organ incl</w:t>
      </w:r>
      <w:r>
        <w:rPr>
          <w:lang w:val="en-US"/>
        </w:rPr>
        <w:t xml:space="preserve">udes any person or entity which </w:t>
      </w:r>
      <w:r w:rsidRPr="00F84D5F">
        <w:rPr>
          <w:lang w:val="en-US"/>
        </w:rPr>
        <w:t>has that status in acco</w:t>
      </w:r>
      <w:r>
        <w:rPr>
          <w:lang w:val="en-US"/>
        </w:rPr>
        <w:t xml:space="preserve">rdance with the internal law of </w:t>
      </w:r>
      <w:r w:rsidRPr="00F84D5F">
        <w:rPr>
          <w:lang w:val="en-US"/>
        </w:rPr>
        <w:t>the State</w:t>
      </w:r>
      <w:r>
        <w:rPr>
          <w:lang w:val="en-US"/>
        </w:rPr>
        <w:t>”</w:t>
      </w:r>
      <w:r w:rsidRPr="00F84D5F">
        <w:rPr>
          <w:lang w:val="en-US"/>
        </w:rPr>
        <w:t>.</w:t>
      </w:r>
    </w:p>
    <w:p w:rsidR="0003302F" w:rsidRPr="00F84D5F" w:rsidRDefault="0003302F" w:rsidP="00F90441">
      <w:pPr>
        <w:spacing w:after="0" w:line="360" w:lineRule="auto"/>
        <w:ind w:firstLine="284"/>
        <w:jc w:val="both"/>
        <w:rPr>
          <w:lang w:val="en-US"/>
        </w:rPr>
      </w:pPr>
    </w:p>
    <w:p w:rsidR="00333C13" w:rsidRDefault="00333C13" w:rsidP="00F90441">
      <w:pPr>
        <w:spacing w:after="0" w:line="360" w:lineRule="auto"/>
        <w:ind w:firstLine="284"/>
        <w:jc w:val="both"/>
      </w:pPr>
      <w:r w:rsidRPr="00612C77">
        <w:t>Il par. 2 della disposizione</w:t>
      </w:r>
      <w:r w:rsidR="00612C77">
        <w:t>,</w:t>
      </w:r>
      <w:r w:rsidRPr="00612C77">
        <w:t xml:space="preserve"> stabil</w:t>
      </w:r>
      <w:r w:rsidR="00612C77">
        <w:t>endo</w:t>
      </w:r>
      <w:r w:rsidRPr="00612C77">
        <w:t xml:space="preserve"> che “</w:t>
      </w:r>
      <w:r w:rsidRPr="00612C77">
        <w:rPr>
          <w:i/>
        </w:rPr>
        <w:t>an organ includes any person or entity which has that status in accordance with the internal law of the State</w:t>
      </w:r>
      <w:r w:rsidR="00612C77">
        <w:t>”, ammette</w:t>
      </w:r>
      <w:r w:rsidRPr="00612C77">
        <w:t xml:space="preserve"> in maniera implicita che esistono ulteriori criteri di diritto internazionale, differenti rispetto al riferimento al diritto interno,</w:t>
      </w:r>
      <w:r w:rsidRPr="008A0984">
        <w:t xml:space="preserve"> attraverso cui è possibile accertare </w:t>
      </w:r>
      <w:r>
        <w:t>lo</w:t>
      </w:r>
      <w:r w:rsidRPr="00DE61F5">
        <w:rPr>
          <w:i/>
        </w:rPr>
        <w:t xml:space="preserve"> status</w:t>
      </w:r>
      <w:r>
        <w:t xml:space="preserve"> </w:t>
      </w:r>
      <w:r w:rsidRPr="008A0984">
        <w:t>di organo.</w:t>
      </w:r>
      <w:r w:rsidR="00695927">
        <w:t xml:space="preserve"> </w:t>
      </w:r>
    </w:p>
    <w:p w:rsidR="00333C13" w:rsidRDefault="00333C13" w:rsidP="00EB037D">
      <w:pPr>
        <w:spacing w:after="0" w:line="360" w:lineRule="auto"/>
        <w:ind w:firstLine="284"/>
        <w:jc w:val="both"/>
      </w:pPr>
      <w:r>
        <w:t xml:space="preserve">L’estensione della nozione di organo risulta anche </w:t>
      </w:r>
      <w:r w:rsidR="00612C77">
        <w:t xml:space="preserve">da alcune indicazioni fornite dal </w:t>
      </w:r>
      <w:r>
        <w:t xml:space="preserve">commentario, dove si nota che non è sufficiente il riferimento al diritto interno ai fini dell’accertamento dello </w:t>
      </w:r>
      <w:r w:rsidRPr="00A303DA">
        <w:rPr>
          <w:i/>
        </w:rPr>
        <w:t>status</w:t>
      </w:r>
      <w:r>
        <w:t xml:space="preserve"> organico, dal momento che:</w:t>
      </w:r>
    </w:p>
    <w:p w:rsidR="00333C13" w:rsidRDefault="00333C13" w:rsidP="00EB037D">
      <w:pPr>
        <w:spacing w:after="0" w:line="360" w:lineRule="auto"/>
        <w:ind w:firstLine="284"/>
        <w:jc w:val="both"/>
      </w:pPr>
    </w:p>
    <w:p w:rsidR="00333C13" w:rsidRPr="00612C77" w:rsidRDefault="00333C13" w:rsidP="00EB037D">
      <w:pPr>
        <w:spacing w:after="0" w:line="360" w:lineRule="auto"/>
        <w:ind w:left="567" w:right="567" w:firstLine="284"/>
        <w:jc w:val="both"/>
        <w:rPr>
          <w:lang w:val="en-US"/>
        </w:rPr>
      </w:pPr>
      <w:r w:rsidRPr="00612C77">
        <w:rPr>
          <w:lang w:val="en-US"/>
        </w:rPr>
        <w:t>“while the State remains free to determine its internal structure and functions through its own law and practice, international law has a distinct role”</w:t>
      </w:r>
      <w:r w:rsidRPr="00612C77">
        <w:rPr>
          <w:rStyle w:val="Rimandonotaapidipagina"/>
          <w:lang w:val="en-US"/>
        </w:rPr>
        <w:footnoteReference w:id="345"/>
      </w:r>
      <w:r w:rsidRPr="00612C77">
        <w:rPr>
          <w:lang w:val="en-US"/>
        </w:rPr>
        <w:t>.</w:t>
      </w:r>
    </w:p>
    <w:p w:rsidR="00333C13" w:rsidRPr="00612C77" w:rsidRDefault="00333C13" w:rsidP="00EB037D">
      <w:pPr>
        <w:spacing w:after="0" w:line="360" w:lineRule="auto"/>
        <w:ind w:left="567" w:right="567" w:firstLine="284"/>
        <w:jc w:val="both"/>
        <w:rPr>
          <w:lang w:val="en-US"/>
        </w:rPr>
      </w:pPr>
    </w:p>
    <w:p w:rsidR="00333C13" w:rsidRDefault="00333C13" w:rsidP="00EB037D">
      <w:pPr>
        <w:spacing w:after="0" w:line="360" w:lineRule="auto"/>
        <w:ind w:firstLine="284"/>
        <w:jc w:val="both"/>
      </w:pPr>
      <w:r w:rsidRPr="00EE76F9">
        <w:t xml:space="preserve">Sempre il commentario sembra chiarire inoltre che il legame fattuale </w:t>
      </w:r>
      <w:r>
        <w:t xml:space="preserve">a cui si riferisce </w:t>
      </w:r>
      <w:r w:rsidRPr="00EE76F9">
        <w:t xml:space="preserve">implicitamente </w:t>
      </w:r>
      <w:r>
        <w:t xml:space="preserve">la disposizione è </w:t>
      </w:r>
      <w:r w:rsidR="00F118E8">
        <w:t xml:space="preserve">cosa diversa dal criterio </w:t>
      </w:r>
      <w:r w:rsidR="00884DE1">
        <w:t xml:space="preserve">di attribuzione di condotte </w:t>
      </w:r>
      <w:r>
        <w:t>corrispondente alla circostanza in cui lo Stato esercita un effettivo controllo sui comportamenti adottati da individui o enti</w:t>
      </w:r>
      <w:r w:rsidR="00F118E8">
        <w:t>, criterio contemplato in un ulteriore articolo</w:t>
      </w:r>
      <w:r>
        <w:rPr>
          <w:rStyle w:val="Rimandonotaapidipagina"/>
        </w:rPr>
        <w:footnoteReference w:id="346"/>
      </w:r>
      <w:r>
        <w:t>.</w:t>
      </w:r>
    </w:p>
    <w:p w:rsidR="00333C13" w:rsidRDefault="00333C13" w:rsidP="00EB037D">
      <w:pPr>
        <w:spacing w:after="0" w:line="360" w:lineRule="auto"/>
        <w:ind w:firstLine="284"/>
        <w:jc w:val="both"/>
      </w:pPr>
      <w:r>
        <w:lastRenderedPageBreak/>
        <w:t>Alla lu</w:t>
      </w:r>
      <w:r w:rsidR="00F118E8">
        <w:t>ce dei lavori della Commissione,</w:t>
      </w:r>
      <w:r>
        <w:t xml:space="preserve"> la nozione di organo</w:t>
      </w:r>
      <w:r w:rsidR="00F118E8">
        <w:t xml:space="preserve"> nel progetto adottato in via definitiva</w:t>
      </w:r>
      <w:r>
        <w:t xml:space="preserve"> sembra quindi individuare coloro che sono effettivamente integrati nell’organizzazione statale mediante una connessione </w:t>
      </w:r>
      <w:r w:rsidR="00F118E8">
        <w:t xml:space="preserve">molto </w:t>
      </w:r>
      <w:r>
        <w:t>intensa, grazie a cui si realizza la massima identificazione tra un individuo o ente e la struttura di governo dello Stato</w:t>
      </w:r>
      <w:r w:rsidR="00F118E8">
        <w:t>, siano essi o meno organi dello Stato secondo il diritto interno.</w:t>
      </w:r>
    </w:p>
    <w:p w:rsidR="00333C13" w:rsidRDefault="00333C13" w:rsidP="00EB037D">
      <w:pPr>
        <w:spacing w:after="0" w:line="360" w:lineRule="auto"/>
        <w:ind w:firstLine="284"/>
        <w:jc w:val="both"/>
      </w:pPr>
      <w:r>
        <w:t>La regola formul</w:t>
      </w:r>
      <w:r w:rsidR="000E7328">
        <w:t>ata dalla Commissione</w:t>
      </w:r>
      <w:r>
        <w:t xml:space="preserve"> ha il limite di indicare in maniera eccessivamente vaga i criteri da utilizzare per stabilire quando un individuo o ente deve essere considerato organo</w:t>
      </w:r>
      <w:r w:rsidR="00A87F9D">
        <w:t xml:space="preserve"> dello Stato</w:t>
      </w:r>
      <w:r>
        <w:t>. Al di là della esplicita enunciazione del criterio del riferimento al diritto interno statale, non è chiarito infatti quali siano le altre circostanze in presenza delle quali è possibile accertare la qualità organica</w:t>
      </w:r>
      <w:r>
        <w:rPr>
          <w:rStyle w:val="Rimandonotaapidipagina"/>
        </w:rPr>
        <w:footnoteReference w:id="347"/>
      </w:r>
      <w:r>
        <w:t>. Allo stesso tempo, pur non identifica</w:t>
      </w:r>
      <w:r w:rsidR="000114EB">
        <w:t>ndole, la disposizione ammette</w:t>
      </w:r>
      <w:r>
        <w:t xml:space="preserve"> però implicitamente che ci sono delle circostanze in cui uno stretto legame fattuale con lo Stato permette di assimilare un individuo o ente a coloro che sono organi in base al diritto interno. Il commentario al progetto di articoli attribuisce al riferimento al diritto interno un ruolo primario nella determinazione della</w:t>
      </w:r>
      <w:r w:rsidR="00A87F9D">
        <w:t xml:space="preserve"> qualità organica, lasciando </w:t>
      </w:r>
      <w:r>
        <w:t>supporre che gli altri criteri abbiano essenzialmente un ruolo integrativo</w:t>
      </w:r>
      <w:r>
        <w:rPr>
          <w:rStyle w:val="Rimandonotaapidipagina"/>
        </w:rPr>
        <w:footnoteReference w:id="348"/>
      </w:r>
      <w:r>
        <w:t>.</w:t>
      </w:r>
    </w:p>
    <w:p w:rsidR="00333C13" w:rsidRDefault="00333C13" w:rsidP="00EB037D">
      <w:pPr>
        <w:spacing w:after="0" w:line="360" w:lineRule="auto"/>
        <w:ind w:firstLine="284"/>
        <w:jc w:val="both"/>
      </w:pPr>
      <w:r>
        <w:t xml:space="preserve">Il silenzio della Commissione a tale riguardo non permette comunque di chiarire quale sia il reale ambito di operatività della modifica introdotta in seconda lettura, cioè se la possibilità di considerare organo </w:t>
      </w:r>
      <w:r w:rsidR="00A87F9D">
        <w:t xml:space="preserve">dello Stato </w:t>
      </w:r>
      <w:r>
        <w:t xml:space="preserve">un individuo o un gruppo che non hanno tale qualità in base al diritto interno abbia la sola finalità di rendere meno rigido il criterio del riferimento esclusivo al diritto interno oppure se permetta di riconoscere lo </w:t>
      </w:r>
      <w:r w:rsidRPr="00F51480">
        <w:rPr>
          <w:i/>
        </w:rPr>
        <w:t>status</w:t>
      </w:r>
      <w:r>
        <w:t xml:space="preserve"> organico a tutti coloro che sulla base di elementi fattuali risultano effettivamente integrati nella struttura di governo dello Stato.</w:t>
      </w:r>
    </w:p>
    <w:p w:rsidR="00333C13" w:rsidRDefault="00333C13" w:rsidP="00EB037D">
      <w:pPr>
        <w:spacing w:after="0" w:line="360" w:lineRule="auto"/>
        <w:ind w:firstLine="284"/>
        <w:jc w:val="both"/>
      </w:pPr>
    </w:p>
    <w:p w:rsidR="005115FE" w:rsidRDefault="005115FE" w:rsidP="00EB037D">
      <w:pPr>
        <w:spacing w:after="0" w:line="360" w:lineRule="auto"/>
        <w:ind w:firstLine="284"/>
        <w:jc w:val="both"/>
      </w:pPr>
    </w:p>
    <w:p w:rsidR="005115FE" w:rsidRPr="00EE76F9" w:rsidRDefault="005115FE" w:rsidP="00EB037D">
      <w:pPr>
        <w:spacing w:after="0" w:line="360" w:lineRule="auto"/>
        <w:ind w:firstLine="284"/>
        <w:jc w:val="both"/>
      </w:pPr>
    </w:p>
    <w:p w:rsidR="00333C13" w:rsidRPr="00A469D4" w:rsidRDefault="00333C13" w:rsidP="008629FF">
      <w:pPr>
        <w:pStyle w:val="Paragrafoelenco"/>
        <w:numPr>
          <w:ilvl w:val="0"/>
          <w:numId w:val="3"/>
        </w:numPr>
        <w:spacing w:after="0" w:line="360" w:lineRule="auto"/>
        <w:jc w:val="both"/>
      </w:pPr>
      <w:r>
        <w:lastRenderedPageBreak/>
        <w:t>I</w:t>
      </w:r>
      <w:r w:rsidRPr="003F4BD5">
        <w:t>l</w:t>
      </w:r>
      <w:r w:rsidRPr="00A87F9D">
        <w:rPr>
          <w:color w:val="FF0000"/>
        </w:rPr>
        <w:t xml:space="preserve"> </w:t>
      </w:r>
      <w:r>
        <w:t xml:space="preserve">principio dell’attribuzione allo Stato dei fatti </w:t>
      </w:r>
      <w:r w:rsidRPr="00A87F9D">
        <w:rPr>
          <w:i/>
        </w:rPr>
        <w:t>ultra vires</w:t>
      </w:r>
      <w:r>
        <w:t xml:space="preserve"> nel primo rapporto </w:t>
      </w:r>
      <w:r w:rsidRPr="008F1622">
        <w:t>di Crawford</w:t>
      </w:r>
    </w:p>
    <w:p w:rsidR="00333C13" w:rsidRDefault="00333C13" w:rsidP="00EB037D">
      <w:pPr>
        <w:spacing w:after="0" w:line="360" w:lineRule="auto"/>
        <w:ind w:firstLine="284"/>
        <w:jc w:val="both"/>
      </w:pPr>
    </w:p>
    <w:p w:rsidR="00333C13" w:rsidRDefault="00333C13" w:rsidP="00EB037D">
      <w:pPr>
        <w:spacing w:after="0" w:line="360" w:lineRule="auto"/>
        <w:ind w:firstLine="284"/>
        <w:jc w:val="both"/>
      </w:pPr>
      <w:r>
        <w:t>Con riferimento all’art. 10</w:t>
      </w:r>
      <w:r w:rsidR="0047444A">
        <w:t xml:space="preserve"> adottato in prima lettura</w:t>
      </w:r>
      <w:r>
        <w:t>, il relatore</w:t>
      </w:r>
      <w:r w:rsidR="000114EB">
        <w:t xml:space="preserve"> Crawford</w:t>
      </w:r>
      <w:r w:rsidR="0047444A">
        <w:t xml:space="preserve"> ha condiviso</w:t>
      </w:r>
      <w:r>
        <w:t xml:space="preserve"> il principio dell’attribuzione allo Stato dei comportamenti </w:t>
      </w:r>
      <w:r w:rsidRPr="009335FB">
        <w:rPr>
          <w:i/>
        </w:rPr>
        <w:t>ultra vires</w:t>
      </w:r>
      <w:r>
        <w:t xml:space="preserve"> dei propri organi e ha sottolineato che il carattere assoluto della sua </w:t>
      </w:r>
      <w:r w:rsidRPr="003E7976">
        <w:t>formulazione trovava pieno riscontro nei dati offerti dalla prassi internazionale.</w:t>
      </w:r>
    </w:p>
    <w:p w:rsidR="00333C13" w:rsidRPr="00884DE1" w:rsidRDefault="00333C13" w:rsidP="00FC775C">
      <w:pPr>
        <w:spacing w:after="0" w:line="360" w:lineRule="auto"/>
        <w:ind w:firstLine="284"/>
        <w:jc w:val="both"/>
      </w:pPr>
      <w:r w:rsidRPr="003E7976">
        <w:t xml:space="preserve">Nonostante tale principio fosse </w:t>
      </w:r>
      <w:r w:rsidR="0047444A">
        <w:t xml:space="preserve">a suo avviso </w:t>
      </w:r>
      <w:r w:rsidRPr="003E7976">
        <w:t>inc</w:t>
      </w:r>
      <w:r w:rsidR="0047444A">
        <w:t xml:space="preserve">ontestabile, Crawford ha ritenuto che ci fosse </w:t>
      </w:r>
      <w:r w:rsidRPr="003E7976">
        <w:t xml:space="preserve">una difficoltà pratica nel distinguere le condotte </w:t>
      </w:r>
      <w:r w:rsidRPr="003E7976">
        <w:rPr>
          <w:i/>
        </w:rPr>
        <w:t>ultra vires</w:t>
      </w:r>
      <w:r w:rsidRPr="003E7976">
        <w:t xml:space="preserve"> tenute dagli organi nell’esercizio delle proprie funzioni dai comportamenti da essi adottati totalmente al di fuori della loro </w:t>
      </w:r>
      <w:r>
        <w:t xml:space="preserve">qualità </w:t>
      </w:r>
      <w:r w:rsidRPr="003E7976">
        <w:t xml:space="preserve">ufficiale, </w:t>
      </w:r>
      <w:r w:rsidR="0047444A">
        <w:t xml:space="preserve">comportamenti questi </w:t>
      </w:r>
      <w:r w:rsidRPr="003E7976">
        <w:t xml:space="preserve">da assimilare a quelli di semplici privati. </w:t>
      </w:r>
      <w:r w:rsidRPr="00884DE1">
        <w:t>Secondo il relatore, tale problema era di facile risoluzione con riferimento alle condotte tenute dagli organi in maniera sistematica o ricorrente, in quanto si presupponeva che lo Stato ne fosse a conoscenza e facesse il possibile per prevenirle.</w:t>
      </w:r>
      <w:r w:rsidR="00FC775C" w:rsidRPr="00884DE1">
        <w:t xml:space="preserve"> </w:t>
      </w:r>
      <w:r w:rsidR="00CE5D8E" w:rsidRPr="00884DE1">
        <w:t>In</w:t>
      </w:r>
      <w:r w:rsidRPr="00884DE1">
        <w:t xml:space="preserve"> altre circostanze, invece, </w:t>
      </w:r>
      <w:r w:rsidR="00CE5D8E" w:rsidRPr="00884DE1">
        <w:t xml:space="preserve">si trattava di stabilire se </w:t>
      </w:r>
      <w:r w:rsidR="00F543ED">
        <w:t>l’</w:t>
      </w:r>
      <w:r w:rsidR="00CE5D8E" w:rsidRPr="00884DE1">
        <w:t>individuo o ente appariva</w:t>
      </w:r>
      <w:r w:rsidRPr="00884DE1">
        <w:t xml:space="preserve"> effettivamente agire in </w:t>
      </w:r>
      <w:r w:rsidR="00D551B8" w:rsidRPr="00884DE1">
        <w:t>qualità ufficiale.</w:t>
      </w:r>
      <w:r w:rsidR="00FC775C" w:rsidRPr="00884DE1">
        <w:t xml:space="preserve"> </w:t>
      </w:r>
    </w:p>
    <w:p w:rsidR="00333C13" w:rsidRDefault="00333C13" w:rsidP="00EB037D">
      <w:pPr>
        <w:spacing w:after="0" w:line="360" w:lineRule="auto"/>
        <w:ind w:firstLine="284"/>
        <w:jc w:val="both"/>
      </w:pPr>
      <w:r w:rsidRPr="00884DE1">
        <w:t>Anche il relatore Crawford, pertanto, ha ritenuto l’aver agito in qualità</w:t>
      </w:r>
      <w:r w:rsidRPr="003E7976">
        <w:t xml:space="preserve"> ufficiale o nell’esercizio delle proprie funzioni l’unico criterio in grado di distinguere</w:t>
      </w:r>
      <w:r>
        <w:t>,</w:t>
      </w:r>
      <w:r w:rsidRPr="00716747">
        <w:t xml:space="preserve"> </w:t>
      </w:r>
      <w:r>
        <w:t xml:space="preserve">tra i vari comportamenti adottati da un individuo o ente che gode dello </w:t>
      </w:r>
      <w:r w:rsidRPr="00716747">
        <w:rPr>
          <w:i/>
        </w:rPr>
        <w:t xml:space="preserve">status </w:t>
      </w:r>
      <w:r>
        <w:t>organico, quali devono essere considerati fatti attribuibili allo Stato e quali possono invece essere assimilati ad atti o omissioni di semplici privati.</w:t>
      </w:r>
    </w:p>
    <w:p w:rsidR="00F543ED" w:rsidRDefault="00333C13" w:rsidP="00F543ED">
      <w:pPr>
        <w:spacing w:after="0" w:line="360" w:lineRule="auto"/>
        <w:ind w:firstLine="284"/>
        <w:jc w:val="both"/>
      </w:pPr>
      <w:r>
        <w:t xml:space="preserve">L’unico problema </w:t>
      </w:r>
      <w:r w:rsidR="0092730A">
        <w:t xml:space="preserve">da risolvere </w:t>
      </w:r>
      <w:r>
        <w:t xml:space="preserve">a suo parere </w:t>
      </w:r>
      <w:r w:rsidR="00EA199B">
        <w:t>era stabilire se la formulazione dell’articolo dovesse</w:t>
      </w:r>
      <w:r w:rsidR="00140463">
        <w:t xml:space="preserve"> essere modificata</w:t>
      </w:r>
      <w:r>
        <w:t xml:space="preserve"> in modo tale da mettere maggiormente in evidenza il principio secondo cui uno Stato è tenuto a rispondere in ambito internazionale di tutti i comportamenti adottati da un organo, a patto che all’esterno appaia agire nella sua qualità ufficiale</w:t>
      </w:r>
      <w:r>
        <w:rPr>
          <w:rStyle w:val="Rimandonotaapidipagina"/>
        </w:rPr>
        <w:footnoteReference w:id="349"/>
      </w:r>
      <w:r>
        <w:t>.</w:t>
      </w:r>
    </w:p>
    <w:p w:rsidR="003B53AB" w:rsidRDefault="003B53AB" w:rsidP="00F543ED">
      <w:pPr>
        <w:spacing w:after="0" w:line="360" w:lineRule="auto"/>
        <w:ind w:firstLine="284"/>
        <w:jc w:val="both"/>
      </w:pPr>
      <w:r>
        <w:t>Occor</w:t>
      </w:r>
      <w:r w:rsidR="009374D4">
        <w:t>r</w:t>
      </w:r>
      <w:r>
        <w:t>e</w:t>
      </w:r>
      <w:r w:rsidR="003235F5">
        <w:t xml:space="preserve"> </w:t>
      </w:r>
      <w:r w:rsidR="0099405E">
        <w:t xml:space="preserve">precisare </w:t>
      </w:r>
      <w:r>
        <w:t xml:space="preserve">che </w:t>
      </w:r>
      <w:r w:rsidR="00D356AA">
        <w:t>sia i membri della Commissione sia gli Stati membri delle Nazioni Unite</w:t>
      </w:r>
      <w:r w:rsidR="003235F5">
        <w:t>, questi ultimi</w:t>
      </w:r>
      <w:r w:rsidR="00D356AA">
        <w:t xml:space="preserve"> nel corso del dibatti</w:t>
      </w:r>
      <w:r w:rsidR="009374D4">
        <w:t>t</w:t>
      </w:r>
      <w:r w:rsidR="00D356AA">
        <w:t>o sul rapporto della CDI in seno alla sesta commissione dell’Assemblea generale</w:t>
      </w:r>
      <w:r w:rsidR="003235F5">
        <w:t>,</w:t>
      </w:r>
      <w:r w:rsidR="00D356AA">
        <w:t xml:space="preserve"> </w:t>
      </w:r>
      <w:r w:rsidR="0099405E">
        <w:t xml:space="preserve">non </w:t>
      </w:r>
      <w:r w:rsidR="00D356AA">
        <w:t xml:space="preserve">si sono espressi </w:t>
      </w:r>
      <w:r w:rsidR="0099405E">
        <w:t xml:space="preserve">con riferimento al principio dell’attribuzione allo Stato dei fatti </w:t>
      </w:r>
      <w:r w:rsidR="0099405E" w:rsidRPr="002B7504">
        <w:rPr>
          <w:i/>
        </w:rPr>
        <w:t>ultra vires</w:t>
      </w:r>
      <w:r w:rsidR="0099405E">
        <w:t xml:space="preserve"> dei propri organi</w:t>
      </w:r>
      <w:r w:rsidR="003235F5">
        <w:t>.</w:t>
      </w:r>
    </w:p>
    <w:p w:rsidR="003B53AB" w:rsidRDefault="003B53AB" w:rsidP="00F543ED">
      <w:pPr>
        <w:spacing w:after="0" w:line="360" w:lineRule="auto"/>
        <w:ind w:firstLine="284"/>
        <w:jc w:val="both"/>
      </w:pPr>
    </w:p>
    <w:p w:rsidR="00333C13" w:rsidRDefault="00AD71CA" w:rsidP="008629FF">
      <w:pPr>
        <w:pStyle w:val="Paragrafoelenco"/>
        <w:numPr>
          <w:ilvl w:val="0"/>
          <w:numId w:val="3"/>
        </w:numPr>
        <w:spacing w:after="0"/>
        <w:jc w:val="both"/>
      </w:pPr>
      <w:r>
        <w:lastRenderedPageBreak/>
        <w:t>L</w:t>
      </w:r>
      <w:r w:rsidR="00333C13" w:rsidRPr="008F1622">
        <w:t>’art.</w:t>
      </w:r>
      <w:r w:rsidR="00333C13">
        <w:t xml:space="preserve"> </w:t>
      </w:r>
      <w:r w:rsidR="00333C13" w:rsidRPr="008F1622">
        <w:t>7 del progetto adottato in seconda lettura</w:t>
      </w:r>
      <w:r>
        <w:t>: elementi comuni e di distinzione rispetto all’art. 10 adottato in prima lettura</w:t>
      </w:r>
    </w:p>
    <w:p w:rsidR="00333C13" w:rsidRDefault="00333C13" w:rsidP="00EB037D">
      <w:pPr>
        <w:spacing w:after="0" w:line="360" w:lineRule="auto"/>
        <w:ind w:firstLine="284"/>
        <w:jc w:val="both"/>
      </w:pPr>
    </w:p>
    <w:p w:rsidR="00161ACA" w:rsidRDefault="00333C13" w:rsidP="00EB037D">
      <w:pPr>
        <w:spacing w:after="0" w:line="360" w:lineRule="auto"/>
        <w:ind w:firstLine="284"/>
        <w:jc w:val="both"/>
      </w:pPr>
      <w:r>
        <w:t xml:space="preserve">Una lettura sistematica delle disposizioni in tema di attribuzione di condotte, contenute nel progetto adottato nel 2001 in seconda lettura, consente di comprendere le modifiche introdotte su proposta del relatore speciale Crawford al principio della riferibilità allo Stato delle condotte tenute </w:t>
      </w:r>
      <w:r w:rsidRPr="00D549AE">
        <w:rPr>
          <w:i/>
        </w:rPr>
        <w:t>ultra vires</w:t>
      </w:r>
      <w:r>
        <w:t xml:space="preserve"> dai propri organi e dagli organi di enti a cui sia stato formalmente delegato l’esercizio di prerogative del pubblico potere</w:t>
      </w:r>
      <w:r w:rsidR="00161ACA">
        <w:t>.</w:t>
      </w:r>
    </w:p>
    <w:p w:rsidR="00333C13" w:rsidRPr="00732516" w:rsidRDefault="00333C13" w:rsidP="00EB037D">
      <w:pPr>
        <w:spacing w:after="0" w:line="360" w:lineRule="auto"/>
        <w:ind w:firstLine="284"/>
        <w:jc w:val="both"/>
      </w:pPr>
      <w:r w:rsidRPr="00732516">
        <w:t>L’art. 7 del progetto adottato in seconda lettura</w:t>
      </w:r>
      <w:r w:rsidR="00F877C6">
        <w:t xml:space="preserve"> (corrispondente all’art. 10 del progetto adottato in prima lettura)</w:t>
      </w:r>
      <w:r w:rsidRPr="00732516">
        <w:t xml:space="preserve"> </w:t>
      </w:r>
      <w:r w:rsidR="00D95EDB" w:rsidRPr="00732516">
        <w:t>enuncia</w:t>
      </w:r>
      <w:r w:rsidRPr="00732516">
        <w:t xml:space="preserve">: </w:t>
      </w:r>
    </w:p>
    <w:p w:rsidR="00333C13" w:rsidRPr="00732516" w:rsidRDefault="00333C13" w:rsidP="00EB037D">
      <w:pPr>
        <w:spacing w:after="0" w:line="360" w:lineRule="auto"/>
        <w:ind w:firstLine="284"/>
        <w:jc w:val="both"/>
      </w:pPr>
    </w:p>
    <w:p w:rsidR="00333C13" w:rsidRPr="00790E1B" w:rsidRDefault="00333C13" w:rsidP="00BF36F7">
      <w:pPr>
        <w:spacing w:after="0" w:line="360" w:lineRule="auto"/>
        <w:ind w:left="567" w:right="567" w:firstLine="284"/>
        <w:jc w:val="both"/>
      </w:pPr>
      <w:r w:rsidRPr="00BF36F7">
        <w:rPr>
          <w:lang w:val="en-US"/>
        </w:rPr>
        <w:t>“</w:t>
      </w:r>
      <w:r w:rsidR="00BF36F7" w:rsidRPr="00BF36F7">
        <w:rPr>
          <w:lang w:val="en-US"/>
        </w:rPr>
        <w:t xml:space="preserve"> The conduct of an </w:t>
      </w:r>
      <w:r w:rsidR="00BF36F7">
        <w:rPr>
          <w:lang w:val="en-US"/>
        </w:rPr>
        <w:t xml:space="preserve">organ of a State or of a person </w:t>
      </w:r>
      <w:r w:rsidR="00BF36F7" w:rsidRPr="00BF36F7">
        <w:rPr>
          <w:lang w:val="en-US"/>
        </w:rPr>
        <w:t>or entity empowered to exerci</w:t>
      </w:r>
      <w:r w:rsidR="00BF36F7">
        <w:rPr>
          <w:lang w:val="en-US"/>
        </w:rPr>
        <w:t xml:space="preserve">se elements of the governmental </w:t>
      </w:r>
      <w:r w:rsidR="00BF36F7" w:rsidRPr="00BF36F7">
        <w:rPr>
          <w:lang w:val="en-US"/>
        </w:rPr>
        <w:t>authority shall be considered an act of the</w:t>
      </w:r>
      <w:r w:rsidR="00BF36F7">
        <w:rPr>
          <w:lang w:val="en-US"/>
        </w:rPr>
        <w:t xml:space="preserve"> </w:t>
      </w:r>
      <w:r w:rsidR="00BF36F7" w:rsidRPr="00BF36F7">
        <w:rPr>
          <w:lang w:val="en-US"/>
        </w:rPr>
        <w:t>State under internatio</w:t>
      </w:r>
      <w:r w:rsidR="00BF36F7">
        <w:rPr>
          <w:lang w:val="en-US"/>
        </w:rPr>
        <w:t xml:space="preserve">nal law if the organ, person or </w:t>
      </w:r>
      <w:r w:rsidR="00BF36F7" w:rsidRPr="00BF36F7">
        <w:rPr>
          <w:lang w:val="en-US"/>
        </w:rPr>
        <w:t>entity acts in that capacity, e</w:t>
      </w:r>
      <w:r w:rsidR="00BF36F7">
        <w:rPr>
          <w:lang w:val="en-US"/>
        </w:rPr>
        <w:t xml:space="preserve">ven if it exceeds its authority </w:t>
      </w:r>
      <w:r w:rsidR="00BF36F7" w:rsidRPr="00BF36F7">
        <w:rPr>
          <w:lang w:val="en-US"/>
        </w:rPr>
        <w:t xml:space="preserve">or contravenes instructions. </w:t>
      </w:r>
      <w:r w:rsidRPr="00BF36F7">
        <w:rPr>
          <w:lang w:val="en-US"/>
        </w:rPr>
        <w:t>”</w:t>
      </w:r>
      <w:r w:rsidRPr="008545FC">
        <w:rPr>
          <w:rStyle w:val="Rimandonotaapidipagina"/>
          <w:lang w:val="fr-FR"/>
        </w:rPr>
        <w:footnoteReference w:id="350"/>
      </w:r>
      <w:r w:rsidRPr="00790E1B">
        <w:t>.</w:t>
      </w:r>
      <w:r w:rsidR="008545FC" w:rsidRPr="00790E1B">
        <w:t xml:space="preserve"> </w:t>
      </w:r>
    </w:p>
    <w:p w:rsidR="00333C13" w:rsidRPr="00790E1B" w:rsidRDefault="00333C13" w:rsidP="00EB037D">
      <w:pPr>
        <w:spacing w:after="0" w:line="360" w:lineRule="auto"/>
        <w:ind w:firstLine="284"/>
        <w:jc w:val="both"/>
      </w:pPr>
    </w:p>
    <w:p w:rsidR="00333C13" w:rsidRDefault="00333C13" w:rsidP="00EB037D">
      <w:pPr>
        <w:autoSpaceDE w:val="0"/>
        <w:autoSpaceDN w:val="0"/>
        <w:adjustRightInd w:val="0"/>
        <w:spacing w:after="0" w:line="360" w:lineRule="auto"/>
        <w:ind w:firstLine="284"/>
        <w:jc w:val="both"/>
      </w:pPr>
      <w:r w:rsidRPr="00B87591">
        <w:t xml:space="preserve">Il commentario di tale disposizione </w:t>
      </w:r>
      <w:r w:rsidR="008545FC">
        <w:t xml:space="preserve">mette </w:t>
      </w:r>
      <w:r w:rsidR="00D95EDB">
        <w:t xml:space="preserve">in evidenza come qualsiasi </w:t>
      </w:r>
      <w:r w:rsidRPr="00B87591">
        <w:t xml:space="preserve">regola </w:t>
      </w:r>
      <w:r w:rsidR="00D95EDB">
        <w:t>diversa d</w:t>
      </w:r>
      <w:r>
        <w:t xml:space="preserve">a quella codificata </w:t>
      </w:r>
      <w:r w:rsidRPr="00B87591">
        <w:t>avrebbe contraddetto un principio di diritto internazionale generale</w:t>
      </w:r>
      <w:r>
        <w:t>,</w:t>
      </w:r>
      <w:r w:rsidRPr="00B87591">
        <w:t xml:space="preserve"> secondo cui uno Stato</w:t>
      </w:r>
      <w:r>
        <w:t xml:space="preserve"> non può fare riferimento al diritto interno al fine di negare che una certa condotta è ad esso attribui</w:t>
      </w:r>
      <w:r w:rsidR="00A24446">
        <w:t xml:space="preserve">bile nell’ordinamento </w:t>
      </w:r>
      <w:r>
        <w:t>internazionale. Lo Stato deve pertanto riconoscere di aver agito ogniqualvolta un organo appaia aver adottato un comportamento nella sua capacità ufficiale. A differenza della disposizione contenuta nel progetto adottato in prima lettura, l’art. 7 non fa menzione però del diritto interno come parametro in funzione del quale controllare il rispetto da parte di un organo dei limiti della propria competenza.</w:t>
      </w:r>
    </w:p>
    <w:p w:rsidR="00333C13" w:rsidRPr="00167F3E" w:rsidRDefault="00333C13" w:rsidP="00167F3E">
      <w:pPr>
        <w:autoSpaceDE w:val="0"/>
        <w:autoSpaceDN w:val="0"/>
        <w:adjustRightInd w:val="0"/>
        <w:spacing w:after="0" w:line="360" w:lineRule="auto"/>
        <w:ind w:firstLine="284"/>
        <w:jc w:val="both"/>
      </w:pPr>
      <w:r w:rsidRPr="00252B1F">
        <w:t xml:space="preserve"> L’art. 7 </w:t>
      </w:r>
      <w:r>
        <w:t xml:space="preserve">difatti </w:t>
      </w:r>
      <w:r w:rsidRPr="00252B1F">
        <w:t>considera attribuibile allo Stato una condotta di un organo “</w:t>
      </w:r>
      <w:r w:rsidR="00167F3E">
        <w:t xml:space="preserve">even if it exceeds its authority </w:t>
      </w:r>
      <w:r w:rsidR="00167F3E" w:rsidRPr="00167F3E">
        <w:t>or contravenes instructions</w:t>
      </w:r>
      <w:r w:rsidRPr="00167F3E">
        <w:t>”</w:t>
      </w:r>
      <w:r w:rsidR="00167F3E">
        <w:t xml:space="preserve">, </w:t>
      </w:r>
      <w:r w:rsidRPr="00167F3E">
        <w:t>mentre l’art. 10 stabiliva che lo Stato deve rispondere a livello internazionale di un comportamento tenuto da un proprio organo “</w:t>
      </w:r>
      <w:r w:rsidR="00167F3E">
        <w:t xml:space="preserve">even if, in the particular case, </w:t>
      </w:r>
      <w:r w:rsidR="00167F3E" w:rsidRPr="00167F3E">
        <w:t>the or</w:t>
      </w:r>
      <w:r w:rsidR="00167F3E">
        <w:t xml:space="preserve">gan exceeded its competence according to internal law or </w:t>
      </w:r>
      <w:r w:rsidR="00167F3E" w:rsidRPr="00167F3E">
        <w:t>contrave</w:t>
      </w:r>
      <w:r w:rsidR="00167F3E">
        <w:t>ned instructions concerning its activity</w:t>
      </w:r>
      <w:r w:rsidRPr="00167F3E">
        <w:t>”.</w:t>
      </w:r>
      <w:r w:rsidR="008545FC" w:rsidRPr="00167F3E">
        <w:t xml:space="preserve"> </w:t>
      </w:r>
    </w:p>
    <w:p w:rsidR="00333C13" w:rsidRDefault="00333C13" w:rsidP="00EB037D">
      <w:pPr>
        <w:spacing w:after="0" w:line="360" w:lineRule="auto"/>
        <w:ind w:firstLine="284"/>
        <w:jc w:val="both"/>
      </w:pPr>
      <w:r>
        <w:t xml:space="preserve">Tale modifica è stata introdotta in seconda lettura su impulso del relatore speciale Crawford con l’intento di armonizzare tale disposizione con il contenuto dell’art. 4, par. 2, </w:t>
      </w:r>
      <w:r w:rsidR="008545FC">
        <w:lastRenderedPageBreak/>
        <w:t xml:space="preserve">che non considera più </w:t>
      </w:r>
      <w:r>
        <w:t xml:space="preserve">il diritto interno l’unico </w:t>
      </w:r>
      <w:r w:rsidR="008545FC">
        <w:t xml:space="preserve">metro </w:t>
      </w:r>
      <w:r>
        <w:t xml:space="preserve">valido a determinare quali individui o enti godono dello </w:t>
      </w:r>
      <w:r w:rsidRPr="00E976F0">
        <w:rPr>
          <w:i/>
        </w:rPr>
        <w:t>status</w:t>
      </w:r>
      <w:r w:rsidR="008545FC">
        <w:t xml:space="preserve"> di organo</w:t>
      </w:r>
      <w:r>
        <w:rPr>
          <w:rStyle w:val="Rimandonotaapidipagina"/>
        </w:rPr>
        <w:footnoteReference w:id="351"/>
      </w:r>
      <w:r>
        <w:t>.</w:t>
      </w:r>
    </w:p>
    <w:p w:rsidR="00333C13" w:rsidRPr="004E6343" w:rsidRDefault="008545FC" w:rsidP="00EB037D">
      <w:pPr>
        <w:spacing w:after="0" w:line="360" w:lineRule="auto"/>
        <w:ind w:firstLine="284"/>
        <w:jc w:val="both"/>
      </w:pPr>
      <w:r>
        <w:t>Sebbene, come precedentemente rilevato</w:t>
      </w:r>
      <w:r>
        <w:rPr>
          <w:rStyle w:val="Rimandonotaapidipagina"/>
        </w:rPr>
        <w:footnoteReference w:id="352"/>
      </w:r>
      <w:r>
        <w:t>,</w:t>
      </w:r>
      <w:r w:rsidRPr="003E7976">
        <w:t xml:space="preserve"> </w:t>
      </w:r>
      <w:r w:rsidR="00333C13">
        <w:t xml:space="preserve">anche in prima lettura il riferimento al diritto interno non avesse il carattere di criterio esclusivo ai fini dell’attribuzione di </w:t>
      </w:r>
      <w:r w:rsidR="00333C13" w:rsidRPr="003E7976">
        <w:t>condotte allo Stato,</w:t>
      </w:r>
      <w:r w:rsidR="00333C13">
        <w:t xml:space="preserve"> </w:t>
      </w:r>
      <w:r w:rsidR="00333C13" w:rsidRPr="003E7976">
        <w:t xml:space="preserve">la soluzione prospettata dal relatore Ago prevedeva l’identificazione degli organi statali unicamente con gli individui o enti che possedevano tale qualità in </w:t>
      </w:r>
      <w:r w:rsidR="00A24446">
        <w:t>virtù dell’ordinamento</w:t>
      </w:r>
      <w:r w:rsidR="00333C13" w:rsidRPr="003E7976">
        <w:t xml:space="preserve"> interno. Il problema dell’attribuzione allo Stato dei fatti </w:t>
      </w:r>
      <w:r w:rsidR="00333C13" w:rsidRPr="003E7976">
        <w:rPr>
          <w:i/>
        </w:rPr>
        <w:t>ultra vires</w:t>
      </w:r>
      <w:r w:rsidR="00333C13" w:rsidRPr="003E7976">
        <w:t>, pertanto, sorgeva esclusivamente con riferimento ad individui o enti legati allo Stato da un rapporto formale: era necessario operare un r</w:t>
      </w:r>
      <w:r w:rsidR="00A24446">
        <w:t xml:space="preserve">invio all’ordinamento </w:t>
      </w:r>
      <w:r w:rsidR="00333C13" w:rsidRPr="003E7976">
        <w:t>interno al fine di determinare se la competenza dell’organo in questione era stata rispettata o meno</w:t>
      </w:r>
      <w:r w:rsidR="00333C13">
        <w:t>.</w:t>
      </w:r>
    </w:p>
    <w:p w:rsidR="00333C13" w:rsidRDefault="00333C13" w:rsidP="00EB037D">
      <w:pPr>
        <w:spacing w:after="0" w:line="360" w:lineRule="auto"/>
        <w:ind w:firstLine="284"/>
        <w:jc w:val="both"/>
      </w:pPr>
      <w:r>
        <w:t>In seconda lettura la Commissione ha ampliato</w:t>
      </w:r>
      <w:r w:rsidR="008545FC">
        <w:t xml:space="preserve"> – come si è detto</w:t>
      </w:r>
      <w:r w:rsidR="008545FC">
        <w:rPr>
          <w:rStyle w:val="Rimandonotaapidipagina"/>
        </w:rPr>
        <w:footnoteReference w:id="353"/>
      </w:r>
      <w:r w:rsidR="008545FC">
        <w:t xml:space="preserve"> -</w:t>
      </w:r>
      <w:r>
        <w:t xml:space="preserve"> la nozione di organo riconoscendo l’esistenza di tale </w:t>
      </w:r>
      <w:r w:rsidRPr="008F3285">
        <w:rPr>
          <w:i/>
        </w:rPr>
        <w:t>status</w:t>
      </w:r>
      <w:r>
        <w:t xml:space="preserve"> in presenza di un’effettiva integrazione di un individuo o ente nell’organizzazione statale, ammettendo </w:t>
      </w:r>
      <w:r w:rsidR="00CD7730">
        <w:t xml:space="preserve">così </w:t>
      </w:r>
      <w:r>
        <w:t>in maniera implicita la possibilità che in alcuni casi tale rapporto organico possa basarsi su un legame di fatto esistente tra un individuo o ente e lo Stato, piuttosto che sulle prescrizioni  del diritto interno.</w:t>
      </w:r>
    </w:p>
    <w:p w:rsidR="00333C13" w:rsidRDefault="0092730A" w:rsidP="00EB037D">
      <w:pPr>
        <w:spacing w:after="0" w:line="360" w:lineRule="auto"/>
        <w:ind w:firstLine="284"/>
        <w:jc w:val="both"/>
      </w:pPr>
      <w:r>
        <w:t xml:space="preserve">Ciò </w:t>
      </w:r>
      <w:r w:rsidR="00CD7730">
        <w:t xml:space="preserve">ha come conseguenza </w:t>
      </w:r>
      <w:r w:rsidR="00333C13">
        <w:t xml:space="preserve">che, almeno in via di principio, l’attribuzione di fatti </w:t>
      </w:r>
      <w:r w:rsidR="00333C13" w:rsidRPr="00EA068A">
        <w:rPr>
          <w:i/>
        </w:rPr>
        <w:t>ultra vires</w:t>
      </w:r>
      <w:r w:rsidR="00333C13">
        <w:t xml:space="preserve"> possa a</w:t>
      </w:r>
      <w:r w:rsidR="00CD7730">
        <w:t>vvenire anche con riferimento a comportamenti di</w:t>
      </w:r>
      <w:r w:rsidR="00333C13">
        <w:t xml:space="preserve"> individui o enti che godono della qualità organica in virtù di un legame fattuale, a tal punto stretto con lo Stato, da determinarne l’integrazione nella sua struttura di governo.</w:t>
      </w:r>
    </w:p>
    <w:p w:rsidR="00890195" w:rsidRDefault="00333C13" w:rsidP="005115FE">
      <w:pPr>
        <w:spacing w:after="0" w:line="360" w:lineRule="auto"/>
        <w:ind w:firstLine="284"/>
        <w:jc w:val="both"/>
      </w:pPr>
      <w:r>
        <w:t>L’assenza di riferimenti precisi</w:t>
      </w:r>
      <w:r w:rsidR="00CD7730">
        <w:t>, da parte della CDI,</w:t>
      </w:r>
      <w:r>
        <w:t xml:space="preserve"> a dati della prassi internazionale sembra suffragare l’ipotesi che l’eliminazione di qualsiasi ri</w:t>
      </w:r>
      <w:r w:rsidR="00CD7730">
        <w:t>ferimento al diritto interno sia</w:t>
      </w:r>
      <w:r>
        <w:t xml:space="preserve"> stata apportata dalla Commissione sulla base di </w:t>
      </w:r>
      <w:r w:rsidR="00AF7B6C">
        <w:t>mere considerazioni teoriche</w:t>
      </w:r>
      <w:r>
        <w:t>, allo scopo di garantire coerenza con altre disposizioni del medesimo progetto. La regola formulata in seconda lettura dalla Commissione</w:t>
      </w:r>
      <w:r w:rsidR="00CD7730">
        <w:t>,</w:t>
      </w:r>
      <w:r>
        <w:t xml:space="preserve"> infatti</w:t>
      </w:r>
      <w:r w:rsidR="00CD7730">
        <w:t>,</w:t>
      </w:r>
      <w:r>
        <w:t xml:space="preserve"> non indica in quale modo sia possibile accertare l’esistenza dello </w:t>
      </w:r>
      <w:r w:rsidRPr="00A262BF">
        <w:rPr>
          <w:i/>
        </w:rPr>
        <w:t>status</w:t>
      </w:r>
      <w:r>
        <w:t xml:space="preserve"> di organo e le competenze ad esso spettanti sulla base della rilevazione di elementi fattuali, rendendo più incerto l’ambito applicativo del regime attributivo fondato sulla nozione di organo.</w:t>
      </w:r>
      <w:r w:rsidR="006C41B2">
        <w:t xml:space="preserve"> </w:t>
      </w:r>
    </w:p>
    <w:p w:rsidR="005115FE" w:rsidRDefault="005115FE" w:rsidP="005115FE">
      <w:pPr>
        <w:spacing w:after="0" w:line="360" w:lineRule="auto"/>
        <w:ind w:firstLine="284"/>
        <w:jc w:val="both"/>
      </w:pPr>
    </w:p>
    <w:p w:rsidR="00AE3375" w:rsidRDefault="00AE3375" w:rsidP="005115FE">
      <w:pPr>
        <w:spacing w:after="0" w:line="360" w:lineRule="auto"/>
        <w:ind w:firstLine="284"/>
        <w:jc w:val="both"/>
      </w:pPr>
    </w:p>
    <w:p w:rsidR="00890195" w:rsidRPr="00890195" w:rsidRDefault="00890195" w:rsidP="00890195">
      <w:pPr>
        <w:spacing w:after="0" w:line="360" w:lineRule="auto"/>
        <w:ind w:firstLine="284"/>
        <w:jc w:val="center"/>
        <w:rPr>
          <w:i/>
        </w:rPr>
      </w:pPr>
      <w:r w:rsidRPr="00890195">
        <w:rPr>
          <w:i/>
        </w:rPr>
        <w:t>Sezione II.</w:t>
      </w:r>
    </w:p>
    <w:p w:rsidR="002E0C70" w:rsidRDefault="00890195" w:rsidP="00890195">
      <w:pPr>
        <w:spacing w:after="0" w:line="360" w:lineRule="auto"/>
        <w:ind w:firstLine="284"/>
        <w:jc w:val="center"/>
      </w:pPr>
      <w:r>
        <w:t>LA PRASSI E LA GIURISPRUDENZA INTERNAZIONALE CONTEMPORANEE E SUCCESSIVE AI LAVORI DI CODIFICAZIONE DELLA COMMISSIONE DEL DIRITTO INTERNAZIONALE</w:t>
      </w:r>
    </w:p>
    <w:p w:rsidR="00F52C42" w:rsidRDefault="00F52C42" w:rsidP="002E0C70">
      <w:pPr>
        <w:spacing w:after="0" w:line="360" w:lineRule="auto"/>
        <w:ind w:firstLine="284"/>
        <w:jc w:val="both"/>
      </w:pPr>
    </w:p>
    <w:p w:rsidR="00F52C42" w:rsidRDefault="00F52C42" w:rsidP="008629FF">
      <w:pPr>
        <w:pStyle w:val="Paragrafoelenco"/>
        <w:numPr>
          <w:ilvl w:val="0"/>
          <w:numId w:val="9"/>
        </w:numPr>
        <w:spacing w:after="0" w:line="360" w:lineRule="auto"/>
        <w:jc w:val="both"/>
      </w:pPr>
      <w:r>
        <w:t xml:space="preserve">Premessa </w:t>
      </w:r>
    </w:p>
    <w:p w:rsidR="00E168A2" w:rsidRDefault="00E168A2" w:rsidP="002E0C70">
      <w:pPr>
        <w:spacing w:after="0" w:line="360" w:lineRule="auto"/>
        <w:ind w:firstLine="284"/>
        <w:jc w:val="both"/>
      </w:pPr>
    </w:p>
    <w:p w:rsidR="00BA4FAD" w:rsidRDefault="00E168A2" w:rsidP="00BA4FAD">
      <w:pPr>
        <w:spacing w:after="0" w:line="360" w:lineRule="auto"/>
        <w:ind w:firstLine="284"/>
        <w:jc w:val="both"/>
      </w:pPr>
      <w:r>
        <w:t>Per ragioni di sistematicità dell’esame dei dati offerti dalla prassi internazionale,</w:t>
      </w:r>
      <w:r w:rsidRPr="000D3C94">
        <w:t xml:space="preserve"> </w:t>
      </w:r>
      <w:r>
        <w:t xml:space="preserve">anche con riferimento alla prassi più recente la trattazione verrà distinta fra prese di posizione degli Stati e giurisprudenza internazionale. Occorre evidenziare </w:t>
      </w:r>
      <w:r w:rsidR="002F4E8C">
        <w:t>l’</w:t>
      </w:r>
      <w:r w:rsidR="00AC1B47">
        <w:t>indubbia importanza che tali manifestazioni della prassi</w:t>
      </w:r>
      <w:r>
        <w:t xml:space="preserve"> </w:t>
      </w:r>
      <w:r w:rsidR="002F4E8C">
        <w:t xml:space="preserve">assumono </w:t>
      </w:r>
      <w:r>
        <w:t xml:space="preserve">rispetto </w:t>
      </w:r>
      <w:r w:rsidR="00D32390">
        <w:t>all’accertamento della regola dell’</w:t>
      </w:r>
      <w:r>
        <w:t xml:space="preserve">attribuzione allo Stato dei fatti illeciti </w:t>
      </w:r>
      <w:r w:rsidRPr="00E168A2">
        <w:rPr>
          <w:i/>
        </w:rPr>
        <w:t>ultra vires</w:t>
      </w:r>
      <w:r>
        <w:t xml:space="preserve"> dei propri organi. </w:t>
      </w:r>
    </w:p>
    <w:p w:rsidR="0051462E" w:rsidRDefault="009F2CEE" w:rsidP="0051462E">
      <w:pPr>
        <w:spacing w:after="0" w:line="360" w:lineRule="auto"/>
        <w:ind w:firstLine="284"/>
        <w:jc w:val="both"/>
      </w:pPr>
      <w:r>
        <w:t>Come vedremo</w:t>
      </w:r>
      <w:r w:rsidR="00BA4FAD">
        <w:rPr>
          <w:rStyle w:val="Rimandonotaapidipagina"/>
        </w:rPr>
        <w:footnoteReference w:id="354"/>
      </w:r>
      <w:r>
        <w:t>, n</w:t>
      </w:r>
      <w:r w:rsidR="00E168A2">
        <w:t xml:space="preserve">ella giurisprudenza internazionale </w:t>
      </w:r>
      <w:r>
        <w:t>recente si è fatto frequentemente ricorso alla regola secondo cui devono considerarsi fatti dello</w:t>
      </w:r>
      <w:r w:rsidR="00BA4FAD">
        <w:t xml:space="preserve"> Stato sul piano internazionale tutte le condotte tenute</w:t>
      </w:r>
      <w:r>
        <w:t xml:space="preserve"> dagli organi nella loro qualità ufficiale</w:t>
      </w:r>
      <w:r w:rsidR="004F1D25">
        <w:t xml:space="preserve">, mentre scarseggiano invece le prese di posizione degli Stati in cui tale criterio attributivo viene enunciato. </w:t>
      </w:r>
    </w:p>
    <w:p w:rsidR="004F4523" w:rsidRDefault="0051462E" w:rsidP="0051462E">
      <w:pPr>
        <w:spacing w:after="0" w:line="360" w:lineRule="auto"/>
        <w:ind w:firstLine="284"/>
        <w:jc w:val="both"/>
      </w:pPr>
      <w:r>
        <w:t xml:space="preserve">Per quanto concerne la sezione dedicata alla giurisprudenza internazionale, </w:t>
      </w:r>
      <w:r w:rsidR="002F4E8C">
        <w:t xml:space="preserve">sono </w:t>
      </w:r>
      <w:r>
        <w:t xml:space="preserve">state incluse nella trattazione anche sentenze rese da alcuni tribunali la cui natura propriamente “internazionale” è stata </w:t>
      </w:r>
      <w:r w:rsidR="002F4E8C">
        <w:t xml:space="preserve">talora </w:t>
      </w:r>
      <w:r>
        <w:t>messa in discussione, quali ad esempio il tribunale Iran/Stati Uniti e i tribunali arbitrali istituit</w:t>
      </w:r>
      <w:r w:rsidR="00833EC4">
        <w:t>i mediante rico</w:t>
      </w:r>
      <w:r>
        <w:t>rso all’ICSID. La giurisprudenza di tali tribunali risulta tuttavia rilevante ai fini della presente indagine dal momento che nei casi esaminati la controversia è stata risolta secondo gli arbitri alla luce di quanto stabilito dalle norme di diritto internazionale. Si è ritenuto infine opportuno includere anche un parere reso dal Comitato dei diritti dell’uomo, in quanto organo internazionale dalle funzioni “para-giurisdizionali”.</w:t>
      </w:r>
    </w:p>
    <w:p w:rsidR="00866EA5" w:rsidRDefault="00BA4FAD" w:rsidP="00866EA5">
      <w:pPr>
        <w:spacing w:after="0" w:line="360" w:lineRule="auto"/>
        <w:ind w:firstLine="284"/>
        <w:jc w:val="both"/>
      </w:pPr>
      <w:r>
        <w:t xml:space="preserve">A causa probabilmente anche della </w:t>
      </w:r>
      <w:r w:rsidR="000625FE">
        <w:t>complessità</w:t>
      </w:r>
      <w:r>
        <w:t xml:space="preserve"> di reperire</w:t>
      </w:r>
      <w:r w:rsidR="00AC1B47">
        <w:t xml:space="preserve"> </w:t>
      </w:r>
      <w:r>
        <w:t xml:space="preserve">i documenti diplomatici più recenti, si </w:t>
      </w:r>
      <w:r w:rsidR="002F4E8C">
        <w:t>riscontrano</w:t>
      </w:r>
      <w:r>
        <w:t xml:space="preserve"> numerose diffi</w:t>
      </w:r>
      <w:r w:rsidR="002F4E8C">
        <w:t xml:space="preserve">coltà nell’individuare dei casi della prassi </w:t>
      </w:r>
      <w:r>
        <w:t>in cui dalla desc</w:t>
      </w:r>
      <w:r w:rsidR="002F4E8C">
        <w:t>r</w:t>
      </w:r>
      <w:r>
        <w:t xml:space="preserve">izione delle circostanze </w:t>
      </w:r>
      <w:r w:rsidR="002F4E8C">
        <w:t xml:space="preserve">risulta </w:t>
      </w:r>
      <w:r w:rsidR="001B13CC">
        <w:t xml:space="preserve">che </w:t>
      </w:r>
      <w:r>
        <w:t xml:space="preserve">la responsabilità internazionale di uno Stato </w:t>
      </w:r>
      <w:r w:rsidR="002F4E8C">
        <w:t xml:space="preserve">sia stata </w:t>
      </w:r>
      <w:r w:rsidR="00AA6E3F">
        <w:t>riconosciuta nonostante</w:t>
      </w:r>
      <w:r w:rsidR="001B13CC">
        <w:t xml:space="preserve"> l</w:t>
      </w:r>
      <w:r w:rsidR="00AA6E3F">
        <w:t>a condo</w:t>
      </w:r>
      <w:r w:rsidR="002F4E8C">
        <w:t>t</w:t>
      </w:r>
      <w:r w:rsidR="00AA6E3F">
        <w:t xml:space="preserve">ta </w:t>
      </w:r>
      <w:r w:rsidR="001B13CC">
        <w:t>fosse</w:t>
      </w:r>
      <w:r w:rsidR="00AC1B47">
        <w:t xml:space="preserve"> stata</w:t>
      </w:r>
      <w:r w:rsidR="001B13CC">
        <w:t xml:space="preserve"> </w:t>
      </w:r>
      <w:r w:rsidR="00AC1B47">
        <w:t>tenuta</w:t>
      </w:r>
      <w:r w:rsidR="00AC1B47" w:rsidRPr="00BA4FAD">
        <w:rPr>
          <w:i/>
        </w:rPr>
        <w:t xml:space="preserve"> </w:t>
      </w:r>
      <w:r w:rsidR="00AC1B47">
        <w:t xml:space="preserve">dall’organo statale </w:t>
      </w:r>
      <w:r w:rsidR="001B13CC" w:rsidRPr="00BA4FAD">
        <w:rPr>
          <w:i/>
        </w:rPr>
        <w:t>ultra vires</w:t>
      </w:r>
      <w:r w:rsidR="001B13CC">
        <w:t xml:space="preserve">. </w:t>
      </w:r>
      <w:r w:rsidR="00CA530E">
        <w:t xml:space="preserve">Sovente quanto risulta da notizie apparse sulla stampa periodica o su riviste giuridiche specializzate relativamente a controversie in cui </w:t>
      </w:r>
      <w:r w:rsidR="002F4E8C">
        <w:t xml:space="preserve">si è posto </w:t>
      </w:r>
      <w:r w:rsidR="00CA530E">
        <w:t>il problema della responsabilità per fatti di organi incompetenti non è sufficiente a ricostruire le argomentazioni degli Stati.</w:t>
      </w:r>
      <w:r w:rsidR="00CF2266">
        <w:t xml:space="preserve"> Indubbiamente la posizione</w:t>
      </w:r>
      <w:r w:rsidR="008370AE">
        <w:t xml:space="preserve"> degli Stati in questo periodo risulta maggiormente dalle argomentazioni delle parti dinanzi i trib</w:t>
      </w:r>
      <w:r w:rsidR="00DE568C">
        <w:t>unali, che si è preferito però</w:t>
      </w:r>
      <w:r w:rsidR="008370AE">
        <w:t xml:space="preserve"> esaminare nella sezione dedicata alla giurisprudenza al fine di non frammentare la trattazione </w:t>
      </w:r>
      <w:r w:rsidR="00DE568C">
        <w:t>dei casi presi in esame.</w:t>
      </w:r>
    </w:p>
    <w:p w:rsidR="00866EA5" w:rsidRDefault="002F4E8C" w:rsidP="00CB1815">
      <w:pPr>
        <w:spacing w:after="0" w:line="360" w:lineRule="auto"/>
        <w:ind w:firstLine="284"/>
        <w:jc w:val="both"/>
      </w:pPr>
      <w:r>
        <w:t xml:space="preserve">Tenendo sempre conto del </w:t>
      </w:r>
      <w:r w:rsidR="00E13E79">
        <w:t>criterio cronologico, s</w:t>
      </w:r>
      <w:r w:rsidR="001B13CC">
        <w:t xml:space="preserve">i è provveduto ad organizzare l’esame della prassi </w:t>
      </w:r>
      <w:r w:rsidR="000F6EA4">
        <w:t>diplomatica</w:t>
      </w:r>
      <w:r w:rsidR="00866EA5">
        <w:t xml:space="preserve"> non più in funzione dell’area geografica di appartenenza dello Stato </w:t>
      </w:r>
      <w:r w:rsidR="000F6EA4">
        <w:t xml:space="preserve"> </w:t>
      </w:r>
      <w:r w:rsidR="00866EA5">
        <w:t xml:space="preserve">autore della presa di posizione, bensì </w:t>
      </w:r>
      <w:r w:rsidR="001B13CC">
        <w:t xml:space="preserve">intorno ad alcune ipotesi rispetto alle </w:t>
      </w:r>
      <w:r w:rsidR="00385E8C">
        <w:t>quali, nel corso degli ultimi decenni,</w:t>
      </w:r>
      <w:r w:rsidR="001B13CC">
        <w:t xml:space="preserve"> </w:t>
      </w:r>
      <w:r w:rsidR="000F6EA4">
        <w:t xml:space="preserve">con più frequenza </w:t>
      </w:r>
      <w:r w:rsidR="00385E8C">
        <w:t>si sono avute prese di posizione degli Stati con riferimento a</w:t>
      </w:r>
      <w:r w:rsidR="00AC1B47">
        <w:t xml:space="preserve">l compimento di un fatto illecito </w:t>
      </w:r>
      <w:r w:rsidR="00AC1B47" w:rsidRPr="000F6EA4">
        <w:rPr>
          <w:i/>
        </w:rPr>
        <w:t>ultra vires</w:t>
      </w:r>
      <w:r w:rsidR="00866EA5">
        <w:t xml:space="preserve"> da parte de</w:t>
      </w:r>
      <w:r w:rsidR="00AC1B47">
        <w:t xml:space="preserve">i </w:t>
      </w:r>
      <w:r w:rsidR="00866EA5">
        <w:t>propri organi.</w:t>
      </w:r>
    </w:p>
    <w:p w:rsidR="00BA4FAD" w:rsidRDefault="007F1E44" w:rsidP="00CB1815">
      <w:pPr>
        <w:spacing w:after="0" w:line="360" w:lineRule="auto"/>
        <w:ind w:firstLine="284"/>
        <w:jc w:val="both"/>
      </w:pPr>
      <w:r>
        <w:t xml:space="preserve">Le ipotesi alle quali si fa riferimento sono, in particolare, l’abbattimento di velivoli </w:t>
      </w:r>
      <w:r w:rsidR="000A75D4">
        <w:t>o l’affondamento di natanti</w:t>
      </w:r>
      <w:r w:rsidR="000A75D4" w:rsidRPr="000A75D4">
        <w:t xml:space="preserve"> </w:t>
      </w:r>
      <w:r w:rsidR="000A75D4">
        <w:t>stranieri</w:t>
      </w:r>
      <w:r>
        <w:t>, la violazione delle frontiere e il mancato rispetto dell’</w:t>
      </w:r>
      <w:r w:rsidR="00576E79">
        <w:t xml:space="preserve">inviolabilità personale </w:t>
      </w:r>
      <w:r>
        <w:t>degli agenti diplomatici.</w:t>
      </w:r>
      <w:r w:rsidR="00576E79">
        <w:t xml:space="preserve"> Rispetto alle suddette ipotesi, si procederà quindi ad accertare </w:t>
      </w:r>
      <w:r w:rsidR="00576E79" w:rsidRPr="00576E79">
        <w:rPr>
          <w:i/>
        </w:rPr>
        <w:t>in primis</w:t>
      </w:r>
      <w:r w:rsidR="00576E79">
        <w:t xml:space="preserve"> se il fatto sia stato effettivamente tenuto da un organo nel mancato rispetto della competenza o delle istruzioni ricevute, e </w:t>
      </w:r>
      <w:r w:rsidR="00576E79" w:rsidRPr="00576E79">
        <w:rPr>
          <w:i/>
        </w:rPr>
        <w:t>in secundis</w:t>
      </w:r>
      <w:r w:rsidR="00576E79">
        <w:t xml:space="preserve"> quale sia stato l’atteggiamento degli Stati coinvolti con riferimento al riconoscimento di tali fatti come fatti dello Stato sul piano internazionale.</w:t>
      </w:r>
      <w:r w:rsidR="001D3F23">
        <w:t xml:space="preserve"> </w:t>
      </w:r>
    </w:p>
    <w:p w:rsidR="002E0C70" w:rsidRDefault="002E0C70" w:rsidP="002E0C70">
      <w:pPr>
        <w:spacing w:after="0" w:line="360" w:lineRule="auto"/>
      </w:pPr>
    </w:p>
    <w:p w:rsidR="000063B2" w:rsidRDefault="00333C13" w:rsidP="008629FF">
      <w:pPr>
        <w:pStyle w:val="Paragrafoelenco"/>
        <w:numPr>
          <w:ilvl w:val="0"/>
          <w:numId w:val="9"/>
        </w:numPr>
        <w:spacing w:after="0" w:line="360" w:lineRule="auto"/>
      </w:pPr>
      <w:r>
        <w:t>La prassi degli Stati</w:t>
      </w:r>
    </w:p>
    <w:p w:rsidR="00DE568C" w:rsidRDefault="00DE568C" w:rsidP="00DE568C">
      <w:pPr>
        <w:spacing w:after="0" w:line="360" w:lineRule="auto"/>
        <w:ind w:left="360"/>
      </w:pPr>
    </w:p>
    <w:p w:rsidR="00F84EC3" w:rsidRDefault="004A6A53" w:rsidP="00895B86">
      <w:pPr>
        <w:spacing w:after="0" w:line="360" w:lineRule="auto"/>
        <w:ind w:firstLine="284"/>
        <w:jc w:val="both"/>
      </w:pPr>
      <w:r>
        <w:t xml:space="preserve">In ragione </w:t>
      </w:r>
      <w:r w:rsidR="00E7780B">
        <w:t>delle difficoltà di reperire la prassi recente relativa a controversie risolte in via diplomatica, l</w:t>
      </w:r>
      <w:r w:rsidR="00F84EC3">
        <w:t xml:space="preserve">e prese di posizione di Stati </w:t>
      </w:r>
      <w:r w:rsidR="00CF2266">
        <w:t>che ci si app</w:t>
      </w:r>
      <w:r w:rsidR="00E7780B">
        <w:t>resta ad esaminare offrono indubbiamente pochi s</w:t>
      </w:r>
      <w:r>
        <w:t>punti di riflessione. Malgrado</w:t>
      </w:r>
      <w:r w:rsidR="00E7780B">
        <w:t xml:space="preserve"> la frammentarietà della prassi e la difficolt</w:t>
      </w:r>
      <w:r>
        <w:t>à di ricostruire esattamente l’atteggiamento degli Stati in proposito</w:t>
      </w:r>
      <w:r w:rsidR="00E7780B">
        <w:t>, i casi esaminati sembrano c</w:t>
      </w:r>
      <w:r w:rsidR="00CD60B6">
        <w:t>o</w:t>
      </w:r>
      <w:r w:rsidR="00E7780B">
        <w:t xml:space="preserve">nfermare che gli Stati devono rispondere internazionalmente anche dei fatti </w:t>
      </w:r>
      <w:r w:rsidR="00E7780B" w:rsidRPr="000A4A09">
        <w:rPr>
          <w:i/>
        </w:rPr>
        <w:t>ultra vires</w:t>
      </w:r>
      <w:r w:rsidR="00E7780B">
        <w:t xml:space="preserve"> tenuti dai propri organi.</w:t>
      </w:r>
    </w:p>
    <w:p w:rsidR="00E13E79" w:rsidRPr="009E6BB0" w:rsidRDefault="00895B86" w:rsidP="00CD60B6">
      <w:pPr>
        <w:spacing w:after="0" w:line="360" w:lineRule="auto"/>
        <w:ind w:firstLine="284"/>
        <w:jc w:val="both"/>
      </w:pPr>
      <w:r>
        <w:t xml:space="preserve">Nella seconda parte del ventesimo secolo in numerose circostanze gli Stati hanno riconosciuto la propria responsabilità internazionale per l’abbattimento di velivoli o l’affondamento di natanti stranieri da parte dei propri organi. Anche se non risulta sempre evidente dall’esposizione dei fatti che </w:t>
      </w:r>
      <w:r w:rsidR="000063B2">
        <w:t xml:space="preserve">gli individui-organi abbiano agito nel mancato rispetto del diritto interno o delle istruzioni ricevute, sembra importante notare come in epoca recente nessuno Stato </w:t>
      </w:r>
      <w:r w:rsidR="000063B2" w:rsidRPr="00C3741B">
        <w:t xml:space="preserve">abbia più tentato di sfuggire alla propria responsabilità internazionale per un fatto </w:t>
      </w:r>
      <w:r w:rsidR="00CF2266">
        <w:t xml:space="preserve">illecito </w:t>
      </w:r>
      <w:r w:rsidR="009E6BB0">
        <w:t xml:space="preserve">di </w:t>
      </w:r>
      <w:r w:rsidR="000063B2" w:rsidRPr="00C3741B">
        <w:t xml:space="preserve">un proprio organo </w:t>
      </w:r>
      <w:r w:rsidR="00591F55">
        <w:t xml:space="preserve">obiettando </w:t>
      </w:r>
      <w:r w:rsidR="000063B2" w:rsidRPr="00C3741B">
        <w:t xml:space="preserve">che si trattasse di un fatto assimilabile a quello di un privato in quanto </w:t>
      </w:r>
      <w:r w:rsidR="009E6BB0">
        <w:t xml:space="preserve">tenuto </w:t>
      </w:r>
      <w:r w:rsidR="000063B2" w:rsidRPr="00C3741B">
        <w:rPr>
          <w:i/>
        </w:rPr>
        <w:t>ultra vires</w:t>
      </w:r>
      <w:r w:rsidR="000063B2" w:rsidRPr="00C3741B">
        <w:t>.</w:t>
      </w:r>
      <w:r w:rsidR="00CD60B6">
        <w:t xml:space="preserve"> </w:t>
      </w:r>
      <w:r w:rsidR="00C3741B" w:rsidRPr="00C3741B">
        <w:t>Si pensi, ad esempio, all’incidente del</w:t>
      </w:r>
      <w:r w:rsidR="00E13E79" w:rsidRPr="00C3741B">
        <w:t xml:space="preserve"> 21 febbraio 1973, </w:t>
      </w:r>
      <w:r w:rsidR="00C3741B" w:rsidRPr="00C3741B">
        <w:t xml:space="preserve">quando </w:t>
      </w:r>
      <w:r w:rsidR="00E13E79" w:rsidRPr="00C3741B">
        <w:t xml:space="preserve">un aereo di linea libico B–727 è stato abbattuto da alcuni aerei da guerra israeliani mentre sorvolava la penisola del Sinai </w:t>
      </w:r>
      <w:r w:rsidR="00E13E79" w:rsidRPr="009E6BB0">
        <w:t>durante un volo diretto al Cairo</w:t>
      </w:r>
      <w:r w:rsidR="00E13E79" w:rsidRPr="009E6BB0">
        <w:rPr>
          <w:rStyle w:val="Rimandonotaapidipagina"/>
        </w:rPr>
        <w:footnoteReference w:id="355"/>
      </w:r>
      <w:r w:rsidR="00E13E79" w:rsidRPr="009E6BB0">
        <w:t>.</w:t>
      </w:r>
    </w:p>
    <w:p w:rsidR="00797EF7" w:rsidRDefault="00E13E79" w:rsidP="00797EF7">
      <w:pPr>
        <w:spacing w:after="0" w:line="360" w:lineRule="auto"/>
        <w:ind w:firstLine="284"/>
        <w:jc w:val="both"/>
      </w:pPr>
      <w:r w:rsidRPr="009E6BB0">
        <w:t xml:space="preserve">Inizialmente Israele ha rigettato la propria responsabilità internazionale sostenendo che i suoi organi non avevano commesso alcun tipo di illecito, bensì avevano agito nel rispetto delle disposizioni del diritto internazionale. Soltanto in un secondo momento il Governo israeliano ha espresso il suo cordoglio e ha riconosciuto la propria responsabilità internazionale per il comportamento dei propri organi, accettando di pagare un risarcimento di 30, 000 dollari per </w:t>
      </w:r>
      <w:r w:rsidR="004A6A53">
        <w:t xml:space="preserve">ciascuna </w:t>
      </w:r>
      <w:r w:rsidRPr="009E6BB0">
        <w:t>vittima. La responsabilità internazionale di Israele per tale disastro aereo è stata inoltre affermata in una risoluzione del Consiglio dell’ICAO</w:t>
      </w:r>
      <w:r w:rsidRPr="009E6BB0">
        <w:rPr>
          <w:rStyle w:val="Rimandonotaapidipagina"/>
        </w:rPr>
        <w:footnoteReference w:id="356"/>
      </w:r>
      <w:r w:rsidRPr="009E6BB0">
        <w:t>.</w:t>
      </w:r>
    </w:p>
    <w:p w:rsidR="00797EF7" w:rsidRPr="009E6BB0" w:rsidRDefault="004A6A53" w:rsidP="00797EF7">
      <w:pPr>
        <w:spacing w:after="0" w:line="360" w:lineRule="auto"/>
        <w:ind w:firstLine="284"/>
        <w:jc w:val="both"/>
      </w:pPr>
      <w:r>
        <w:t>Dalla descrizione dei</w:t>
      </w:r>
      <w:r w:rsidR="00797EF7" w:rsidRPr="00797EF7">
        <w:t xml:space="preserve"> fatti è estremamente</w:t>
      </w:r>
      <w:r w:rsidR="00797EF7">
        <w:t xml:space="preserve"> difficile capire se l’organo abbia</w:t>
      </w:r>
      <w:r w:rsidR="00865580">
        <w:t xml:space="preserve"> agito oltrepassando </w:t>
      </w:r>
      <w:r w:rsidR="00797EF7" w:rsidRPr="00797EF7">
        <w:t>la propria competenza contravvenendo alle istruzioni o alle disposizioni del proprio ordinamento interno.</w:t>
      </w:r>
      <w:r w:rsidR="00797EF7">
        <w:t xml:space="preserve"> Ai fini della presente indagine preme in ogni modo rilevare come Israele non abbia eccepito la circostanza che la condotta era stata tenuta dai propri organi </w:t>
      </w:r>
      <w:r w:rsidR="00444628" w:rsidRPr="00444628">
        <w:rPr>
          <w:i/>
        </w:rPr>
        <w:t>ultra vires</w:t>
      </w:r>
      <w:r w:rsidR="00444628">
        <w:t xml:space="preserve"> </w:t>
      </w:r>
      <w:r w:rsidR="00797EF7">
        <w:t xml:space="preserve">al fine di non risponderne </w:t>
      </w:r>
      <w:r w:rsidR="00444628">
        <w:t xml:space="preserve">nell’ordinamento </w:t>
      </w:r>
      <w:r w:rsidR="00797EF7">
        <w:t>internazionale.</w:t>
      </w:r>
    </w:p>
    <w:p w:rsidR="000A75D4" w:rsidRPr="00F92426" w:rsidRDefault="00F92426" w:rsidP="00F92426">
      <w:pPr>
        <w:spacing w:after="0" w:line="360" w:lineRule="auto"/>
        <w:ind w:firstLine="284"/>
        <w:jc w:val="both"/>
      </w:pPr>
      <w:r w:rsidRPr="00F92426">
        <w:t xml:space="preserve">Una vicenda </w:t>
      </w:r>
      <w:r w:rsidR="000A75D4" w:rsidRPr="00F92426">
        <w:t>che ha suscitato grande scalpore nella comunità internazionale</w:t>
      </w:r>
      <w:r w:rsidRPr="00F92426">
        <w:t>,</w:t>
      </w:r>
      <w:r w:rsidR="000A75D4" w:rsidRPr="00F92426">
        <w:t xml:space="preserve"> a causa del</w:t>
      </w:r>
      <w:r w:rsidRPr="00F92426">
        <w:t xml:space="preserve">l’elevato numero delle vittime, è stato </w:t>
      </w:r>
      <w:r w:rsidR="000A75D4" w:rsidRPr="00F92426">
        <w:t>l’incidente aereo del 1°</w:t>
      </w:r>
      <w:r w:rsidRPr="00F92426">
        <w:t xml:space="preserve"> settembre 1983</w:t>
      </w:r>
      <w:r>
        <w:t>.</w:t>
      </w:r>
    </w:p>
    <w:p w:rsidR="000A75D4" w:rsidRPr="0097252D" w:rsidRDefault="000A75D4" w:rsidP="000A75D4">
      <w:pPr>
        <w:spacing w:after="0" w:line="360" w:lineRule="auto"/>
        <w:ind w:firstLine="284"/>
        <w:jc w:val="both"/>
      </w:pPr>
      <w:r w:rsidRPr="00F92426">
        <w:t xml:space="preserve">La mattina di tal giorno, un aereo coreano con 269 persone a bordo è stato abbattuto da alcuni </w:t>
      </w:r>
      <w:r w:rsidRPr="00167B52">
        <w:t>aerei da guerra dell’URSS a seguito della sua penetrazione nello spazio aereo sovietico sul mare di Okhotsk</w:t>
      </w:r>
      <w:r w:rsidRPr="00167B52">
        <w:rPr>
          <w:rStyle w:val="Rimandonotaapidipagina"/>
        </w:rPr>
        <w:footnoteReference w:id="357"/>
      </w:r>
      <w:r w:rsidRPr="00167B52">
        <w:t>. Una settimana dopo il disastro aer</w:t>
      </w:r>
      <w:r w:rsidR="004A6A53">
        <w:t>eo, nel</w:t>
      </w:r>
      <w:r w:rsidRPr="00167B52">
        <w:t xml:space="preserve"> </w:t>
      </w:r>
      <w:r w:rsidR="00F92426" w:rsidRPr="00167B52">
        <w:t xml:space="preserve">Consiglio di </w:t>
      </w:r>
      <w:r w:rsidR="00167B52" w:rsidRPr="00167B52">
        <w:t>s</w:t>
      </w:r>
      <w:r w:rsidR="004A6A53">
        <w:t>icurezza delle Nazioni Unite</w:t>
      </w:r>
      <w:r w:rsidRPr="00167B52">
        <w:t xml:space="preserve"> l’ambasciatore statunitense </w:t>
      </w:r>
      <w:r w:rsidRPr="0097252D">
        <w:t xml:space="preserve">Kirkpatrick ha </w:t>
      </w:r>
      <w:r w:rsidR="004A6A53">
        <w:t>criticato l’Unione Sovietica per non avere riconosciuto</w:t>
      </w:r>
      <w:r w:rsidRPr="0097252D">
        <w:t xml:space="preserve"> la propria responsabilità internazionale per </w:t>
      </w:r>
      <w:r w:rsidR="0097252D" w:rsidRPr="0097252D">
        <w:t>quanto accaduto:</w:t>
      </w:r>
    </w:p>
    <w:p w:rsidR="000A75D4" w:rsidRPr="0097252D" w:rsidRDefault="000A75D4" w:rsidP="000A75D4">
      <w:pPr>
        <w:spacing w:after="0" w:line="360" w:lineRule="auto"/>
        <w:ind w:firstLine="284"/>
        <w:jc w:val="both"/>
      </w:pPr>
    </w:p>
    <w:p w:rsidR="00310D01" w:rsidRDefault="000A75D4" w:rsidP="00310D01">
      <w:pPr>
        <w:spacing w:after="0" w:line="360" w:lineRule="auto"/>
        <w:ind w:left="567" w:right="567" w:firstLine="284"/>
        <w:jc w:val="both"/>
        <w:rPr>
          <w:lang w:val="en-US"/>
        </w:rPr>
      </w:pPr>
      <w:r w:rsidRPr="0097252D">
        <w:rPr>
          <w:lang w:val="en-US"/>
        </w:rPr>
        <w:t>“Had the Soviet Government taken responsibility for the action, admitted that a terrible mistake had been made, offered compensation to the families for the loss of life, and in co-operation with other States, undertaken a review of the incident to ensure that such a tragedy would not recur, then the consequences of the event would have been contained and, to the degree possible, minimized”</w:t>
      </w:r>
      <w:r w:rsidRPr="0097252D">
        <w:rPr>
          <w:rStyle w:val="Rimandonotaapidipagina"/>
        </w:rPr>
        <w:footnoteReference w:id="358"/>
      </w:r>
      <w:r w:rsidRPr="0097252D">
        <w:rPr>
          <w:lang w:val="en-US"/>
        </w:rPr>
        <w:t>.</w:t>
      </w:r>
    </w:p>
    <w:p w:rsidR="00310D01" w:rsidRDefault="00310D01" w:rsidP="00310D01">
      <w:pPr>
        <w:spacing w:after="0" w:line="360" w:lineRule="auto"/>
        <w:ind w:left="567" w:right="567" w:firstLine="284"/>
        <w:jc w:val="both"/>
        <w:rPr>
          <w:lang w:val="en-US"/>
        </w:rPr>
      </w:pPr>
    </w:p>
    <w:p w:rsidR="000A75D4" w:rsidRDefault="00444628" w:rsidP="000A75D4">
      <w:pPr>
        <w:spacing w:after="0" w:line="360" w:lineRule="auto"/>
        <w:ind w:firstLine="284"/>
        <w:jc w:val="both"/>
      </w:pPr>
      <w:r>
        <w:t>Il giorno successivo alla</w:t>
      </w:r>
      <w:r w:rsidR="000A75D4" w:rsidRPr="0097252D">
        <w:t xml:space="preserve"> presa di posizione</w:t>
      </w:r>
      <w:r>
        <w:t xml:space="preserve"> degli Stati Uniti</w:t>
      </w:r>
      <w:r w:rsidR="000A75D4" w:rsidRPr="0097252D">
        <w:t>, il capo delle forze armate sovietiche ha tenuto una conferenza stampa sul disastro aereo nel corso della quale ha espresso il suo cordoglio, ma ha allo stesso tempo rigettato la responsabilità internazionale dell’Unione Sovietica sostenendo che si potesse ammettere soltanto una responsabilità personale degli autori di tale comportamento</w:t>
      </w:r>
      <w:r w:rsidR="000A75D4" w:rsidRPr="0097252D">
        <w:rPr>
          <w:rStyle w:val="Rimandonotaapidipagina"/>
        </w:rPr>
        <w:footnoteReference w:id="359"/>
      </w:r>
      <w:r w:rsidR="000A75D4" w:rsidRPr="0097252D">
        <w:t xml:space="preserve">. </w:t>
      </w:r>
      <w:r w:rsidR="000123F2">
        <w:t>L’Unione Sovietica non ha successivamente presentato scuse uffici</w:t>
      </w:r>
      <w:r w:rsidR="004A6A53">
        <w:t>ali</w:t>
      </w:r>
      <w:r w:rsidR="000123F2">
        <w:t>, né ha pagato una cifra a titolo di risarcimento.</w:t>
      </w:r>
    </w:p>
    <w:p w:rsidR="000A75D4" w:rsidRPr="00676215" w:rsidRDefault="004A6A53" w:rsidP="000A75D4">
      <w:pPr>
        <w:spacing w:after="0" w:line="360" w:lineRule="auto"/>
        <w:ind w:firstLine="284"/>
        <w:jc w:val="both"/>
      </w:pPr>
      <w:r>
        <w:t>Una vicenda</w:t>
      </w:r>
      <w:r w:rsidR="000A75D4" w:rsidRPr="00676215">
        <w:t xml:space="preserve"> </w:t>
      </w:r>
      <w:r w:rsidR="00591F55" w:rsidRPr="00676215">
        <w:t>in riferimento</w:t>
      </w:r>
      <w:r>
        <w:t xml:space="preserve"> alla quale</w:t>
      </w:r>
      <w:r w:rsidR="00591F55" w:rsidRPr="00676215">
        <w:t xml:space="preserve"> è possibile sostenere</w:t>
      </w:r>
      <w:r>
        <w:t xml:space="preserve"> che</w:t>
      </w:r>
      <w:r w:rsidR="00591F55" w:rsidRPr="00676215">
        <w:t xml:space="preserve"> ci sia stata una implicita </w:t>
      </w:r>
      <w:r w:rsidR="000A75D4" w:rsidRPr="00676215">
        <w:t xml:space="preserve">affermazione del principio della responsabilità internazionale dello Stato per attività </w:t>
      </w:r>
      <w:r w:rsidR="000A75D4" w:rsidRPr="00676215">
        <w:rPr>
          <w:i/>
        </w:rPr>
        <w:t>ultra vires</w:t>
      </w:r>
      <w:r>
        <w:t xml:space="preserve"> di propri organi </w:t>
      </w:r>
      <w:r w:rsidR="000A75D4" w:rsidRPr="00676215">
        <w:t xml:space="preserve">è </w:t>
      </w:r>
      <w:r w:rsidR="00591F55" w:rsidRPr="00676215">
        <w:t xml:space="preserve">il </w:t>
      </w:r>
      <w:r w:rsidR="000A75D4" w:rsidRPr="00676215">
        <w:t xml:space="preserve">caso </w:t>
      </w:r>
      <w:r w:rsidR="000A75D4" w:rsidRPr="00676215">
        <w:rPr>
          <w:i/>
        </w:rPr>
        <w:t>U.S.S. Stark</w:t>
      </w:r>
      <w:r w:rsidR="000A75D4" w:rsidRPr="00676215">
        <w:rPr>
          <w:rStyle w:val="Rimandonotaapidipagina"/>
        </w:rPr>
        <w:footnoteReference w:id="360"/>
      </w:r>
      <w:r w:rsidR="000A75D4" w:rsidRPr="00676215">
        <w:t>.</w:t>
      </w:r>
    </w:p>
    <w:p w:rsidR="000A75D4" w:rsidRPr="00676215" w:rsidRDefault="000A75D4" w:rsidP="000A75D4">
      <w:pPr>
        <w:spacing w:after="0" w:line="360" w:lineRule="auto"/>
        <w:ind w:firstLine="284"/>
        <w:jc w:val="both"/>
      </w:pPr>
      <w:r w:rsidRPr="00676215">
        <w:t>Il 17 maggio 1987, la fregata U.S.S Stark, mentre stazionava nel Golfo Persico a circa 70 miglia dalle coste del Bahrain, è stata colpita da due missili sparati da un aereo da guerra irakeno: 37 membri dell’equipaggio furono uccisi dall’esplosione e numerosi altri furono gravemente feriti.</w:t>
      </w:r>
    </w:p>
    <w:p w:rsidR="00591F55" w:rsidRPr="00676215" w:rsidRDefault="000A75D4" w:rsidP="000A75D4">
      <w:pPr>
        <w:spacing w:after="0" w:line="360" w:lineRule="auto"/>
        <w:ind w:firstLine="284"/>
        <w:jc w:val="both"/>
      </w:pPr>
      <w:r w:rsidRPr="00676215">
        <w:t>In una lettera inviata al Presidente statunitense Reagan, il Presidente iracheno Saddam Hussein ha espresso il suo “</w:t>
      </w:r>
      <w:r w:rsidRPr="00676215">
        <w:rPr>
          <w:i/>
        </w:rPr>
        <w:t>deepest regret</w:t>
      </w:r>
      <w:r w:rsidRPr="00676215">
        <w:t xml:space="preserve"> </w:t>
      </w:r>
      <w:r w:rsidRPr="00676215">
        <w:rPr>
          <w:i/>
        </w:rPr>
        <w:t>for the</w:t>
      </w:r>
      <w:r w:rsidRPr="00676215">
        <w:t xml:space="preserve"> </w:t>
      </w:r>
      <w:r w:rsidRPr="00676215">
        <w:rPr>
          <w:i/>
        </w:rPr>
        <w:t>tragic and unintentional incident</w:t>
      </w:r>
      <w:r w:rsidRPr="00676215">
        <w:t>” e si è augurato che tale tragedia non compromettesse le relazioni tra i due paesi</w:t>
      </w:r>
      <w:r w:rsidRPr="00676215">
        <w:rPr>
          <w:rStyle w:val="Rimandonotaapidipagina"/>
        </w:rPr>
        <w:footnoteReference w:id="361"/>
      </w:r>
      <w:r w:rsidRPr="00676215">
        <w:t xml:space="preserve">. </w:t>
      </w:r>
    </w:p>
    <w:p w:rsidR="00E263CF" w:rsidRPr="000779F2" w:rsidRDefault="000A75D4" w:rsidP="00D464B7">
      <w:pPr>
        <w:spacing w:after="0" w:line="360" w:lineRule="auto"/>
        <w:ind w:firstLine="284"/>
        <w:jc w:val="both"/>
      </w:pPr>
      <w:r w:rsidRPr="00676215">
        <w:t xml:space="preserve">In una nota diplomatica presentata il 20 maggio 1987 all’ambasciatore irakeno a Washington, l’Assistente del Segretario di Stato ha esposto la posizione degli Stati Uniti con riferimento all’attacco e ha sottolineato l’esigenza che il Governo irakeno riconoscesse la propria responsabilità internazionale per l’accaduto, fornisse delle </w:t>
      </w:r>
      <w:r w:rsidRPr="000779F2">
        <w:t>assicurazioni e garanzie di non reiterazione e pagasse una somma di denaro a titolo di risarcimento</w:t>
      </w:r>
      <w:r w:rsidRPr="000779F2">
        <w:rPr>
          <w:rStyle w:val="Rimandonotaapidipagina"/>
        </w:rPr>
        <w:footnoteReference w:id="362"/>
      </w:r>
      <w:r w:rsidRPr="000779F2">
        <w:t>.</w:t>
      </w:r>
      <w:r w:rsidR="000779F2" w:rsidRPr="000779F2">
        <w:t xml:space="preserve"> Il Ministro degli Affari Esteri irakeno ha </w:t>
      </w:r>
      <w:r w:rsidR="000779F2">
        <w:t xml:space="preserve">infine </w:t>
      </w:r>
      <w:r w:rsidR="000779F2" w:rsidRPr="000779F2">
        <w:t>comunicato di accettare la richiesta americana del pagamento di un risarcimento del danno in una nota diplomatica inviata all’Ambasciata americana a Baghdad il 21 maggio  1987</w:t>
      </w:r>
      <w:r w:rsidR="00D464B7">
        <w:rPr>
          <w:rStyle w:val="Rimandonotaapidipagina"/>
        </w:rPr>
        <w:footnoteReference w:id="363"/>
      </w:r>
      <w:r w:rsidR="000779F2">
        <w:t>.</w:t>
      </w:r>
      <w:r w:rsidR="00E263CF">
        <w:t xml:space="preserve"> Alla luce </w:t>
      </w:r>
      <w:r w:rsidR="00D464B7">
        <w:t xml:space="preserve">delle circostanze fattuali, sembra possibile ritenere che nel caso di specie gli organi avessero oltrepassato la propria competenza </w:t>
      </w:r>
      <w:r w:rsidR="00E263CF">
        <w:t>contravvenendo alle istruzioni o alle disposizioni del proprio ordinamento interno.</w:t>
      </w:r>
      <w:r w:rsidR="00D464B7">
        <w:t xml:space="preserve"> Rileva pertanto ai fini della presente indagine l’atteggiamento dei Governi favorevole a riconoscere la responsabilità internazionale dello Stato per gli illeciti commessi dai propri organi nell’esercizio delle funzioni, indi</w:t>
      </w:r>
      <w:r w:rsidR="00EB42AD">
        <w:t xml:space="preserve">pendentemente dal rispetto delle norme interne sulla </w:t>
      </w:r>
      <w:r w:rsidR="00D464B7">
        <w:t>competenza.</w:t>
      </w:r>
    </w:p>
    <w:p w:rsidR="0034664B" w:rsidRDefault="000A75D4" w:rsidP="0034664B">
      <w:pPr>
        <w:spacing w:after="0" w:line="360" w:lineRule="auto"/>
        <w:ind w:firstLine="284"/>
        <w:jc w:val="both"/>
      </w:pPr>
      <w:r w:rsidRPr="000779F2">
        <w:t xml:space="preserve"> </w:t>
      </w:r>
      <w:r w:rsidR="0034664B" w:rsidRPr="0034664B">
        <w:t>Con riferimento all’ipotesi di mancato rispetto dell’inviolabilità personale degli agenti diplomatici</w:t>
      </w:r>
      <w:r w:rsidR="0034664B">
        <w:t>, u</w:t>
      </w:r>
      <w:r w:rsidR="0034664B" w:rsidRPr="0034664B">
        <w:t>n</w:t>
      </w:r>
      <w:r w:rsidR="00333C13" w:rsidRPr="0034664B">
        <w:t xml:space="preserve">a </w:t>
      </w:r>
      <w:r w:rsidR="00EB42AD">
        <w:t xml:space="preserve">vicenda </w:t>
      </w:r>
      <w:r w:rsidR="00333C13" w:rsidRPr="0034664B">
        <w:t xml:space="preserve">in cui il Governo degli Stati Uniti ha riconosciuto la propria responsabilità internazionale per un comportamento non autorizzato di propri organi è il caso </w:t>
      </w:r>
      <w:r w:rsidR="00333C13" w:rsidRPr="0034664B">
        <w:rPr>
          <w:i/>
        </w:rPr>
        <w:t xml:space="preserve">Guerrero </w:t>
      </w:r>
      <w:r w:rsidR="00333C13" w:rsidRPr="0034664B">
        <w:t>del 10 agosto 1971</w:t>
      </w:r>
      <w:r w:rsidR="00333C13" w:rsidRPr="0034664B">
        <w:rPr>
          <w:rStyle w:val="Rimandonotaapidipagina"/>
        </w:rPr>
        <w:footnoteReference w:id="364"/>
      </w:r>
      <w:r w:rsidR="00333C13" w:rsidRPr="0034664B">
        <w:t>. Il con</w:t>
      </w:r>
      <w:r w:rsidR="00BC2710" w:rsidRPr="0034664B">
        <w:t xml:space="preserve">sole generale della Repubblica dominicana a Los Angeles, </w:t>
      </w:r>
      <w:r w:rsidR="00333C13" w:rsidRPr="0034664B">
        <w:t>Pablo Guerrero, e sua moglie erano corsi in aiuto dei propri vicini che si erano feriti scivolando dal marciapiede. Mentre stavano portando i feriti in ospedale, i coniugi sono stati fermati dalla polizia. Gli agenti, dopo aver messo le manette alla moglie del console, l’hanno violentemente sbattuta contro la vettura procurandole una frattura alla spalla. Anche il console Guerrero ha ricevuto il medesimo trattamento, senza ricevere ascolto mentre eccepiva di godere dell’immunità consolare.</w:t>
      </w:r>
      <w:r w:rsidR="00BC2710" w:rsidRPr="0034664B">
        <w:t xml:space="preserve"> </w:t>
      </w:r>
      <w:r w:rsidR="00333C13" w:rsidRPr="0034664B">
        <w:t>Quando, alla stazione di polizia, è s</w:t>
      </w:r>
      <w:r w:rsidR="00BC2710" w:rsidRPr="0034664B">
        <w:t>tata scoperta l’identità delle</w:t>
      </w:r>
      <w:r w:rsidR="00333C13" w:rsidRPr="0034664B">
        <w:t xml:space="preserve"> </w:t>
      </w:r>
      <w:r w:rsidR="00BC2710" w:rsidRPr="0034664B">
        <w:t>persone arrestate, gli agenti</w:t>
      </w:r>
      <w:r w:rsidR="00333C13" w:rsidRPr="0034664B">
        <w:t xml:space="preserve"> hanno dichiarat</w:t>
      </w:r>
      <w:r w:rsidR="00BC2710" w:rsidRPr="0034664B">
        <w:t xml:space="preserve">o di essere desolati </w:t>
      </w:r>
      <w:r w:rsidR="00333C13" w:rsidRPr="0034664B">
        <w:t>per l’incidente e le autorità americane hanno presentato pubbliche scuse.</w:t>
      </w:r>
      <w:r w:rsidR="0034664B">
        <w:t xml:space="preserve"> Anche in tale caso lo Stato ha riconosciuto la propria responsabilità internazionale</w:t>
      </w:r>
      <w:r w:rsidR="00EE4BBB" w:rsidRPr="0034664B">
        <w:t xml:space="preserve"> </w:t>
      </w:r>
      <w:r w:rsidR="0034664B">
        <w:t>per i fatti tenuti dai propri organi, nonostante nel caso di specie avessero presumibilmente agito in violazione delle disposizioni del diritto interno.</w:t>
      </w:r>
    </w:p>
    <w:p w:rsidR="00333C13" w:rsidRPr="000779F2" w:rsidRDefault="00333C13" w:rsidP="0034664B">
      <w:pPr>
        <w:spacing w:after="0" w:line="360" w:lineRule="auto"/>
        <w:ind w:firstLine="284"/>
        <w:jc w:val="both"/>
      </w:pPr>
      <w:r w:rsidRPr="0034664B">
        <w:t xml:space="preserve">Una </w:t>
      </w:r>
      <w:r w:rsidR="0034664B" w:rsidRPr="0034664B">
        <w:t xml:space="preserve">ulteriore </w:t>
      </w:r>
      <w:r w:rsidR="00F5559E">
        <w:t xml:space="preserve">vicenda </w:t>
      </w:r>
      <w:r w:rsidRPr="0034664B">
        <w:t xml:space="preserve">in cui non è stato eccepito il mancato rispetto delle disposizioni di diritto interno nell’adozione di un </w:t>
      </w:r>
      <w:r w:rsidRPr="000779F2">
        <w:t xml:space="preserve">comportamento illecito da parte di un organo ai fini del rigetto da parte di uno Stato della natura statale della condotta e della sua conseguente responsabilità internazionale è il caso </w:t>
      </w:r>
      <w:r w:rsidRPr="000779F2">
        <w:rPr>
          <w:i/>
        </w:rPr>
        <w:t>Lazo Vracaritch</w:t>
      </w:r>
      <w:r w:rsidRPr="000779F2">
        <w:rPr>
          <w:rStyle w:val="Rimandonotaapidipagina"/>
        </w:rPr>
        <w:footnoteReference w:id="365"/>
      </w:r>
      <w:r w:rsidRPr="000779F2">
        <w:t>.</w:t>
      </w:r>
    </w:p>
    <w:p w:rsidR="00333C13" w:rsidRPr="000779F2" w:rsidRDefault="00333C13" w:rsidP="00EB037D">
      <w:pPr>
        <w:tabs>
          <w:tab w:val="right" w:pos="9638"/>
        </w:tabs>
        <w:spacing w:after="0" w:line="360" w:lineRule="auto"/>
        <w:ind w:firstLine="284"/>
        <w:jc w:val="both"/>
      </w:pPr>
      <w:r w:rsidRPr="000779F2">
        <w:t>Un cittadino iugoslavo di nome Lazo Vracaritch, ex capitano delle forze della resistenza, era stato arrestato a Monaco</w:t>
      </w:r>
      <w:r w:rsidR="00F5559E">
        <w:t xml:space="preserve"> di Baviera</w:t>
      </w:r>
      <w:r w:rsidRPr="000779F2">
        <w:t xml:space="preserve"> il 2 novembre 1961 su mandato del Dipartimento d</w:t>
      </w:r>
      <w:r w:rsidR="005A7217" w:rsidRPr="000779F2">
        <w:t>el Consiglio di Stato di Costanza</w:t>
      </w:r>
      <w:r w:rsidRPr="000779F2">
        <w:t xml:space="preserve"> con l’accusa di aver ucciso alcuni soldati tedeschi durante l’occupazione della Iugoslavia nel 1941.</w:t>
      </w:r>
    </w:p>
    <w:p w:rsidR="00E24987" w:rsidRDefault="00333C13" w:rsidP="00D3607B">
      <w:pPr>
        <w:tabs>
          <w:tab w:val="right" w:pos="9638"/>
        </w:tabs>
        <w:spacing w:after="0" w:line="360" w:lineRule="auto"/>
        <w:ind w:firstLine="284"/>
        <w:jc w:val="both"/>
      </w:pPr>
      <w:r w:rsidRPr="000779F2">
        <w:t>A seguito di una protesta</w:t>
      </w:r>
      <w:r w:rsidR="00C954A7" w:rsidRPr="000779F2">
        <w:t xml:space="preserve"> ufficiale</w:t>
      </w:r>
      <w:r w:rsidRPr="000779F2">
        <w:t xml:space="preserve"> da parte del Governo iugoslavo </w:t>
      </w:r>
      <w:r w:rsidR="00D3607B" w:rsidRPr="000779F2">
        <w:t xml:space="preserve">per </w:t>
      </w:r>
      <w:r w:rsidRPr="000779F2">
        <w:t xml:space="preserve">un arresto avvenuto </w:t>
      </w:r>
      <w:r w:rsidR="000779F2" w:rsidRPr="000779F2">
        <w:t xml:space="preserve">in </w:t>
      </w:r>
      <w:r w:rsidR="00F5559E">
        <w:t xml:space="preserve">contrasto </w:t>
      </w:r>
      <w:r w:rsidR="000779F2" w:rsidRPr="000779F2">
        <w:t xml:space="preserve">con la normativa adottata a seguito della sconfitta della Germania hitleriana, </w:t>
      </w:r>
      <w:r w:rsidR="00D3607B" w:rsidRPr="000779F2">
        <w:t>il Ministro degli affari e</w:t>
      </w:r>
      <w:r w:rsidRPr="000779F2">
        <w:t xml:space="preserve">steri tedesco ha </w:t>
      </w:r>
      <w:r w:rsidR="00D3607B" w:rsidRPr="000779F2">
        <w:t xml:space="preserve">dichiarato </w:t>
      </w:r>
      <w:r w:rsidRPr="000779F2">
        <w:t>che né il Ministro della giustizia di Baden-Württemberg né il Ministro Federale erano al corrente di quanto accaduto</w:t>
      </w:r>
      <w:r w:rsidRPr="000779F2">
        <w:rPr>
          <w:rStyle w:val="Rimandonotaapidipagina"/>
        </w:rPr>
        <w:footnoteReference w:id="366"/>
      </w:r>
      <w:r w:rsidRPr="000779F2">
        <w:t>.</w:t>
      </w:r>
      <w:r w:rsidR="00D3607B" w:rsidRPr="000779F2">
        <w:t xml:space="preserve"> </w:t>
      </w:r>
    </w:p>
    <w:p w:rsidR="00333C13" w:rsidRPr="000779F2" w:rsidRDefault="00333C13" w:rsidP="00D3607B">
      <w:pPr>
        <w:tabs>
          <w:tab w:val="right" w:pos="9638"/>
        </w:tabs>
        <w:spacing w:after="0" w:line="360" w:lineRule="auto"/>
        <w:ind w:firstLine="284"/>
        <w:jc w:val="both"/>
      </w:pPr>
      <w:r w:rsidRPr="000779F2">
        <w:t>Subito dopo la scarcerazione di Vracaritch</w:t>
      </w:r>
      <w:r w:rsidR="00E24987">
        <w:t xml:space="preserve"> e la presentazione di pubbliche scuse da parte delle autorità giudiziarie tedesche</w:t>
      </w:r>
      <w:r w:rsidRPr="000779F2">
        <w:t>, il Ministro federale della Giusti</w:t>
      </w:r>
      <w:r w:rsidR="00B467C3" w:rsidRPr="000779F2">
        <w:t>zia ha dichiarato che l’</w:t>
      </w:r>
      <w:r w:rsidRPr="000779F2">
        <w:t xml:space="preserve">incidente era da attribuire ad un errore </w:t>
      </w:r>
      <w:r w:rsidR="00B467C3" w:rsidRPr="000779F2">
        <w:t xml:space="preserve">di un funzionario </w:t>
      </w:r>
      <w:r w:rsidRPr="000779F2">
        <w:t>burocratico e che erano state prese le necessarie misure affinché non si ripetessero episodi di tal genere.</w:t>
      </w:r>
    </w:p>
    <w:p w:rsidR="00333C13" w:rsidRPr="00486B9E" w:rsidRDefault="00333C13" w:rsidP="00EB037D">
      <w:pPr>
        <w:tabs>
          <w:tab w:val="right" w:pos="9638"/>
        </w:tabs>
        <w:spacing w:after="0" w:line="360" w:lineRule="auto"/>
        <w:ind w:firstLine="284"/>
        <w:jc w:val="both"/>
      </w:pPr>
      <w:r w:rsidRPr="000779F2">
        <w:t xml:space="preserve">Il Governo iugoslavo non ha considerato sufficienti le scuse delle autorità giudiziarie tedesche al fine della risoluzione della controversia e ha </w:t>
      </w:r>
      <w:r w:rsidRPr="00486B9E">
        <w:t>richiesto il pagamento di una somma a titolo di risarcimento a favore del proprio cittadino.</w:t>
      </w:r>
      <w:r w:rsidR="00B467C3" w:rsidRPr="00486B9E">
        <w:t xml:space="preserve"> </w:t>
      </w:r>
      <w:r w:rsidR="00486B9E" w:rsidRPr="00486B9E">
        <w:t xml:space="preserve">Il Governo tedesco non ha fatto altro che rinnovare </w:t>
      </w:r>
      <w:r w:rsidR="00486B9E">
        <w:t xml:space="preserve">le scuse, </w:t>
      </w:r>
      <w:r w:rsidR="00F5559E">
        <w:t>ignoran</w:t>
      </w:r>
      <w:r w:rsidR="00D32390">
        <w:t xml:space="preserve">do </w:t>
      </w:r>
      <w:r w:rsidR="00D810CC">
        <w:t xml:space="preserve">invece </w:t>
      </w:r>
      <w:r w:rsidR="00486B9E">
        <w:t>le ulteriori richieste del Governo jugoslavo.</w:t>
      </w:r>
    </w:p>
    <w:p w:rsidR="00771496" w:rsidRPr="000779F2" w:rsidRDefault="00F5559E" w:rsidP="006F16B6">
      <w:pPr>
        <w:tabs>
          <w:tab w:val="right" w:pos="9638"/>
        </w:tabs>
        <w:spacing w:after="0" w:line="360" w:lineRule="auto"/>
        <w:ind w:firstLine="284"/>
        <w:jc w:val="both"/>
      </w:pPr>
      <w:r>
        <w:t xml:space="preserve">Si può osservare </w:t>
      </w:r>
      <w:r w:rsidR="00333C13" w:rsidRPr="000779F2">
        <w:t>che anche il Governo tedesco non ha messo in discussione l’attribuzione allo Stato</w:t>
      </w:r>
      <w:r>
        <w:t xml:space="preserve"> federale del comportamento dell’</w:t>
      </w:r>
      <w:r w:rsidR="00333C13" w:rsidRPr="000779F2">
        <w:t xml:space="preserve">organo </w:t>
      </w:r>
      <w:r>
        <w:t xml:space="preserve">giudiziario </w:t>
      </w:r>
      <w:r w:rsidR="00333C13" w:rsidRPr="000779F2">
        <w:t>benché fosse stato adottato in violazione del diritto interno ed ha pertanto ritenuto appropriato risponderne in ambito internazionale.</w:t>
      </w:r>
      <w:r w:rsidR="006F16B6" w:rsidRPr="000779F2">
        <w:t xml:space="preserve"> </w:t>
      </w:r>
    </w:p>
    <w:p w:rsidR="000A75D4" w:rsidRPr="000779F2" w:rsidRDefault="000A75D4" w:rsidP="00377ED0">
      <w:pPr>
        <w:spacing w:after="0" w:line="360" w:lineRule="auto"/>
        <w:ind w:firstLine="284"/>
        <w:jc w:val="both"/>
      </w:pPr>
      <w:r w:rsidRPr="000779F2">
        <w:t xml:space="preserve">Un caso della prassi in cui è </w:t>
      </w:r>
      <w:r w:rsidR="00486B9E">
        <w:t xml:space="preserve">particolarmente </w:t>
      </w:r>
      <w:r w:rsidRPr="000779F2">
        <w:t xml:space="preserve">difficile stabilire </w:t>
      </w:r>
      <w:r w:rsidR="00377ED0">
        <w:t xml:space="preserve">dalla descrizione dei soli fatti se l’organo ha agito in connivenza con il suo Governo oppure ha oltrepassato la propria competenza contravvenendo alle istruzioni o alle disposizioni del proprio ordinamento interno </w:t>
      </w:r>
      <w:r w:rsidRPr="000779F2">
        <w:t xml:space="preserve">è il caso </w:t>
      </w:r>
      <w:r w:rsidRPr="000779F2">
        <w:rPr>
          <w:i/>
        </w:rPr>
        <w:t>Drew</w:t>
      </w:r>
      <w:r w:rsidRPr="000779F2">
        <w:t>, risalente al 1978. Un dipendente dell’ambasciata britannica, di nome Richard Drew, era stato prelevato dalla sua autovettura a Bagdad da alcuni agenti della polizia irakena, era stato condotto in una stazione di polizia e successivamente picchiato</w:t>
      </w:r>
      <w:r w:rsidRPr="000779F2">
        <w:rPr>
          <w:rStyle w:val="Rimandonotaapidipagina"/>
        </w:rPr>
        <w:footnoteReference w:id="367"/>
      </w:r>
      <w:r w:rsidRPr="000779F2">
        <w:t xml:space="preserve">. </w:t>
      </w:r>
    </w:p>
    <w:p w:rsidR="00486B9E" w:rsidRDefault="000A75D4" w:rsidP="00486B9E">
      <w:pPr>
        <w:spacing w:after="0" w:line="360" w:lineRule="auto"/>
        <w:ind w:firstLine="284"/>
        <w:jc w:val="both"/>
      </w:pPr>
      <w:r w:rsidRPr="000779F2">
        <w:t xml:space="preserve">Secondo alcuni autori non si è trattato di un comportamento illecito adottato da organi che agivano </w:t>
      </w:r>
      <w:r w:rsidRPr="000779F2">
        <w:rPr>
          <w:i/>
        </w:rPr>
        <w:t>ultra vires</w:t>
      </w:r>
      <w:r w:rsidRPr="000779F2">
        <w:t xml:space="preserve">, ma di una condotta tenuta su istruzioni del Governo irakeno come reazione ad un episodio avvenuto qualche giorno prima, </w:t>
      </w:r>
      <w:r w:rsidR="00F5559E">
        <w:t xml:space="preserve">quando </w:t>
      </w:r>
      <w:r w:rsidRPr="000779F2">
        <w:t>un diplomatico irakeno a Londra era stato condotto in una stazione di polizia per aver violato alcune regole del codice stradale</w:t>
      </w:r>
      <w:r w:rsidRPr="000779F2">
        <w:rPr>
          <w:rStyle w:val="Rimandonotaapidipagina"/>
        </w:rPr>
        <w:footnoteReference w:id="368"/>
      </w:r>
      <w:r w:rsidRPr="000779F2">
        <w:t>.</w:t>
      </w:r>
    </w:p>
    <w:p w:rsidR="00D22EC9" w:rsidRDefault="000A75D4" w:rsidP="00D22EC9">
      <w:pPr>
        <w:spacing w:after="0" w:line="360" w:lineRule="auto"/>
        <w:ind w:firstLine="284"/>
        <w:jc w:val="both"/>
      </w:pPr>
      <w:r w:rsidRPr="00486B9E">
        <w:t xml:space="preserve">Un episodio </w:t>
      </w:r>
      <w:r w:rsidR="00D22EC9">
        <w:t>invece in cui la violazion</w:t>
      </w:r>
      <w:r w:rsidR="00F5559E">
        <w:t>e delle disposizioni del diritt</w:t>
      </w:r>
      <w:r w:rsidR="00D22EC9">
        <w:t xml:space="preserve">o interno risulta palese </w:t>
      </w:r>
      <w:r w:rsidRPr="00486B9E">
        <w:t xml:space="preserve">risale al 1983, quando un </w:t>
      </w:r>
      <w:r w:rsidRPr="00733035">
        <w:t>poliziotto sudafricano ha picchiato e fratturato un braccio ad un diplomatico dello Zimbabwe, di nome Buyanga, in ragione del suo rifiuto di lasciar perquisire la propria autovettura alla frontiera tra i due Stati</w:t>
      </w:r>
      <w:r w:rsidRPr="00733035">
        <w:rPr>
          <w:rStyle w:val="Rimandonotaapidipagina"/>
        </w:rPr>
        <w:footnoteReference w:id="369"/>
      </w:r>
      <w:r w:rsidR="00D22EC9">
        <w:t>.</w:t>
      </w:r>
      <w:r w:rsidRPr="00733035">
        <w:t xml:space="preserve"> Nonostante la condotta </w:t>
      </w:r>
      <w:r w:rsidR="00D22EC9">
        <w:t xml:space="preserve">fosse evidentemente contraria alle </w:t>
      </w:r>
      <w:r w:rsidRPr="00733035">
        <w:t xml:space="preserve">disposizioni di diritto interno, il 4 gennaio 1984 il Ministro degli affari esteri del Sudafrica </w:t>
      </w:r>
      <w:r w:rsidR="00733035">
        <w:t xml:space="preserve">ha riconosciuto </w:t>
      </w:r>
      <w:r w:rsidRPr="00733035">
        <w:t xml:space="preserve">attribuibile </w:t>
      </w:r>
      <w:r w:rsidR="00F5559E">
        <w:t xml:space="preserve">allo Stato sudafricano </w:t>
      </w:r>
      <w:r w:rsidRPr="00733035">
        <w:t>il comportamento dell’agente presentando le proprie scuse ufficiali al Governo dello Zimbabwe.</w:t>
      </w:r>
    </w:p>
    <w:p w:rsidR="00333C13" w:rsidRPr="000729A5" w:rsidRDefault="000729A5" w:rsidP="00377ED0">
      <w:pPr>
        <w:spacing w:after="0" w:line="360" w:lineRule="auto"/>
        <w:ind w:firstLine="284"/>
        <w:jc w:val="both"/>
      </w:pPr>
      <w:r w:rsidRPr="000729A5">
        <w:t>Nella prassi internazionale degli ultimi decenni sono stati</w:t>
      </w:r>
      <w:r w:rsidR="00D22EC9">
        <w:t xml:space="preserve"> infine</w:t>
      </w:r>
      <w:r w:rsidRPr="000729A5">
        <w:t xml:space="preserve"> registrati numerosi episodi in cui gli organi di uno Stato hanno violato la sovranità territoriale di un altro Stato </w:t>
      </w:r>
      <w:r w:rsidR="00377ED0">
        <w:t xml:space="preserve">non rispettando </w:t>
      </w:r>
      <w:r w:rsidRPr="000729A5">
        <w:t xml:space="preserve">le norme sulla competenza. </w:t>
      </w:r>
      <w:r w:rsidR="00733035" w:rsidRPr="000729A5">
        <w:t xml:space="preserve">Uno dei casi </w:t>
      </w:r>
      <w:r w:rsidR="00F5559E" w:rsidRPr="000729A5">
        <w:t xml:space="preserve">più significativi </w:t>
      </w:r>
      <w:r w:rsidR="00733035" w:rsidRPr="000729A5">
        <w:t>della p</w:t>
      </w:r>
      <w:r w:rsidRPr="000729A5">
        <w:t xml:space="preserve">rassi recente in tema di responsabilità internazionale dello Stato per fatti </w:t>
      </w:r>
      <w:r w:rsidRPr="00377ED0">
        <w:rPr>
          <w:i/>
        </w:rPr>
        <w:t>ultra vires</w:t>
      </w:r>
      <w:r w:rsidR="00F5559E">
        <w:t xml:space="preserve"> dei pro</w:t>
      </w:r>
      <w:r w:rsidRPr="000729A5">
        <w:t>p</w:t>
      </w:r>
      <w:r w:rsidR="00F5559E">
        <w:t>r</w:t>
      </w:r>
      <w:r w:rsidRPr="000729A5">
        <w:t xml:space="preserve">i organi </w:t>
      </w:r>
      <w:r w:rsidR="00377ED0">
        <w:t xml:space="preserve">concerne </w:t>
      </w:r>
      <w:r w:rsidRPr="000729A5">
        <w:t xml:space="preserve">questa </w:t>
      </w:r>
      <w:r w:rsidR="00F5559E">
        <w:t>ipotesi.</w:t>
      </w:r>
    </w:p>
    <w:p w:rsidR="00333C13" w:rsidRPr="000729A5" w:rsidRDefault="00333C13" w:rsidP="00EB037D">
      <w:pPr>
        <w:tabs>
          <w:tab w:val="right" w:pos="9638"/>
        </w:tabs>
        <w:spacing w:after="0" w:line="360" w:lineRule="auto"/>
        <w:ind w:firstLine="284"/>
        <w:jc w:val="both"/>
      </w:pPr>
      <w:r w:rsidRPr="000729A5">
        <w:t xml:space="preserve">Il 18 febbraio 1962, due aerei militari, impegnati in una semplice missione di ricognizione del territorio algerino, erano entrati nello spazio aereo del Marocco ed avevano bombardato un centro di addestramento del Fronte di liberazione nazionale algerino, causando la morte di cinque persone ed il ferimento di altre quaranta. </w:t>
      </w:r>
    </w:p>
    <w:p w:rsidR="00333C13" w:rsidRPr="000729A5" w:rsidRDefault="00333C13" w:rsidP="00EB037D">
      <w:pPr>
        <w:tabs>
          <w:tab w:val="right" w:pos="9638"/>
        </w:tabs>
        <w:spacing w:after="0" w:line="360" w:lineRule="auto"/>
        <w:ind w:firstLine="284"/>
        <w:jc w:val="both"/>
      </w:pPr>
      <w:r w:rsidRPr="000729A5">
        <w:t>L’Ufficio stampa delle forze militari francesi in Algeria ha immediatamente pubblicato un comunicato in cui l’accaduto veniva descritto come un comportamento non autorizzato di due piloti che avevano “trahi la confiance de leurs chefs et abandonnant leur mission étaient allés attaquer….un objectif au Maroc”</w:t>
      </w:r>
      <w:r w:rsidRPr="000729A5">
        <w:rPr>
          <w:rStyle w:val="Rimandonotaapidipagina"/>
        </w:rPr>
        <w:footnoteReference w:id="370"/>
      </w:r>
      <w:r w:rsidRPr="000729A5">
        <w:t xml:space="preserve">.  </w:t>
      </w:r>
    </w:p>
    <w:p w:rsidR="00333C13" w:rsidRPr="000729A5" w:rsidRDefault="00333C13" w:rsidP="000F0AE5">
      <w:pPr>
        <w:tabs>
          <w:tab w:val="right" w:pos="9638"/>
        </w:tabs>
        <w:spacing w:after="0" w:line="360" w:lineRule="auto"/>
        <w:ind w:firstLine="284"/>
        <w:jc w:val="both"/>
      </w:pPr>
      <w:r w:rsidRPr="000729A5">
        <w:t>A seguito di una protesta ufficiale del Governo marocchino presso l’ambasciata di Fran</w:t>
      </w:r>
      <w:r w:rsidR="000F0AE5" w:rsidRPr="000729A5">
        <w:t>cia a Rabat, il Ministro degli affari e</w:t>
      </w:r>
      <w:r w:rsidRPr="000729A5">
        <w:t xml:space="preserve">steri francese ha riconosciuto la responsabilità internazionale del proprio Stato per il raid dei due aerei </w:t>
      </w:r>
      <w:r w:rsidR="00C954A7" w:rsidRPr="000729A5">
        <w:t xml:space="preserve">presentando </w:t>
      </w:r>
      <w:r w:rsidRPr="000729A5">
        <w:t>scuse ufficiali all’ambasciata del Marocco a Parigi. Reputando il comportamento un fatto dello Stato, un Tribunale militare ha inoltre condannato i due piloti a venti anni di reclusione per “actes hostiles non approuvés par le gouvernement et de nature à exposer la France à une déclaration de guerre..”</w:t>
      </w:r>
      <w:r w:rsidRPr="000729A5">
        <w:rPr>
          <w:rStyle w:val="Rimandonotaapidipagina"/>
        </w:rPr>
        <w:footnoteReference w:id="371"/>
      </w:r>
      <w:r w:rsidRPr="000729A5">
        <w:t>.</w:t>
      </w:r>
    </w:p>
    <w:p w:rsidR="00291441" w:rsidRDefault="00773690" w:rsidP="00291441">
      <w:pPr>
        <w:spacing w:after="0" w:line="360" w:lineRule="auto"/>
        <w:ind w:firstLine="284"/>
        <w:jc w:val="both"/>
      </w:pPr>
      <w:r>
        <w:t>Sempre con riferimento all’ipotesi di violazione</w:t>
      </w:r>
      <w:r w:rsidRPr="00773690">
        <w:t xml:space="preserve"> </w:t>
      </w:r>
      <w:r>
        <w:t>della sovranità territoriale di uno Stato da parte d</w:t>
      </w:r>
      <w:r w:rsidRPr="000729A5">
        <w:t xml:space="preserve">i organi </w:t>
      </w:r>
      <w:r>
        <w:t>che hanno agito nel mancato rispetto</w:t>
      </w:r>
      <w:r w:rsidRPr="000729A5">
        <w:t xml:space="preserve"> delle norme sulla competenza</w:t>
      </w:r>
      <w:r w:rsidR="00291441">
        <w:t>,</w:t>
      </w:r>
      <w:r>
        <w:t xml:space="preserve"> è possibile </w:t>
      </w:r>
      <w:r w:rsidR="00291441">
        <w:t xml:space="preserve">inoltre </w:t>
      </w:r>
      <w:r>
        <w:t>citare il caso Mantovani.</w:t>
      </w:r>
      <w:r w:rsidR="00291441">
        <w:t xml:space="preserve"> </w:t>
      </w:r>
      <w:r w:rsidR="00333C13" w:rsidRPr="00773690">
        <w:t>Nel marzo del 1975, tre ispettori della polizia italiana hanno arrestato nella città svizzera di Lugano</w:t>
      </w:r>
      <w:r w:rsidR="009A1B4A" w:rsidRPr="00773690">
        <w:t xml:space="preserve"> un cittadino italiano, certo </w:t>
      </w:r>
      <w:r w:rsidR="00333C13" w:rsidRPr="00773690">
        <w:t>Mantovani</w:t>
      </w:r>
      <w:r w:rsidR="00333C13" w:rsidRPr="00773690">
        <w:rPr>
          <w:rStyle w:val="Rimandonotaapidipagina"/>
        </w:rPr>
        <w:footnoteReference w:id="372"/>
      </w:r>
      <w:r w:rsidR="00333C13" w:rsidRPr="00773690">
        <w:t xml:space="preserve">. Dopo averlo ammanettato, i tre ispettori lo hanno portato con la forza nella </w:t>
      </w:r>
      <w:r w:rsidR="00333C13" w:rsidRPr="00773690">
        <w:rPr>
          <w:i/>
        </w:rPr>
        <w:t>enclave</w:t>
      </w:r>
      <w:r w:rsidR="00333C13" w:rsidRPr="00773690">
        <w:t xml:space="preserve"> italiana di Campione e hanno tentato di far</w:t>
      </w:r>
      <w:r w:rsidR="0009314D" w:rsidRPr="00773690">
        <w:t xml:space="preserve">gli firmare </w:t>
      </w:r>
      <w:r w:rsidR="00333C13" w:rsidRPr="00773690">
        <w:t>una dichiarazione in cui avrebbe riconosciuto di essere stato arrestato in territorio italiano. A seguito dell’intervento della polizia ticinese, Mantovani è stato nuovamente ricondotto in territorio svizzero.</w:t>
      </w:r>
    </w:p>
    <w:p w:rsidR="00333C13" w:rsidRPr="00291441" w:rsidRDefault="00333C13" w:rsidP="00291441">
      <w:pPr>
        <w:spacing w:after="0" w:line="360" w:lineRule="auto"/>
        <w:ind w:firstLine="284"/>
        <w:jc w:val="both"/>
      </w:pPr>
      <w:r w:rsidRPr="00773690">
        <w:t>Qualche giorno più tardi il Dipartimento di giustizia federale ha pubblicato un comunicato in cui veniva precisato che tale incidente di frontiera doveva essere attribu</w:t>
      </w:r>
      <w:r w:rsidR="00F5559E">
        <w:t>ito all’eccessivo zelo di sott</w:t>
      </w:r>
      <w:r w:rsidRPr="00773690">
        <w:t>ufficiali della polizia italiana</w:t>
      </w:r>
      <w:r w:rsidRPr="00773690">
        <w:rPr>
          <w:rStyle w:val="Rimandonotaapidipagina"/>
        </w:rPr>
        <w:footnoteReference w:id="373"/>
      </w:r>
      <w:r w:rsidRPr="00773690">
        <w:t xml:space="preserve">. Il riconoscimento da parte del Governo italiano del comportamento </w:t>
      </w:r>
      <w:r w:rsidRPr="00291441">
        <w:t>dei propri organi come fatto statale di cui dover rispondere in ambito internazionale è provato dalla presentazione di scuse ufficiali per la violazione della sovranità territoriale e dall’assicurazione sia di adottare idonee misure ad evitare il verificarsi di episodi similari sia di punire gli organi che avevano agito all’insaputa dei propri superiori.</w:t>
      </w:r>
    </w:p>
    <w:p w:rsidR="00333C13" w:rsidRPr="00291441" w:rsidRDefault="00333C13" w:rsidP="003877D3">
      <w:pPr>
        <w:spacing w:after="0" w:line="360" w:lineRule="auto"/>
        <w:ind w:firstLine="284"/>
        <w:jc w:val="both"/>
      </w:pPr>
      <w:r w:rsidRPr="00291441">
        <w:t xml:space="preserve">Un ulteriore episodio della prassi </w:t>
      </w:r>
      <w:r w:rsidR="00865580">
        <w:t xml:space="preserve">recente </w:t>
      </w:r>
      <w:r w:rsidRPr="00291441">
        <w:t xml:space="preserve">che ha visto coinvolto un cittadino italiano è il caso </w:t>
      </w:r>
      <w:r w:rsidRPr="00291441">
        <w:rPr>
          <w:i/>
        </w:rPr>
        <w:t>Corghi</w:t>
      </w:r>
      <w:r w:rsidRPr="00291441">
        <w:t>. Il 5 agosto 1976 un cittadino italiano di nome Benito Corghi, alla guida di un autocarro, è stato ucciso da alcuni agenti della polizia doganale della Repubblica democratica tedesca</w:t>
      </w:r>
      <w:r w:rsidRPr="00291441">
        <w:rPr>
          <w:rStyle w:val="Rimandonotaapidipagina"/>
        </w:rPr>
        <w:footnoteReference w:id="374"/>
      </w:r>
      <w:r w:rsidRPr="00291441">
        <w:t>. Dopo aver adempiuto tutte le formalità doganali, Corghi aveva lasciato il territorio della Repubblica democratica tedesca e si era avviato verso il posto di frontiera della Repubblica federale tedesca.</w:t>
      </w:r>
      <w:r w:rsidR="003877D3" w:rsidRPr="00291441">
        <w:t xml:space="preserve"> </w:t>
      </w:r>
      <w:r w:rsidRPr="00291441">
        <w:t>Per ragioni che le autorità della Repubblica democratica hanno dichiarato di non conoscere, Corghi stava ritornando indi</w:t>
      </w:r>
      <w:r w:rsidR="00291441" w:rsidRPr="00291441">
        <w:t>etro a piedi quando</w:t>
      </w:r>
      <w:r w:rsidR="003877D3" w:rsidRPr="00291441">
        <w:t xml:space="preserve"> è stato ucciso</w:t>
      </w:r>
      <w:r w:rsidRPr="00291441">
        <w:t xml:space="preserve"> d</w:t>
      </w:r>
      <w:r w:rsidR="00291441" w:rsidRPr="00291441">
        <w:t>a alcuni colpi di arma da fuoco da parte degli agenti della DDR.</w:t>
      </w:r>
    </w:p>
    <w:p w:rsidR="00333C13" w:rsidRPr="00291441" w:rsidRDefault="007D59BC" w:rsidP="00EB037D">
      <w:pPr>
        <w:autoSpaceDE w:val="0"/>
        <w:autoSpaceDN w:val="0"/>
        <w:adjustRightInd w:val="0"/>
        <w:spacing w:after="0" w:line="360" w:lineRule="auto"/>
        <w:ind w:firstLine="284"/>
        <w:jc w:val="both"/>
      </w:pPr>
      <w:r w:rsidRPr="00291441">
        <w:t>Il Ministro degli affari e</w:t>
      </w:r>
      <w:r w:rsidR="00333C13" w:rsidRPr="00291441">
        <w:t>steri della Repubblica democratica tedesca ha escluso in una nota diplomatica che lo Stato dovesse essere rite</w:t>
      </w:r>
      <w:r w:rsidR="005B3C7D" w:rsidRPr="00291441">
        <w:t>nuto responsabile dell’accaduto, perché a suo avviso gli agenti della DDR avevano agito correttamente.</w:t>
      </w:r>
    </w:p>
    <w:p w:rsidR="00333C13" w:rsidRPr="00291441" w:rsidRDefault="00F5559E" w:rsidP="00EB037D">
      <w:pPr>
        <w:autoSpaceDE w:val="0"/>
        <w:autoSpaceDN w:val="0"/>
        <w:adjustRightInd w:val="0"/>
        <w:spacing w:after="0" w:line="360" w:lineRule="auto"/>
        <w:ind w:firstLine="284"/>
        <w:jc w:val="both"/>
      </w:pPr>
      <w:r>
        <w:t xml:space="preserve">Il 28 settembre </w:t>
      </w:r>
      <w:r w:rsidR="00333C13" w:rsidRPr="00291441">
        <w:t>1976, rispondendo in Senato ad un</w:t>
      </w:r>
      <w:r w:rsidR="0053754C" w:rsidRPr="00291441">
        <w:t>a domanda posta da alcuni senatori</w:t>
      </w:r>
      <w:r w:rsidR="007D59BC" w:rsidRPr="00291441">
        <w:t>, il Sottosegretario per gli affari e</w:t>
      </w:r>
      <w:r w:rsidR="00333C13" w:rsidRPr="00291441">
        <w:t>steri italiano ha commentato la suddetta nota diplomatica, affermando che risultava assolutamente chiaro dal rapporto redatto in merito all’accaduto dalla polizia bavarese che il cittadino italiano stava tornando nuovamente a piedi verso la Repubblica democratica tedesca su apposita richiesta delle autorità</w:t>
      </w:r>
      <w:r w:rsidR="007D59BC" w:rsidRPr="00291441">
        <w:t xml:space="preserve"> della DDR</w:t>
      </w:r>
      <w:r w:rsidR="00333C13" w:rsidRPr="00291441">
        <w:t xml:space="preserve">. </w:t>
      </w:r>
    </w:p>
    <w:p w:rsidR="00333C13" w:rsidRDefault="00333C13" w:rsidP="00DA2149">
      <w:pPr>
        <w:autoSpaceDE w:val="0"/>
        <w:autoSpaceDN w:val="0"/>
        <w:adjustRightInd w:val="0"/>
        <w:spacing w:after="0" w:line="360" w:lineRule="auto"/>
        <w:ind w:firstLine="284"/>
        <w:jc w:val="both"/>
        <w:rPr>
          <w:highlight w:val="magenta"/>
        </w:rPr>
      </w:pPr>
      <w:r w:rsidRPr="00291441">
        <w:t>In virtù delle circostanze fattuali con riferimento all’incidente, e</w:t>
      </w:r>
      <w:r w:rsidR="0053754C" w:rsidRPr="00291441">
        <w:t xml:space="preserve">ra possibile pertanto affermare </w:t>
      </w:r>
      <w:r w:rsidRPr="00291441">
        <w:t>che:</w:t>
      </w:r>
      <w:r w:rsidR="00165B22" w:rsidRPr="00291441">
        <w:t xml:space="preserve"> </w:t>
      </w:r>
    </w:p>
    <w:p w:rsidR="00DA2149" w:rsidRPr="00771496" w:rsidRDefault="00DA2149" w:rsidP="00DA2149">
      <w:pPr>
        <w:autoSpaceDE w:val="0"/>
        <w:autoSpaceDN w:val="0"/>
        <w:adjustRightInd w:val="0"/>
        <w:spacing w:after="0" w:line="360" w:lineRule="auto"/>
        <w:ind w:firstLine="284"/>
        <w:jc w:val="both"/>
        <w:rPr>
          <w:highlight w:val="magenta"/>
        </w:rPr>
      </w:pPr>
    </w:p>
    <w:p w:rsidR="00D34B8F" w:rsidRPr="00C6507E" w:rsidRDefault="00333C13" w:rsidP="00EB037D">
      <w:pPr>
        <w:autoSpaceDE w:val="0"/>
        <w:autoSpaceDN w:val="0"/>
        <w:adjustRightInd w:val="0"/>
        <w:spacing w:after="0" w:line="360" w:lineRule="auto"/>
        <w:ind w:left="567" w:right="567" w:firstLine="284"/>
        <w:jc w:val="both"/>
        <w:rPr>
          <w:lang w:val="en-US"/>
        </w:rPr>
      </w:pPr>
      <w:r w:rsidRPr="006C7476">
        <w:t xml:space="preserve"> </w:t>
      </w:r>
      <w:r w:rsidRPr="006C7476">
        <w:rPr>
          <w:lang w:val="en-US"/>
        </w:rPr>
        <w:t>“the German Democratic authorities exceeded any reasonable standard in the adoption of security measures in relation to events that would have required normal care to avoid such a tragic outcome</w:t>
      </w:r>
      <w:r w:rsidR="00D34B8F" w:rsidRPr="006C7476">
        <w:rPr>
          <w:lang w:val="en-US"/>
        </w:rPr>
        <w:t xml:space="preserve">. For this reason the conduct of the GDR amounts to a breach of the customary international rules on the treatment of aliens </w:t>
      </w:r>
      <w:r w:rsidR="00D34B8F" w:rsidRPr="00C6507E">
        <w:rPr>
          <w:lang w:val="en-US"/>
        </w:rPr>
        <w:t>so as to clearly engage the international responsibility of that Government.</w:t>
      </w:r>
    </w:p>
    <w:p w:rsidR="00333C13" w:rsidRPr="00B31828" w:rsidRDefault="00D34B8F" w:rsidP="00EB037D">
      <w:pPr>
        <w:autoSpaceDE w:val="0"/>
        <w:autoSpaceDN w:val="0"/>
        <w:adjustRightInd w:val="0"/>
        <w:spacing w:after="0" w:line="360" w:lineRule="auto"/>
        <w:ind w:left="567" w:right="567" w:firstLine="284"/>
        <w:jc w:val="both"/>
        <w:rPr>
          <w:i/>
          <w:highlight w:val="magenta"/>
          <w:lang w:val="en-US"/>
        </w:rPr>
      </w:pPr>
      <w:r w:rsidRPr="00C6507E">
        <w:rPr>
          <w:lang w:val="en-US"/>
        </w:rPr>
        <w:t>Unfortunately the behaviour followed appears to be clearly inconsistent with engagements undertaken by the Final Acts of the Conference on European Security and Cooperation, whose first anniversary was being celebrated just in those days.</w:t>
      </w:r>
      <w:r w:rsidRPr="00C6507E">
        <w:rPr>
          <w:i/>
          <w:lang w:val="en-US"/>
        </w:rPr>
        <w:t xml:space="preserve"> </w:t>
      </w:r>
      <w:r w:rsidRPr="00C6507E">
        <w:rPr>
          <w:lang w:val="en-US"/>
        </w:rPr>
        <w:t>For these r</w:t>
      </w:r>
      <w:r w:rsidR="006C7476" w:rsidRPr="00C6507E">
        <w:rPr>
          <w:lang w:val="en-US"/>
        </w:rPr>
        <w:t xml:space="preserve">easons, the Italian Government […] </w:t>
      </w:r>
      <w:r w:rsidRPr="00C6507E">
        <w:rPr>
          <w:lang w:val="en-US"/>
        </w:rPr>
        <w:t>has vigourously reiterated the inadmissibility of the denial of responsibility on the part of the GDR</w:t>
      </w:r>
      <w:r w:rsidR="00333C13" w:rsidRPr="00C6507E">
        <w:rPr>
          <w:lang w:val="en-US"/>
        </w:rPr>
        <w:t>”</w:t>
      </w:r>
      <w:r w:rsidR="00333C13" w:rsidRPr="00C6507E">
        <w:rPr>
          <w:rStyle w:val="Rimandonotaapidipagina"/>
        </w:rPr>
        <w:footnoteReference w:id="375"/>
      </w:r>
      <w:r w:rsidR="00333C13" w:rsidRPr="00C6507E">
        <w:rPr>
          <w:lang w:val="en-US"/>
        </w:rPr>
        <w:t xml:space="preserve">. </w:t>
      </w:r>
    </w:p>
    <w:p w:rsidR="00333C13" w:rsidRPr="00B31828" w:rsidRDefault="00333C13" w:rsidP="00EB037D">
      <w:pPr>
        <w:autoSpaceDE w:val="0"/>
        <w:autoSpaceDN w:val="0"/>
        <w:adjustRightInd w:val="0"/>
        <w:spacing w:after="0" w:line="360" w:lineRule="auto"/>
        <w:ind w:firstLine="284"/>
        <w:jc w:val="both"/>
        <w:rPr>
          <w:highlight w:val="magenta"/>
          <w:lang w:val="en-US"/>
        </w:rPr>
      </w:pPr>
    </w:p>
    <w:p w:rsidR="00291441" w:rsidRDefault="00DA2149" w:rsidP="00EE2F45">
      <w:pPr>
        <w:autoSpaceDE w:val="0"/>
        <w:autoSpaceDN w:val="0"/>
        <w:adjustRightInd w:val="0"/>
        <w:spacing w:after="0" w:line="360" w:lineRule="auto"/>
        <w:ind w:firstLine="284"/>
        <w:jc w:val="both"/>
      </w:pPr>
      <w:r>
        <w:t xml:space="preserve">Alla luce della descrizione degli eventi sembra plausibile </w:t>
      </w:r>
      <w:r w:rsidR="004E2C81">
        <w:t xml:space="preserve">ritenere </w:t>
      </w:r>
      <w:r>
        <w:t>che gli organi</w:t>
      </w:r>
      <w:r w:rsidR="00F5559E">
        <w:t xml:space="preserve"> della DDR</w:t>
      </w:r>
      <w:r>
        <w:t xml:space="preserve"> avevano</w:t>
      </w:r>
      <w:r w:rsidRPr="00797EF7">
        <w:t xml:space="preserve"> </w:t>
      </w:r>
      <w:r>
        <w:t>commesso un illecito internazionale</w:t>
      </w:r>
      <w:r w:rsidR="00F5559E">
        <w:t>,</w:t>
      </w:r>
      <w:r>
        <w:t xml:space="preserve"> contravvenendo alle </w:t>
      </w:r>
      <w:r w:rsidRPr="00797EF7">
        <w:t>disposizioni del proprio ordinamento interno.</w:t>
      </w:r>
      <w:r>
        <w:t xml:space="preserve"> La </w:t>
      </w:r>
      <w:r w:rsidR="00333C13" w:rsidRPr="00291441">
        <w:t xml:space="preserve">Repubblica democratica tedesca doveva essere </w:t>
      </w:r>
      <w:r>
        <w:t xml:space="preserve">pertanto </w:t>
      </w:r>
      <w:r w:rsidR="00333C13" w:rsidRPr="00291441">
        <w:t xml:space="preserve">ritenuta internazionalmente responsabile per aver violato le disposizioni di diritto internazionale generale in tema di trattamento degli stranieri, indipendentemente dalla circostanza che gli organi statali avessero </w:t>
      </w:r>
      <w:r w:rsidR="0053754C" w:rsidRPr="00291441">
        <w:t xml:space="preserve">o meno </w:t>
      </w:r>
      <w:r w:rsidR="00333C13" w:rsidRPr="00291441">
        <w:t xml:space="preserve">agito </w:t>
      </w:r>
      <w:r w:rsidR="00333C13" w:rsidRPr="00291441">
        <w:rPr>
          <w:i/>
        </w:rPr>
        <w:t>ultra vires</w:t>
      </w:r>
      <w:r w:rsidR="00333C13" w:rsidRPr="00291441">
        <w:rPr>
          <w:rFonts w:ascii="Times New Roman" w:hAnsi="Times New Roman" w:cs="Times New Roman"/>
        </w:rPr>
        <w:t>.</w:t>
      </w:r>
      <w:r w:rsidR="0053754C" w:rsidRPr="00291441">
        <w:t xml:space="preserve"> La Repubblica democratica tedesca ha successivamente riconosciuto la propria responsabilità internazionale accettando di pagare una somma di denaro a titolo di risarcimento ai familiari della vittima.</w:t>
      </w:r>
    </w:p>
    <w:p w:rsidR="00333C13" w:rsidRDefault="00F5559E" w:rsidP="00866EA5">
      <w:pPr>
        <w:autoSpaceDE w:val="0"/>
        <w:autoSpaceDN w:val="0"/>
        <w:adjustRightInd w:val="0"/>
        <w:spacing w:after="0" w:line="360" w:lineRule="auto"/>
        <w:ind w:firstLine="284"/>
        <w:jc w:val="both"/>
      </w:pPr>
      <w:r>
        <w:t>Un ulteriore</w:t>
      </w:r>
      <w:r w:rsidR="00291441">
        <w:t xml:space="preserve"> incidente di </w:t>
      </w:r>
      <w:r w:rsidR="00291441" w:rsidRPr="00377ED0">
        <w:t xml:space="preserve">frontiera </w:t>
      </w:r>
      <w:r w:rsidR="00333C13" w:rsidRPr="00377ED0">
        <w:t xml:space="preserve">rilevante </w:t>
      </w:r>
      <w:r w:rsidR="00AA07D3" w:rsidRPr="00377ED0">
        <w:t>ai fini dell</w:t>
      </w:r>
      <w:r w:rsidR="004F4523" w:rsidRPr="00377ED0">
        <w:t xml:space="preserve">a presente </w:t>
      </w:r>
      <w:r w:rsidR="00AA07D3" w:rsidRPr="00377ED0">
        <w:t xml:space="preserve">indagine </w:t>
      </w:r>
      <w:r w:rsidR="00333C13" w:rsidRPr="00377ED0">
        <w:t>si è verificato tra Gran Bretagna e Irlanda nel 1984.</w:t>
      </w:r>
      <w:r w:rsidR="00866EA5" w:rsidRPr="00377ED0">
        <w:rPr>
          <w:rFonts w:ascii="Times New Roman" w:hAnsi="Times New Roman" w:cs="Times New Roman"/>
        </w:rPr>
        <w:t xml:space="preserve"> </w:t>
      </w:r>
      <w:r w:rsidR="00333C13" w:rsidRPr="00377ED0">
        <w:t>Durante</w:t>
      </w:r>
      <w:r w:rsidR="00333C13" w:rsidRPr="00C6507E">
        <w:t xml:space="preserve"> un’operazione anti guerriglia, un’unità della polizia britannica aveva oltrepassato la frontiera. Significativo è stato in tale circostanza l’atteggiamento del Governo britannico, il quale, dopo aver precisato che tale incursione non era stata autorizzata, si è assunto la responsabilità internazionale per il comportamento adottato </w:t>
      </w:r>
      <w:r w:rsidR="00333C13" w:rsidRPr="00C6507E">
        <w:rPr>
          <w:i/>
        </w:rPr>
        <w:t>ultra vires</w:t>
      </w:r>
      <w:r w:rsidR="00333C13" w:rsidRPr="00C6507E">
        <w:t xml:space="preserve"> dai propri organi presentando scuse ufficiali al Governo irlandese</w:t>
      </w:r>
      <w:r w:rsidR="00333C13" w:rsidRPr="00C6507E">
        <w:rPr>
          <w:rStyle w:val="Rimandonotaapidipagina"/>
        </w:rPr>
        <w:footnoteReference w:id="376"/>
      </w:r>
      <w:r w:rsidR="00333C13" w:rsidRPr="00C6507E">
        <w:t>.</w:t>
      </w:r>
    </w:p>
    <w:p w:rsidR="0049561F" w:rsidRPr="0049561F" w:rsidRDefault="004E2C81" w:rsidP="0049561F">
      <w:pPr>
        <w:autoSpaceDE w:val="0"/>
        <w:autoSpaceDN w:val="0"/>
        <w:adjustRightInd w:val="0"/>
        <w:spacing w:after="0" w:line="360" w:lineRule="auto"/>
        <w:ind w:firstLine="284"/>
        <w:jc w:val="both"/>
      </w:pPr>
      <w:r>
        <w:t xml:space="preserve">Alla luce dei casi appena descritti, malgrado la frammentarietà della prassi e la difficoltà di ricostruire esattamente la posizione degli Stati, </w:t>
      </w:r>
      <w:r w:rsidR="00EB4AAF">
        <w:t>è possibile rilevare come</w:t>
      </w:r>
      <w:r w:rsidR="00972F1D">
        <w:t>,</w:t>
      </w:r>
      <w:r w:rsidR="00EB4AAF">
        <w:t xml:space="preserve"> a differenza di quanto </w:t>
      </w:r>
      <w:r w:rsidR="005B1B26">
        <w:t>avveniva nella prassi meno recente</w:t>
      </w:r>
      <w:r w:rsidR="00972F1D">
        <w:t>,</w:t>
      </w:r>
      <w:r w:rsidR="005B1B26">
        <w:t xml:space="preserve"> nessuno Stato ha più sostenuto </w:t>
      </w:r>
      <w:r w:rsidR="00F5559E">
        <w:t xml:space="preserve">sino in fondo la tesi </w:t>
      </w:r>
      <w:r w:rsidR="005B1B26">
        <w:t xml:space="preserve">che </w:t>
      </w:r>
      <w:r w:rsidR="005B1B26">
        <w:rPr>
          <w:bCs/>
        </w:rPr>
        <w:t>l</w:t>
      </w:r>
      <w:r w:rsidR="005B1B26" w:rsidRPr="00E04DBB">
        <w:rPr>
          <w:bCs/>
        </w:rPr>
        <w:t xml:space="preserve">e condotte tenute da un organo nel mancato rispetto delle disposizioni di diritto interno o delle istruzioni ricevute </w:t>
      </w:r>
      <w:r w:rsidR="00B8423E">
        <w:rPr>
          <w:bCs/>
        </w:rPr>
        <w:t>devono</w:t>
      </w:r>
      <w:r w:rsidR="005B1B26">
        <w:rPr>
          <w:bCs/>
        </w:rPr>
        <w:t xml:space="preserve"> essere </w:t>
      </w:r>
      <w:r w:rsidR="005B1B26" w:rsidRPr="00E04DBB">
        <w:rPr>
          <w:bCs/>
        </w:rPr>
        <w:t xml:space="preserve">assimilate ai comportamenti adottati da un semplice </w:t>
      </w:r>
      <w:r w:rsidR="00B8423E">
        <w:rPr>
          <w:bCs/>
        </w:rPr>
        <w:t>privato, di cui lo Stato non è</w:t>
      </w:r>
      <w:r w:rsidR="005B1B26" w:rsidRPr="00E04DBB">
        <w:rPr>
          <w:bCs/>
        </w:rPr>
        <w:t xml:space="preserve"> tenuto a rispondere sul piano internazionale</w:t>
      </w:r>
      <w:r w:rsidR="005B1B26">
        <w:rPr>
          <w:bCs/>
        </w:rPr>
        <w:t>.</w:t>
      </w:r>
      <w:r w:rsidR="00972F1D">
        <w:rPr>
          <w:bCs/>
        </w:rPr>
        <w:t xml:space="preserve"> </w:t>
      </w:r>
      <w:r w:rsidR="000E4DC0">
        <w:rPr>
          <w:bCs/>
        </w:rPr>
        <w:t xml:space="preserve">Tale elemento </w:t>
      </w:r>
      <w:r w:rsidR="00B8423E">
        <w:rPr>
          <w:bCs/>
        </w:rPr>
        <w:t xml:space="preserve">sembra indubbiamente costituire </w:t>
      </w:r>
      <w:r w:rsidR="00EA0AE7">
        <w:rPr>
          <w:bCs/>
        </w:rPr>
        <w:t xml:space="preserve">anche </w:t>
      </w:r>
      <w:r w:rsidR="00F5559E">
        <w:rPr>
          <w:bCs/>
        </w:rPr>
        <w:t xml:space="preserve">indice del </w:t>
      </w:r>
      <w:r w:rsidR="00B8423E">
        <w:t>fatto che l’operazione di attribuzione allo Stato nell’ordinamento internazionale dei comportamenti adottati in determinate condizioni dalle persone facen</w:t>
      </w:r>
      <w:r w:rsidR="00590473">
        <w:t xml:space="preserve">ti parte la sua organizzazione </w:t>
      </w:r>
      <w:r w:rsidR="00F5559E">
        <w:t xml:space="preserve">viene </w:t>
      </w:r>
      <w:r w:rsidR="00B8423E">
        <w:t>concepita come autonoma rispetto alla definizione di quali possano considerarsi sue condotte sul piano interno.</w:t>
      </w:r>
      <w:r w:rsidR="008209B3">
        <w:t xml:space="preserve"> Nonostante infatti nelle sopramenzionate prese di posizione di Stati la questione dei fatti illeciti </w:t>
      </w:r>
      <w:r w:rsidR="008209B3" w:rsidRPr="008209B3">
        <w:rPr>
          <w:i/>
        </w:rPr>
        <w:t>ultra vires</w:t>
      </w:r>
      <w:r w:rsidR="008209B3">
        <w:t xml:space="preserve"> degli organi statali venga più che altro affrontata </w:t>
      </w:r>
      <w:r w:rsidR="00F5559E">
        <w:t xml:space="preserve">in relazione al punto </w:t>
      </w:r>
      <w:r w:rsidR="008209B3">
        <w:t xml:space="preserve">se se lo Stato sia tenuto a risponderne internazionalmente, sembra possibile ritenere che </w:t>
      </w:r>
      <w:r w:rsidR="000E4DC0">
        <w:t xml:space="preserve">ciò avvenga </w:t>
      </w:r>
      <w:r w:rsidR="00EA3029">
        <w:t xml:space="preserve">comunque </w:t>
      </w:r>
      <w:r w:rsidR="000E4DC0">
        <w:t>sulla base della constatazione che si tratti di fatti dello Stato sul piano internazionale.</w:t>
      </w:r>
    </w:p>
    <w:p w:rsidR="00333C13" w:rsidRDefault="00333C13" w:rsidP="00EE2F45">
      <w:pPr>
        <w:spacing w:after="0" w:line="360" w:lineRule="auto"/>
        <w:ind w:firstLine="284"/>
      </w:pPr>
    </w:p>
    <w:p w:rsidR="00333C13" w:rsidRPr="00296018" w:rsidRDefault="00C6507E" w:rsidP="00EE2F45">
      <w:pPr>
        <w:spacing w:after="0" w:line="360" w:lineRule="auto"/>
        <w:ind w:left="360"/>
        <w:jc w:val="both"/>
      </w:pPr>
      <w:r>
        <w:t xml:space="preserve">3. </w:t>
      </w:r>
      <w:r w:rsidR="00333C13" w:rsidRPr="00296018">
        <w:t>La giurisprudenza arbitrale</w:t>
      </w:r>
    </w:p>
    <w:p w:rsidR="00333C13" w:rsidRPr="00296018" w:rsidRDefault="00333C13" w:rsidP="00EE2F45">
      <w:pPr>
        <w:spacing w:after="0" w:line="360" w:lineRule="auto"/>
        <w:ind w:firstLine="284"/>
        <w:jc w:val="both"/>
      </w:pPr>
    </w:p>
    <w:p w:rsidR="00333C13" w:rsidRPr="00296018" w:rsidRDefault="00603B80" w:rsidP="00EE2F45">
      <w:pPr>
        <w:spacing w:after="0" w:line="360" w:lineRule="auto"/>
        <w:ind w:firstLine="708"/>
        <w:jc w:val="both"/>
      </w:pPr>
      <w:r>
        <w:t xml:space="preserve">3.1 </w:t>
      </w:r>
      <w:r w:rsidR="00333C13" w:rsidRPr="00296018">
        <w:t xml:space="preserve">Le pronunce </w:t>
      </w:r>
      <w:r w:rsidR="00F5559E">
        <w:t>rese dal Tribunale dei reclami</w:t>
      </w:r>
      <w:r w:rsidR="00333C13" w:rsidRPr="00296018">
        <w:t xml:space="preserve"> Iran/Stati Uniti</w:t>
      </w:r>
      <w:r w:rsidR="00DC0BF2">
        <w:rPr>
          <w:rStyle w:val="Rimandonotaapidipagina"/>
        </w:rPr>
        <w:footnoteReference w:id="377"/>
      </w:r>
    </w:p>
    <w:p w:rsidR="00333C13" w:rsidRPr="00296018" w:rsidRDefault="00333C13" w:rsidP="00EE2F45">
      <w:pPr>
        <w:spacing w:after="0" w:line="360" w:lineRule="auto"/>
        <w:ind w:firstLine="284"/>
        <w:jc w:val="both"/>
      </w:pPr>
    </w:p>
    <w:p w:rsidR="00333C13" w:rsidRDefault="00333C13" w:rsidP="00EE2F45">
      <w:pPr>
        <w:pStyle w:val="Testonotaapidipagina"/>
        <w:spacing w:line="360" w:lineRule="auto"/>
        <w:ind w:firstLine="284"/>
        <w:jc w:val="both"/>
        <w:rPr>
          <w:sz w:val="22"/>
          <w:szCs w:val="22"/>
        </w:rPr>
      </w:pPr>
      <w:r w:rsidRPr="00296018">
        <w:rPr>
          <w:sz w:val="22"/>
          <w:szCs w:val="22"/>
        </w:rPr>
        <w:t xml:space="preserve">Il Tribunale </w:t>
      </w:r>
      <w:r w:rsidR="00A36A4A">
        <w:rPr>
          <w:sz w:val="22"/>
          <w:szCs w:val="22"/>
        </w:rPr>
        <w:t xml:space="preserve">dei reclami </w:t>
      </w:r>
      <w:r w:rsidRPr="00296018">
        <w:rPr>
          <w:sz w:val="22"/>
          <w:szCs w:val="22"/>
        </w:rPr>
        <w:t xml:space="preserve">Iran/Stati Uniti ha in più occasioni riconosciuto il principio della responsabilità internazionale dello Stato per i fatti illeciti </w:t>
      </w:r>
      <w:r w:rsidRPr="00296018">
        <w:rPr>
          <w:i/>
          <w:sz w:val="22"/>
          <w:szCs w:val="22"/>
        </w:rPr>
        <w:t>ultra vires</w:t>
      </w:r>
      <w:r w:rsidRPr="00296018">
        <w:rPr>
          <w:sz w:val="22"/>
          <w:szCs w:val="22"/>
        </w:rPr>
        <w:t xml:space="preserve"> </w:t>
      </w:r>
      <w:r w:rsidR="00DC0BF2">
        <w:rPr>
          <w:sz w:val="22"/>
          <w:szCs w:val="22"/>
        </w:rPr>
        <w:t xml:space="preserve">compiuti da </w:t>
      </w:r>
      <w:r w:rsidRPr="00296018">
        <w:rPr>
          <w:sz w:val="22"/>
          <w:szCs w:val="22"/>
        </w:rPr>
        <w:t xml:space="preserve">organi statali. </w:t>
      </w:r>
      <w:r w:rsidR="00DC0BF2">
        <w:rPr>
          <w:sz w:val="22"/>
          <w:szCs w:val="22"/>
        </w:rPr>
        <w:t xml:space="preserve">Una delle sentenze più significative è quella relativa al caso </w:t>
      </w:r>
      <w:r w:rsidR="00DC0BF2" w:rsidRPr="00DC0BF2">
        <w:rPr>
          <w:i/>
          <w:sz w:val="22"/>
          <w:szCs w:val="22"/>
        </w:rPr>
        <w:t>Yaeger</w:t>
      </w:r>
      <w:r w:rsidR="00DC0BF2">
        <w:rPr>
          <w:sz w:val="22"/>
          <w:szCs w:val="22"/>
        </w:rPr>
        <w:t>.</w:t>
      </w:r>
    </w:p>
    <w:p w:rsidR="00333C13" w:rsidRDefault="00333C13" w:rsidP="00EB037D">
      <w:pPr>
        <w:pStyle w:val="Testonotaapidipagina"/>
        <w:spacing w:line="360" w:lineRule="auto"/>
        <w:ind w:firstLine="284"/>
        <w:jc w:val="both"/>
        <w:rPr>
          <w:sz w:val="22"/>
          <w:szCs w:val="22"/>
        </w:rPr>
      </w:pPr>
      <w:r>
        <w:rPr>
          <w:sz w:val="22"/>
          <w:szCs w:val="22"/>
        </w:rPr>
        <w:t xml:space="preserve">Nel corso della rivoluzione islamica in Iran, </w:t>
      </w:r>
      <w:r w:rsidR="00E073FF">
        <w:rPr>
          <w:sz w:val="22"/>
          <w:szCs w:val="22"/>
        </w:rPr>
        <w:t xml:space="preserve">numerosi cittadini degli Stati Uniti </w:t>
      </w:r>
      <w:r>
        <w:rPr>
          <w:sz w:val="22"/>
          <w:szCs w:val="22"/>
        </w:rPr>
        <w:t>che risiedevano in tale paese sono stati espulsi o hanno abbandonato il territorio iraniano per esigenze di sicurezza. Nel quadro della pratica delle espulsioni di massa condotta dal Governo iraniano, un cittadino americano di nome Kenneth P. Yaeger e sua moglie erano stati condotti il 17 febbraio 1979 all’aeroporto di Teheran ed erano stati oggetto di due distinte richieste di denaro: la prima ad opera di un funzionario della compagnia aerea di Stato e la seconda da parte di alcuni membri dei comitati rivoluzionari.</w:t>
      </w:r>
    </w:p>
    <w:p w:rsidR="00333C13" w:rsidRDefault="00333C13" w:rsidP="00EB037D">
      <w:pPr>
        <w:pStyle w:val="Testonotaapidipagina"/>
        <w:spacing w:line="360" w:lineRule="auto"/>
        <w:ind w:firstLine="284"/>
        <w:jc w:val="both"/>
        <w:rPr>
          <w:sz w:val="22"/>
          <w:szCs w:val="22"/>
        </w:rPr>
      </w:pPr>
      <w:r>
        <w:rPr>
          <w:sz w:val="22"/>
          <w:szCs w:val="22"/>
        </w:rPr>
        <w:t xml:space="preserve">Nella pronuncia resa nel 1987 nel caso </w:t>
      </w:r>
      <w:r w:rsidRPr="00634020">
        <w:rPr>
          <w:i/>
          <w:sz w:val="22"/>
          <w:szCs w:val="22"/>
        </w:rPr>
        <w:t>Yaeger c. Iran</w:t>
      </w:r>
      <w:r w:rsidR="00DC0BF2">
        <w:rPr>
          <w:sz w:val="22"/>
          <w:szCs w:val="22"/>
        </w:rPr>
        <w:t>, il T</w:t>
      </w:r>
      <w:r>
        <w:rPr>
          <w:sz w:val="22"/>
          <w:szCs w:val="22"/>
        </w:rPr>
        <w:t>ribunale arbitrale Iran/Stati Uniti si è occupato in prim</w:t>
      </w:r>
      <w:r w:rsidR="00DC0BF2">
        <w:rPr>
          <w:sz w:val="22"/>
          <w:szCs w:val="22"/>
        </w:rPr>
        <w:t>o luogo</w:t>
      </w:r>
      <w:r>
        <w:rPr>
          <w:sz w:val="22"/>
          <w:szCs w:val="22"/>
        </w:rPr>
        <w:t xml:space="preserve"> di accertare se lo Stato iraniano dovesse essere ritenuto internazionalmente responsabile del comportamento adottato </w:t>
      </w:r>
      <w:r w:rsidRPr="00296018">
        <w:rPr>
          <w:sz w:val="22"/>
          <w:szCs w:val="22"/>
        </w:rPr>
        <w:t>da un funzionario della compagnia aerea di Stato, il quale aveva illegalmen</w:t>
      </w:r>
      <w:r>
        <w:rPr>
          <w:sz w:val="22"/>
          <w:szCs w:val="22"/>
        </w:rPr>
        <w:t xml:space="preserve">te richiesto al ricorrente il pagamento di una ulteriore </w:t>
      </w:r>
      <w:r w:rsidR="00B31828">
        <w:rPr>
          <w:sz w:val="22"/>
          <w:szCs w:val="22"/>
        </w:rPr>
        <w:t xml:space="preserve">somma </w:t>
      </w:r>
      <w:r>
        <w:rPr>
          <w:sz w:val="22"/>
          <w:szCs w:val="22"/>
        </w:rPr>
        <w:t xml:space="preserve">di denaro </w:t>
      </w:r>
      <w:r w:rsidR="00AB0ED7">
        <w:rPr>
          <w:sz w:val="22"/>
          <w:szCs w:val="22"/>
        </w:rPr>
        <w:t>per il biglietto aereo che era</w:t>
      </w:r>
      <w:r>
        <w:rPr>
          <w:sz w:val="22"/>
          <w:szCs w:val="22"/>
        </w:rPr>
        <w:t xml:space="preserve"> già </w:t>
      </w:r>
      <w:r w:rsidR="00AB0ED7">
        <w:rPr>
          <w:sz w:val="22"/>
          <w:szCs w:val="22"/>
        </w:rPr>
        <w:t xml:space="preserve">stato pagato </w:t>
      </w:r>
      <w:r>
        <w:rPr>
          <w:sz w:val="22"/>
          <w:szCs w:val="22"/>
        </w:rPr>
        <w:t>in precedenza</w:t>
      </w:r>
      <w:r>
        <w:rPr>
          <w:rStyle w:val="Rimandonotaapidipagina"/>
          <w:sz w:val="22"/>
          <w:szCs w:val="22"/>
        </w:rPr>
        <w:footnoteReference w:id="378"/>
      </w:r>
      <w:r>
        <w:rPr>
          <w:sz w:val="22"/>
          <w:szCs w:val="22"/>
        </w:rPr>
        <w:t>.</w:t>
      </w:r>
    </w:p>
    <w:p w:rsidR="00333C13" w:rsidRDefault="00DC0BF2" w:rsidP="00EB037D">
      <w:pPr>
        <w:pStyle w:val="Testonotaapidipagina"/>
        <w:spacing w:line="360" w:lineRule="auto"/>
        <w:ind w:firstLine="284"/>
        <w:jc w:val="both"/>
        <w:rPr>
          <w:sz w:val="22"/>
          <w:szCs w:val="22"/>
        </w:rPr>
      </w:pPr>
      <w:r>
        <w:rPr>
          <w:sz w:val="22"/>
          <w:szCs w:val="22"/>
        </w:rPr>
        <w:t>Secondo il T</w:t>
      </w:r>
      <w:r w:rsidR="00333C13">
        <w:rPr>
          <w:sz w:val="22"/>
          <w:szCs w:val="22"/>
        </w:rPr>
        <w:t>ribunale, una volta che l’Iran aveva assunto il controllo sulla compagnia aerea, i comportamenti adottati dai suoi organi dovevano essere attribuiti allo Stato anche se nell’agire avevano ecceduto la propria competenza come stabilita dal diritto interno o avevano contravvenuto alle istruzioni ricevute.</w:t>
      </w:r>
    </w:p>
    <w:p w:rsidR="00333C13" w:rsidRDefault="00333C13" w:rsidP="00EB037D">
      <w:pPr>
        <w:pStyle w:val="Testonotaapidipagina"/>
        <w:spacing w:line="360" w:lineRule="auto"/>
        <w:ind w:firstLine="284"/>
        <w:jc w:val="both"/>
        <w:rPr>
          <w:sz w:val="22"/>
          <w:szCs w:val="22"/>
        </w:rPr>
      </w:pPr>
      <w:r>
        <w:rPr>
          <w:sz w:val="22"/>
          <w:szCs w:val="22"/>
        </w:rPr>
        <w:t xml:space="preserve">Facendo esplicito riferimento all’art. 10 del progetto di articoli adottato in prima lettura dalla CDI, il tribunale ha </w:t>
      </w:r>
      <w:r w:rsidR="00A36A4A">
        <w:rPr>
          <w:sz w:val="22"/>
          <w:szCs w:val="22"/>
        </w:rPr>
        <w:t xml:space="preserve">affermato </w:t>
      </w:r>
      <w:r>
        <w:rPr>
          <w:sz w:val="22"/>
          <w:szCs w:val="22"/>
        </w:rPr>
        <w:t xml:space="preserve">che un comportamento non autorizzato di un organo statale è un fatto attribuibile allo Stato </w:t>
      </w:r>
      <w:r w:rsidR="00A7246B">
        <w:rPr>
          <w:sz w:val="22"/>
          <w:szCs w:val="22"/>
        </w:rPr>
        <w:t>sul piano internazionale a condizione</w:t>
      </w:r>
      <w:r>
        <w:rPr>
          <w:sz w:val="22"/>
          <w:szCs w:val="22"/>
        </w:rPr>
        <w:t xml:space="preserve"> che sia s</w:t>
      </w:r>
      <w:r w:rsidR="00A7246B">
        <w:rPr>
          <w:sz w:val="22"/>
          <w:szCs w:val="22"/>
        </w:rPr>
        <w:t xml:space="preserve">tato adottato </w:t>
      </w:r>
      <w:r w:rsidR="00DC0BF2">
        <w:rPr>
          <w:sz w:val="22"/>
          <w:szCs w:val="22"/>
        </w:rPr>
        <w:t xml:space="preserve">dall’individuo organo </w:t>
      </w:r>
      <w:r w:rsidR="00A7246B">
        <w:rPr>
          <w:sz w:val="22"/>
          <w:szCs w:val="22"/>
        </w:rPr>
        <w:t>nella sua qualità</w:t>
      </w:r>
      <w:r>
        <w:rPr>
          <w:sz w:val="22"/>
          <w:szCs w:val="22"/>
        </w:rPr>
        <w:t xml:space="preserve"> ufficiale:</w:t>
      </w:r>
    </w:p>
    <w:p w:rsidR="00333C13" w:rsidRDefault="00333C13" w:rsidP="00EB037D">
      <w:pPr>
        <w:pStyle w:val="Testonotaapidipagina"/>
        <w:spacing w:line="360" w:lineRule="auto"/>
        <w:ind w:firstLine="284"/>
        <w:jc w:val="both"/>
        <w:rPr>
          <w:sz w:val="22"/>
          <w:szCs w:val="22"/>
        </w:rPr>
      </w:pPr>
    </w:p>
    <w:p w:rsidR="00333C13" w:rsidRPr="00247596" w:rsidRDefault="00333C13" w:rsidP="00EB037D">
      <w:pPr>
        <w:pStyle w:val="Testonotaapidipagina"/>
        <w:spacing w:line="360" w:lineRule="auto"/>
        <w:ind w:left="567" w:right="567" w:firstLine="284"/>
        <w:jc w:val="both"/>
        <w:rPr>
          <w:sz w:val="22"/>
          <w:szCs w:val="22"/>
          <w:lang w:val="en-US"/>
        </w:rPr>
      </w:pPr>
      <w:r w:rsidRPr="00247596">
        <w:rPr>
          <w:sz w:val="22"/>
          <w:szCs w:val="22"/>
          <w:lang w:val="en-US"/>
        </w:rPr>
        <w:t>“It is widely accepted that the conduct of an organ of a State may be attributable to the State, even if in a particular case the organ exceeded its competence under internal law or contravened instructions concerning its activity. It must have acted in its official capacity as an organ, however”</w:t>
      </w:r>
      <w:r w:rsidRPr="00247596">
        <w:rPr>
          <w:rStyle w:val="Rimandonotaapidipagina"/>
          <w:sz w:val="22"/>
          <w:szCs w:val="22"/>
          <w:lang w:val="en-US"/>
        </w:rPr>
        <w:footnoteReference w:id="379"/>
      </w:r>
      <w:r w:rsidRPr="00247596">
        <w:rPr>
          <w:sz w:val="22"/>
          <w:szCs w:val="22"/>
          <w:lang w:val="en-US"/>
        </w:rPr>
        <w:t>.</w:t>
      </w:r>
    </w:p>
    <w:p w:rsidR="00333C13" w:rsidRPr="00962F55" w:rsidRDefault="00333C13" w:rsidP="00EB037D">
      <w:pPr>
        <w:pStyle w:val="Testonotaapidipagina"/>
        <w:spacing w:line="360" w:lineRule="auto"/>
        <w:ind w:firstLine="284"/>
        <w:jc w:val="both"/>
        <w:rPr>
          <w:sz w:val="22"/>
          <w:szCs w:val="22"/>
          <w:lang w:val="en-US"/>
        </w:rPr>
      </w:pPr>
    </w:p>
    <w:p w:rsidR="00333C13" w:rsidRDefault="00333C13" w:rsidP="00EB037D">
      <w:pPr>
        <w:pStyle w:val="Testonotaapidipagina"/>
        <w:spacing w:line="360" w:lineRule="auto"/>
        <w:ind w:firstLine="284"/>
        <w:jc w:val="both"/>
        <w:rPr>
          <w:sz w:val="22"/>
          <w:szCs w:val="22"/>
        </w:rPr>
      </w:pPr>
      <w:r w:rsidRPr="00752581">
        <w:rPr>
          <w:sz w:val="22"/>
          <w:szCs w:val="22"/>
          <w:lang w:val="en-US"/>
        </w:rPr>
        <w:t xml:space="preserve"> </w:t>
      </w:r>
      <w:r>
        <w:rPr>
          <w:sz w:val="22"/>
          <w:szCs w:val="22"/>
        </w:rPr>
        <w:t xml:space="preserve">L’unica circostanza in cui una condotta tenuta da un organo non poteva essere attribuita allo Stato era quindi </w:t>
      </w:r>
      <w:r w:rsidR="00247596">
        <w:rPr>
          <w:sz w:val="22"/>
          <w:szCs w:val="22"/>
        </w:rPr>
        <w:t xml:space="preserve">quella </w:t>
      </w:r>
      <w:r>
        <w:rPr>
          <w:sz w:val="22"/>
          <w:szCs w:val="22"/>
        </w:rPr>
        <w:t xml:space="preserve">in cui fosse stata tenuta </w:t>
      </w:r>
      <w:r w:rsidR="00247596">
        <w:rPr>
          <w:sz w:val="22"/>
          <w:szCs w:val="22"/>
        </w:rPr>
        <w:t xml:space="preserve">dall’individuo organo </w:t>
      </w:r>
      <w:r>
        <w:rPr>
          <w:sz w:val="22"/>
          <w:szCs w:val="22"/>
        </w:rPr>
        <w:t>nella sua qualità privata, “</w:t>
      </w:r>
      <w:r w:rsidRPr="00247596">
        <w:rPr>
          <w:sz w:val="22"/>
          <w:szCs w:val="22"/>
        </w:rPr>
        <w:t>even if it has used the means placed at its disposal by the State for the exercise of its function”</w:t>
      </w:r>
      <w:r w:rsidRPr="00247596">
        <w:rPr>
          <w:rStyle w:val="Rimandonotaapidipagina"/>
          <w:sz w:val="22"/>
          <w:szCs w:val="22"/>
        </w:rPr>
        <w:footnoteReference w:id="380"/>
      </w:r>
      <w:r w:rsidRPr="00247596">
        <w:rPr>
          <w:sz w:val="22"/>
          <w:szCs w:val="22"/>
        </w:rPr>
        <w:t>.</w:t>
      </w:r>
    </w:p>
    <w:p w:rsidR="00333C13" w:rsidRDefault="00333C13" w:rsidP="00247596">
      <w:pPr>
        <w:pStyle w:val="Testonotaapidipagina"/>
        <w:spacing w:line="360" w:lineRule="auto"/>
        <w:ind w:firstLine="284"/>
        <w:jc w:val="both"/>
        <w:rPr>
          <w:sz w:val="22"/>
          <w:szCs w:val="22"/>
        </w:rPr>
      </w:pPr>
      <w:r>
        <w:rPr>
          <w:sz w:val="22"/>
          <w:szCs w:val="22"/>
        </w:rPr>
        <w:t>L’attribuzione di condotte viene pertanto intesa come un’operazione rego</w:t>
      </w:r>
      <w:r w:rsidR="00C079A9">
        <w:rPr>
          <w:sz w:val="22"/>
          <w:szCs w:val="22"/>
        </w:rPr>
        <w:t>lata dal diritto internazionale;</w:t>
      </w:r>
      <w:r>
        <w:rPr>
          <w:sz w:val="22"/>
          <w:szCs w:val="22"/>
        </w:rPr>
        <w:t xml:space="preserve"> in riferimento a</w:t>
      </w:r>
      <w:r w:rsidR="00C079A9">
        <w:rPr>
          <w:sz w:val="22"/>
          <w:szCs w:val="22"/>
        </w:rPr>
        <w:t>d essa</w:t>
      </w:r>
      <w:r>
        <w:rPr>
          <w:sz w:val="22"/>
          <w:szCs w:val="22"/>
        </w:rPr>
        <w:t xml:space="preserve"> il risp</w:t>
      </w:r>
      <w:r w:rsidR="00A24446">
        <w:rPr>
          <w:sz w:val="22"/>
          <w:szCs w:val="22"/>
        </w:rPr>
        <w:t xml:space="preserve">etto dell’ordinamento </w:t>
      </w:r>
      <w:r>
        <w:rPr>
          <w:sz w:val="22"/>
          <w:szCs w:val="22"/>
        </w:rPr>
        <w:t>intern</w:t>
      </w:r>
      <w:r w:rsidR="00A36A4A">
        <w:rPr>
          <w:sz w:val="22"/>
          <w:szCs w:val="22"/>
        </w:rPr>
        <w:t xml:space="preserve">o risulta </w:t>
      </w:r>
      <w:r w:rsidR="00247596">
        <w:rPr>
          <w:sz w:val="22"/>
          <w:szCs w:val="22"/>
        </w:rPr>
        <w:t xml:space="preserve">irrilevante. Inoltre, dalla motivazione </w:t>
      </w:r>
      <w:r>
        <w:rPr>
          <w:sz w:val="22"/>
          <w:szCs w:val="22"/>
        </w:rPr>
        <w:t xml:space="preserve">della sentenza sembra risultare che il criterio valorizzato al fine di riferire allo Stato una condotta non autorizzata di un organo è la circostanza che sia stata </w:t>
      </w:r>
      <w:r w:rsidR="00247596">
        <w:rPr>
          <w:sz w:val="22"/>
          <w:szCs w:val="22"/>
        </w:rPr>
        <w:t xml:space="preserve">tenuta nell’esercizio delle </w:t>
      </w:r>
      <w:r>
        <w:rPr>
          <w:sz w:val="22"/>
          <w:szCs w:val="22"/>
        </w:rPr>
        <w:t>funzioni, senza che assuma alcun valore l’eventuale uso dei mezzi messi a disposizione per il regolare svolgimento delle competenze.</w:t>
      </w:r>
    </w:p>
    <w:p w:rsidR="00333C13" w:rsidRPr="00A06218" w:rsidRDefault="00333C13" w:rsidP="00EB037D">
      <w:pPr>
        <w:pStyle w:val="Testonotaapidipagina"/>
        <w:spacing w:line="360" w:lineRule="auto"/>
        <w:ind w:firstLine="284"/>
        <w:jc w:val="both"/>
        <w:rPr>
          <w:sz w:val="22"/>
          <w:szCs w:val="22"/>
        </w:rPr>
      </w:pPr>
      <w:r>
        <w:rPr>
          <w:sz w:val="22"/>
          <w:szCs w:val="22"/>
        </w:rPr>
        <w:t>S</w:t>
      </w:r>
      <w:r w:rsidR="004B1A07">
        <w:rPr>
          <w:sz w:val="22"/>
          <w:szCs w:val="22"/>
        </w:rPr>
        <w:t>ulla base di tali premesse, il T</w:t>
      </w:r>
      <w:r>
        <w:rPr>
          <w:sz w:val="22"/>
          <w:szCs w:val="22"/>
        </w:rPr>
        <w:t xml:space="preserve">ribunale ha concluso che l’Iran non </w:t>
      </w:r>
      <w:r w:rsidR="004B1A07">
        <w:rPr>
          <w:sz w:val="22"/>
          <w:szCs w:val="22"/>
        </w:rPr>
        <w:t xml:space="preserve">era </w:t>
      </w:r>
      <w:r>
        <w:rPr>
          <w:sz w:val="22"/>
          <w:szCs w:val="22"/>
        </w:rPr>
        <w:t>tenuto a rispondere dell’accaduto in quanto nel caso di specie il funzionari</w:t>
      </w:r>
      <w:r w:rsidR="00C079A9">
        <w:rPr>
          <w:sz w:val="22"/>
          <w:szCs w:val="22"/>
        </w:rPr>
        <w:t>o aveva agito nella sua qualità</w:t>
      </w:r>
      <w:r>
        <w:rPr>
          <w:sz w:val="22"/>
          <w:szCs w:val="22"/>
        </w:rPr>
        <w:t xml:space="preserve"> privata. </w:t>
      </w:r>
      <w:r w:rsidRPr="00A06218">
        <w:rPr>
          <w:sz w:val="22"/>
          <w:szCs w:val="22"/>
        </w:rPr>
        <w:t xml:space="preserve">Non essendo desumibile dai fatti che </w:t>
      </w:r>
      <w:r w:rsidRPr="004B1A07">
        <w:rPr>
          <w:sz w:val="22"/>
          <w:szCs w:val="22"/>
        </w:rPr>
        <w:t>“he was acting for any other reason than personal profit, or that he had passed on the payment to Iran Air”</w:t>
      </w:r>
      <w:r w:rsidRPr="004B1A07">
        <w:rPr>
          <w:rStyle w:val="Rimandonotaapidipagina"/>
          <w:sz w:val="22"/>
          <w:szCs w:val="22"/>
        </w:rPr>
        <w:footnoteReference w:id="381"/>
      </w:r>
      <w:r w:rsidRPr="004B1A07">
        <w:rPr>
          <w:sz w:val="22"/>
          <w:szCs w:val="22"/>
        </w:rPr>
        <w:t>,</w:t>
      </w:r>
      <w:r w:rsidRPr="00A06218">
        <w:rPr>
          <w:sz w:val="22"/>
          <w:szCs w:val="22"/>
        </w:rPr>
        <w:t xml:space="preserve"> risultava assente il </w:t>
      </w:r>
      <w:r>
        <w:rPr>
          <w:sz w:val="22"/>
          <w:szCs w:val="22"/>
        </w:rPr>
        <w:t xml:space="preserve">necessario </w:t>
      </w:r>
      <w:r w:rsidRPr="00A06218">
        <w:rPr>
          <w:sz w:val="22"/>
          <w:szCs w:val="22"/>
        </w:rPr>
        <w:t xml:space="preserve">legame tra il comportamento adottato e la funzione esercitata </w:t>
      </w:r>
      <w:r>
        <w:rPr>
          <w:sz w:val="22"/>
          <w:szCs w:val="22"/>
        </w:rPr>
        <w:t>ai fini della sua attribuzione allo Stato.</w:t>
      </w:r>
    </w:p>
    <w:p w:rsidR="00333C13" w:rsidRPr="00BD7D6E" w:rsidRDefault="004B1A07" w:rsidP="00EB037D">
      <w:pPr>
        <w:pStyle w:val="Testonotaapidipagina"/>
        <w:spacing w:line="360" w:lineRule="auto"/>
        <w:ind w:firstLine="284"/>
        <w:jc w:val="both"/>
        <w:rPr>
          <w:sz w:val="22"/>
          <w:szCs w:val="22"/>
        </w:rPr>
      </w:pPr>
      <w:r>
        <w:rPr>
          <w:sz w:val="22"/>
          <w:szCs w:val="22"/>
        </w:rPr>
        <w:t>In secondo luogo</w:t>
      </w:r>
      <w:r w:rsidR="00333C13">
        <w:rPr>
          <w:sz w:val="22"/>
          <w:szCs w:val="22"/>
        </w:rPr>
        <w:t>, i</w:t>
      </w:r>
      <w:r>
        <w:rPr>
          <w:sz w:val="22"/>
          <w:szCs w:val="22"/>
        </w:rPr>
        <w:t>l T</w:t>
      </w:r>
      <w:r w:rsidR="00333C13" w:rsidRPr="00BD7D6E">
        <w:rPr>
          <w:sz w:val="22"/>
          <w:szCs w:val="22"/>
        </w:rPr>
        <w:t xml:space="preserve">ribunale è stato chiamato ad accertare se fosse attribuibile all’Iran l’estorsione di 1466 dollari subita dal ricorrente ad opera di alcuni membri dei comitati rivoluzionari quando questi non possedevano ancora lo </w:t>
      </w:r>
      <w:r w:rsidR="00333C13" w:rsidRPr="00BD7D6E">
        <w:rPr>
          <w:i/>
          <w:sz w:val="22"/>
          <w:szCs w:val="22"/>
        </w:rPr>
        <w:t>status</w:t>
      </w:r>
      <w:r w:rsidR="00333C13" w:rsidRPr="00BD7D6E">
        <w:rPr>
          <w:sz w:val="22"/>
          <w:szCs w:val="22"/>
        </w:rPr>
        <w:t xml:space="preserve"> </w:t>
      </w:r>
      <w:r>
        <w:rPr>
          <w:sz w:val="22"/>
          <w:szCs w:val="22"/>
        </w:rPr>
        <w:t xml:space="preserve">di organo dell’Iran </w:t>
      </w:r>
      <w:r w:rsidR="00333C13" w:rsidRPr="00BD7D6E">
        <w:rPr>
          <w:sz w:val="22"/>
          <w:szCs w:val="22"/>
        </w:rPr>
        <w:t>in base all’ordinamento interno dello Stato</w:t>
      </w:r>
      <w:r w:rsidR="00333C13" w:rsidRPr="00BD7D6E">
        <w:rPr>
          <w:rStyle w:val="Rimandonotaapidipagina"/>
          <w:sz w:val="22"/>
          <w:szCs w:val="22"/>
        </w:rPr>
        <w:footnoteReference w:id="382"/>
      </w:r>
      <w:r w:rsidR="00333C13" w:rsidRPr="00BD7D6E">
        <w:rPr>
          <w:sz w:val="22"/>
          <w:szCs w:val="22"/>
        </w:rPr>
        <w:t>.</w:t>
      </w:r>
    </w:p>
    <w:p w:rsidR="00333C13" w:rsidRPr="000C6B3C" w:rsidRDefault="00333C13" w:rsidP="00EB037D">
      <w:pPr>
        <w:pStyle w:val="Testonotaapidipagina"/>
        <w:spacing w:line="360" w:lineRule="auto"/>
        <w:ind w:firstLine="284"/>
        <w:jc w:val="both"/>
        <w:rPr>
          <w:sz w:val="22"/>
          <w:szCs w:val="22"/>
        </w:rPr>
      </w:pPr>
      <w:r w:rsidRPr="00BD7D6E">
        <w:rPr>
          <w:sz w:val="22"/>
          <w:szCs w:val="22"/>
        </w:rPr>
        <w:t>I comitati rivoluzionari si erano formati a seguito d</w:t>
      </w:r>
      <w:r w:rsidR="00C079A9">
        <w:rPr>
          <w:sz w:val="22"/>
          <w:szCs w:val="22"/>
        </w:rPr>
        <w:t>ella caduta del regime dello Sh</w:t>
      </w:r>
      <w:r w:rsidRPr="00BD7D6E">
        <w:rPr>
          <w:sz w:val="22"/>
          <w:szCs w:val="22"/>
        </w:rPr>
        <w:t>a e la loro posizione all’interno dell’apparato organizzativo d</w:t>
      </w:r>
      <w:r w:rsidR="00B31828">
        <w:rPr>
          <w:sz w:val="22"/>
          <w:szCs w:val="22"/>
        </w:rPr>
        <w:t xml:space="preserve">ello Stato </w:t>
      </w:r>
      <w:r w:rsidR="004B1A07">
        <w:rPr>
          <w:sz w:val="22"/>
          <w:szCs w:val="22"/>
        </w:rPr>
        <w:t>era rapidamente cambiata nel tempo</w:t>
      </w:r>
      <w:r w:rsidR="00C079A9">
        <w:rPr>
          <w:sz w:val="22"/>
          <w:szCs w:val="22"/>
        </w:rPr>
        <w:t>: nati in maniera</w:t>
      </w:r>
      <w:r w:rsidRPr="00BD7D6E">
        <w:rPr>
          <w:sz w:val="22"/>
          <w:szCs w:val="22"/>
        </w:rPr>
        <w:t xml:space="preserve"> spontanea col fine di contribuire alla nascita del nuovo governo, sono stati successivamente incorporati in maniera formale all’interno dell’apparato organizzativo dello Stato continuando a svolgere le medesime funzioni che di fatto svolgevano precedentemente</w:t>
      </w:r>
      <w:r w:rsidRPr="00BD7D6E">
        <w:rPr>
          <w:rStyle w:val="Rimandonotaapidipagina"/>
          <w:sz w:val="22"/>
          <w:szCs w:val="22"/>
        </w:rPr>
        <w:footnoteReference w:id="383"/>
      </w:r>
      <w:r w:rsidRPr="00BD7D6E">
        <w:rPr>
          <w:sz w:val="22"/>
          <w:szCs w:val="22"/>
        </w:rPr>
        <w:t xml:space="preserve">. </w:t>
      </w:r>
    </w:p>
    <w:p w:rsidR="00EA3029" w:rsidRDefault="00333C13" w:rsidP="00B31828">
      <w:pPr>
        <w:pStyle w:val="Testonotaapidipagina"/>
        <w:spacing w:line="360" w:lineRule="auto"/>
        <w:ind w:firstLine="284"/>
        <w:jc w:val="both"/>
        <w:rPr>
          <w:sz w:val="22"/>
          <w:szCs w:val="22"/>
        </w:rPr>
      </w:pPr>
      <w:r>
        <w:rPr>
          <w:sz w:val="22"/>
          <w:szCs w:val="22"/>
        </w:rPr>
        <w:t>Con riferimento al caso di specie</w:t>
      </w:r>
      <w:r w:rsidRPr="000C6B3C">
        <w:rPr>
          <w:sz w:val="22"/>
          <w:szCs w:val="22"/>
        </w:rPr>
        <w:t xml:space="preserve">, il Tribunale ha espresso dei dubbi circa la possibilità di </w:t>
      </w:r>
      <w:r>
        <w:rPr>
          <w:sz w:val="22"/>
          <w:szCs w:val="22"/>
        </w:rPr>
        <w:t>qualificare i comitati</w:t>
      </w:r>
      <w:r w:rsidRPr="000C6B3C">
        <w:rPr>
          <w:sz w:val="22"/>
          <w:szCs w:val="22"/>
        </w:rPr>
        <w:t xml:space="preserve"> come organi statali all’epoca dei fatti, in quanto privi di tale </w:t>
      </w:r>
      <w:r w:rsidRPr="000C6B3C">
        <w:rPr>
          <w:i/>
          <w:sz w:val="22"/>
          <w:szCs w:val="22"/>
        </w:rPr>
        <w:t xml:space="preserve">status </w:t>
      </w:r>
      <w:r>
        <w:rPr>
          <w:sz w:val="22"/>
          <w:szCs w:val="22"/>
        </w:rPr>
        <w:t>nell’</w:t>
      </w:r>
      <w:r w:rsidRPr="000C6B3C">
        <w:rPr>
          <w:sz w:val="22"/>
          <w:szCs w:val="22"/>
        </w:rPr>
        <w:t>ordinamento interno.</w:t>
      </w:r>
    </w:p>
    <w:p w:rsidR="00B31828" w:rsidRDefault="00333C13" w:rsidP="00B31828">
      <w:pPr>
        <w:pStyle w:val="Testonotaapidipagina"/>
        <w:spacing w:line="360" w:lineRule="auto"/>
        <w:ind w:firstLine="284"/>
        <w:jc w:val="both"/>
        <w:rPr>
          <w:sz w:val="22"/>
          <w:szCs w:val="22"/>
        </w:rPr>
      </w:pPr>
      <w:r>
        <w:rPr>
          <w:sz w:val="22"/>
          <w:szCs w:val="22"/>
        </w:rPr>
        <w:t xml:space="preserve"> Il tribunale ha però in parte ridimensionato il valore del dato formale ai fini dell’attribuzione di condotte, sottolineando una sostanziale identità tra i gruppi che esercitavano di fatto funzioni statali all’inizio del 1979 e quelli in seguito formalmente incorporati nell’organizzazione dello Stato</w:t>
      </w:r>
      <w:r>
        <w:rPr>
          <w:rStyle w:val="Rimandonotaapidipagina"/>
          <w:sz w:val="22"/>
          <w:szCs w:val="22"/>
        </w:rPr>
        <w:footnoteReference w:id="384"/>
      </w:r>
      <w:r>
        <w:rPr>
          <w:sz w:val="22"/>
          <w:szCs w:val="22"/>
        </w:rPr>
        <w:t>.</w:t>
      </w:r>
      <w:r w:rsidR="004B1A07">
        <w:rPr>
          <w:sz w:val="22"/>
          <w:szCs w:val="22"/>
        </w:rPr>
        <w:t xml:space="preserve"> Viene quindi attribuito all’</w:t>
      </w:r>
      <w:r w:rsidR="00B31828">
        <w:rPr>
          <w:sz w:val="22"/>
          <w:szCs w:val="22"/>
        </w:rPr>
        <w:t>Iran il comportameno estorsivo tenuto dalle guardie rivoluzionarie in quanto individui legati fattualmente allo Stato.</w:t>
      </w:r>
    </w:p>
    <w:p w:rsidR="00333C13" w:rsidRPr="000C6B3C" w:rsidRDefault="00A36A4A" w:rsidP="00EB037D">
      <w:pPr>
        <w:pStyle w:val="Testonotaapidipagina"/>
        <w:spacing w:line="360" w:lineRule="auto"/>
        <w:ind w:firstLine="284"/>
        <w:jc w:val="both"/>
        <w:rPr>
          <w:sz w:val="22"/>
          <w:szCs w:val="22"/>
        </w:rPr>
      </w:pPr>
      <w:r>
        <w:rPr>
          <w:sz w:val="22"/>
          <w:szCs w:val="22"/>
        </w:rPr>
        <w:t>G</w:t>
      </w:r>
      <w:r w:rsidR="00E2013D">
        <w:rPr>
          <w:sz w:val="22"/>
          <w:szCs w:val="22"/>
        </w:rPr>
        <w:t>li elementi</w:t>
      </w:r>
      <w:r w:rsidR="00333C13" w:rsidRPr="00CE762E">
        <w:rPr>
          <w:sz w:val="22"/>
          <w:szCs w:val="22"/>
        </w:rPr>
        <w:t xml:space="preserve"> </w:t>
      </w:r>
      <w:r w:rsidR="00E2013D">
        <w:rPr>
          <w:sz w:val="22"/>
          <w:szCs w:val="22"/>
        </w:rPr>
        <w:t>valorizzati</w:t>
      </w:r>
      <w:r w:rsidR="00333C13" w:rsidRPr="00CE762E">
        <w:rPr>
          <w:sz w:val="22"/>
          <w:szCs w:val="22"/>
        </w:rPr>
        <w:t xml:space="preserve"> al fine di accertare il tipo di legame esistente tra lo Stato e i comitati rivoluzionari </w:t>
      </w:r>
      <w:r w:rsidR="00E2013D">
        <w:rPr>
          <w:sz w:val="22"/>
          <w:szCs w:val="22"/>
        </w:rPr>
        <w:t>sono</w:t>
      </w:r>
      <w:r w:rsidR="00CE762E">
        <w:rPr>
          <w:sz w:val="22"/>
          <w:szCs w:val="22"/>
        </w:rPr>
        <w:t xml:space="preserve"> </w:t>
      </w:r>
      <w:r w:rsidR="00B31828" w:rsidRPr="00CE762E">
        <w:rPr>
          <w:sz w:val="22"/>
          <w:szCs w:val="22"/>
        </w:rPr>
        <w:t>l’esistenza di un rapporto fattuale fondato sulla natura delle funzioni esercitate da</w:t>
      </w:r>
      <w:r w:rsidR="00E2013D">
        <w:rPr>
          <w:sz w:val="22"/>
          <w:szCs w:val="22"/>
        </w:rPr>
        <w:t xml:space="preserve">lle guardie rivoluzionarie e </w:t>
      </w:r>
      <w:r w:rsidR="00333C13">
        <w:rPr>
          <w:sz w:val="22"/>
          <w:szCs w:val="22"/>
        </w:rPr>
        <w:t xml:space="preserve">l’atteggiamento di tolleranza manifestato dalle autorità ufficiali rispetto alle </w:t>
      </w:r>
      <w:r w:rsidR="00E2013D">
        <w:rPr>
          <w:sz w:val="22"/>
          <w:szCs w:val="22"/>
        </w:rPr>
        <w:t xml:space="preserve">loro </w:t>
      </w:r>
      <w:r w:rsidR="00333C13">
        <w:rPr>
          <w:sz w:val="22"/>
          <w:szCs w:val="22"/>
        </w:rPr>
        <w:t>attiv</w:t>
      </w:r>
      <w:r w:rsidR="00E048F2">
        <w:rPr>
          <w:sz w:val="22"/>
          <w:szCs w:val="22"/>
        </w:rPr>
        <w:t>ità</w:t>
      </w:r>
      <w:r w:rsidR="00333C13">
        <w:rPr>
          <w:sz w:val="22"/>
          <w:szCs w:val="22"/>
        </w:rPr>
        <w:t>. Ciò porterebbe ad escludere che si fosse in presenza delle condizioni per l’applicazione del criterio dell’agente di necessità, in quanto la posizione delle autorità iraniane era quella di chi è potenzialmente in grado di impedire l’adozione di comportamenti da parte del gruppo ma evita di farlo in quanto ne condivide l’operato, piuttosto che quella di autorità ufficiali assenti o al massimo incapaci di esercitare le proprie funzioni.</w:t>
      </w:r>
    </w:p>
    <w:p w:rsidR="00333C13" w:rsidRDefault="00333C13" w:rsidP="00EB037D">
      <w:pPr>
        <w:pStyle w:val="Testonotaapidipagina"/>
        <w:spacing w:line="360" w:lineRule="auto"/>
        <w:ind w:firstLine="284"/>
        <w:jc w:val="both"/>
        <w:rPr>
          <w:sz w:val="22"/>
          <w:szCs w:val="22"/>
        </w:rPr>
      </w:pPr>
      <w:r w:rsidRPr="00BB65A9">
        <w:rPr>
          <w:sz w:val="22"/>
          <w:szCs w:val="22"/>
        </w:rPr>
        <w:t>L’attribuzione allo Stato della sottrazione di denaro operata all’aeroporto dai due membri delle guardie rivoluzionarie, soltanto in fatto ad esso</w:t>
      </w:r>
      <w:r>
        <w:rPr>
          <w:sz w:val="22"/>
          <w:szCs w:val="22"/>
        </w:rPr>
        <w:t xml:space="preserve"> legati</w:t>
      </w:r>
      <w:r w:rsidRPr="00BB65A9">
        <w:rPr>
          <w:sz w:val="22"/>
          <w:szCs w:val="22"/>
        </w:rPr>
        <w:t xml:space="preserve">, si fonda </w:t>
      </w:r>
      <w:r>
        <w:rPr>
          <w:sz w:val="22"/>
          <w:szCs w:val="22"/>
        </w:rPr>
        <w:t xml:space="preserve">invece </w:t>
      </w:r>
      <w:r w:rsidRPr="00BB65A9">
        <w:rPr>
          <w:sz w:val="22"/>
          <w:szCs w:val="22"/>
        </w:rPr>
        <w:t>sulla circostanza che “</w:t>
      </w:r>
      <w:r w:rsidRPr="006B30B1">
        <w:rPr>
          <w:i/>
          <w:sz w:val="22"/>
          <w:szCs w:val="22"/>
        </w:rPr>
        <w:t>they</w:t>
      </w:r>
      <w:r>
        <w:rPr>
          <w:sz w:val="22"/>
          <w:szCs w:val="22"/>
        </w:rPr>
        <w:t xml:space="preserve"> </w:t>
      </w:r>
      <w:r w:rsidRPr="00BB65A9">
        <w:rPr>
          <w:i/>
          <w:sz w:val="22"/>
          <w:szCs w:val="22"/>
        </w:rPr>
        <w:t>were performing the functions of customs, immigration and security officers</w:t>
      </w:r>
      <w:r w:rsidRPr="00BB65A9">
        <w:rPr>
          <w:sz w:val="22"/>
          <w:szCs w:val="22"/>
        </w:rPr>
        <w:t>” e che “</w:t>
      </w:r>
      <w:r w:rsidRPr="00BB65A9">
        <w:rPr>
          <w:i/>
          <w:sz w:val="22"/>
          <w:szCs w:val="22"/>
        </w:rPr>
        <w:t>they were, thus, obviously acting in their capacity as organs of the new Government or, at least, on its behalf</w:t>
      </w:r>
      <w:r w:rsidRPr="00BB65A9">
        <w:rPr>
          <w:sz w:val="22"/>
          <w:szCs w:val="22"/>
        </w:rPr>
        <w:t>”</w:t>
      </w:r>
      <w:r w:rsidRPr="00BB65A9">
        <w:rPr>
          <w:rStyle w:val="Rimandonotaapidipagina"/>
          <w:sz w:val="22"/>
          <w:szCs w:val="22"/>
        </w:rPr>
        <w:footnoteReference w:id="385"/>
      </w:r>
      <w:r w:rsidRPr="00BB65A9">
        <w:rPr>
          <w:sz w:val="22"/>
          <w:szCs w:val="22"/>
        </w:rPr>
        <w:t>.</w:t>
      </w:r>
    </w:p>
    <w:p w:rsidR="00333C13" w:rsidRPr="00CE762E" w:rsidRDefault="00333C13" w:rsidP="00EB037D">
      <w:pPr>
        <w:pStyle w:val="Testonotaapidipagina"/>
        <w:spacing w:line="360" w:lineRule="auto"/>
        <w:ind w:firstLine="284"/>
        <w:jc w:val="both"/>
        <w:rPr>
          <w:sz w:val="22"/>
          <w:szCs w:val="22"/>
        </w:rPr>
      </w:pPr>
      <w:r w:rsidRPr="00CE762E">
        <w:rPr>
          <w:sz w:val="22"/>
          <w:szCs w:val="22"/>
        </w:rPr>
        <w:t xml:space="preserve">Nel caso di specie per giustificare l’attribuzione allo Stato di condotte di individui </w:t>
      </w:r>
      <w:r w:rsidR="00EA6B89" w:rsidRPr="00CE762E">
        <w:rPr>
          <w:sz w:val="22"/>
          <w:szCs w:val="22"/>
        </w:rPr>
        <w:t xml:space="preserve">che non erano considerati </w:t>
      </w:r>
      <w:r w:rsidRPr="00CE762E">
        <w:rPr>
          <w:sz w:val="22"/>
          <w:szCs w:val="22"/>
        </w:rPr>
        <w:t xml:space="preserve">organi dall’ordinamento interno, si è affermato che il fatto illecito era stato commesso nell’esercizio di funzioni in fatto loro assegnate, implicando che la determinazione delle competenze può essere effettuata anche mediante l’esame dei differenti elementi fattuali che attestano l’esistenza di uno stretto legame con lo Stato. </w:t>
      </w:r>
    </w:p>
    <w:p w:rsidR="00333C13" w:rsidRDefault="00333C13" w:rsidP="00EB037D">
      <w:pPr>
        <w:pStyle w:val="Testonotaapidipagina"/>
        <w:spacing w:line="360" w:lineRule="auto"/>
        <w:ind w:firstLine="284"/>
        <w:jc w:val="both"/>
        <w:rPr>
          <w:sz w:val="22"/>
          <w:szCs w:val="22"/>
        </w:rPr>
      </w:pPr>
      <w:r w:rsidRPr="00CE762E">
        <w:rPr>
          <w:sz w:val="22"/>
          <w:szCs w:val="22"/>
        </w:rPr>
        <w:t xml:space="preserve">La distinzione tra comportamenti adottati nell’esercizio di funzioni e comportamenti in qualità di privato troverebbe quindi applicazione anche con riferimento all’attività di individui che non sono organi in base al diritto interno. </w:t>
      </w:r>
      <w:r w:rsidR="00CE762E" w:rsidRPr="00CE762E">
        <w:rPr>
          <w:sz w:val="22"/>
          <w:szCs w:val="22"/>
        </w:rPr>
        <w:t xml:space="preserve">Ne conseguirebbe logicamente </w:t>
      </w:r>
      <w:r w:rsidRPr="00CE762E">
        <w:rPr>
          <w:sz w:val="22"/>
          <w:szCs w:val="22"/>
        </w:rPr>
        <w:t xml:space="preserve">la possibilità di applicare la regola in materia di attribuzione di fatti </w:t>
      </w:r>
      <w:r w:rsidRPr="00CE762E">
        <w:rPr>
          <w:i/>
          <w:sz w:val="22"/>
          <w:szCs w:val="22"/>
        </w:rPr>
        <w:t>ultra vires</w:t>
      </w:r>
      <w:r w:rsidRPr="00CE762E">
        <w:rPr>
          <w:sz w:val="22"/>
          <w:szCs w:val="22"/>
        </w:rPr>
        <w:t xml:space="preserve"> anche rispetto a situazioni nelle quali le competenze assegnate ad un individuo possono essere determinate sulla base di elementi di fatto.</w:t>
      </w:r>
    </w:p>
    <w:p w:rsidR="00EA3029" w:rsidRDefault="00333C13" w:rsidP="00D446D2">
      <w:pPr>
        <w:pStyle w:val="Testonotaapidipagina"/>
        <w:spacing w:line="360" w:lineRule="auto"/>
        <w:ind w:firstLine="284"/>
        <w:jc w:val="both"/>
        <w:rPr>
          <w:sz w:val="22"/>
          <w:szCs w:val="22"/>
        </w:rPr>
      </w:pPr>
      <w:r w:rsidRPr="00D446D2">
        <w:rPr>
          <w:sz w:val="22"/>
          <w:szCs w:val="22"/>
        </w:rPr>
        <w:t>La responsabilità internazionale dello Stato per le condotte non autorizzate dei propri organi è stata poi</w:t>
      </w:r>
      <w:r w:rsidR="00EA6B89" w:rsidRPr="00D446D2">
        <w:rPr>
          <w:sz w:val="22"/>
          <w:szCs w:val="22"/>
        </w:rPr>
        <w:t xml:space="preserve"> affermata</w:t>
      </w:r>
      <w:r w:rsidRPr="00D446D2">
        <w:rPr>
          <w:sz w:val="22"/>
          <w:szCs w:val="22"/>
        </w:rPr>
        <w:t xml:space="preserve"> anche dal giudice Holtzmann nell’opinione separata allegata alla sentenza resa dal Tribunale </w:t>
      </w:r>
      <w:r w:rsidR="00A36A4A">
        <w:rPr>
          <w:sz w:val="22"/>
          <w:szCs w:val="22"/>
        </w:rPr>
        <w:t xml:space="preserve">dei reclami </w:t>
      </w:r>
      <w:r w:rsidRPr="00D446D2">
        <w:rPr>
          <w:sz w:val="22"/>
          <w:szCs w:val="22"/>
        </w:rPr>
        <w:t xml:space="preserve">Iran/Stati Uniti nel caso </w:t>
      </w:r>
      <w:r w:rsidRPr="00D446D2">
        <w:rPr>
          <w:i/>
          <w:sz w:val="22"/>
          <w:szCs w:val="22"/>
        </w:rPr>
        <w:t>Sea-Land Service, Inc. c. Iran</w:t>
      </w:r>
      <w:r w:rsidR="00820C0E" w:rsidRPr="00D446D2">
        <w:rPr>
          <w:sz w:val="22"/>
          <w:szCs w:val="22"/>
        </w:rPr>
        <w:t>.</w:t>
      </w:r>
    </w:p>
    <w:p w:rsidR="00820C0E" w:rsidRPr="00D446D2" w:rsidRDefault="00820C0E" w:rsidP="00D446D2">
      <w:pPr>
        <w:pStyle w:val="Testonotaapidipagina"/>
        <w:spacing w:line="360" w:lineRule="auto"/>
        <w:ind w:firstLine="284"/>
        <w:jc w:val="both"/>
        <w:rPr>
          <w:sz w:val="22"/>
          <w:szCs w:val="22"/>
        </w:rPr>
      </w:pPr>
      <w:r w:rsidRPr="00D446D2">
        <w:rPr>
          <w:sz w:val="22"/>
          <w:szCs w:val="22"/>
        </w:rPr>
        <w:t xml:space="preserve"> </w:t>
      </w:r>
      <w:r w:rsidR="00B73B3E" w:rsidRPr="00D446D2">
        <w:rPr>
          <w:sz w:val="22"/>
          <w:szCs w:val="22"/>
        </w:rPr>
        <w:t xml:space="preserve">La maggioranza del collegio arbitrale </w:t>
      </w:r>
      <w:r w:rsidR="00D446D2">
        <w:rPr>
          <w:sz w:val="22"/>
          <w:szCs w:val="22"/>
        </w:rPr>
        <w:t xml:space="preserve">aveva nutrito forti </w:t>
      </w:r>
      <w:r w:rsidR="00B73B3E" w:rsidRPr="00D446D2">
        <w:rPr>
          <w:sz w:val="22"/>
          <w:szCs w:val="22"/>
        </w:rPr>
        <w:t xml:space="preserve">perplessità circa la possibilità di attribuire all’Iran le condotte adottate dagli organi del </w:t>
      </w:r>
      <w:r w:rsidR="00B73B3E" w:rsidRPr="00D446D2">
        <w:rPr>
          <w:i/>
          <w:sz w:val="22"/>
          <w:szCs w:val="22"/>
        </w:rPr>
        <w:t>Labour office</w:t>
      </w:r>
      <w:r w:rsidR="00B73B3E" w:rsidRPr="00D446D2">
        <w:rPr>
          <w:sz w:val="22"/>
          <w:szCs w:val="22"/>
        </w:rPr>
        <w:t xml:space="preserve"> durante il periodo della rivoluzione</w:t>
      </w:r>
      <w:r w:rsidR="004A6A32">
        <w:rPr>
          <w:rStyle w:val="Rimandonotaapidipagina"/>
          <w:sz w:val="22"/>
          <w:szCs w:val="22"/>
        </w:rPr>
        <w:footnoteReference w:id="386"/>
      </w:r>
      <w:r w:rsidR="00D446D2">
        <w:rPr>
          <w:sz w:val="22"/>
          <w:szCs w:val="22"/>
        </w:rPr>
        <w:t xml:space="preserve">. Secondo </w:t>
      </w:r>
      <w:r w:rsidR="00D446D2" w:rsidRPr="00D446D2">
        <w:rPr>
          <w:sz w:val="22"/>
          <w:szCs w:val="22"/>
        </w:rPr>
        <w:t>Holtzmann</w:t>
      </w:r>
      <w:r w:rsidR="004A6A32">
        <w:rPr>
          <w:sz w:val="22"/>
          <w:szCs w:val="22"/>
        </w:rPr>
        <w:t>, invece, tale osservazione era del tutto irrilevante dal momento che:</w:t>
      </w:r>
    </w:p>
    <w:p w:rsidR="00333C13" w:rsidRPr="00D446D2" w:rsidRDefault="00333C13" w:rsidP="00EB037D">
      <w:pPr>
        <w:pStyle w:val="Testonotaapidipagina"/>
        <w:spacing w:line="360" w:lineRule="auto"/>
        <w:ind w:firstLine="284"/>
        <w:jc w:val="both"/>
        <w:rPr>
          <w:sz w:val="22"/>
          <w:szCs w:val="22"/>
        </w:rPr>
      </w:pPr>
    </w:p>
    <w:p w:rsidR="00EA3029" w:rsidRDefault="00333C13" w:rsidP="00F97506">
      <w:pPr>
        <w:pStyle w:val="Testonotaapidipagina"/>
        <w:spacing w:line="360" w:lineRule="auto"/>
        <w:ind w:left="567" w:right="567" w:firstLine="284"/>
        <w:jc w:val="both"/>
        <w:rPr>
          <w:sz w:val="22"/>
          <w:szCs w:val="22"/>
          <w:lang w:val="en-US"/>
        </w:rPr>
      </w:pPr>
      <w:r w:rsidRPr="005143FB">
        <w:rPr>
          <w:sz w:val="22"/>
          <w:szCs w:val="22"/>
        </w:rPr>
        <w:t xml:space="preserve"> </w:t>
      </w:r>
      <w:r w:rsidR="00D446D2">
        <w:rPr>
          <w:sz w:val="22"/>
          <w:szCs w:val="22"/>
          <w:lang w:val="en-US"/>
        </w:rPr>
        <w:t>“</w:t>
      </w:r>
      <w:r w:rsidR="004A6A32">
        <w:rPr>
          <w:sz w:val="22"/>
          <w:szCs w:val="22"/>
          <w:lang w:val="en-US"/>
        </w:rPr>
        <w:t xml:space="preserve">… </w:t>
      </w:r>
      <w:r w:rsidRPr="00D446D2">
        <w:rPr>
          <w:sz w:val="22"/>
          <w:szCs w:val="22"/>
          <w:lang w:val="en-US"/>
        </w:rPr>
        <w:t>a State is responsible for acts of its officials – whether authorized, unauthorized, or even contrary to specific governmental instructions”</w:t>
      </w:r>
      <w:r w:rsidRPr="00D446D2">
        <w:rPr>
          <w:rStyle w:val="Rimandonotaapidipagina"/>
          <w:sz w:val="22"/>
          <w:szCs w:val="22"/>
        </w:rPr>
        <w:footnoteReference w:id="387"/>
      </w:r>
      <w:r w:rsidR="004A6A32">
        <w:rPr>
          <w:sz w:val="22"/>
          <w:szCs w:val="22"/>
          <w:lang w:val="en-US"/>
        </w:rPr>
        <w:t>.</w:t>
      </w:r>
    </w:p>
    <w:p w:rsidR="00EA3029" w:rsidRPr="004A6A32" w:rsidRDefault="00EA3029" w:rsidP="004A6A32">
      <w:pPr>
        <w:pStyle w:val="Testonotaapidipagina"/>
        <w:spacing w:line="360" w:lineRule="auto"/>
        <w:ind w:left="567" w:right="567" w:firstLine="284"/>
        <w:jc w:val="both"/>
        <w:rPr>
          <w:sz w:val="22"/>
          <w:szCs w:val="22"/>
          <w:lang w:val="en-US"/>
        </w:rPr>
      </w:pPr>
    </w:p>
    <w:p w:rsidR="00333C13" w:rsidRDefault="00603B80" w:rsidP="00BC33B1">
      <w:pPr>
        <w:spacing w:after="0" w:line="360" w:lineRule="auto"/>
        <w:ind w:left="1418" w:hanging="567"/>
        <w:jc w:val="both"/>
      </w:pPr>
      <w:r>
        <w:t xml:space="preserve">3.2 </w:t>
      </w:r>
      <w:r w:rsidR="00333C13" w:rsidRPr="00A545B5">
        <w:t>Le sentenze rese</w:t>
      </w:r>
      <w:r w:rsidR="005F4F3F">
        <w:t xml:space="preserve"> da </w:t>
      </w:r>
      <w:r w:rsidR="00333C13">
        <w:t>Tribunali arbitrali istituiti in ambito ICSID</w:t>
      </w:r>
      <w:r w:rsidR="00453FDF">
        <w:rPr>
          <w:rStyle w:val="Rimandonotaapidipagina"/>
        </w:rPr>
        <w:footnoteReference w:id="388"/>
      </w:r>
      <w:r w:rsidR="00453FDF">
        <w:t xml:space="preserve"> </w:t>
      </w:r>
      <w:r w:rsidR="00453FDF" w:rsidRPr="00453FDF">
        <w:t>prima dell’adozione in seconda lettura del progetto di articoli della CDI</w:t>
      </w:r>
    </w:p>
    <w:p w:rsidR="00333C13" w:rsidRDefault="00333C13" w:rsidP="00EB037D">
      <w:pPr>
        <w:spacing w:after="0" w:line="360" w:lineRule="auto"/>
        <w:ind w:left="1063" w:firstLine="284"/>
        <w:jc w:val="both"/>
      </w:pPr>
    </w:p>
    <w:p w:rsidR="00741F74" w:rsidRDefault="00741F74" w:rsidP="00613D6A">
      <w:pPr>
        <w:autoSpaceDE w:val="0"/>
        <w:autoSpaceDN w:val="0"/>
        <w:adjustRightInd w:val="0"/>
        <w:spacing w:after="0" w:line="360" w:lineRule="auto"/>
        <w:ind w:firstLine="284"/>
        <w:jc w:val="both"/>
      </w:pPr>
      <w:r>
        <w:t>Alla luce dell’abbondante giurisprudenza prodotta dai trbunali arbitrali istituiti</w:t>
      </w:r>
      <w:r w:rsidR="00613D6A">
        <w:t xml:space="preserve"> mediante ricorso</w:t>
      </w:r>
      <w:r>
        <w:t xml:space="preserve"> </w:t>
      </w:r>
      <w:r w:rsidR="00613D6A">
        <w:t>all’</w:t>
      </w:r>
      <w:r w:rsidR="00613D6A" w:rsidRPr="00D76CC4">
        <w:rPr>
          <w:i/>
        </w:rPr>
        <w:t xml:space="preserve">International Centre for the Settlement of the Investment Disputes </w:t>
      </w:r>
      <w:r w:rsidR="00613D6A">
        <w:t>(ICSID)</w:t>
      </w:r>
      <w:r>
        <w:t xml:space="preserve"> in tema di responsabilità internazionale dello Stato per fatti illeciti </w:t>
      </w:r>
      <w:r w:rsidRPr="00741F74">
        <w:rPr>
          <w:i/>
        </w:rPr>
        <w:t>ultra vires</w:t>
      </w:r>
      <w:r>
        <w:t xml:space="preserve"> dei propri organi, la trattazione </w:t>
      </w:r>
      <w:r w:rsidR="00A36A4A">
        <w:t xml:space="preserve">che segue  suddivisa </w:t>
      </w:r>
      <w:r>
        <w:t xml:space="preserve">in funzione della circostanza che fossero stati esaminati prima o dopo l’adozione in seconda lettura del progetto di articoli da parte della Commissione del diritto internazionale. </w:t>
      </w:r>
      <w:r w:rsidR="00A36A4A">
        <w:t>Tale criterio può</w:t>
      </w:r>
      <w:r>
        <w:t xml:space="preserve"> essere utile anche al fine di </w:t>
      </w:r>
      <w:r w:rsidR="00613D6A">
        <w:t>valutare la rilevanza dei lavori della CDI nell’</w:t>
      </w:r>
      <w:r>
        <w:t>accertare</w:t>
      </w:r>
      <w:r w:rsidR="00D11FD8">
        <w:t xml:space="preserve"> l’esistenza o meno di una regola internazionale generale operante in materia.</w:t>
      </w:r>
    </w:p>
    <w:p w:rsidR="00333C13" w:rsidRDefault="00333C13" w:rsidP="00EB037D">
      <w:pPr>
        <w:autoSpaceDE w:val="0"/>
        <w:autoSpaceDN w:val="0"/>
        <w:adjustRightInd w:val="0"/>
        <w:spacing w:after="0" w:line="360" w:lineRule="auto"/>
        <w:ind w:firstLine="284"/>
        <w:jc w:val="both"/>
      </w:pPr>
      <w:r>
        <w:t xml:space="preserve">Una delle prime pronunce in cui un Tribunale arbitrale istituito </w:t>
      </w:r>
      <w:r w:rsidR="00613D6A">
        <w:t>mediante ricors</w:t>
      </w:r>
      <w:r w:rsidR="00D76CC4">
        <w:t>o all’</w:t>
      </w:r>
      <w:r>
        <w:t xml:space="preserve">ICSID si è occupato della questione </w:t>
      </w:r>
      <w:r w:rsidR="00613D6A">
        <w:t xml:space="preserve">della responsabilità internazionale dello Stato per </w:t>
      </w:r>
      <w:r>
        <w:t>fatti</w:t>
      </w:r>
      <w:r w:rsidR="00613D6A">
        <w:t xml:space="preserve"> illeciti</w:t>
      </w:r>
      <w:r>
        <w:t xml:space="preserve"> </w:t>
      </w:r>
      <w:r>
        <w:rPr>
          <w:i/>
        </w:rPr>
        <w:t>ultra vires</w:t>
      </w:r>
      <w:r w:rsidR="00613D6A">
        <w:t xml:space="preserve"> dei propri organi</w:t>
      </w:r>
      <w:r>
        <w:t xml:space="preserve"> è stata resa il 20 novembre 1984 nel caso </w:t>
      </w:r>
      <w:r>
        <w:rPr>
          <w:rFonts w:cstheme="minorHAnsi"/>
          <w:i/>
        </w:rPr>
        <w:t>Amco Asia c. Indonesia</w:t>
      </w:r>
      <w:r>
        <w:rPr>
          <w:rStyle w:val="Rimandonotaapidipagina"/>
          <w:rFonts w:cstheme="minorHAnsi"/>
        </w:rPr>
        <w:footnoteReference w:id="389"/>
      </w:r>
      <w:r>
        <w:rPr>
          <w:rFonts w:cstheme="minorHAnsi"/>
        </w:rPr>
        <w:t xml:space="preserve">.  All’origine della controversia, che vedeva contrapposti la società americana Amco-Asia, la sua filiale locale P.T. Amco e la società Pan American (cessionaria di una parte delle azioni P.T. Amco) all’Indonesia, </w:t>
      </w:r>
      <w:r w:rsidR="00A36A4A">
        <w:rPr>
          <w:rFonts w:cstheme="minorHAnsi"/>
        </w:rPr>
        <w:t xml:space="preserve">c’era </w:t>
      </w:r>
      <w:r>
        <w:rPr>
          <w:rFonts w:cstheme="minorHAnsi"/>
        </w:rPr>
        <w:t>un contratto per il completamento della costruzione e per la gestione dell’Hotel Plaza Kartika di Giakarta</w:t>
      </w:r>
      <w:r w:rsidR="00A36A4A">
        <w:rPr>
          <w:rFonts w:cstheme="minorHAnsi"/>
        </w:rPr>
        <w:t>, contratto</w:t>
      </w:r>
      <w:r>
        <w:rPr>
          <w:rFonts w:cstheme="minorHAnsi"/>
        </w:rPr>
        <w:t xml:space="preserve"> che era stato stipulato fra l’Amco Asia e la società locale P.T. Wisma, proprietaria del terreno ed </w:t>
      </w:r>
      <w:r>
        <w:rPr>
          <w:rFonts w:cstheme="minorHAnsi"/>
          <w:i/>
        </w:rPr>
        <w:t>in toto</w:t>
      </w:r>
      <w:r>
        <w:rPr>
          <w:rFonts w:cstheme="minorHAnsi"/>
        </w:rPr>
        <w:t xml:space="preserve"> controllata da una cooperativa del personale dell’esercito indonesiano.</w:t>
      </w:r>
    </w:p>
    <w:p w:rsidR="00333C13" w:rsidRDefault="00333C13" w:rsidP="00EB037D">
      <w:pPr>
        <w:autoSpaceDE w:val="0"/>
        <w:autoSpaceDN w:val="0"/>
        <w:adjustRightInd w:val="0"/>
        <w:spacing w:after="0" w:line="360" w:lineRule="auto"/>
        <w:ind w:firstLine="284"/>
        <w:jc w:val="both"/>
      </w:pPr>
      <w:r>
        <w:t>Una volta completata la costruzione dell’albergo, le due parti si sono trovate subito in disaccordo con riferimento alla ripartizione dei profitti derivanti dalla sua gestione, che nel frattempo le società straniere avevano affidato ad un terzo. L’11 marzo 1980 P.T. Wisma inviava alla P.T. Amco una lettera di risoluzione del contratto e, dopo pochi giorni, la polizia indonesiana si impadroniva dell’albergo per affidarne la gestione alla società indonesiana. Il 15 marzo 1980 il Gov</w:t>
      </w:r>
      <w:r w:rsidR="00EA6B89">
        <w:t>erno indonesiano revocava l’autorizzazione al</w:t>
      </w:r>
      <w:r>
        <w:t>la gestione dell’albergo</w:t>
      </w:r>
      <w:r w:rsidR="00EA6B89">
        <w:t xml:space="preserve"> conferita</w:t>
      </w:r>
      <w:r>
        <w:t xml:space="preserve"> al gruppo straniero. </w:t>
      </w:r>
    </w:p>
    <w:p w:rsidR="00333C13" w:rsidRPr="00224F77" w:rsidRDefault="00333C13" w:rsidP="00224F77">
      <w:pPr>
        <w:autoSpaceDE w:val="0"/>
        <w:autoSpaceDN w:val="0"/>
        <w:adjustRightInd w:val="0"/>
        <w:spacing w:after="0" w:line="360" w:lineRule="auto"/>
        <w:ind w:firstLine="284"/>
        <w:jc w:val="both"/>
        <w:rPr>
          <w:highlight w:val="cyan"/>
        </w:rPr>
      </w:pPr>
      <w:r>
        <w:t xml:space="preserve">Non avendo ottenuto soddisfazione in alcuni procedimenti dinanzi alle giurisdizioni locali, le </w:t>
      </w:r>
      <w:r w:rsidRPr="00224F77">
        <w:t xml:space="preserve">società straniere </w:t>
      </w:r>
      <w:r w:rsidR="00A36A4A">
        <w:t xml:space="preserve">per </w:t>
      </w:r>
      <w:r w:rsidR="00224F77">
        <w:t xml:space="preserve">ottenere dall’Indonesia la riparazione del danno subito dalla confisca dell’albergo e dalla revoca dell’autorizzazione ad investire </w:t>
      </w:r>
      <w:r w:rsidR="00A36A4A">
        <w:t xml:space="preserve">hanno fatto ricorso </w:t>
      </w:r>
      <w:r w:rsidR="00224F77">
        <w:t xml:space="preserve">all’ICSID per la costituzione di un collegio arbitrale </w:t>
      </w:r>
    </w:p>
    <w:p w:rsidR="00333C13" w:rsidRDefault="00333C13" w:rsidP="00EB037D">
      <w:pPr>
        <w:autoSpaceDE w:val="0"/>
        <w:autoSpaceDN w:val="0"/>
        <w:adjustRightInd w:val="0"/>
        <w:spacing w:after="0" w:line="360" w:lineRule="auto"/>
        <w:ind w:firstLine="284"/>
        <w:jc w:val="both"/>
      </w:pPr>
      <w:r>
        <w:t>La sentenza resa all’unanimità dal Tribunale ha accertato a carico dello Stato sia una violazione dell’obbligo internazionale di protezione degli stranieri e dei loro investimenti sia l’</w:t>
      </w:r>
      <w:r w:rsidR="00EA6B89">
        <w:t xml:space="preserve">illegittimità del procedimento </w:t>
      </w:r>
      <w:r>
        <w:t>di revoca dell’autorizzazione ad investire, la quale non risultava essere giustificata neanche dal fatto che il capitale estero investito non raggiungeva l’importo precedentemente pattuito dalle società.</w:t>
      </w:r>
    </w:p>
    <w:p w:rsidR="00333C13" w:rsidRDefault="00333C13" w:rsidP="00EB037D">
      <w:pPr>
        <w:autoSpaceDE w:val="0"/>
        <w:autoSpaceDN w:val="0"/>
        <w:adjustRightInd w:val="0"/>
        <w:spacing w:after="0" w:line="360" w:lineRule="auto"/>
        <w:ind w:firstLine="284"/>
        <w:jc w:val="both"/>
      </w:pPr>
      <w:r>
        <w:t>Nel</w:t>
      </w:r>
      <w:r w:rsidR="00A36A4A">
        <w:t>l’affermare</w:t>
      </w:r>
      <w:r>
        <w:t xml:space="preserve"> la responsabilità internazionale dell’Indonesia per</w:t>
      </w:r>
      <w:r w:rsidR="00A36A4A">
        <w:t xml:space="preserve"> un fatto di propri organi, il t</w:t>
      </w:r>
      <w:r>
        <w:t xml:space="preserve">ribunale ha ribadito l’irrilevanza ai fini attributivi della circostanza che i membri della polizia avevano agito </w:t>
      </w:r>
      <w:r>
        <w:rPr>
          <w:i/>
        </w:rPr>
        <w:t>contra legem</w:t>
      </w:r>
      <w:r>
        <w:t>, in quanto avevano tenuto il fatto illecito nella loro qualità ufficiale:</w:t>
      </w:r>
    </w:p>
    <w:p w:rsidR="00393052" w:rsidRDefault="00393052" w:rsidP="00EB037D">
      <w:pPr>
        <w:autoSpaceDE w:val="0"/>
        <w:autoSpaceDN w:val="0"/>
        <w:adjustRightInd w:val="0"/>
        <w:spacing w:after="0" w:line="360" w:lineRule="auto"/>
        <w:ind w:firstLine="284"/>
        <w:jc w:val="both"/>
      </w:pPr>
    </w:p>
    <w:p w:rsidR="00333C13" w:rsidRPr="00091F6A" w:rsidRDefault="00393052" w:rsidP="00752581">
      <w:pPr>
        <w:autoSpaceDE w:val="0"/>
        <w:autoSpaceDN w:val="0"/>
        <w:adjustRightInd w:val="0"/>
        <w:spacing w:after="0" w:line="360" w:lineRule="auto"/>
        <w:ind w:left="567" w:right="567" w:firstLine="284"/>
        <w:jc w:val="both"/>
        <w:rPr>
          <w:lang w:val="fr-FR"/>
        </w:rPr>
      </w:pPr>
      <w:r w:rsidRPr="00752581">
        <w:rPr>
          <w:lang w:val="fr-FR"/>
        </w:rPr>
        <w:t xml:space="preserve">“…en appliquant avec l’assistance de la police et de l’armée une décision unilatérale contraire à ses obligations contractuelles, P.T. Wisma a méconnu l’interdiction de se faire justice à elle-même…en y prêtant la main par l’intervention de la police et de l’armée, l’Etat indonésien a commis un délit dont il est internationalement responsable.[…]C’est une règle généralement admise en Droit international, clairement exprimée dans les sentences internationales et les jugements et communément admise par les auteurs, que l’Etat a le devoir de protéger les étrangers et leurs investissement contre les </w:t>
      </w:r>
      <w:r w:rsidRPr="00091F6A">
        <w:rPr>
          <w:lang w:val="fr-FR"/>
        </w:rPr>
        <w:t xml:space="preserve">actes illégaux de ses nationaux. Lorsque de tels actes sont commis avec l’assistance active des organes de l’Etat, on se trouve en présence d’une </w:t>
      </w:r>
      <w:r w:rsidR="00091F6A" w:rsidRPr="00091F6A">
        <w:rPr>
          <w:lang w:val="fr-FR"/>
        </w:rPr>
        <w:t>violation du droit international.[…]</w:t>
      </w:r>
      <w:r w:rsidR="00607159" w:rsidRPr="00091F6A">
        <w:rPr>
          <w:lang w:val="fr-FR"/>
        </w:rPr>
        <w:t>Sur le fondement des actions et des commissions établies de l’armée et de la police qui ont trait à la prise de possession litigieuse, le Tribunal ne peut que tirer la conclusion qu’un délit international a été commis et que cet acte est imputable au Governement, qui en est en conséquence responsable</w:t>
      </w:r>
      <w:r w:rsidRPr="00091F6A">
        <w:rPr>
          <w:lang w:val="fr-FR"/>
        </w:rPr>
        <w:t xml:space="preserve">” </w:t>
      </w:r>
      <w:r w:rsidRPr="00091F6A">
        <w:rPr>
          <w:rStyle w:val="Rimandonotaapidipagina"/>
        </w:rPr>
        <w:footnoteReference w:id="390"/>
      </w:r>
      <w:r w:rsidRPr="00091F6A">
        <w:rPr>
          <w:lang w:val="fr-FR"/>
        </w:rPr>
        <w:t>.</w:t>
      </w:r>
      <w:r w:rsidRPr="00752581">
        <w:rPr>
          <w:lang w:val="fr-FR"/>
        </w:rPr>
        <w:t xml:space="preserve"> </w:t>
      </w:r>
    </w:p>
    <w:p w:rsidR="00752581" w:rsidRPr="00091F6A" w:rsidRDefault="00752581" w:rsidP="00752581">
      <w:pPr>
        <w:autoSpaceDE w:val="0"/>
        <w:autoSpaceDN w:val="0"/>
        <w:adjustRightInd w:val="0"/>
        <w:spacing w:after="0" w:line="360" w:lineRule="auto"/>
        <w:ind w:left="567" w:right="567" w:firstLine="284"/>
        <w:jc w:val="both"/>
        <w:rPr>
          <w:lang w:val="fr-FR"/>
        </w:rPr>
      </w:pPr>
    </w:p>
    <w:p w:rsidR="00333C13" w:rsidRDefault="00333C13" w:rsidP="00EB037D">
      <w:pPr>
        <w:autoSpaceDE w:val="0"/>
        <w:autoSpaceDN w:val="0"/>
        <w:adjustRightInd w:val="0"/>
        <w:spacing w:after="0" w:line="360" w:lineRule="auto"/>
        <w:ind w:firstLine="284"/>
        <w:jc w:val="both"/>
        <w:rPr>
          <w:rFonts w:cstheme="minorHAnsi"/>
        </w:rPr>
      </w:pPr>
      <w:r>
        <w:rPr>
          <w:rFonts w:cstheme="minorHAnsi"/>
        </w:rPr>
        <w:t xml:space="preserve">Il 6 maggio 1986, un Comitato </w:t>
      </w:r>
      <w:r>
        <w:rPr>
          <w:rFonts w:cstheme="minorHAnsi"/>
          <w:i/>
        </w:rPr>
        <w:t>ad hoc</w:t>
      </w:r>
      <w:r>
        <w:rPr>
          <w:rFonts w:cstheme="minorHAnsi"/>
        </w:rPr>
        <w:t xml:space="preserve"> istituito in applicazione dell’art. 52 della Convenzione di Washington, ha emanato una decisione di annullamento della pre</w:t>
      </w:r>
      <w:r w:rsidR="00607159">
        <w:rPr>
          <w:rFonts w:cstheme="minorHAnsi"/>
        </w:rPr>
        <w:t>cedente sentenza arbitrale</w:t>
      </w:r>
      <w:r>
        <w:rPr>
          <w:rFonts w:cstheme="minorHAnsi"/>
        </w:rPr>
        <w:t>. È opportuno sottolineare come il Comitato abbia però escluso dall’annullamento la valutazione effettuata dal Tribunale circa l’illiceità, alla luce della normativa indonesiana, dell’azione coercitiva della polizia nell’Hotel Plaza Kartika gestito dalla Amco</w:t>
      </w:r>
      <w:r>
        <w:rPr>
          <w:rStyle w:val="Rimandonotaapidipagina"/>
          <w:rFonts w:cstheme="minorHAnsi"/>
        </w:rPr>
        <w:footnoteReference w:id="391"/>
      </w:r>
      <w:r>
        <w:rPr>
          <w:rFonts w:cstheme="minorHAnsi"/>
        </w:rPr>
        <w:t>.</w:t>
      </w:r>
      <w:r w:rsidR="00607159">
        <w:rPr>
          <w:rFonts w:cstheme="minorHAnsi"/>
        </w:rPr>
        <w:t xml:space="preserve"> </w:t>
      </w:r>
    </w:p>
    <w:p w:rsidR="0003011E" w:rsidRDefault="00F408DF" w:rsidP="00F408DF">
      <w:pPr>
        <w:autoSpaceDE w:val="0"/>
        <w:autoSpaceDN w:val="0"/>
        <w:adjustRightInd w:val="0"/>
        <w:spacing w:after="0" w:line="360" w:lineRule="auto"/>
        <w:ind w:firstLine="284"/>
        <w:jc w:val="both"/>
      </w:pPr>
      <w:r>
        <w:t xml:space="preserve">Una rilevante sentenza con riferimento all’attribuzione allo Stato dei fatti </w:t>
      </w:r>
      <w:r w:rsidRPr="00F408DF">
        <w:rPr>
          <w:i/>
        </w:rPr>
        <w:t>ultra vires</w:t>
      </w:r>
      <w:r>
        <w:t xml:space="preserve"> dei propri organi è stata resa</w:t>
      </w:r>
      <w:r w:rsidR="00393855" w:rsidRPr="00393855">
        <w:t xml:space="preserve"> nel 1992 </w:t>
      </w:r>
      <w:r>
        <w:t xml:space="preserve">da </w:t>
      </w:r>
      <w:r w:rsidR="00393855" w:rsidRPr="00393855">
        <w:t xml:space="preserve">un collegio arbitrale istituito in ambito ICSID nel caso </w:t>
      </w:r>
      <w:r w:rsidR="00393855" w:rsidRPr="00393855">
        <w:rPr>
          <w:i/>
        </w:rPr>
        <w:t xml:space="preserve">Southern Pacific Properties (Middle East) Limited </w:t>
      </w:r>
      <w:r w:rsidR="00393855" w:rsidRPr="00393855">
        <w:t>c.</w:t>
      </w:r>
      <w:r w:rsidR="00393855" w:rsidRPr="00393855">
        <w:rPr>
          <w:i/>
        </w:rPr>
        <w:t xml:space="preserve"> Egitto</w:t>
      </w:r>
      <w:r w:rsidR="00393855">
        <w:rPr>
          <w:rStyle w:val="Rimandonotaapidipagina"/>
        </w:rPr>
        <w:footnoteReference w:id="392"/>
      </w:r>
      <w:r w:rsidR="00393855">
        <w:t xml:space="preserve">. </w:t>
      </w:r>
      <w:r w:rsidR="00A60593">
        <w:t>All’origine della controversia si trovava un contratto per la costruzione di complessi turistici nella zona archeologica d</w:t>
      </w:r>
      <w:r w:rsidR="00970DAA">
        <w:t xml:space="preserve">elle Piramidi e di Ras El Hekma, </w:t>
      </w:r>
      <w:r w:rsidR="00A60593">
        <w:t xml:space="preserve">che era stato stipulato fra </w:t>
      </w:r>
      <w:r w:rsidR="00A60593" w:rsidRPr="00A60593">
        <w:t xml:space="preserve">la </w:t>
      </w:r>
      <w:r w:rsidR="00A60593" w:rsidRPr="00A60593">
        <w:rPr>
          <w:i/>
        </w:rPr>
        <w:t>Egyptian General Organization for Tourism and Hotels</w:t>
      </w:r>
      <w:r w:rsidR="00A60593" w:rsidRPr="00A60593">
        <w:t xml:space="preserve"> (EGOTH)</w:t>
      </w:r>
      <w:r w:rsidR="00A60593">
        <w:rPr>
          <w:rStyle w:val="Rimandonotaapidipagina"/>
        </w:rPr>
        <w:footnoteReference w:id="393"/>
      </w:r>
      <w:r w:rsidR="00A60593" w:rsidRPr="00A60593">
        <w:t xml:space="preserve"> e la società di Hong Kong </w:t>
      </w:r>
      <w:r w:rsidR="00A60593" w:rsidRPr="00A60593">
        <w:rPr>
          <w:i/>
        </w:rPr>
        <w:t xml:space="preserve">Southern Pacific Properties </w:t>
      </w:r>
      <w:r w:rsidR="00A60593" w:rsidRPr="00A60593">
        <w:t>(SPP)</w:t>
      </w:r>
      <w:r w:rsidR="00A60593">
        <w:t>.</w:t>
      </w:r>
      <w:r w:rsidR="00A60593" w:rsidRPr="00A60593">
        <w:t xml:space="preserve"> </w:t>
      </w:r>
    </w:p>
    <w:p w:rsidR="00A60593" w:rsidRDefault="00970DAA" w:rsidP="0003011E">
      <w:pPr>
        <w:autoSpaceDE w:val="0"/>
        <w:autoSpaceDN w:val="0"/>
        <w:adjustRightInd w:val="0"/>
        <w:spacing w:after="0" w:line="360" w:lineRule="auto"/>
        <w:ind w:firstLine="284"/>
        <w:jc w:val="both"/>
      </w:pPr>
      <w:r>
        <w:t>Alla fine del 1977 il progetto ha però incontrato l’opposizione di gran parte della classe politica egiziana, che lo riteneva un</w:t>
      </w:r>
      <w:r w:rsidR="00F408DF">
        <w:t>a</w:t>
      </w:r>
      <w:r>
        <w:t xml:space="preserve"> minaccia per le antichità della zona non ancora venute alla luce.</w:t>
      </w:r>
      <w:r w:rsidR="006B62B1">
        <w:t xml:space="preserve"> A seguito dell’emissione il 27 maggio 1978 di un decreto con cui il Ministro dell’Informazione e della Cultura </w:t>
      </w:r>
      <w:r w:rsidR="00A8235A">
        <w:t xml:space="preserve">considerava </w:t>
      </w:r>
      <w:r w:rsidR="006B62B1">
        <w:t xml:space="preserve">le Piramidi </w:t>
      </w:r>
      <w:r w:rsidR="00A8235A">
        <w:t>una “</w:t>
      </w:r>
      <w:r w:rsidR="00A8235A" w:rsidRPr="00A8235A">
        <w:rPr>
          <w:i/>
        </w:rPr>
        <w:t>public property antiquity</w:t>
      </w:r>
      <w:r w:rsidR="00A8235A">
        <w:t>”, il decreto presidenziale No. 267</w:t>
      </w:r>
      <w:r w:rsidR="00094782">
        <w:t xml:space="preserve"> cancellava il precedente decreto No. 245, con cui la zona circostante l’area archeologica veniva catalogata ad utilizzo turistico, e</w:t>
      </w:r>
      <w:r w:rsidR="00A8235A">
        <w:t xml:space="preserve"> </w:t>
      </w:r>
      <w:r w:rsidR="00094782">
        <w:t xml:space="preserve">la </w:t>
      </w:r>
      <w:r w:rsidR="00A8235A">
        <w:t>dichiarava terreno di pubblica utilità</w:t>
      </w:r>
      <w:r w:rsidR="00094782">
        <w:t>.</w:t>
      </w:r>
      <w:r w:rsidR="00F408DF">
        <w:t xml:space="preserve"> </w:t>
      </w:r>
      <w:r w:rsidR="00094782">
        <w:t xml:space="preserve">Contemporaneamente </w:t>
      </w:r>
      <w:r w:rsidR="006B62B1">
        <w:t xml:space="preserve">la </w:t>
      </w:r>
      <w:r w:rsidR="006B62B1" w:rsidRPr="006B62B1">
        <w:rPr>
          <w:i/>
        </w:rPr>
        <w:t>General Organization for Investement of Arab Capital and Tax-Free Areas</w:t>
      </w:r>
      <w:r w:rsidR="00BB3DB2">
        <w:t xml:space="preserve"> provvedeva a revocare</w:t>
      </w:r>
      <w:r w:rsidR="006B62B1">
        <w:t xml:space="preserve"> l’approvazione del</w:t>
      </w:r>
      <w:r w:rsidR="00A8235A">
        <w:t xml:space="preserve"> progetto previamente accordata.</w:t>
      </w:r>
    </w:p>
    <w:p w:rsidR="00F408DF" w:rsidRDefault="00F408DF" w:rsidP="009B24F7">
      <w:pPr>
        <w:autoSpaceDE w:val="0"/>
        <w:autoSpaceDN w:val="0"/>
        <w:adjustRightInd w:val="0"/>
        <w:spacing w:after="0" w:line="360" w:lineRule="auto"/>
        <w:ind w:firstLine="284"/>
        <w:jc w:val="both"/>
      </w:pPr>
      <w:r>
        <w:t xml:space="preserve">L’Egitto ha </w:t>
      </w:r>
      <w:r w:rsidR="00607159">
        <w:t>contestato</w:t>
      </w:r>
      <w:r w:rsidR="00094782">
        <w:t xml:space="preserve"> che il decreto presidenziale No. 245 fosse invalido e che numerose decisioni degli organi di vertice del Governo fossero state adottate contravvenendo alle procedure previste </w:t>
      </w:r>
      <w:r w:rsidR="009B24F7">
        <w:t>dall’</w:t>
      </w:r>
      <w:r>
        <w:t xml:space="preserve">ordinamento </w:t>
      </w:r>
      <w:r w:rsidR="00094782">
        <w:t>interno.</w:t>
      </w:r>
      <w:r>
        <w:t xml:space="preserve"> </w:t>
      </w:r>
      <w:r w:rsidR="009B24F7">
        <w:t>Nel pronunciarsi nel merito i</w:t>
      </w:r>
      <w:r>
        <w:t xml:space="preserve">l Tribunale arbitrale ha reputato irrilevante </w:t>
      </w:r>
      <w:r w:rsidR="009B24F7">
        <w:t xml:space="preserve">la circostanza che un fatto venga adottato dagli organi </w:t>
      </w:r>
      <w:r w:rsidR="009B24F7" w:rsidRPr="00F408DF">
        <w:rPr>
          <w:i/>
        </w:rPr>
        <w:t>ultra vires</w:t>
      </w:r>
      <w:r w:rsidR="009B24F7">
        <w:t xml:space="preserve"> </w:t>
      </w:r>
      <w:r>
        <w:t xml:space="preserve">ai </w:t>
      </w:r>
      <w:r w:rsidR="009B24F7">
        <w:t xml:space="preserve">fini </w:t>
      </w:r>
      <w:r w:rsidR="00607159">
        <w:t>della loro attribuzione allo Stato</w:t>
      </w:r>
      <w:r w:rsidR="000E0EFB">
        <w:t>. Nonostante la condotta non autorizzata non costituiva un fatto illecito internazionale, il tribunale ha affermato che:</w:t>
      </w:r>
    </w:p>
    <w:p w:rsidR="003329AC" w:rsidRDefault="003329AC" w:rsidP="009B24F7">
      <w:pPr>
        <w:autoSpaceDE w:val="0"/>
        <w:autoSpaceDN w:val="0"/>
        <w:adjustRightInd w:val="0"/>
        <w:spacing w:after="0" w:line="360" w:lineRule="auto"/>
        <w:ind w:firstLine="284"/>
        <w:jc w:val="both"/>
      </w:pPr>
    </w:p>
    <w:p w:rsidR="003329AC" w:rsidRDefault="003329AC" w:rsidP="00C052EB">
      <w:pPr>
        <w:autoSpaceDE w:val="0"/>
        <w:autoSpaceDN w:val="0"/>
        <w:adjustRightInd w:val="0"/>
        <w:spacing w:after="0" w:line="360" w:lineRule="auto"/>
        <w:ind w:left="567" w:right="567" w:firstLine="284"/>
        <w:jc w:val="both"/>
        <w:rPr>
          <w:lang w:val="en-US"/>
        </w:rPr>
      </w:pPr>
      <w:r w:rsidRPr="003329AC">
        <w:rPr>
          <w:lang w:val="en-US"/>
        </w:rPr>
        <w:t xml:space="preserve">“It is possible that under Egyptian law certain acts of Egyptian officials, including even Presidential Decree No. </w:t>
      </w:r>
      <w:r>
        <w:rPr>
          <w:lang w:val="en-US"/>
        </w:rPr>
        <w:t>475, may be considered legally non-existent or null and void or susceptible to invalidation. However, these acts were cloaked with the mantle of Governmental authority and communicated as such to foreign investors who relied on them in making their investment.</w:t>
      </w:r>
    </w:p>
    <w:p w:rsidR="003329AC" w:rsidRDefault="003329AC" w:rsidP="00C052EB">
      <w:pPr>
        <w:autoSpaceDE w:val="0"/>
        <w:autoSpaceDN w:val="0"/>
        <w:adjustRightInd w:val="0"/>
        <w:spacing w:after="0" w:line="360" w:lineRule="auto"/>
        <w:ind w:left="567" w:right="567" w:firstLine="284"/>
        <w:jc w:val="both"/>
        <w:rPr>
          <w:lang w:val="en-US"/>
        </w:rPr>
      </w:pPr>
      <w:r>
        <w:rPr>
          <w:lang w:val="en-US"/>
        </w:rPr>
        <w:t>Whether legal under Egyptian law or not, the acts in question were the acts of Egyptian authorities, including the highest executive authority of the Government. These acts, which are now alleged to have been in violation of the Egyptian municipal legal system, created expectations protected by established principles of international law. A determination that these acts are null and void under municipal law would not resolve the ultimate question of liability for damages suffered by the victims who r</w:t>
      </w:r>
      <w:r w:rsidR="00C052EB">
        <w:rPr>
          <w:lang w:val="en-US"/>
        </w:rPr>
        <w:t xml:space="preserve">elied on the acts. […] The principle of international law that the Tribunal is bound to apply is that which establishes the international responsibility of States when unauthorized or </w:t>
      </w:r>
      <w:r w:rsidR="00C052EB" w:rsidRPr="00AA4977">
        <w:rPr>
          <w:i/>
          <w:lang w:val="en-US"/>
        </w:rPr>
        <w:t>ultra vires</w:t>
      </w:r>
      <w:r w:rsidR="00C052EB">
        <w:rPr>
          <w:lang w:val="en-US"/>
        </w:rPr>
        <w:t xml:space="preserve"> acts of officials have been performed by State agents under cover of their official character. If such unauthorized or </w:t>
      </w:r>
      <w:r w:rsidR="00C052EB" w:rsidRPr="00AA4977">
        <w:rPr>
          <w:i/>
          <w:lang w:val="en-US"/>
        </w:rPr>
        <w:t>ultra vires</w:t>
      </w:r>
      <w:r w:rsidR="00C052EB">
        <w:rPr>
          <w:lang w:val="en-US"/>
        </w:rPr>
        <w:t xml:space="preserve"> acts could not be ascribed to the State, all State responsibility would be rendered illusory”</w:t>
      </w:r>
      <w:r w:rsidR="00B330DD">
        <w:rPr>
          <w:rStyle w:val="Rimandonotaapidipagina"/>
          <w:lang w:val="en-US"/>
        </w:rPr>
        <w:footnoteReference w:id="394"/>
      </w:r>
      <w:r w:rsidR="00C052EB">
        <w:rPr>
          <w:lang w:val="en-US"/>
        </w:rPr>
        <w:t>.</w:t>
      </w:r>
    </w:p>
    <w:p w:rsidR="0003011E" w:rsidRDefault="0003011E" w:rsidP="0003011E">
      <w:pPr>
        <w:autoSpaceDE w:val="0"/>
        <w:autoSpaceDN w:val="0"/>
        <w:adjustRightInd w:val="0"/>
        <w:spacing w:after="0" w:line="360" w:lineRule="auto"/>
        <w:ind w:right="567"/>
        <w:jc w:val="both"/>
        <w:rPr>
          <w:lang w:val="en-US"/>
        </w:rPr>
      </w:pPr>
    </w:p>
    <w:p w:rsidR="00AD692E" w:rsidRDefault="00253730" w:rsidP="0049561F">
      <w:pPr>
        <w:autoSpaceDE w:val="0"/>
        <w:autoSpaceDN w:val="0"/>
        <w:adjustRightInd w:val="0"/>
        <w:spacing w:after="0" w:line="360" w:lineRule="auto"/>
        <w:ind w:firstLine="567"/>
        <w:jc w:val="both"/>
      </w:pPr>
      <w:r w:rsidRPr="00253730">
        <w:t>T</w:t>
      </w:r>
      <w:r w:rsidR="00C6769B">
        <w:t>ale pronuncia evidenzia il principio che rispetto a</w:t>
      </w:r>
      <w:r w:rsidR="00B04A63">
        <w:t xml:space="preserve"> fatti illeciti </w:t>
      </w:r>
      <w:r w:rsidR="00B04A63" w:rsidRPr="00857851">
        <w:rPr>
          <w:i/>
        </w:rPr>
        <w:t xml:space="preserve">ultra vires </w:t>
      </w:r>
      <w:r w:rsidR="00B04A63">
        <w:t xml:space="preserve">degli organi statali, </w:t>
      </w:r>
      <w:r w:rsidR="00C6769B">
        <w:t xml:space="preserve">lo Stato incorrebbe nella responsabilità internazionale; ciò </w:t>
      </w:r>
      <w:r w:rsidR="00271D9F">
        <w:t xml:space="preserve">si fonderebbe su una garanzia che esso presta agli altri </w:t>
      </w:r>
      <w:r w:rsidR="00A14496">
        <w:t xml:space="preserve">Stati </w:t>
      </w:r>
      <w:r w:rsidR="00271D9F">
        <w:t>al fine di assicurare la sicurezza delle relazioni internazionali.</w:t>
      </w:r>
      <w:r w:rsidR="00A14496">
        <w:t xml:space="preserve"> </w:t>
      </w:r>
      <w:r w:rsidR="0049561F">
        <w:t>Come già precedentemente osservato con riferimento alle prese di posizione di Stati nell’ambito di controversie risolte in via diplomatica</w:t>
      </w:r>
      <w:r w:rsidR="0049561F">
        <w:rPr>
          <w:rStyle w:val="Rimandonotaapidipagina"/>
        </w:rPr>
        <w:footnoteReference w:id="395"/>
      </w:r>
      <w:r w:rsidR="0049561F">
        <w:t xml:space="preserve">, </w:t>
      </w:r>
      <w:r w:rsidR="0049561F">
        <w:rPr>
          <w:bCs/>
        </w:rPr>
        <w:t xml:space="preserve">anche tale pronuncia costituisce prova del fatto che </w:t>
      </w:r>
      <w:r w:rsidR="0049561F">
        <w:t>l’operazione di attribuzione allo Stato nell’ordinamento internazionale dei comportamenti adottati in determinate condizioni dalle persone facenti parte la sua organizzazione viene consid</w:t>
      </w:r>
      <w:r w:rsidR="0078342A">
        <w:t>e</w:t>
      </w:r>
      <w:r w:rsidR="0049561F">
        <w:t xml:space="preserve">rata indipendente rispetto alla definizione di quali possano considerarsi sue condotte sul piano interno. </w:t>
      </w:r>
      <w:r w:rsidR="00A14496">
        <w:t>Nonostante gli organi statali abbiano oltrepassato la propria competenza contravvenendo alle istruzioni ricevute o alle disposizioni del proprio ordinamento interno, tali</w:t>
      </w:r>
      <w:r w:rsidR="0049561F">
        <w:t xml:space="preserve"> condotte</w:t>
      </w:r>
      <w:r w:rsidR="00271D9F">
        <w:t xml:space="preserve"> risultano</w:t>
      </w:r>
      <w:r w:rsidR="00A14496">
        <w:t xml:space="preserve"> comunque</w:t>
      </w:r>
      <w:r w:rsidR="00271D9F">
        <w:t xml:space="preserve"> </w:t>
      </w:r>
      <w:r w:rsidR="0049561F">
        <w:t>fatti dello Stato quale soggetto internazionale</w:t>
      </w:r>
      <w:r w:rsidR="00874953">
        <w:t xml:space="preserve"> </w:t>
      </w:r>
      <w:r w:rsidR="0049561F">
        <w:t xml:space="preserve">in quanto tenute </w:t>
      </w:r>
      <w:r w:rsidR="00874953">
        <w:t xml:space="preserve">nell’esercizio delle funzioni e di conseguenza investite </w:t>
      </w:r>
      <w:r w:rsidR="0049561F">
        <w:t>della qualità ufficiale</w:t>
      </w:r>
    </w:p>
    <w:p w:rsidR="00333C13" w:rsidRDefault="00AD692E" w:rsidP="00C6769B">
      <w:pPr>
        <w:autoSpaceDE w:val="0"/>
        <w:autoSpaceDN w:val="0"/>
        <w:adjustRightInd w:val="0"/>
        <w:spacing w:after="0" w:line="360" w:lineRule="auto"/>
        <w:ind w:firstLine="567"/>
        <w:jc w:val="both"/>
      </w:pPr>
      <w:r>
        <w:t xml:space="preserve">La questione della responsabilità internazionale dello Stato per i fatti illeciti internazionali </w:t>
      </w:r>
      <w:r w:rsidRPr="00AD692E">
        <w:rPr>
          <w:i/>
        </w:rPr>
        <w:t>ultra vires</w:t>
      </w:r>
      <w:r>
        <w:t xml:space="preserve"> è stata nuovamente affrontata da un collegio arbitrale istituito in ambito ICSID </w:t>
      </w:r>
      <w:r w:rsidR="00333C13">
        <w:t xml:space="preserve">nel procedimento istituito dalla </w:t>
      </w:r>
      <w:r w:rsidR="00393855">
        <w:rPr>
          <w:i/>
        </w:rPr>
        <w:t xml:space="preserve">Metalclad Corporation </w:t>
      </w:r>
      <w:r w:rsidR="00A14496" w:rsidRPr="00A14496">
        <w:rPr>
          <w:i/>
        </w:rPr>
        <w:t>contro</w:t>
      </w:r>
      <w:r w:rsidR="001D2D93" w:rsidRPr="00A14496">
        <w:rPr>
          <w:i/>
        </w:rPr>
        <w:t xml:space="preserve"> </w:t>
      </w:r>
      <w:r w:rsidR="001D2D93" w:rsidRPr="00554FB7">
        <w:rPr>
          <w:i/>
        </w:rPr>
        <w:t>il Messico</w:t>
      </w:r>
      <w:r w:rsidR="00C6769B">
        <w:t xml:space="preserve">. Questa sentenza, del 30 agosto 2000, </w:t>
      </w:r>
      <w:r w:rsidR="001D2D93">
        <w:t xml:space="preserve">è stata </w:t>
      </w:r>
      <w:r w:rsidR="00333C13">
        <w:t xml:space="preserve">la prima pronuncia resa da un tribunale arbitrale istituito in ambito ICSID sulla base di quanto previsto dall’undicesimo capitolo del </w:t>
      </w:r>
      <w:r w:rsidR="00333C13">
        <w:rPr>
          <w:i/>
        </w:rPr>
        <w:t>North American Free Trade Agreement</w:t>
      </w:r>
      <w:r w:rsidR="00333C13">
        <w:rPr>
          <w:rStyle w:val="Rimandonotaapidipagina"/>
        </w:rPr>
        <w:footnoteReference w:id="396"/>
      </w:r>
      <w:r w:rsidR="00333C13">
        <w:t xml:space="preserve">. </w:t>
      </w:r>
    </w:p>
    <w:p w:rsidR="00333C13" w:rsidRDefault="00333C13" w:rsidP="00EB037D">
      <w:pPr>
        <w:autoSpaceDE w:val="0"/>
        <w:autoSpaceDN w:val="0"/>
        <w:adjustRightInd w:val="0"/>
        <w:spacing w:after="0" w:line="360" w:lineRule="auto"/>
        <w:ind w:firstLine="284"/>
        <w:jc w:val="both"/>
      </w:pPr>
      <w:r>
        <w:t>La controversia era sorta in virtù della costruzione, da parte di una società controllata dalla Metalclad, di una discarica per lo smaltimento di rifiuti tossici a Guadalcazar, nello Stato centrale messicano</w:t>
      </w:r>
      <w:r w:rsidR="000640CF">
        <w:t xml:space="preserve"> di San Luis Potosi. A seguito </w:t>
      </w:r>
      <w:r>
        <w:t>dell’approvazione del progetto a livello statale e federale, la costruzione della discarica era avvenuta i</w:t>
      </w:r>
      <w:r w:rsidR="001D2D93">
        <w:t>n breve tempo. La sua apertura era stata però ritardata</w:t>
      </w:r>
      <w:r>
        <w:t xml:space="preserve"> da numerose manifestazioni di protesta.</w:t>
      </w:r>
    </w:p>
    <w:p w:rsidR="00333C13" w:rsidRDefault="00333C13" w:rsidP="00EB037D">
      <w:pPr>
        <w:autoSpaceDE w:val="0"/>
        <w:autoSpaceDN w:val="0"/>
        <w:adjustRightInd w:val="0"/>
        <w:spacing w:after="0" w:line="360" w:lineRule="auto"/>
        <w:ind w:firstLine="284"/>
        <w:jc w:val="both"/>
      </w:pPr>
      <w:r>
        <w:t>Nonostante che, successivamente a tali episodi, la Metalclad avesse concluso un accordo con le agenzie federali per la protezione dell’ambiente al fine di disciplinare le condizioni in base a cui la discarica dovesse operare, l’amministrazione loc</w:t>
      </w:r>
      <w:r w:rsidR="00554FB7">
        <w:t>ale aveva negato alla società il</w:t>
      </w:r>
      <w:r>
        <w:t xml:space="preserve"> permesso </w:t>
      </w:r>
      <w:r w:rsidR="00C6769B">
        <w:t>di procedere</w:t>
      </w:r>
      <w:r w:rsidR="00554FB7">
        <w:t xml:space="preserve"> </w:t>
      </w:r>
      <w:r>
        <w:t xml:space="preserve">e attraverso un’ingiunzione giudiziale era riuscita ad impedire che </w:t>
      </w:r>
      <w:r w:rsidR="000640CF">
        <w:t xml:space="preserve">la discarica per lungo tempo </w:t>
      </w:r>
      <w:r>
        <w:t>divenisse operativa.</w:t>
      </w:r>
    </w:p>
    <w:p w:rsidR="00333C13" w:rsidRDefault="00333C13" w:rsidP="00EB037D">
      <w:pPr>
        <w:autoSpaceDE w:val="0"/>
        <w:autoSpaceDN w:val="0"/>
        <w:adjustRightInd w:val="0"/>
        <w:spacing w:after="0" w:line="360" w:lineRule="auto"/>
        <w:ind w:firstLine="284"/>
        <w:jc w:val="both"/>
      </w:pPr>
      <w:r>
        <w:t>Il Tribunale, nell’</w:t>
      </w:r>
      <w:r w:rsidR="00554FB7">
        <w:t>affermare che il Messico doveva</w:t>
      </w:r>
      <w:r>
        <w:t xml:space="preserve"> rispondere in ambito internazionale delle condotte tenute dagli organi della municipalità </w:t>
      </w:r>
      <w:r w:rsidR="00554FB7">
        <w:t>di Guadalcazar, ha inoltre precisato</w:t>
      </w:r>
      <w:r>
        <w:t xml:space="preserve"> che, secondo il diritto internazionale generale, come codificato all’art. 10 del progetto di articoli adottato in prima lettura dalla CDI, devono ritenersi attribuibili allo Stato tutte le condotte tenute in qualità ufficiale da parte degli organi statali indipendentemente dalla circostanza che abbiano agito </w:t>
      </w:r>
      <w:r>
        <w:rPr>
          <w:i/>
        </w:rPr>
        <w:t>contra legem</w:t>
      </w:r>
      <w:r>
        <w:t>, nel mancato rispetto della competenza oppure delle istruzioni ricevute:</w:t>
      </w:r>
    </w:p>
    <w:p w:rsidR="00333C13" w:rsidRDefault="00333C13" w:rsidP="00EB037D">
      <w:pPr>
        <w:autoSpaceDE w:val="0"/>
        <w:autoSpaceDN w:val="0"/>
        <w:adjustRightInd w:val="0"/>
        <w:spacing w:after="0" w:line="360" w:lineRule="auto"/>
        <w:ind w:firstLine="284"/>
        <w:jc w:val="both"/>
      </w:pPr>
    </w:p>
    <w:p w:rsidR="00615952" w:rsidRDefault="00333C13" w:rsidP="00615952">
      <w:pPr>
        <w:autoSpaceDE w:val="0"/>
        <w:autoSpaceDN w:val="0"/>
        <w:adjustRightInd w:val="0"/>
        <w:spacing w:after="0" w:line="360" w:lineRule="auto"/>
        <w:ind w:left="567" w:right="567" w:firstLine="284"/>
        <w:jc w:val="both"/>
        <w:rPr>
          <w:lang w:val="en-US"/>
        </w:rPr>
      </w:pPr>
      <w:r w:rsidRPr="00554FB7">
        <w:rPr>
          <w:lang w:val="en-US"/>
        </w:rPr>
        <w:t xml:space="preserve">“A threshold question is whether Mexico is internationally responsible for the acts of SLP and Guadalcazar. The issue was largely disposed of by Mexico in paragraph 233 of its post-hearing submission, which stated that “[Mexico] did not plead that the acts of the Municipality were not covered by NAFTA. [Mexico] was, and remains, prepared to proceed on the assumption that the normal rule of state responsibility applies; that is, that the Respondent can be internationally responsible for the acts of state organs at all three levels of government”. </w:t>
      </w:r>
      <w:r w:rsidR="002E6089">
        <w:rPr>
          <w:lang w:val="en-US"/>
        </w:rPr>
        <w:t xml:space="preserve">[…] </w:t>
      </w:r>
      <w:r w:rsidRPr="00554FB7">
        <w:rPr>
          <w:lang w:val="en-US"/>
        </w:rPr>
        <w:t xml:space="preserve">A reference to a state or province includes local governments of that state or province. </w:t>
      </w:r>
      <w:r w:rsidR="002E6089">
        <w:rPr>
          <w:lang w:val="en-US"/>
        </w:rPr>
        <w:t xml:space="preserve">[…] </w:t>
      </w:r>
      <w:r w:rsidRPr="00554FB7">
        <w:rPr>
          <w:lang w:val="en-US"/>
        </w:rPr>
        <w:t>This approach accords fully with the established position in customary international law. This has been clearly stated in Article 10 of the draft articles on state responsibility adopted by the International Law Commission of the United Nations in 1975 which, though currently still under consideration, may nonetheless be regarded as an accurate restatement of the present law</w:t>
      </w:r>
      <w:r w:rsidR="002E6089">
        <w:rPr>
          <w:lang w:val="en-US"/>
        </w:rPr>
        <w:t>:</w:t>
      </w:r>
      <w:r w:rsidR="002E6089" w:rsidRPr="002E6089">
        <w:rPr>
          <w:lang w:val="en-US"/>
        </w:rPr>
        <w:t xml:space="preserve"> The conduct of an organ of a State, of</w:t>
      </w:r>
      <w:r w:rsidR="002E6089">
        <w:rPr>
          <w:lang w:val="en-US"/>
        </w:rPr>
        <w:t xml:space="preserve"> a territorial government </w:t>
      </w:r>
      <w:r w:rsidR="002E6089" w:rsidRPr="002E6089">
        <w:rPr>
          <w:lang w:val="en-US"/>
        </w:rPr>
        <w:t>entity or of an entity empowered to exerci</w:t>
      </w:r>
      <w:r w:rsidR="002E6089">
        <w:rPr>
          <w:lang w:val="en-US"/>
        </w:rPr>
        <w:t xml:space="preserve">se elements of the Governmental </w:t>
      </w:r>
      <w:r w:rsidR="002E6089" w:rsidRPr="002E6089">
        <w:rPr>
          <w:lang w:val="en-US"/>
        </w:rPr>
        <w:t>authority, such organ having a</w:t>
      </w:r>
      <w:r w:rsidR="002E6089">
        <w:rPr>
          <w:lang w:val="en-US"/>
        </w:rPr>
        <w:t xml:space="preserve">cted in that capacity, shall be </w:t>
      </w:r>
      <w:r w:rsidR="002E6089" w:rsidRPr="002E6089">
        <w:rPr>
          <w:lang w:val="en-US"/>
        </w:rPr>
        <w:t>considered as an act of the State under in</w:t>
      </w:r>
      <w:r w:rsidR="002E6089">
        <w:rPr>
          <w:lang w:val="en-US"/>
        </w:rPr>
        <w:t xml:space="preserve">ternational law even if, in the </w:t>
      </w:r>
      <w:r w:rsidR="002E6089" w:rsidRPr="002E6089">
        <w:rPr>
          <w:lang w:val="en-US"/>
        </w:rPr>
        <w:t>particular case, the organ exceeded its c</w:t>
      </w:r>
      <w:r w:rsidR="002E6089">
        <w:rPr>
          <w:lang w:val="en-US"/>
        </w:rPr>
        <w:t xml:space="preserve">ompetence according to internal </w:t>
      </w:r>
      <w:r w:rsidR="002E6089" w:rsidRPr="002E6089">
        <w:rPr>
          <w:lang w:val="en-US"/>
        </w:rPr>
        <w:t>law or contravened instructions concerning its activity</w:t>
      </w:r>
      <w:r w:rsidRPr="00554FB7">
        <w:rPr>
          <w:lang w:val="en-US"/>
        </w:rPr>
        <w:t>”</w:t>
      </w:r>
      <w:r w:rsidRPr="00554FB7">
        <w:rPr>
          <w:rStyle w:val="Rimandonotaapidipagina"/>
        </w:rPr>
        <w:footnoteReference w:id="397"/>
      </w:r>
      <w:r w:rsidRPr="00554FB7">
        <w:rPr>
          <w:lang w:val="en-US"/>
        </w:rPr>
        <w:t>.</w:t>
      </w:r>
      <w:r w:rsidR="00554FB7">
        <w:rPr>
          <w:lang w:val="en-US"/>
        </w:rPr>
        <w:t xml:space="preserve"> </w:t>
      </w:r>
    </w:p>
    <w:p w:rsidR="00615952" w:rsidRDefault="00615952" w:rsidP="00615952">
      <w:pPr>
        <w:autoSpaceDE w:val="0"/>
        <w:autoSpaceDN w:val="0"/>
        <w:adjustRightInd w:val="0"/>
        <w:spacing w:after="0" w:line="360" w:lineRule="auto"/>
        <w:ind w:left="567" w:right="567" w:firstLine="284"/>
        <w:jc w:val="both"/>
        <w:rPr>
          <w:lang w:val="en-US"/>
        </w:rPr>
      </w:pPr>
    </w:p>
    <w:p w:rsidR="001B4227" w:rsidRDefault="00615952" w:rsidP="00615952">
      <w:pPr>
        <w:autoSpaceDE w:val="0"/>
        <w:autoSpaceDN w:val="0"/>
        <w:adjustRightInd w:val="0"/>
        <w:spacing w:after="0" w:line="360" w:lineRule="auto"/>
        <w:ind w:firstLine="284"/>
        <w:jc w:val="both"/>
      </w:pPr>
      <w:r w:rsidRPr="00615952">
        <w:t xml:space="preserve">Alla luce delle </w:t>
      </w:r>
      <w:r w:rsidR="00762FA8">
        <w:t>pron</w:t>
      </w:r>
      <w:r w:rsidRPr="00615952">
        <w:t xml:space="preserve">unce finora esaminate, </w:t>
      </w:r>
      <w:r w:rsidR="00762FA8">
        <w:t xml:space="preserve">è possibile </w:t>
      </w:r>
      <w:r w:rsidR="001B4227">
        <w:t xml:space="preserve">concludere </w:t>
      </w:r>
      <w:r w:rsidR="0079347E">
        <w:t>che</w:t>
      </w:r>
      <w:r w:rsidR="00762FA8">
        <w:t xml:space="preserve"> </w:t>
      </w:r>
      <w:r>
        <w:t>il pr</w:t>
      </w:r>
      <w:r w:rsidRPr="00615952">
        <w:t>incipio della responsabilità internazionale dello Sta</w:t>
      </w:r>
      <w:r>
        <w:t>t</w:t>
      </w:r>
      <w:r w:rsidRPr="00615952">
        <w:t xml:space="preserve">o per fatti illeciti </w:t>
      </w:r>
      <w:r w:rsidRPr="00615952">
        <w:rPr>
          <w:i/>
        </w:rPr>
        <w:t>ultra vires</w:t>
      </w:r>
      <w:r w:rsidR="001B4227">
        <w:t xml:space="preserve"> dei propri organi, i</w:t>
      </w:r>
      <w:r w:rsidR="00B25845">
        <w:t xml:space="preserve">ndipendentemente dal rispetto delle istruzioni ricevute o delle disposizioni dell’ordinamento interno, </w:t>
      </w:r>
      <w:r w:rsidR="001B4227">
        <w:t xml:space="preserve">trova fondamento nel fatto che l’attività di </w:t>
      </w:r>
      <w:r w:rsidR="00B25845">
        <w:t>un organo statale nell’esercizio delle proprie funzioni deve riteners</w:t>
      </w:r>
      <w:r w:rsidR="00762FA8">
        <w:t xml:space="preserve">i </w:t>
      </w:r>
      <w:r w:rsidR="001B4227">
        <w:t>attribuibile allo Stato.</w:t>
      </w:r>
    </w:p>
    <w:p w:rsidR="00615952" w:rsidRPr="00615952" w:rsidRDefault="00094C27" w:rsidP="00615952">
      <w:pPr>
        <w:autoSpaceDE w:val="0"/>
        <w:autoSpaceDN w:val="0"/>
        <w:adjustRightInd w:val="0"/>
        <w:spacing w:after="0" w:line="360" w:lineRule="auto"/>
        <w:ind w:firstLine="284"/>
        <w:jc w:val="both"/>
      </w:pPr>
      <w:r>
        <w:t xml:space="preserve">Sembra inoltre interessante rilevare come la </w:t>
      </w:r>
      <w:r w:rsidR="00615952">
        <w:t>disposizione adottata su tale questione da</w:t>
      </w:r>
      <w:r>
        <w:t>lla CDI venga costantemente</w:t>
      </w:r>
      <w:r w:rsidR="00615952">
        <w:t xml:space="preserve"> </w:t>
      </w:r>
      <w:r>
        <w:t xml:space="preserve">richiamata </w:t>
      </w:r>
      <w:r w:rsidR="00B25845">
        <w:t xml:space="preserve">dagli interpreti </w:t>
      </w:r>
      <w:r>
        <w:t>come indizio del</w:t>
      </w:r>
      <w:r w:rsidR="00615952">
        <w:t>l’esistenza di una regola internazionale generale operante in materia.</w:t>
      </w:r>
    </w:p>
    <w:p w:rsidR="00615952" w:rsidRPr="00615952" w:rsidRDefault="00615952" w:rsidP="00630A83">
      <w:pPr>
        <w:autoSpaceDE w:val="0"/>
        <w:autoSpaceDN w:val="0"/>
        <w:adjustRightInd w:val="0"/>
        <w:spacing w:after="0" w:line="360" w:lineRule="auto"/>
        <w:ind w:right="567"/>
        <w:jc w:val="both"/>
      </w:pPr>
    </w:p>
    <w:p w:rsidR="00453FDF" w:rsidRDefault="00453FDF" w:rsidP="00BC33B1">
      <w:pPr>
        <w:spacing w:after="0" w:line="360" w:lineRule="auto"/>
        <w:ind w:left="993" w:hanging="426"/>
        <w:jc w:val="both"/>
      </w:pPr>
      <w:r>
        <w:t xml:space="preserve">3.3 </w:t>
      </w:r>
      <w:r w:rsidRPr="002A11BD">
        <w:t>Segue:</w:t>
      </w:r>
      <w:r w:rsidR="002A11BD">
        <w:t xml:space="preserve"> l</w:t>
      </w:r>
      <w:r>
        <w:t>e sentenze rese successivamente all’adozione in seconda lettura del progetto di articoli della CDI</w:t>
      </w:r>
    </w:p>
    <w:p w:rsidR="00333C13" w:rsidRDefault="00333C13" w:rsidP="002E6089">
      <w:pPr>
        <w:autoSpaceDE w:val="0"/>
        <w:autoSpaceDN w:val="0"/>
        <w:adjustRightInd w:val="0"/>
        <w:spacing w:after="0" w:line="360" w:lineRule="auto"/>
        <w:ind w:right="567"/>
        <w:jc w:val="both"/>
      </w:pPr>
    </w:p>
    <w:p w:rsidR="00333C13" w:rsidRDefault="00FA71FB" w:rsidP="00FA71FB">
      <w:pPr>
        <w:autoSpaceDE w:val="0"/>
        <w:autoSpaceDN w:val="0"/>
        <w:adjustRightInd w:val="0"/>
        <w:spacing w:after="0" w:line="360" w:lineRule="auto"/>
        <w:jc w:val="both"/>
      </w:pPr>
      <w:r>
        <w:t xml:space="preserve">Anche nel periodo successivo all’adozione in seconda lettura del progetti di articoli da parte della CDI, la questione di sapere se lo Stato sia tenuto a rispondere internazionalmente dei fatti illeciti </w:t>
      </w:r>
      <w:r w:rsidRPr="00FA71FB">
        <w:rPr>
          <w:i/>
        </w:rPr>
        <w:t>ultra vires</w:t>
      </w:r>
      <w:r>
        <w:t xml:space="preserve"> dei propri organi è stata spesso affrontata da tribunali istituiti mediante ricorso all’ICSID.</w:t>
      </w:r>
      <w:r w:rsidRPr="00FA71FB">
        <w:t xml:space="preserve"> </w:t>
      </w:r>
      <w:r>
        <w:t xml:space="preserve">Si rammenta, ad esempio, la sentenza resa il 9 gennaio 2003 nel caso </w:t>
      </w:r>
      <w:r>
        <w:rPr>
          <w:i/>
        </w:rPr>
        <w:t>ADF Group Inc. v. United States of America</w:t>
      </w:r>
      <w:r>
        <w:t xml:space="preserve"> da </w:t>
      </w:r>
      <w:r w:rsidR="00333C13">
        <w:t>un tribunale arbitrale istituito in ambito ICSID</w:t>
      </w:r>
      <w:r w:rsidR="001B4227">
        <w:t>,</w:t>
      </w:r>
      <w:r w:rsidR="00333C13">
        <w:t xml:space="preserve"> sulla base di quanto previsto dall</w:t>
      </w:r>
      <w:r>
        <w:t>’undicesimo capitolo del NAFTA</w:t>
      </w:r>
      <w:r>
        <w:rPr>
          <w:rStyle w:val="Rimandonotaapidipagina"/>
        </w:rPr>
        <w:footnoteReference w:id="398"/>
      </w:r>
      <w:r>
        <w:t>.</w:t>
      </w:r>
    </w:p>
    <w:p w:rsidR="00333C13" w:rsidRDefault="00333C13" w:rsidP="00EB037D">
      <w:pPr>
        <w:spacing w:after="0" w:line="360" w:lineRule="auto"/>
        <w:ind w:firstLine="284"/>
        <w:jc w:val="both"/>
      </w:pPr>
      <w:r>
        <w:t xml:space="preserve">La controversia era stata sottoposta ad arbitrato ICSID da parte di un’impresa canadese, ADF Group Inc., che lamentava </w:t>
      </w:r>
      <w:r w:rsidR="00EA0FF7">
        <w:t xml:space="preserve">la violazione </w:t>
      </w:r>
      <w:r>
        <w:t>da part</w:t>
      </w:r>
      <w:r w:rsidR="001B4227">
        <w:t xml:space="preserve">e del Governo degli Stati Uniti </w:t>
      </w:r>
      <w:r>
        <w:t>di alcune disposizioni del capitolo del NAFTA relativo agli investimenti. La controversia era sorta in relazione alla realizzazione di un importante snodo autostradale nel Nord dello Stato della Virginia, il cui progetto proposto dal</w:t>
      </w:r>
      <w:r>
        <w:rPr>
          <w:i/>
        </w:rPr>
        <w:t xml:space="preserve"> Commonwealth</w:t>
      </w:r>
      <w:r>
        <w:t xml:space="preserve"> della Virginia, denominato Springfield, era stato approvato dalla </w:t>
      </w:r>
      <w:r>
        <w:rPr>
          <w:i/>
        </w:rPr>
        <w:t>Federal Highway Administration</w:t>
      </w:r>
      <w:r>
        <w:t xml:space="preserve">. </w:t>
      </w:r>
    </w:p>
    <w:p w:rsidR="00333C13" w:rsidRDefault="00333C13" w:rsidP="00EB037D">
      <w:pPr>
        <w:spacing w:after="0" w:line="360" w:lineRule="auto"/>
        <w:ind w:firstLine="284"/>
        <w:jc w:val="both"/>
      </w:pPr>
      <w:r>
        <w:t>La società ADF Group Inc. aveva ottenuto in subappalto la fornitura di acciaio per la realizzazione del progetto, ma aveva visto negarsi da parte delle autorità dello Stato della Virginia la possibilità di effettuare la lavorazione della materia prima in Canada, in quanto in contrasto con alcune disposizioni contrattuali previamente accettate. La società, che era stata costretta ad adempiere al con</w:t>
      </w:r>
      <w:r w:rsidR="00AC45F9">
        <w:t xml:space="preserve">tratto utilizzando </w:t>
      </w:r>
      <w:r>
        <w:t>impia</w:t>
      </w:r>
      <w:r w:rsidR="00AC45F9">
        <w:t>nti presenti negli Stati Uniti</w:t>
      </w:r>
      <w:r>
        <w:t>, aveva visto aumentare notevolmente i propri costi.</w:t>
      </w:r>
    </w:p>
    <w:p w:rsidR="00333C13" w:rsidRPr="000A0AC0" w:rsidRDefault="00333C13" w:rsidP="00EB037D">
      <w:pPr>
        <w:pStyle w:val="Testonotaapidipagina"/>
        <w:spacing w:line="360" w:lineRule="auto"/>
        <w:ind w:firstLine="284"/>
        <w:jc w:val="both"/>
      </w:pPr>
      <w:r>
        <w:rPr>
          <w:sz w:val="22"/>
          <w:szCs w:val="22"/>
        </w:rPr>
        <w:t>La ricorrente lamentava, tra l’altro, la violazione dell’art. 1105 del NAFTA, che prevede</w:t>
      </w:r>
      <w:r>
        <w:t xml:space="preserve"> il principio del </w:t>
      </w:r>
      <w:r>
        <w:rPr>
          <w:i/>
          <w:sz w:val="22"/>
          <w:szCs w:val="22"/>
        </w:rPr>
        <w:t>Minimum Standard Treatment</w:t>
      </w:r>
      <w:r>
        <w:t xml:space="preserve">. </w:t>
      </w:r>
      <w:r>
        <w:rPr>
          <w:sz w:val="22"/>
          <w:szCs w:val="22"/>
        </w:rPr>
        <w:t xml:space="preserve">Fra gli argomenti avanzati a sostegno del ricorso vi era anche la circostanza che i membri della </w:t>
      </w:r>
      <w:r>
        <w:rPr>
          <w:i/>
          <w:sz w:val="22"/>
          <w:szCs w:val="22"/>
        </w:rPr>
        <w:t>Federal Highway Administration</w:t>
      </w:r>
      <w:r>
        <w:rPr>
          <w:sz w:val="22"/>
          <w:szCs w:val="22"/>
        </w:rPr>
        <w:t xml:space="preserve"> avevano agito </w:t>
      </w:r>
      <w:r>
        <w:rPr>
          <w:i/>
          <w:sz w:val="22"/>
          <w:szCs w:val="22"/>
        </w:rPr>
        <w:t>ultra vires</w:t>
      </w:r>
      <w:r>
        <w:rPr>
          <w:sz w:val="22"/>
          <w:szCs w:val="22"/>
        </w:rPr>
        <w:t xml:space="preserve">, in quanto non </w:t>
      </w:r>
      <w:r w:rsidRPr="000A0AC0">
        <w:rPr>
          <w:sz w:val="22"/>
          <w:szCs w:val="22"/>
        </w:rPr>
        <w:t>a</w:t>
      </w:r>
      <w:r w:rsidR="00220636" w:rsidRPr="000A0AC0">
        <w:rPr>
          <w:sz w:val="22"/>
          <w:szCs w:val="22"/>
        </w:rPr>
        <w:t>vrebbe</w:t>
      </w:r>
      <w:r w:rsidRPr="000A0AC0">
        <w:rPr>
          <w:sz w:val="22"/>
          <w:szCs w:val="22"/>
        </w:rPr>
        <w:t xml:space="preserve"> rispettato la sezione 165 del </w:t>
      </w:r>
      <w:r w:rsidRPr="000A0AC0">
        <w:rPr>
          <w:i/>
          <w:sz w:val="22"/>
          <w:szCs w:val="22"/>
        </w:rPr>
        <w:t>Surface Transportation Assistance Act</w:t>
      </w:r>
      <w:r w:rsidRPr="000A0AC0">
        <w:rPr>
          <w:sz w:val="22"/>
          <w:szCs w:val="22"/>
        </w:rPr>
        <w:t xml:space="preserve"> del 1982 nell’emanare i regolamenti di attuazione</w:t>
      </w:r>
      <w:r w:rsidRPr="000A0AC0">
        <w:rPr>
          <w:rStyle w:val="Rimandonotaapidipagina"/>
        </w:rPr>
        <w:footnoteReference w:id="399"/>
      </w:r>
      <w:r w:rsidRPr="000A0AC0">
        <w:t xml:space="preserve">. </w:t>
      </w:r>
    </w:p>
    <w:p w:rsidR="00333C13" w:rsidRDefault="00333C13" w:rsidP="00EB037D">
      <w:pPr>
        <w:pStyle w:val="Testonotaapidipagina"/>
        <w:spacing w:line="360" w:lineRule="auto"/>
        <w:ind w:firstLine="284"/>
        <w:jc w:val="both"/>
        <w:rPr>
          <w:sz w:val="22"/>
          <w:szCs w:val="22"/>
        </w:rPr>
      </w:pPr>
      <w:r w:rsidRPr="000A0AC0">
        <w:rPr>
          <w:sz w:val="22"/>
          <w:szCs w:val="22"/>
        </w:rPr>
        <w:t xml:space="preserve">Nell’affrontare tale questione, il Tribunale ha </w:t>
      </w:r>
      <w:r w:rsidR="000A0AC0" w:rsidRPr="000A0AC0">
        <w:rPr>
          <w:sz w:val="22"/>
          <w:szCs w:val="22"/>
        </w:rPr>
        <w:t>innanzitutto</w:t>
      </w:r>
      <w:r w:rsidR="000A0AC0" w:rsidRPr="000A0AC0">
        <w:rPr>
          <w:i/>
          <w:sz w:val="22"/>
          <w:szCs w:val="22"/>
        </w:rPr>
        <w:t xml:space="preserve"> </w:t>
      </w:r>
      <w:r w:rsidRPr="000A0AC0">
        <w:rPr>
          <w:sz w:val="22"/>
          <w:szCs w:val="22"/>
        </w:rPr>
        <w:t>precisato che in realtà</w:t>
      </w:r>
      <w:r w:rsidR="000A0AC0" w:rsidRPr="000A0AC0">
        <w:rPr>
          <w:sz w:val="22"/>
          <w:szCs w:val="22"/>
        </w:rPr>
        <w:t xml:space="preserve"> la società lamentava </w:t>
      </w:r>
      <w:r w:rsidR="00A24446" w:rsidRPr="000A0AC0">
        <w:rPr>
          <w:sz w:val="22"/>
          <w:szCs w:val="22"/>
        </w:rPr>
        <w:t xml:space="preserve">un errore </w:t>
      </w:r>
      <w:r w:rsidRPr="000A0AC0">
        <w:rPr>
          <w:sz w:val="22"/>
          <w:szCs w:val="22"/>
        </w:rPr>
        <w:t>nell’interpretazione della normativa</w:t>
      </w:r>
      <w:r w:rsidR="000A0AC0" w:rsidRPr="000A0AC0">
        <w:rPr>
          <w:sz w:val="22"/>
          <w:szCs w:val="22"/>
        </w:rPr>
        <w:t>, cosa</w:t>
      </w:r>
      <w:r w:rsidRPr="000A0AC0">
        <w:rPr>
          <w:sz w:val="22"/>
          <w:szCs w:val="22"/>
        </w:rPr>
        <w:t xml:space="preserve"> che non corrispondeva automaticamente ad un </w:t>
      </w:r>
      <w:r w:rsidR="000A0AC0" w:rsidRPr="000A0AC0">
        <w:rPr>
          <w:sz w:val="22"/>
          <w:szCs w:val="22"/>
        </w:rPr>
        <w:t xml:space="preserve">mancato rispetto della competenza </w:t>
      </w:r>
      <w:r w:rsidRPr="000A0AC0">
        <w:rPr>
          <w:sz w:val="22"/>
          <w:szCs w:val="22"/>
        </w:rPr>
        <w:t xml:space="preserve">da parte degli organi statali. </w:t>
      </w:r>
      <w:r w:rsidR="00220636" w:rsidRPr="000A0AC0">
        <w:rPr>
          <w:sz w:val="22"/>
          <w:szCs w:val="22"/>
        </w:rPr>
        <w:t xml:space="preserve"> </w:t>
      </w:r>
      <w:r w:rsidRPr="000A0AC0">
        <w:rPr>
          <w:sz w:val="22"/>
          <w:szCs w:val="22"/>
        </w:rPr>
        <w:t xml:space="preserve">Il Tribunale ha poi ammesso di non avere la competenza per pronunciarsi circa </w:t>
      </w:r>
      <w:r w:rsidR="001B4227">
        <w:rPr>
          <w:sz w:val="22"/>
          <w:szCs w:val="22"/>
        </w:rPr>
        <w:t>la legittimità di atti n</w:t>
      </w:r>
      <w:r w:rsidRPr="000A0AC0">
        <w:rPr>
          <w:sz w:val="22"/>
          <w:szCs w:val="22"/>
        </w:rPr>
        <w:t xml:space="preserve">el diritto amministrativo statunitense, in quanto </w:t>
      </w:r>
      <w:r w:rsidR="00220636" w:rsidRPr="000A0AC0">
        <w:rPr>
          <w:sz w:val="22"/>
          <w:szCs w:val="22"/>
        </w:rPr>
        <w:t xml:space="preserve">essa era competente a valutare soltanto la coerenza </w:t>
      </w:r>
      <w:r w:rsidRPr="000A0AC0">
        <w:rPr>
          <w:sz w:val="22"/>
          <w:szCs w:val="22"/>
        </w:rPr>
        <w:t>delle misure adottate dall’organo</w:t>
      </w:r>
      <w:r>
        <w:rPr>
          <w:sz w:val="22"/>
          <w:szCs w:val="22"/>
        </w:rPr>
        <w:t xml:space="preserve"> statale rispetto al capitolo 11 del NAFTA e alle regole di diritto internazionale generale e non poteva, invece, svolgere la funzione di Camera di appello con riferimento a</w:t>
      </w:r>
      <w:r w:rsidR="00220636">
        <w:rPr>
          <w:sz w:val="22"/>
          <w:szCs w:val="22"/>
        </w:rPr>
        <w:t>lla conformità al diritto interno</w:t>
      </w:r>
      <w:r w:rsidR="00425F70">
        <w:rPr>
          <w:sz w:val="22"/>
          <w:szCs w:val="22"/>
        </w:rPr>
        <w:t xml:space="preserve"> di</w:t>
      </w:r>
      <w:r>
        <w:rPr>
          <w:sz w:val="22"/>
          <w:szCs w:val="22"/>
        </w:rPr>
        <w:t xml:space="preserve"> misure adottate da uno S</w:t>
      </w:r>
      <w:r w:rsidR="00425F70">
        <w:rPr>
          <w:sz w:val="22"/>
          <w:szCs w:val="22"/>
        </w:rPr>
        <w:t>tato</w:t>
      </w:r>
      <w:r>
        <w:rPr>
          <w:rStyle w:val="Rimandonotaapidipagina"/>
          <w:sz w:val="22"/>
          <w:szCs w:val="22"/>
        </w:rPr>
        <w:footnoteReference w:id="400"/>
      </w:r>
      <w:r>
        <w:rPr>
          <w:sz w:val="22"/>
          <w:szCs w:val="22"/>
        </w:rPr>
        <w:t xml:space="preserve">. Il </w:t>
      </w:r>
      <w:r w:rsidR="000A0AC0">
        <w:rPr>
          <w:sz w:val="22"/>
          <w:szCs w:val="22"/>
        </w:rPr>
        <w:t xml:space="preserve">collegio arbitrale </w:t>
      </w:r>
      <w:r>
        <w:rPr>
          <w:sz w:val="22"/>
          <w:szCs w:val="22"/>
        </w:rPr>
        <w:t xml:space="preserve">ha infine sottolineato che, anche se le misure fossero state adottate </w:t>
      </w:r>
      <w:r>
        <w:rPr>
          <w:i/>
          <w:sz w:val="22"/>
          <w:szCs w:val="22"/>
        </w:rPr>
        <w:t>contra legem</w:t>
      </w:r>
      <w:r>
        <w:rPr>
          <w:sz w:val="22"/>
          <w:szCs w:val="22"/>
        </w:rPr>
        <w:t xml:space="preserve"> rispetto all’ordinamento interno da parte degli organi statali, non ne derivava automaticamente la loro illiceità rispetto alla regola di diritto internazionale consuetudinario codificata all’art. 1105 del NAFTA</w:t>
      </w:r>
      <w:r>
        <w:rPr>
          <w:rStyle w:val="Rimandonotaapidipagina"/>
          <w:sz w:val="22"/>
          <w:szCs w:val="22"/>
        </w:rPr>
        <w:footnoteReference w:id="401"/>
      </w:r>
      <w:r>
        <w:rPr>
          <w:sz w:val="22"/>
          <w:szCs w:val="22"/>
        </w:rPr>
        <w:t xml:space="preserve">. Un comportamento </w:t>
      </w:r>
      <w:r>
        <w:rPr>
          <w:i/>
          <w:sz w:val="22"/>
          <w:szCs w:val="22"/>
        </w:rPr>
        <w:t>ultra vires</w:t>
      </w:r>
      <w:r>
        <w:rPr>
          <w:sz w:val="22"/>
          <w:szCs w:val="22"/>
        </w:rPr>
        <w:t xml:space="preserve"> adottato da un organo statale doveva comunque ritenersi un fatto dello Stato in diritto internazionale a patto che questo avesse agito nella sua qualità ufficiale, come previsto dall’art. 7 del progetto di articoli della CDI adottato in seconda lettura:</w:t>
      </w:r>
      <w:r w:rsidR="00425F70">
        <w:rPr>
          <w:sz w:val="22"/>
          <w:szCs w:val="22"/>
        </w:rPr>
        <w:t xml:space="preserve"> </w:t>
      </w:r>
    </w:p>
    <w:p w:rsidR="00333C13" w:rsidRDefault="00333C13" w:rsidP="00EB037D">
      <w:pPr>
        <w:pStyle w:val="Testonotaapidipagina"/>
        <w:spacing w:line="360" w:lineRule="auto"/>
        <w:ind w:firstLine="284"/>
        <w:jc w:val="both"/>
        <w:rPr>
          <w:sz w:val="22"/>
          <w:szCs w:val="22"/>
        </w:rPr>
      </w:pPr>
    </w:p>
    <w:p w:rsidR="00333C13" w:rsidRPr="00FD7309" w:rsidRDefault="00333C13" w:rsidP="00EB037D">
      <w:pPr>
        <w:pStyle w:val="Testonotaapidipagina"/>
        <w:spacing w:line="360" w:lineRule="auto"/>
        <w:ind w:left="567" w:right="567" w:firstLine="284"/>
        <w:jc w:val="both"/>
        <w:rPr>
          <w:sz w:val="22"/>
          <w:szCs w:val="22"/>
          <w:lang w:val="en-US"/>
        </w:rPr>
      </w:pPr>
      <w:r w:rsidRPr="00FD7309">
        <w:rPr>
          <w:sz w:val="22"/>
          <w:szCs w:val="22"/>
          <w:lang w:val="en-US"/>
        </w:rPr>
        <w:t xml:space="preserve">“An unauthorized or </w:t>
      </w:r>
      <w:r w:rsidRPr="00AA4977">
        <w:rPr>
          <w:i/>
          <w:sz w:val="22"/>
          <w:szCs w:val="22"/>
          <w:lang w:val="en-US"/>
        </w:rPr>
        <w:t>ultra vires</w:t>
      </w:r>
      <w:r w:rsidRPr="00FD7309">
        <w:rPr>
          <w:sz w:val="22"/>
          <w:szCs w:val="22"/>
          <w:lang w:val="en-US"/>
        </w:rPr>
        <w:t xml:space="preserve"> act of a governmental entity of course remains, in international law, the act of the State of which the acting entity is part, if that entity acted in its official capacity. But something more than simple illegality or lack of authority under the domestic law of a State is necessary to render an act or measure inconsistent with the customary international law requirements of Article 1105, even  under the Investor’s view of that Article”</w:t>
      </w:r>
      <w:r w:rsidRPr="00FD7309">
        <w:rPr>
          <w:rStyle w:val="Rimandonotaapidipagina"/>
          <w:sz w:val="22"/>
          <w:szCs w:val="22"/>
        </w:rPr>
        <w:footnoteReference w:id="402"/>
      </w:r>
      <w:r w:rsidRPr="00FD7309">
        <w:rPr>
          <w:sz w:val="22"/>
          <w:szCs w:val="22"/>
          <w:lang w:val="en-US"/>
        </w:rPr>
        <w:t>.</w:t>
      </w:r>
    </w:p>
    <w:p w:rsidR="00333C13" w:rsidRPr="0072060D" w:rsidRDefault="00333C13" w:rsidP="00EB037D">
      <w:pPr>
        <w:pStyle w:val="Testonotaapidipagina"/>
        <w:spacing w:line="360" w:lineRule="auto"/>
        <w:ind w:firstLine="284"/>
        <w:jc w:val="both"/>
        <w:rPr>
          <w:sz w:val="22"/>
          <w:szCs w:val="22"/>
          <w:lang w:val="en-US"/>
        </w:rPr>
      </w:pPr>
    </w:p>
    <w:p w:rsidR="000A0AC0" w:rsidRDefault="000A0AC0" w:rsidP="000A0AC0">
      <w:pPr>
        <w:autoSpaceDE w:val="0"/>
        <w:autoSpaceDN w:val="0"/>
        <w:adjustRightInd w:val="0"/>
        <w:spacing w:after="0" w:line="360" w:lineRule="auto"/>
        <w:ind w:firstLine="284"/>
        <w:jc w:val="both"/>
        <w:rPr>
          <w:rFonts w:cstheme="minorHAnsi"/>
        </w:rPr>
      </w:pPr>
      <w:r>
        <w:rPr>
          <w:rFonts w:cstheme="minorHAnsi"/>
        </w:rPr>
        <w:t>Nonos</w:t>
      </w:r>
      <w:r w:rsidR="00A07805">
        <w:rPr>
          <w:rFonts w:cstheme="minorHAnsi"/>
        </w:rPr>
        <w:t>tante nel caso di specie non fosse</w:t>
      </w:r>
      <w:r>
        <w:rPr>
          <w:rFonts w:cstheme="minorHAnsi"/>
        </w:rPr>
        <w:t xml:space="preserve"> stato </w:t>
      </w:r>
      <w:r w:rsidR="00A264B9">
        <w:rPr>
          <w:rFonts w:cstheme="minorHAnsi"/>
        </w:rPr>
        <w:t xml:space="preserve">quindi </w:t>
      </w:r>
      <w:r>
        <w:rPr>
          <w:rFonts w:cstheme="minorHAnsi"/>
        </w:rPr>
        <w:t>violato alcun obbligo del diritto internazionale, il Tribunale ha ribadito che un fatto tenuto nella qualità ufficiale da un organo statale deve essere comunque ritenuto un fatto dello Stato quale soggetto internazionale indipendentemente dal rispetto delle istruzioni ricevute o del diritto interno.</w:t>
      </w:r>
    </w:p>
    <w:p w:rsidR="00F408DF" w:rsidRPr="000A0AC0" w:rsidRDefault="00F408DF" w:rsidP="000A0AC0">
      <w:pPr>
        <w:autoSpaceDE w:val="0"/>
        <w:autoSpaceDN w:val="0"/>
        <w:adjustRightInd w:val="0"/>
        <w:spacing w:after="0" w:line="360" w:lineRule="auto"/>
        <w:ind w:firstLine="284"/>
        <w:jc w:val="both"/>
        <w:rPr>
          <w:rFonts w:cstheme="minorHAnsi"/>
        </w:rPr>
      </w:pPr>
      <w:r>
        <w:rPr>
          <w:rFonts w:cstheme="minorHAnsi"/>
        </w:rPr>
        <w:t xml:space="preserve">Un’altra pronuncia interessante è stata resa </w:t>
      </w:r>
      <w:r w:rsidR="00A264B9">
        <w:rPr>
          <w:rFonts w:cstheme="minorHAnsi"/>
        </w:rPr>
        <w:t xml:space="preserve">nel 2005 </w:t>
      </w:r>
      <w:r>
        <w:rPr>
          <w:rFonts w:cstheme="minorHAnsi"/>
        </w:rPr>
        <w:t xml:space="preserve">da un Tribunale arbitrale istituito in ambito ICSID nel caso </w:t>
      </w:r>
      <w:r>
        <w:rPr>
          <w:i/>
        </w:rPr>
        <w:t xml:space="preserve">Noble Ventures, Inc. </w:t>
      </w:r>
      <w:r w:rsidRPr="00393855">
        <w:t>c.</w:t>
      </w:r>
      <w:r>
        <w:rPr>
          <w:i/>
        </w:rPr>
        <w:t xml:space="preserve"> Romania</w:t>
      </w:r>
      <w:r>
        <w:rPr>
          <w:rStyle w:val="Rimandonotaapidipagina"/>
        </w:rPr>
        <w:footnoteReference w:id="403"/>
      </w:r>
      <w:r>
        <w:t xml:space="preserve">. </w:t>
      </w:r>
      <w:r w:rsidR="00A07805">
        <w:t xml:space="preserve">In relazione ad un </w:t>
      </w:r>
      <w:r>
        <w:rPr>
          <w:i/>
        </w:rPr>
        <w:t>Bilateral Investment Treaty</w:t>
      </w:r>
      <w:r>
        <w:t xml:space="preserve"> concluso dalla Romania e dagli Stati Uniti il 28 maggio 1992, era sorta una controversia con riferimento ad un accordo riguardante l’acquisizione e la gestione di un’azienda rumena, dal nome Combinatul Siderurgic Resita, concluso tra una società statunitense, la Noble Ventures, e il </w:t>
      </w:r>
      <w:r>
        <w:rPr>
          <w:i/>
        </w:rPr>
        <w:t xml:space="preserve">Romanian State Ownership Fund </w:t>
      </w:r>
      <w:r>
        <w:t>(SOF), ente rumeno di pubblico interesse costituito nel 1992 con lo scopo di privatizzare le imprese a partecipazione pubblica.</w:t>
      </w:r>
      <w:r>
        <w:rPr>
          <w:i/>
        </w:rPr>
        <w:t xml:space="preserve"> </w:t>
      </w:r>
      <w:r>
        <w:t xml:space="preserve">Sei mesi dopo la privatizzazione, il potere politico era passato nelle mani di Nastase, leader del partito all’opposizione. Tale mutamento di Governo si era riflesso nella sostituzione del SOF con la </w:t>
      </w:r>
      <w:r>
        <w:rPr>
          <w:i/>
        </w:rPr>
        <w:t xml:space="preserve">Authority for the Privatization and Management of the State </w:t>
      </w:r>
      <w:r w:rsidRPr="00E563B7">
        <w:rPr>
          <w:i/>
        </w:rPr>
        <w:t xml:space="preserve">Ownership </w:t>
      </w:r>
      <w:r w:rsidRPr="00E563B7">
        <w:t>(APAPS).</w:t>
      </w:r>
      <w:r>
        <w:t xml:space="preserve"> </w:t>
      </w:r>
    </w:p>
    <w:p w:rsidR="00F408DF" w:rsidRDefault="00F408DF" w:rsidP="00F408DF">
      <w:pPr>
        <w:autoSpaceDE w:val="0"/>
        <w:autoSpaceDN w:val="0"/>
        <w:adjustRightInd w:val="0"/>
        <w:spacing w:after="0" w:line="360" w:lineRule="auto"/>
        <w:ind w:firstLine="284"/>
        <w:jc w:val="both"/>
      </w:pPr>
      <w:r>
        <w:t>A seguito di tali eventi erano sorti numerosi problemi per la società statunitense, che si era vista costretta a ricorrere ad arbitrato lamentando la violazione</w:t>
      </w:r>
      <w:r w:rsidR="00A07805">
        <w:t xml:space="preserve"> di alcune disposizioni del BIT </w:t>
      </w:r>
      <w:r>
        <w:t xml:space="preserve">concluso dagli Stati Uniti con la Romania. Con riferimento alla questione dell’attribuzione, il ricorrente sosteneva che la Romania dovesse rispondere internazionalmente dei fatti illeciti commessi dai membri del SOF e </w:t>
      </w:r>
      <w:r w:rsidRPr="00E563B7">
        <w:t>dell’APAPS,</w:t>
      </w:r>
      <w:r>
        <w:t xml:space="preserve"> in quanto si trattava di organi statali</w:t>
      </w:r>
      <w:r>
        <w:rPr>
          <w:rStyle w:val="Rimandonotaapidipagina"/>
        </w:rPr>
        <w:footnoteReference w:id="404"/>
      </w:r>
      <w:r>
        <w:t xml:space="preserve">. Dal canto suo la Romania rigettava la propria responsabilità internazionale in virtù del fatto che tali enti, pur esercitando prerogative del potere pubblico, non godevano della qualifica organica in virtù del diritto interno. Facendo riferimento al progetto di articoli adottato in seconda lettura dalla CDI, il Tribunale ha ritenuto che il SOF e l’APAPS non potevano essere ritenuti degli organi </w:t>
      </w:r>
      <w:r>
        <w:rPr>
          <w:i/>
        </w:rPr>
        <w:t xml:space="preserve">de iure </w:t>
      </w:r>
      <w:r>
        <w:t>dello Stato rumeno, bensì erano degli enti a cui lo Stato aveva formalmente conferito l’esercizio di prerogative del potere pubblico, le cui condotte dovevano pertanto essere riferite alla Romania sul piano internazionale</w:t>
      </w:r>
      <w:r>
        <w:rPr>
          <w:rStyle w:val="Rimandonotaapidipagina"/>
        </w:rPr>
        <w:footnoteReference w:id="405"/>
      </w:r>
      <w:r>
        <w:t xml:space="preserve">. Nonostante gli enti avessero agito nel rispetto della propria competenza nel caso di specie, il Tribunale ha reputato opportuno sottolineare che i comportamenti da essi adottati sarebbero stati comunque attribuiti allo Stato anche nella circostanza in cui avessero agito </w:t>
      </w:r>
      <w:r>
        <w:rPr>
          <w:i/>
        </w:rPr>
        <w:t>ultra vires</w:t>
      </w:r>
      <w:r>
        <w:t>, dal momento che erano stati da essi tenuti nella loro qualità ufficiale:</w:t>
      </w:r>
    </w:p>
    <w:p w:rsidR="00F408DF" w:rsidRDefault="00F408DF" w:rsidP="00F408DF">
      <w:pPr>
        <w:autoSpaceDE w:val="0"/>
        <w:autoSpaceDN w:val="0"/>
        <w:adjustRightInd w:val="0"/>
        <w:spacing w:after="0" w:line="360" w:lineRule="auto"/>
        <w:ind w:firstLine="284"/>
        <w:jc w:val="both"/>
      </w:pPr>
    </w:p>
    <w:p w:rsidR="00F408DF" w:rsidRDefault="00F408DF" w:rsidP="00F408DF">
      <w:pPr>
        <w:autoSpaceDE w:val="0"/>
        <w:autoSpaceDN w:val="0"/>
        <w:adjustRightInd w:val="0"/>
        <w:spacing w:after="0" w:line="360" w:lineRule="auto"/>
        <w:ind w:left="567" w:right="567" w:firstLine="284"/>
        <w:jc w:val="both"/>
        <w:rPr>
          <w:lang w:val="en-US"/>
        </w:rPr>
      </w:pPr>
      <w:r w:rsidRPr="008D12A7">
        <w:rPr>
          <w:lang w:val="en-US"/>
        </w:rPr>
        <w:t xml:space="preserve">“Even if one were to regard some of the acts of SOF or APAPS as being </w:t>
      </w:r>
      <w:r w:rsidRPr="00AA4977">
        <w:rPr>
          <w:i/>
          <w:lang w:val="en-US"/>
        </w:rPr>
        <w:t>ultra vires</w:t>
      </w:r>
      <w:r w:rsidRPr="008D12A7">
        <w:rPr>
          <w:lang w:val="en-US"/>
        </w:rPr>
        <w:t>, the result would be the same. This is because of the generally recognized rule recorded in Art. 7 2001 ILC Draft according to which the conduct of an organ of a State or of a person or entity empowered to exercise elements of governmental authority shall be considered an act of the State under international law if the organ, person or entity acts in that capacity, even if it exceeds its authority or contravenes instructions. Since, from the Claimant’s perspective, SOF and APAPS always acted as if they were entities entitled by the Respondent to do so, their acts would still have to be attributed to the Respondent, even if an excess of competence had been shown</w:t>
      </w:r>
      <w:r w:rsidRPr="008D12A7">
        <w:rPr>
          <w:rStyle w:val="Rimandonotaapidipagina"/>
        </w:rPr>
        <w:footnoteReference w:id="406"/>
      </w:r>
      <w:r w:rsidRPr="008D12A7">
        <w:rPr>
          <w:lang w:val="en-US"/>
        </w:rPr>
        <w:t>”.</w:t>
      </w:r>
    </w:p>
    <w:p w:rsidR="00F408DF" w:rsidRDefault="00F408DF" w:rsidP="00F408DF">
      <w:pPr>
        <w:autoSpaceDE w:val="0"/>
        <w:autoSpaceDN w:val="0"/>
        <w:adjustRightInd w:val="0"/>
        <w:spacing w:after="0" w:line="360" w:lineRule="auto"/>
        <w:ind w:left="567" w:right="567" w:firstLine="284"/>
        <w:jc w:val="both"/>
        <w:rPr>
          <w:lang w:val="en-US"/>
        </w:rPr>
      </w:pPr>
    </w:p>
    <w:p w:rsidR="00EA6B41" w:rsidRPr="00627A68" w:rsidRDefault="00EA6B41" w:rsidP="00EA6B41">
      <w:pPr>
        <w:autoSpaceDE w:val="0"/>
        <w:autoSpaceDN w:val="0"/>
        <w:adjustRightInd w:val="0"/>
        <w:spacing w:after="0" w:line="360" w:lineRule="auto"/>
        <w:ind w:firstLine="284"/>
        <w:jc w:val="both"/>
        <w:rPr>
          <w:rFonts w:cstheme="minorHAnsi"/>
        </w:rPr>
      </w:pPr>
      <w:r w:rsidRPr="00EA6B41">
        <w:rPr>
          <w:rFonts w:cstheme="minorHAnsi"/>
        </w:rPr>
        <w:t xml:space="preserve">Il principio in base a cui uno Stato deve rispondere internazionalmente dei fatti illeciti </w:t>
      </w:r>
      <w:r w:rsidRPr="00EA6B41">
        <w:rPr>
          <w:rFonts w:cstheme="minorHAnsi"/>
          <w:i/>
        </w:rPr>
        <w:t>ultra vires</w:t>
      </w:r>
      <w:r w:rsidRPr="00EA6B41">
        <w:rPr>
          <w:rFonts w:cstheme="minorHAnsi"/>
        </w:rPr>
        <w:t xml:space="preserve"> tenuti dai propri organi</w:t>
      </w:r>
      <w:r>
        <w:rPr>
          <w:rFonts w:cstheme="minorHAnsi"/>
        </w:rPr>
        <w:t xml:space="preserve"> è stato ribadito </w:t>
      </w:r>
      <w:r w:rsidRPr="00627A68">
        <w:rPr>
          <w:rFonts w:cstheme="minorHAnsi"/>
        </w:rPr>
        <w:t xml:space="preserve">da un collegio arbitrale istituito in ambito ICSID in una pronuncia sulla giurisdizione resa il 6 luglio 2007 nel caso </w:t>
      </w:r>
      <w:r w:rsidRPr="00627A68">
        <w:rPr>
          <w:rFonts w:cstheme="minorHAnsi"/>
          <w:i/>
        </w:rPr>
        <w:t>Kardassopoulos c. Georgia</w:t>
      </w:r>
      <w:r w:rsidRPr="00627A68">
        <w:rPr>
          <w:rStyle w:val="Rimandonotaapidipagina"/>
          <w:rFonts w:cstheme="minorHAnsi"/>
        </w:rPr>
        <w:footnoteReference w:id="407"/>
      </w:r>
      <w:r w:rsidRPr="00627A68">
        <w:rPr>
          <w:rFonts w:cstheme="minorHAnsi"/>
        </w:rPr>
        <w:t>.</w:t>
      </w:r>
    </w:p>
    <w:p w:rsidR="00E048F2" w:rsidRDefault="00005357" w:rsidP="005235EA">
      <w:pPr>
        <w:autoSpaceDE w:val="0"/>
        <w:autoSpaceDN w:val="0"/>
        <w:adjustRightInd w:val="0"/>
        <w:spacing w:after="0" w:line="360" w:lineRule="auto"/>
        <w:ind w:firstLine="284"/>
        <w:jc w:val="both"/>
        <w:rPr>
          <w:rFonts w:cstheme="minorHAnsi"/>
        </w:rPr>
      </w:pPr>
      <w:r w:rsidRPr="00627A68">
        <w:rPr>
          <w:rFonts w:cstheme="minorHAnsi"/>
        </w:rPr>
        <w:t>La controversia era stata sottoposta ad arbitrato da parte di un i</w:t>
      </w:r>
      <w:r w:rsidR="009F7EC3">
        <w:rPr>
          <w:rFonts w:cstheme="minorHAnsi"/>
        </w:rPr>
        <w:t>nvestito</w:t>
      </w:r>
      <w:r w:rsidRPr="00627A68">
        <w:rPr>
          <w:rFonts w:cstheme="minorHAnsi"/>
        </w:rPr>
        <w:t xml:space="preserve">re </w:t>
      </w:r>
      <w:r w:rsidR="00821595" w:rsidRPr="00627A68">
        <w:rPr>
          <w:rFonts w:cstheme="minorHAnsi"/>
        </w:rPr>
        <w:t>g</w:t>
      </w:r>
      <w:r w:rsidRPr="00627A68">
        <w:rPr>
          <w:rFonts w:cstheme="minorHAnsi"/>
        </w:rPr>
        <w:t xml:space="preserve">reco che lamentava la violazione da parte del Governo della Georgia di alcune disposizioni di un </w:t>
      </w:r>
      <w:r w:rsidRPr="00627A68">
        <w:rPr>
          <w:rFonts w:cstheme="minorHAnsi"/>
          <w:i/>
        </w:rPr>
        <w:t>Bilateral Investement Treaty</w:t>
      </w:r>
      <w:r w:rsidRPr="00627A68">
        <w:rPr>
          <w:rFonts w:cstheme="minorHAnsi"/>
        </w:rPr>
        <w:t xml:space="preserve"> </w:t>
      </w:r>
      <w:r w:rsidR="00821595" w:rsidRPr="00627A68">
        <w:rPr>
          <w:rFonts w:cstheme="minorHAnsi"/>
        </w:rPr>
        <w:t xml:space="preserve">concluso tra i due paesi </w:t>
      </w:r>
      <w:r w:rsidR="00627A68" w:rsidRPr="00627A68">
        <w:rPr>
          <w:rFonts w:cstheme="minorHAnsi"/>
        </w:rPr>
        <w:t>nel 1994</w:t>
      </w:r>
      <w:r w:rsidR="00821595" w:rsidRPr="00627A68">
        <w:rPr>
          <w:rFonts w:cstheme="minorHAnsi"/>
        </w:rPr>
        <w:t xml:space="preserve"> e dell’</w:t>
      </w:r>
      <w:r w:rsidR="00821595" w:rsidRPr="00627A68">
        <w:rPr>
          <w:rFonts w:cstheme="minorHAnsi"/>
          <w:i/>
        </w:rPr>
        <w:t>Energy Charter Treaty</w:t>
      </w:r>
      <w:r w:rsidR="00821595" w:rsidRPr="00627A68">
        <w:rPr>
          <w:rFonts w:cstheme="minorHAnsi"/>
        </w:rPr>
        <w:t xml:space="preserve"> </w:t>
      </w:r>
      <w:r w:rsidR="00627A68" w:rsidRPr="00627A68">
        <w:rPr>
          <w:rFonts w:cstheme="minorHAnsi"/>
        </w:rPr>
        <w:t>risalente al 1996.</w:t>
      </w:r>
      <w:r w:rsidR="009F7EC3">
        <w:rPr>
          <w:rFonts w:cstheme="minorHAnsi"/>
        </w:rPr>
        <w:t xml:space="preserve"> </w:t>
      </w:r>
      <w:r w:rsidR="00627A68">
        <w:rPr>
          <w:rFonts w:cstheme="minorHAnsi"/>
        </w:rPr>
        <w:t>Con riferimento alla questione dell’attribuzione di condotte allo Stato, la Georgia</w:t>
      </w:r>
      <w:r w:rsidR="00D158A7">
        <w:rPr>
          <w:rFonts w:cstheme="minorHAnsi"/>
        </w:rPr>
        <w:t xml:space="preserve"> sosteneva</w:t>
      </w:r>
      <w:r w:rsidR="00627A68">
        <w:rPr>
          <w:rFonts w:cstheme="minorHAnsi"/>
        </w:rPr>
        <w:t xml:space="preserve"> che</w:t>
      </w:r>
      <w:r w:rsidR="005235EA">
        <w:rPr>
          <w:rFonts w:cstheme="minorHAnsi"/>
        </w:rPr>
        <w:t xml:space="preserve"> gli </w:t>
      </w:r>
      <w:r w:rsidR="0004267B">
        <w:rPr>
          <w:rFonts w:cstheme="minorHAnsi"/>
        </w:rPr>
        <w:t xml:space="preserve">enti pubblici non territoriali </w:t>
      </w:r>
      <w:r w:rsidR="005235EA">
        <w:rPr>
          <w:rFonts w:cstheme="minorHAnsi"/>
        </w:rPr>
        <w:t>che avevano provveduto a concludere</w:t>
      </w:r>
      <w:r w:rsidR="00627A68">
        <w:rPr>
          <w:rFonts w:cstheme="minorHAnsi"/>
        </w:rPr>
        <w:t xml:space="preserve"> il contratto di </w:t>
      </w:r>
      <w:r w:rsidR="00627A68" w:rsidRPr="00627A68">
        <w:rPr>
          <w:rFonts w:cstheme="minorHAnsi"/>
          <w:i/>
        </w:rPr>
        <w:t>joint venture</w:t>
      </w:r>
      <w:r w:rsidR="00627A68">
        <w:rPr>
          <w:rFonts w:cstheme="minorHAnsi"/>
        </w:rPr>
        <w:t xml:space="preserve"> </w:t>
      </w:r>
      <w:r w:rsidR="009F7EC3">
        <w:rPr>
          <w:rFonts w:cstheme="minorHAnsi"/>
        </w:rPr>
        <w:t xml:space="preserve">per la fornitura di gas </w:t>
      </w:r>
      <w:r w:rsidR="00AF2FE3">
        <w:rPr>
          <w:rFonts w:cstheme="minorHAnsi"/>
        </w:rPr>
        <w:t xml:space="preserve">e petrolio </w:t>
      </w:r>
      <w:r w:rsidR="009F7EC3">
        <w:rPr>
          <w:rFonts w:cstheme="minorHAnsi"/>
        </w:rPr>
        <w:t xml:space="preserve">con la società Tramex e </w:t>
      </w:r>
      <w:r w:rsidR="005235EA">
        <w:rPr>
          <w:rFonts w:cstheme="minorHAnsi"/>
        </w:rPr>
        <w:t xml:space="preserve">avevano emanato </w:t>
      </w:r>
      <w:r w:rsidR="009F7EC3">
        <w:rPr>
          <w:rFonts w:cstheme="minorHAnsi"/>
        </w:rPr>
        <w:t>l’atto di concessione di tal</w:t>
      </w:r>
      <w:r w:rsidR="00AF2FE3">
        <w:rPr>
          <w:rFonts w:cstheme="minorHAnsi"/>
        </w:rPr>
        <w:t>i</w:t>
      </w:r>
      <w:r w:rsidR="009F7EC3">
        <w:rPr>
          <w:rFonts w:cstheme="minorHAnsi"/>
        </w:rPr>
        <w:t xml:space="preserve"> risors</w:t>
      </w:r>
      <w:r w:rsidR="00AF2FE3">
        <w:rPr>
          <w:rFonts w:cstheme="minorHAnsi"/>
        </w:rPr>
        <w:t>e</w:t>
      </w:r>
      <w:r w:rsidR="009F7EC3">
        <w:rPr>
          <w:rFonts w:cstheme="minorHAnsi"/>
        </w:rPr>
        <w:t xml:space="preserve"> </w:t>
      </w:r>
      <w:r w:rsidR="005235EA">
        <w:rPr>
          <w:rFonts w:cstheme="minorHAnsi"/>
        </w:rPr>
        <w:t>avessero agito</w:t>
      </w:r>
      <w:r w:rsidR="005235EA" w:rsidRPr="005235EA">
        <w:t xml:space="preserve"> </w:t>
      </w:r>
      <w:r w:rsidR="005235EA">
        <w:t>contravvenendo alle disposizioni dell’ordinamento interno</w:t>
      </w:r>
      <w:r w:rsidR="005235EA">
        <w:rPr>
          <w:rFonts w:cstheme="minorHAnsi"/>
        </w:rPr>
        <w:t xml:space="preserve">. </w:t>
      </w:r>
      <w:r w:rsidR="00E048F2">
        <w:rPr>
          <w:rFonts w:cstheme="minorHAnsi"/>
        </w:rPr>
        <w:t>Il collegio ar</w:t>
      </w:r>
      <w:r w:rsidR="00A83A77">
        <w:rPr>
          <w:rFonts w:cstheme="minorHAnsi"/>
        </w:rPr>
        <w:t xml:space="preserve">bitrale ha reputato irrilevante, al fine del sorgere della responsabilità internazionale della Georgia, </w:t>
      </w:r>
      <w:r w:rsidR="005235EA">
        <w:rPr>
          <w:rFonts w:cstheme="minorHAnsi"/>
        </w:rPr>
        <w:t xml:space="preserve">che nel caso di specie gli organi avessero </w:t>
      </w:r>
      <w:r w:rsidR="00A83A77">
        <w:rPr>
          <w:rFonts w:cstheme="minorHAnsi"/>
        </w:rPr>
        <w:t xml:space="preserve">adottato degli atti </w:t>
      </w:r>
      <w:r w:rsidR="00A83A77">
        <w:t>nel mancato rispetto delle disposizioni di diritto interno in tema di competenza</w:t>
      </w:r>
      <w:r w:rsidR="00A83A77">
        <w:rPr>
          <w:rFonts w:cstheme="minorHAnsi"/>
        </w:rPr>
        <w:t>:</w:t>
      </w:r>
    </w:p>
    <w:p w:rsidR="00A83A77" w:rsidRDefault="00A83A77" w:rsidP="005235EA">
      <w:pPr>
        <w:autoSpaceDE w:val="0"/>
        <w:autoSpaceDN w:val="0"/>
        <w:adjustRightInd w:val="0"/>
        <w:spacing w:after="0" w:line="360" w:lineRule="auto"/>
        <w:ind w:firstLine="284"/>
        <w:jc w:val="both"/>
        <w:rPr>
          <w:rFonts w:cstheme="minorHAnsi"/>
        </w:rPr>
      </w:pPr>
    </w:p>
    <w:p w:rsidR="00A83A77" w:rsidRDefault="00A83A77" w:rsidP="00CC4CAB">
      <w:pPr>
        <w:autoSpaceDE w:val="0"/>
        <w:autoSpaceDN w:val="0"/>
        <w:adjustRightInd w:val="0"/>
        <w:spacing w:after="0" w:line="360" w:lineRule="auto"/>
        <w:ind w:left="567" w:right="567" w:firstLine="284"/>
        <w:jc w:val="both"/>
        <w:rPr>
          <w:rFonts w:cstheme="minorHAnsi"/>
          <w:lang w:val="en-US"/>
        </w:rPr>
      </w:pPr>
      <w:r w:rsidRPr="00A83A77">
        <w:rPr>
          <w:rFonts w:cstheme="minorHAnsi"/>
          <w:lang w:val="en-US"/>
        </w:rPr>
        <w:t xml:space="preserve">“It is immaterial whether or not SakNavtobi and Transneft were authorized to grant the rights contemplated by the JVA and the Concession or whether or not they otherwise acted beyond their authority under Georgian law. </w:t>
      </w:r>
      <w:r>
        <w:rPr>
          <w:rFonts w:cstheme="minorHAnsi"/>
          <w:lang w:val="en-US"/>
        </w:rPr>
        <w:t>Article 7 of the Articles on State Responsibility provi</w:t>
      </w:r>
      <w:r w:rsidR="0004267B">
        <w:rPr>
          <w:rFonts w:cstheme="minorHAnsi"/>
          <w:lang w:val="en-US"/>
        </w:rPr>
        <w:t>d</w:t>
      </w:r>
      <w:r>
        <w:rPr>
          <w:rFonts w:cstheme="minorHAnsi"/>
          <w:lang w:val="en-US"/>
        </w:rPr>
        <w:t xml:space="preserve">es that even in cases where an entity empowered to exercise governmental authority acts </w:t>
      </w:r>
      <w:r w:rsidRPr="00AA4977">
        <w:rPr>
          <w:rFonts w:cstheme="minorHAnsi"/>
          <w:i/>
          <w:lang w:val="en-US"/>
        </w:rPr>
        <w:t>ultra vires</w:t>
      </w:r>
      <w:r>
        <w:rPr>
          <w:rFonts w:cstheme="minorHAnsi"/>
          <w:lang w:val="en-US"/>
        </w:rPr>
        <w:t xml:space="preserve"> of it, the conduct in question is nevertheless attributable to the State.</w:t>
      </w:r>
    </w:p>
    <w:p w:rsidR="00A83A77" w:rsidRDefault="00A83A77" w:rsidP="00CC4CAB">
      <w:pPr>
        <w:autoSpaceDE w:val="0"/>
        <w:autoSpaceDN w:val="0"/>
        <w:adjustRightInd w:val="0"/>
        <w:spacing w:after="0" w:line="360" w:lineRule="auto"/>
        <w:ind w:left="567" w:right="567" w:firstLine="284"/>
        <w:jc w:val="both"/>
        <w:rPr>
          <w:rFonts w:cstheme="minorHAnsi"/>
          <w:lang w:val="en-US"/>
        </w:rPr>
      </w:pPr>
      <w:r>
        <w:rPr>
          <w:rFonts w:cstheme="minorHAnsi"/>
          <w:lang w:val="en-US"/>
        </w:rPr>
        <w:t>[…]</w:t>
      </w:r>
    </w:p>
    <w:p w:rsidR="00A83A77" w:rsidRDefault="00A83A77" w:rsidP="00CC4CAB">
      <w:pPr>
        <w:autoSpaceDE w:val="0"/>
        <w:autoSpaceDN w:val="0"/>
        <w:adjustRightInd w:val="0"/>
        <w:spacing w:after="0" w:line="360" w:lineRule="auto"/>
        <w:ind w:left="567" w:right="567" w:firstLine="284"/>
        <w:jc w:val="both"/>
        <w:rPr>
          <w:rFonts w:cstheme="minorHAnsi"/>
          <w:lang w:val="en-US"/>
        </w:rPr>
      </w:pPr>
      <w:r>
        <w:rPr>
          <w:rFonts w:cstheme="minorHAnsi"/>
          <w:lang w:val="en-US"/>
        </w:rPr>
        <w:t>Thus, even if in the JVA and the Concession were entered into in breach of Georgian law, the fact remains that</w:t>
      </w:r>
      <w:r w:rsidR="005D10BF">
        <w:rPr>
          <w:rFonts w:cstheme="minorHAnsi"/>
          <w:lang w:val="en-US"/>
        </w:rPr>
        <w:t xml:space="preserve"> these two agreements were cloa</w:t>
      </w:r>
      <w:r>
        <w:rPr>
          <w:rFonts w:cstheme="minorHAnsi"/>
          <w:lang w:val="en-US"/>
        </w:rPr>
        <w:t>ked with the mantle of Governmental authority. Claimant had every reason to believe that these agreements were in accordance with Georgian law, not only because they were entered into by Georgian State-owned entities, but also because their content was approved by Georgian government officials without objection as to their legality on the part of Georgia for many years after. Claimant therefore had a legitimate expectation that his investement in Geo</w:t>
      </w:r>
      <w:r w:rsidR="005D10BF">
        <w:rPr>
          <w:rFonts w:cstheme="minorHAnsi"/>
          <w:lang w:val="en-US"/>
        </w:rPr>
        <w:t>r</w:t>
      </w:r>
      <w:r>
        <w:rPr>
          <w:rFonts w:cstheme="minorHAnsi"/>
          <w:lang w:val="en-US"/>
        </w:rPr>
        <w:t>gia was in accordance with relevant local laws. Respondent is accordingly estopped from objecting to the Tribunal’s jurisdiction</w:t>
      </w:r>
      <w:r w:rsidR="009B1484">
        <w:rPr>
          <w:rFonts w:cstheme="minorHAnsi"/>
          <w:lang w:val="en-US"/>
        </w:rPr>
        <w:t xml:space="preserve"> ratione materiae under the ECT and the BIT on the basis that the JVA and the Concessi</w:t>
      </w:r>
      <w:r w:rsidR="005D10BF">
        <w:rPr>
          <w:rFonts w:cstheme="minorHAnsi"/>
          <w:lang w:val="en-US"/>
        </w:rPr>
        <w:t>on could be void ab initio unde</w:t>
      </w:r>
      <w:r w:rsidR="009B1484">
        <w:rPr>
          <w:rFonts w:cstheme="minorHAnsi"/>
          <w:lang w:val="en-US"/>
        </w:rPr>
        <w:t>r Georgian law”</w:t>
      </w:r>
      <w:r w:rsidR="0004267B">
        <w:rPr>
          <w:rStyle w:val="Rimandonotaapidipagina"/>
          <w:rFonts w:cstheme="minorHAnsi"/>
          <w:lang w:val="en-US"/>
        </w:rPr>
        <w:footnoteReference w:id="408"/>
      </w:r>
      <w:r w:rsidR="009B1484">
        <w:rPr>
          <w:rFonts w:cstheme="minorHAnsi"/>
          <w:lang w:val="en-US"/>
        </w:rPr>
        <w:t>.</w:t>
      </w:r>
    </w:p>
    <w:p w:rsidR="0011759E" w:rsidRDefault="0011759E" w:rsidP="00CC4CAB">
      <w:pPr>
        <w:autoSpaceDE w:val="0"/>
        <w:autoSpaceDN w:val="0"/>
        <w:adjustRightInd w:val="0"/>
        <w:spacing w:after="0" w:line="360" w:lineRule="auto"/>
        <w:ind w:left="567" w:right="567" w:firstLine="284"/>
        <w:jc w:val="both"/>
        <w:rPr>
          <w:rFonts w:cstheme="minorHAnsi"/>
          <w:lang w:val="en-US"/>
        </w:rPr>
      </w:pPr>
    </w:p>
    <w:p w:rsidR="00084DF4" w:rsidRPr="00084DF4" w:rsidRDefault="0011759E" w:rsidP="0011759E">
      <w:pPr>
        <w:autoSpaceDE w:val="0"/>
        <w:autoSpaceDN w:val="0"/>
        <w:adjustRightInd w:val="0"/>
        <w:spacing w:after="0" w:line="360" w:lineRule="auto"/>
        <w:jc w:val="both"/>
      </w:pPr>
      <w:r w:rsidRPr="0011759E">
        <w:rPr>
          <w:rFonts w:cstheme="minorHAnsi"/>
        </w:rPr>
        <w:t xml:space="preserve">Come nella sentenza resa nel caso </w:t>
      </w:r>
      <w:r w:rsidRPr="00393855">
        <w:rPr>
          <w:i/>
        </w:rPr>
        <w:t xml:space="preserve">Southern Pacific Properties (Middle East) Limited </w:t>
      </w:r>
      <w:r w:rsidRPr="00393855">
        <w:t>c.</w:t>
      </w:r>
      <w:r w:rsidRPr="00393855">
        <w:rPr>
          <w:i/>
        </w:rPr>
        <w:t xml:space="preserve"> Egitto</w:t>
      </w:r>
      <w:r w:rsidR="00623415" w:rsidRPr="00623415">
        <w:rPr>
          <w:rStyle w:val="Rimandonotaapidipagina"/>
        </w:rPr>
        <w:footnoteReference w:id="409"/>
      </w:r>
      <w:r w:rsidR="00623415">
        <w:t xml:space="preserve">, anche in tale </w:t>
      </w:r>
      <w:r w:rsidR="001D4A23">
        <w:t xml:space="preserve">pronuncia </w:t>
      </w:r>
      <w:r w:rsidR="00623415">
        <w:t xml:space="preserve">il tribunale arbitrale </w:t>
      </w:r>
      <w:r w:rsidR="001F7548">
        <w:t xml:space="preserve">ha ribadito </w:t>
      </w:r>
      <w:r w:rsidR="001F7548">
        <w:rPr>
          <w:bCs/>
        </w:rPr>
        <w:t xml:space="preserve">che </w:t>
      </w:r>
      <w:r w:rsidR="001F7548">
        <w:t>l’operazione di attribuzione allo Stato nell’ordinamento internazionale dei comportamenti adottati dai propri organi deve considerarsi autonoma rispetto alla definizione di quali possano considerarsi sue condotte sul piano interno.</w:t>
      </w:r>
      <w:r w:rsidR="001D4A23">
        <w:t xml:space="preserve"> </w:t>
      </w:r>
      <w:r w:rsidR="00F97506">
        <w:t>Alla luce di tale pronuncia, l</w:t>
      </w:r>
      <w:r w:rsidR="00084DF4">
        <w:t xml:space="preserve">o Stato, esercitando </w:t>
      </w:r>
      <w:r w:rsidR="00084DF4">
        <w:rPr>
          <w:rFonts w:cstheme="minorHAnsi"/>
        </w:rPr>
        <w:t xml:space="preserve">il proprio diritto ad auto-organizzarsi, deve sopportare le conseguenze della propria scelta di affidare ad una persona fisica o giuridica l’esercizio di pubbliche funzioni. Si troverebbe pertanto in una situazione di </w:t>
      </w:r>
      <w:r w:rsidR="00084DF4" w:rsidRPr="00AB6E91">
        <w:rPr>
          <w:rFonts w:cstheme="minorHAnsi"/>
          <w:i/>
        </w:rPr>
        <w:t>estoppel</w:t>
      </w:r>
      <w:r w:rsidR="00084DF4">
        <w:rPr>
          <w:rFonts w:cstheme="minorHAnsi"/>
        </w:rPr>
        <w:t xml:space="preserve"> che gli impedirebbe di contraddirsi nel sostenere di non aver agito nel caso in cui uno degli organi da lui designati ha adottato un comportamento nell’esercizio delle sue funzioni, ma </w:t>
      </w:r>
      <w:r w:rsidR="00084DF4" w:rsidRPr="00776B25">
        <w:rPr>
          <w:rFonts w:cstheme="minorHAnsi"/>
          <w:i/>
        </w:rPr>
        <w:t>ultra vires</w:t>
      </w:r>
      <w:r w:rsidR="00084DF4">
        <w:rPr>
          <w:rFonts w:cstheme="minorHAnsi"/>
        </w:rPr>
        <w:t>.</w:t>
      </w:r>
    </w:p>
    <w:p w:rsidR="00EA6B41" w:rsidRDefault="006C17F4" w:rsidP="00EA6B41">
      <w:pPr>
        <w:autoSpaceDE w:val="0"/>
        <w:autoSpaceDN w:val="0"/>
        <w:adjustRightInd w:val="0"/>
        <w:spacing w:after="0" w:line="360" w:lineRule="auto"/>
        <w:ind w:firstLine="284"/>
        <w:jc w:val="both"/>
      </w:pPr>
      <w:r>
        <w:t>Da ultimo u</w:t>
      </w:r>
      <w:r w:rsidR="00EA6B41">
        <w:t>na recente vicenda in cui invece uno Stato ha tentato di sfuggire alla propria responsabilità internazionale sulla base del fatto che non era a conoscenza dei comportamen</w:t>
      </w:r>
      <w:r w:rsidR="000619FA">
        <w:t xml:space="preserve">ti adottati dai propri organi è stato </w:t>
      </w:r>
      <w:r w:rsidR="00EA6B41">
        <w:t xml:space="preserve">l’affare </w:t>
      </w:r>
      <w:r w:rsidR="00EA6B41">
        <w:rPr>
          <w:rFonts w:cstheme="minorHAnsi"/>
          <w:i/>
        </w:rPr>
        <w:t>Siag and Vecchi c. Egitto</w:t>
      </w:r>
      <w:r w:rsidR="00EA6B41">
        <w:rPr>
          <w:rStyle w:val="Rimandonotaapidipagina"/>
          <w:rFonts w:cstheme="minorHAnsi"/>
        </w:rPr>
        <w:footnoteReference w:id="410"/>
      </w:r>
      <w:r w:rsidR="00EA6B41">
        <w:rPr>
          <w:rFonts w:cstheme="minorHAnsi"/>
        </w:rPr>
        <w:t xml:space="preserve">. </w:t>
      </w:r>
    </w:p>
    <w:p w:rsidR="00EA6B41" w:rsidRDefault="00EA6B41" w:rsidP="00EA6B41">
      <w:pPr>
        <w:autoSpaceDE w:val="0"/>
        <w:autoSpaceDN w:val="0"/>
        <w:adjustRightInd w:val="0"/>
        <w:spacing w:after="0" w:line="360" w:lineRule="auto"/>
        <w:ind w:firstLine="284"/>
        <w:jc w:val="both"/>
        <w:rPr>
          <w:rFonts w:cstheme="minorHAnsi"/>
        </w:rPr>
      </w:pPr>
      <w:r>
        <w:rPr>
          <w:rFonts w:cstheme="minorHAnsi"/>
        </w:rPr>
        <w:t xml:space="preserve">I ricorrenti erano i principali investitori della </w:t>
      </w:r>
      <w:r>
        <w:rPr>
          <w:rFonts w:cstheme="minorHAnsi"/>
          <w:i/>
        </w:rPr>
        <w:t>Touristic Investments and Hotels Management Company</w:t>
      </w:r>
      <w:r>
        <w:rPr>
          <w:rFonts w:cstheme="minorHAnsi"/>
        </w:rPr>
        <w:t xml:space="preserve"> e della </w:t>
      </w:r>
      <w:r>
        <w:rPr>
          <w:rFonts w:cstheme="minorHAnsi"/>
          <w:i/>
        </w:rPr>
        <w:t>Siag Taba Company</w:t>
      </w:r>
      <w:r>
        <w:rPr>
          <w:rFonts w:cstheme="minorHAnsi"/>
        </w:rPr>
        <w:t xml:space="preserve"> che, dopo aver comprato dallo Stato un’ampia porzione di terreno nel Golfo di Aqaba al fine di costruire un albergo sul Mar Rosso, avevano lamentato che l’Egitto aveva distrutto il valore dell’investimento da loro effettuato mediante una serie di atti ed omissioni adottati a partire dal 1995. Mentre i ricorrenti </w:t>
      </w:r>
      <w:r w:rsidR="00731848">
        <w:rPr>
          <w:rFonts w:cstheme="minorHAnsi"/>
        </w:rPr>
        <w:t xml:space="preserve">sostenevano </w:t>
      </w:r>
      <w:r>
        <w:rPr>
          <w:rFonts w:cstheme="minorHAnsi"/>
        </w:rPr>
        <w:t xml:space="preserve">che uno Stato dovesse rispondere di tutte le </w:t>
      </w:r>
      <w:r w:rsidRPr="00C1496A">
        <w:rPr>
          <w:rFonts w:cstheme="minorHAnsi"/>
        </w:rPr>
        <w:t xml:space="preserve">condotte tenute dai propri organi nell’esercizio delle funzioni, l’Egitto, al fine di sfuggire alla propria responsabilità internazionale per le condotte tenute dai tribunali interni, ha asserito che non potevano essere ad esso attribuiti comportamenti adottati dai propri organi </w:t>
      </w:r>
      <w:r w:rsidR="00731848">
        <w:rPr>
          <w:rFonts w:cstheme="minorHAnsi"/>
        </w:rPr>
        <w:t xml:space="preserve">allorché </w:t>
      </w:r>
      <w:r w:rsidRPr="00C1496A">
        <w:rPr>
          <w:rFonts w:cstheme="minorHAnsi"/>
        </w:rPr>
        <w:t>si trattasse di condotte lecite</w:t>
      </w:r>
      <w:r w:rsidRPr="00C1496A">
        <w:rPr>
          <w:rStyle w:val="Rimandonotaapidipagina"/>
          <w:rFonts w:cstheme="minorHAnsi"/>
        </w:rPr>
        <w:footnoteReference w:id="411"/>
      </w:r>
      <w:r w:rsidRPr="00C1496A">
        <w:rPr>
          <w:rFonts w:cstheme="minorHAnsi"/>
        </w:rPr>
        <w:t>.</w:t>
      </w:r>
      <w:r>
        <w:rPr>
          <w:rFonts w:cstheme="minorHAnsi"/>
        </w:rPr>
        <w:t xml:space="preserve"> </w:t>
      </w:r>
      <w:r w:rsidRPr="00C1496A">
        <w:rPr>
          <w:rFonts w:cstheme="minorHAnsi"/>
        </w:rPr>
        <w:t>Facendo esplicito riferimento all’art. 7 del progetto di articoli adottato in seconda lettura dalla CDI, il Tribunale arbitrale ha</w:t>
      </w:r>
      <w:r>
        <w:rPr>
          <w:rFonts w:cstheme="minorHAnsi"/>
        </w:rPr>
        <w:t xml:space="preserve"> ritenuto che i comportamenti degli organi statali adottati al di fuori della propria competenza o in violazione del diritto interno devono considerarsi fatti statali nell’ordinamento internazionale. Il necessario corollario di tale principio è che le condotte degli organi statali che non sono </w:t>
      </w:r>
      <w:r>
        <w:rPr>
          <w:rFonts w:cstheme="minorHAnsi"/>
          <w:i/>
        </w:rPr>
        <w:t>ultra vires</w:t>
      </w:r>
      <w:r>
        <w:rPr>
          <w:rFonts w:cstheme="minorHAnsi"/>
        </w:rPr>
        <w:t xml:space="preserve"> devono essere attribuite </w:t>
      </w:r>
      <w:r>
        <w:rPr>
          <w:rFonts w:cstheme="minorHAnsi"/>
          <w:i/>
        </w:rPr>
        <w:t xml:space="preserve">a fortiori </w:t>
      </w:r>
      <w:r>
        <w:rPr>
          <w:rFonts w:cstheme="minorHAnsi"/>
        </w:rPr>
        <w:t>allo Stato, per cui anche eventuali condotte lecite adottate dagli organi giudiziari devono ritenersi fatti statali sul piano internazionale senza che abbia alcun ruolo la loro eventuale mancata conoscenza da parte del Governo dello Stato:</w:t>
      </w:r>
    </w:p>
    <w:p w:rsidR="00EA6B41" w:rsidRDefault="00EA6B41" w:rsidP="00EA6B41">
      <w:pPr>
        <w:autoSpaceDE w:val="0"/>
        <w:autoSpaceDN w:val="0"/>
        <w:adjustRightInd w:val="0"/>
        <w:spacing w:after="0" w:line="360" w:lineRule="auto"/>
        <w:ind w:firstLine="284"/>
        <w:jc w:val="both"/>
        <w:rPr>
          <w:rFonts w:cstheme="minorHAnsi"/>
        </w:rPr>
      </w:pPr>
    </w:p>
    <w:p w:rsidR="00EA6B41" w:rsidRDefault="00EA6B41" w:rsidP="00EA6B41">
      <w:pPr>
        <w:autoSpaceDE w:val="0"/>
        <w:autoSpaceDN w:val="0"/>
        <w:adjustRightInd w:val="0"/>
        <w:spacing w:after="0" w:line="360" w:lineRule="auto"/>
        <w:ind w:left="567" w:right="567" w:firstLine="284"/>
        <w:jc w:val="both"/>
        <w:rPr>
          <w:rFonts w:cstheme="minorHAnsi"/>
          <w:lang w:val="en-US"/>
        </w:rPr>
      </w:pPr>
      <w:r w:rsidRPr="00FD7309">
        <w:rPr>
          <w:rFonts w:cstheme="minorHAnsi"/>
          <w:lang w:val="en-US"/>
        </w:rPr>
        <w:t>“The Tribunal prefers the arguments of the Claimants on this issue. In taking that view, the Tribunal notes the provisions of Article 7 of the ILC Articles, which states that: “The conduct of an organ of a State…shall be considered an act of the State under international law…ev</w:t>
      </w:r>
      <w:r>
        <w:rPr>
          <w:rFonts w:cstheme="minorHAnsi"/>
          <w:lang w:val="en-US"/>
        </w:rPr>
        <w:t>en if it exceeds its authority”. […]</w:t>
      </w:r>
      <w:r w:rsidRPr="00FD7309">
        <w:rPr>
          <w:rFonts w:cstheme="minorHAnsi"/>
          <w:lang w:val="en-US"/>
        </w:rPr>
        <w:t>The clear corollary of that statement is that acts of a State’s organs that are not contrary to law or in excess of authority will be applied a fortiori to the State.</w:t>
      </w:r>
      <w:r w:rsidRPr="00B909F7">
        <w:rPr>
          <w:rFonts w:cstheme="minorHAnsi"/>
          <w:i/>
          <w:lang w:val="en-US"/>
        </w:rPr>
        <w:t xml:space="preserve"> </w:t>
      </w:r>
      <w:r w:rsidRPr="00FD7309">
        <w:rPr>
          <w:rFonts w:cstheme="minorHAnsi"/>
          <w:lang w:val="en-US"/>
        </w:rPr>
        <w:t>Accordingly the non-wrongful acts of Egypt’s judiciary are the acts of the Egyptian State. As Claimants have submitted, Egypt cannot deny knowledge of its own acts”</w:t>
      </w:r>
      <w:r w:rsidRPr="00FD7309">
        <w:rPr>
          <w:rStyle w:val="Rimandonotaapidipagina"/>
          <w:rFonts w:cstheme="minorHAnsi"/>
        </w:rPr>
        <w:footnoteReference w:id="412"/>
      </w:r>
      <w:r w:rsidRPr="00FD7309">
        <w:rPr>
          <w:rFonts w:cstheme="minorHAnsi"/>
          <w:lang w:val="en-US"/>
        </w:rPr>
        <w:t>.</w:t>
      </w:r>
    </w:p>
    <w:p w:rsidR="00333C13" w:rsidRPr="00EA6B41" w:rsidRDefault="00333C13" w:rsidP="00EA6B41">
      <w:pPr>
        <w:autoSpaceDE w:val="0"/>
        <w:autoSpaceDN w:val="0"/>
        <w:adjustRightInd w:val="0"/>
        <w:spacing w:after="0" w:line="360" w:lineRule="auto"/>
        <w:ind w:firstLine="284"/>
        <w:jc w:val="both"/>
        <w:rPr>
          <w:rFonts w:cstheme="minorHAnsi"/>
          <w:lang w:val="en-US"/>
        </w:rPr>
      </w:pPr>
    </w:p>
    <w:p w:rsidR="000A6FA9" w:rsidRDefault="005521C4" w:rsidP="000A6FA9">
      <w:pPr>
        <w:autoSpaceDE w:val="0"/>
        <w:autoSpaceDN w:val="0"/>
        <w:adjustRightInd w:val="0"/>
        <w:spacing w:after="0" w:line="360" w:lineRule="auto"/>
        <w:ind w:firstLine="284"/>
        <w:jc w:val="both"/>
        <w:rPr>
          <w:rFonts w:cstheme="minorHAnsi"/>
        </w:rPr>
      </w:pPr>
      <w:r>
        <w:rPr>
          <w:rFonts w:cstheme="minorHAnsi"/>
        </w:rPr>
        <w:t>È possibile trarre</w:t>
      </w:r>
      <w:r w:rsidR="00333C13">
        <w:rPr>
          <w:rFonts w:cstheme="minorHAnsi"/>
        </w:rPr>
        <w:t xml:space="preserve"> alcune brevi </w:t>
      </w:r>
      <w:r w:rsidR="006D3A6F">
        <w:rPr>
          <w:rFonts w:cstheme="minorHAnsi"/>
        </w:rPr>
        <w:t>conclusioni con</w:t>
      </w:r>
      <w:r w:rsidR="00731848">
        <w:rPr>
          <w:rFonts w:cstheme="minorHAnsi"/>
        </w:rPr>
        <w:t xml:space="preserve"> riferimento alla</w:t>
      </w:r>
      <w:r w:rsidR="00EF7F82">
        <w:rPr>
          <w:rFonts w:cstheme="minorHAnsi"/>
        </w:rPr>
        <w:t xml:space="preserve"> </w:t>
      </w:r>
      <w:r w:rsidR="00333C13">
        <w:rPr>
          <w:rFonts w:cstheme="minorHAnsi"/>
        </w:rPr>
        <w:t xml:space="preserve">prassi </w:t>
      </w:r>
      <w:r w:rsidR="00731848">
        <w:rPr>
          <w:rFonts w:cstheme="minorHAnsi"/>
        </w:rPr>
        <w:t>sinora enunciata</w:t>
      </w:r>
      <w:r w:rsidR="00333C13">
        <w:rPr>
          <w:rFonts w:cstheme="minorHAnsi"/>
        </w:rPr>
        <w:t>. In tutti i casi la possibilità di riferire allo Stato sul piano internazionale le condotte non autorizzate dei prop</w:t>
      </w:r>
      <w:r w:rsidR="00731848">
        <w:rPr>
          <w:rFonts w:cstheme="minorHAnsi"/>
        </w:rPr>
        <w:t xml:space="preserve">ri organi è stata subordinata </w:t>
      </w:r>
      <w:r w:rsidR="00333C13">
        <w:rPr>
          <w:rFonts w:cstheme="minorHAnsi"/>
        </w:rPr>
        <w:t>al fatto che ques</w:t>
      </w:r>
      <w:r>
        <w:rPr>
          <w:rFonts w:cstheme="minorHAnsi"/>
        </w:rPr>
        <w:t>ti avessero agito nella qualità</w:t>
      </w:r>
      <w:r w:rsidR="00333C13">
        <w:rPr>
          <w:rFonts w:cstheme="minorHAnsi"/>
        </w:rPr>
        <w:t xml:space="preserve"> ufficiale, cioè nell’esercizio di funzioni ufficiali loro affidate. </w:t>
      </w:r>
      <w:r w:rsidR="000A6FA9">
        <w:rPr>
          <w:rFonts w:cstheme="minorHAnsi"/>
        </w:rPr>
        <w:t xml:space="preserve">Un organo statale che agisce nella sua qualità ufficiale </w:t>
      </w:r>
      <w:r w:rsidR="000A6FA9" w:rsidRPr="0059777D">
        <w:t>crea una situazione tale da indurre gli altri soggetti internazionali a ritenere</w:t>
      </w:r>
      <w:r w:rsidR="000A6FA9">
        <w:t xml:space="preserve"> i suoi co</w:t>
      </w:r>
      <w:r w:rsidR="006961D5">
        <w:t>m</w:t>
      </w:r>
      <w:r w:rsidR="000A6FA9">
        <w:t>portamenti</w:t>
      </w:r>
      <w:r w:rsidR="008715D2">
        <w:t xml:space="preserve"> </w:t>
      </w:r>
      <w:r w:rsidR="00731848">
        <w:t>imputabili allo Stato</w:t>
      </w:r>
      <w:r w:rsidR="000A6FA9">
        <w:t>.</w:t>
      </w:r>
      <w:r w:rsidR="000A6FA9">
        <w:rPr>
          <w:rFonts w:cstheme="minorHAnsi"/>
        </w:rPr>
        <w:t xml:space="preserve"> </w:t>
      </w:r>
      <w:r w:rsidR="000A6FA9">
        <w:t xml:space="preserve">Per tale ragione, nell’ipotesi degli illeciti </w:t>
      </w:r>
      <w:r w:rsidR="000A6FA9" w:rsidRPr="003E7A0E">
        <w:rPr>
          <w:i/>
        </w:rPr>
        <w:t>ultra vires</w:t>
      </w:r>
      <w:r w:rsidR="000A6FA9">
        <w:t xml:space="preserve"> dei propri organi, la responsabilità internazionale dello Stato si fonda su una necessaria garanzia da assicurare agli altri soggetti di diritto internazionale per i fatti dannosi che derivano dalla propria organizzazione interna.</w:t>
      </w:r>
    </w:p>
    <w:p w:rsidR="00333C13" w:rsidRDefault="00731848" w:rsidP="00EB037D">
      <w:pPr>
        <w:autoSpaceDE w:val="0"/>
        <w:autoSpaceDN w:val="0"/>
        <w:adjustRightInd w:val="0"/>
        <w:spacing w:after="0" w:line="360" w:lineRule="auto"/>
        <w:ind w:firstLine="284"/>
        <w:jc w:val="both"/>
        <w:rPr>
          <w:rFonts w:cstheme="minorHAnsi"/>
        </w:rPr>
      </w:pPr>
      <w:r>
        <w:rPr>
          <w:rFonts w:cstheme="minorHAnsi"/>
        </w:rPr>
        <w:t xml:space="preserve">Sembra </w:t>
      </w:r>
      <w:r w:rsidR="000A6FA9">
        <w:rPr>
          <w:rFonts w:cstheme="minorHAnsi"/>
        </w:rPr>
        <w:t>opportuno notare che i</w:t>
      </w:r>
      <w:r w:rsidR="00333C13">
        <w:rPr>
          <w:rFonts w:cstheme="minorHAnsi"/>
        </w:rPr>
        <w:t xml:space="preserve">n </w:t>
      </w:r>
      <w:r w:rsidR="000A6FA9">
        <w:rPr>
          <w:rFonts w:cstheme="minorHAnsi"/>
        </w:rPr>
        <w:t>nessuna delle pronunce è stato</w:t>
      </w:r>
      <w:r w:rsidR="00333C13">
        <w:rPr>
          <w:rFonts w:cstheme="minorHAnsi"/>
        </w:rPr>
        <w:t xml:space="preserve"> dato rilievo alla possibilità che il terzo leso si fosse reso conto dell’incompetenza dell’organo e avesse potuto conseguentemente evitare la commissione dell’illecito. Ne discende che in nessuna circostanza l’eventuale manifesta incompetenza dell’organo è stata rivendicata come limitazione al principio dell’attribuzione dei fatti </w:t>
      </w:r>
      <w:r w:rsidR="00333C13" w:rsidRPr="006A439B">
        <w:rPr>
          <w:rFonts w:cstheme="minorHAnsi"/>
          <w:i/>
        </w:rPr>
        <w:t>ultra vires</w:t>
      </w:r>
      <w:r w:rsidR="00333C13">
        <w:rPr>
          <w:rFonts w:cstheme="minorHAnsi"/>
        </w:rPr>
        <w:t>. Nella giurisprudenza più recente la condizione attributiva dell’apparenza della funzione assume una nuova</w:t>
      </w:r>
      <w:r>
        <w:rPr>
          <w:rFonts w:cstheme="minorHAnsi"/>
        </w:rPr>
        <w:t xml:space="preserve"> valenza</w:t>
      </w:r>
      <w:r w:rsidR="00333C13">
        <w:rPr>
          <w:rFonts w:cstheme="minorHAnsi"/>
        </w:rPr>
        <w:t>: non più intesa come possibilità per il terzo di rendersi plausibilmente conto dell’incompetenza con cui un organo agisce, deve essere piuttosto interpretata come l’esistenza di un collegamento fra la condotta tenuta e l’attività ufficiale normalmente svolta.</w:t>
      </w:r>
    </w:p>
    <w:p w:rsidR="00AA1705" w:rsidRDefault="00333C13" w:rsidP="00084DF4">
      <w:pPr>
        <w:autoSpaceDE w:val="0"/>
        <w:autoSpaceDN w:val="0"/>
        <w:adjustRightInd w:val="0"/>
        <w:spacing w:after="0" w:line="360" w:lineRule="auto"/>
        <w:ind w:firstLine="284"/>
        <w:jc w:val="both"/>
        <w:rPr>
          <w:rFonts w:cstheme="minorHAnsi"/>
        </w:rPr>
      </w:pPr>
      <w:r>
        <w:rPr>
          <w:rFonts w:cstheme="minorHAnsi"/>
        </w:rPr>
        <w:t>Facendo sovente esplicito riferimento alla disposizione codificata in materia da parte della</w:t>
      </w:r>
      <w:r w:rsidR="00BA7DD3">
        <w:rPr>
          <w:rFonts w:cstheme="minorHAnsi"/>
        </w:rPr>
        <w:t xml:space="preserve"> CDI, viene altresì considerato</w:t>
      </w:r>
      <w:r>
        <w:rPr>
          <w:rFonts w:cstheme="minorHAnsi"/>
        </w:rPr>
        <w:t xml:space="preserve"> che la regola che riconosce l’irrilevanza della regolarità di un comportamento nell’ordinamento interno ai fini della sua attribuzione allo Stato in ambito internazionale ha natura consuetudinaria.</w:t>
      </w:r>
    </w:p>
    <w:p w:rsidR="00D11FD8" w:rsidRPr="00A264B9" w:rsidRDefault="00D11FD8" w:rsidP="00084DF4">
      <w:pPr>
        <w:autoSpaceDE w:val="0"/>
        <w:autoSpaceDN w:val="0"/>
        <w:adjustRightInd w:val="0"/>
        <w:spacing w:after="0" w:line="360" w:lineRule="auto"/>
        <w:ind w:firstLine="284"/>
        <w:jc w:val="both"/>
        <w:rPr>
          <w:rFonts w:cstheme="minorHAnsi"/>
        </w:rPr>
      </w:pPr>
    </w:p>
    <w:p w:rsidR="00333C13" w:rsidRDefault="00427B24" w:rsidP="00427B24">
      <w:pPr>
        <w:spacing w:after="0" w:line="360" w:lineRule="auto"/>
        <w:ind w:left="360"/>
        <w:jc w:val="both"/>
      </w:pPr>
      <w:r>
        <w:t xml:space="preserve">4. </w:t>
      </w:r>
      <w:r w:rsidR="00333C13">
        <w:t>La giurisprudenza in tema di tutela internazionale dei diritti dell’uomo</w:t>
      </w:r>
    </w:p>
    <w:p w:rsidR="00333C13" w:rsidRDefault="00333C13" w:rsidP="00EB037D">
      <w:pPr>
        <w:pStyle w:val="Paragrafoelenco"/>
        <w:spacing w:after="0" w:line="360" w:lineRule="auto"/>
        <w:ind w:left="1440" w:firstLine="284"/>
        <w:jc w:val="both"/>
      </w:pPr>
    </w:p>
    <w:p w:rsidR="00333C13" w:rsidRDefault="00962FF4" w:rsidP="00427B24">
      <w:pPr>
        <w:pStyle w:val="Testonotaapidipagina"/>
        <w:spacing w:line="360" w:lineRule="auto"/>
        <w:ind w:firstLine="708"/>
        <w:jc w:val="both"/>
        <w:rPr>
          <w:i/>
          <w:sz w:val="22"/>
          <w:szCs w:val="22"/>
        </w:rPr>
      </w:pPr>
      <w:r>
        <w:rPr>
          <w:sz w:val="22"/>
          <w:szCs w:val="22"/>
        </w:rPr>
        <w:t xml:space="preserve">4.1 </w:t>
      </w:r>
      <w:r w:rsidR="00333C13">
        <w:rPr>
          <w:sz w:val="22"/>
          <w:szCs w:val="22"/>
        </w:rPr>
        <w:t>Le sentenze della Corte Europea dei diritti dell’uomo</w:t>
      </w:r>
    </w:p>
    <w:p w:rsidR="007A537E" w:rsidRDefault="007A537E" w:rsidP="007A537E">
      <w:pPr>
        <w:pStyle w:val="Testonotaapidipagina"/>
        <w:spacing w:line="360" w:lineRule="auto"/>
        <w:jc w:val="both"/>
        <w:rPr>
          <w:sz w:val="22"/>
          <w:szCs w:val="22"/>
        </w:rPr>
      </w:pPr>
    </w:p>
    <w:p w:rsidR="00333C13" w:rsidRDefault="007A537E" w:rsidP="007A537E">
      <w:pPr>
        <w:pStyle w:val="Testonotaapidipagina"/>
        <w:spacing w:line="360" w:lineRule="auto"/>
        <w:ind w:left="992"/>
        <w:jc w:val="both"/>
        <w:rPr>
          <w:i/>
          <w:sz w:val="22"/>
          <w:szCs w:val="22"/>
        </w:rPr>
      </w:pPr>
      <w:r>
        <w:rPr>
          <w:sz w:val="22"/>
          <w:szCs w:val="22"/>
        </w:rPr>
        <w:t xml:space="preserve">4.1.1 </w:t>
      </w:r>
      <w:r w:rsidR="00333C13">
        <w:rPr>
          <w:sz w:val="22"/>
          <w:szCs w:val="22"/>
        </w:rPr>
        <w:t xml:space="preserve">La Corte </w:t>
      </w:r>
      <w:r w:rsidR="002A11BD">
        <w:rPr>
          <w:sz w:val="22"/>
          <w:szCs w:val="22"/>
        </w:rPr>
        <w:t>europea dei diritti dell’uomo: l</w:t>
      </w:r>
      <w:r w:rsidR="00333C13">
        <w:rPr>
          <w:sz w:val="22"/>
          <w:szCs w:val="22"/>
        </w:rPr>
        <w:t xml:space="preserve">a sentenza resa nel caso </w:t>
      </w:r>
      <w:r w:rsidR="00333C13">
        <w:rPr>
          <w:i/>
          <w:sz w:val="22"/>
          <w:szCs w:val="22"/>
        </w:rPr>
        <w:t>Irlanda c. Regno Unito</w:t>
      </w:r>
    </w:p>
    <w:p w:rsidR="00333C13" w:rsidRDefault="00333C13" w:rsidP="00EB037D">
      <w:pPr>
        <w:pStyle w:val="Testonotaapidipagina"/>
        <w:spacing w:line="360" w:lineRule="auto"/>
        <w:ind w:firstLine="284"/>
        <w:jc w:val="both"/>
      </w:pPr>
    </w:p>
    <w:p w:rsidR="00987B96" w:rsidRDefault="00FE7AD6" w:rsidP="00EB037D">
      <w:pPr>
        <w:pStyle w:val="Testonotaapidipagina"/>
        <w:spacing w:line="360" w:lineRule="auto"/>
        <w:ind w:firstLine="284"/>
        <w:jc w:val="both"/>
        <w:rPr>
          <w:sz w:val="22"/>
          <w:szCs w:val="22"/>
        </w:rPr>
      </w:pPr>
      <w:r>
        <w:rPr>
          <w:sz w:val="22"/>
          <w:szCs w:val="22"/>
        </w:rPr>
        <w:t>Gli organi di controllo della Convenzione europea</w:t>
      </w:r>
      <w:r w:rsidR="00731848">
        <w:rPr>
          <w:sz w:val="22"/>
          <w:szCs w:val="22"/>
        </w:rPr>
        <w:t xml:space="preserve"> dei diritti dell’uomo</w:t>
      </w:r>
      <w:r>
        <w:rPr>
          <w:sz w:val="22"/>
          <w:szCs w:val="22"/>
        </w:rPr>
        <w:t xml:space="preserve"> in numerose circostanze hanno avuto modo di pronunciarsi sulla questione della responsabilità internazionale dello Stato per i fatti illeciti </w:t>
      </w:r>
      <w:r w:rsidRPr="00987B96">
        <w:rPr>
          <w:i/>
          <w:sz w:val="22"/>
          <w:szCs w:val="22"/>
        </w:rPr>
        <w:t>ultra vires</w:t>
      </w:r>
      <w:r>
        <w:rPr>
          <w:sz w:val="22"/>
          <w:szCs w:val="22"/>
        </w:rPr>
        <w:t xml:space="preserve"> dei propri organi. </w:t>
      </w:r>
      <w:r w:rsidR="00987B96">
        <w:rPr>
          <w:sz w:val="22"/>
          <w:szCs w:val="22"/>
        </w:rPr>
        <w:t xml:space="preserve">Una delle pronunce più significative è indubbiamente quella resa dalla Corte </w:t>
      </w:r>
      <w:r w:rsidR="00B949D7">
        <w:rPr>
          <w:sz w:val="22"/>
          <w:szCs w:val="22"/>
        </w:rPr>
        <w:t xml:space="preserve">europea </w:t>
      </w:r>
      <w:r w:rsidR="00987B96">
        <w:rPr>
          <w:sz w:val="22"/>
          <w:szCs w:val="22"/>
        </w:rPr>
        <w:t xml:space="preserve">nel 1978 nel caso </w:t>
      </w:r>
      <w:r w:rsidR="00987B96" w:rsidRPr="00987B96">
        <w:rPr>
          <w:i/>
          <w:sz w:val="22"/>
          <w:szCs w:val="22"/>
        </w:rPr>
        <w:t>Irlanda c. Regno Unito</w:t>
      </w:r>
      <w:r w:rsidR="00987B96" w:rsidRPr="00394ADE">
        <w:rPr>
          <w:rStyle w:val="Rimandonotaapidipagina"/>
          <w:sz w:val="22"/>
          <w:szCs w:val="22"/>
        </w:rPr>
        <w:footnoteReference w:id="413"/>
      </w:r>
      <w:r w:rsidR="00987B96" w:rsidRPr="00394ADE">
        <w:rPr>
          <w:sz w:val="22"/>
          <w:szCs w:val="22"/>
        </w:rPr>
        <w:t>.</w:t>
      </w:r>
    </w:p>
    <w:p w:rsidR="00333C13" w:rsidRDefault="00333C13" w:rsidP="00EB037D">
      <w:pPr>
        <w:pStyle w:val="Testonotaapidipagina"/>
        <w:spacing w:line="360" w:lineRule="auto"/>
        <w:ind w:firstLine="284"/>
        <w:jc w:val="both"/>
        <w:rPr>
          <w:sz w:val="22"/>
          <w:szCs w:val="22"/>
        </w:rPr>
      </w:pPr>
      <w:r>
        <w:rPr>
          <w:sz w:val="22"/>
          <w:szCs w:val="22"/>
        </w:rPr>
        <w:t xml:space="preserve">Allo scopo di porre fine alla </w:t>
      </w:r>
      <w:r>
        <w:rPr>
          <w:i/>
          <w:sz w:val="22"/>
          <w:szCs w:val="22"/>
        </w:rPr>
        <w:t>escalation</w:t>
      </w:r>
      <w:r>
        <w:rPr>
          <w:sz w:val="22"/>
          <w:szCs w:val="22"/>
        </w:rPr>
        <w:t xml:space="preserve"> di atti terr</w:t>
      </w:r>
      <w:r w:rsidR="003F35FD">
        <w:rPr>
          <w:sz w:val="22"/>
          <w:szCs w:val="22"/>
        </w:rPr>
        <w:t>oristici nell’Irlanda del Nord</w:t>
      </w:r>
      <w:r>
        <w:rPr>
          <w:sz w:val="22"/>
          <w:szCs w:val="22"/>
        </w:rPr>
        <w:t>, il Governo aveva deciso di ricorrere ai poteri di det</w:t>
      </w:r>
      <w:r w:rsidR="002817D1">
        <w:rPr>
          <w:sz w:val="22"/>
          <w:szCs w:val="22"/>
        </w:rPr>
        <w:t>enzione previsti</w:t>
      </w:r>
      <w:r>
        <w:rPr>
          <w:sz w:val="22"/>
          <w:szCs w:val="22"/>
        </w:rPr>
        <w:t xml:space="preserve"> dalla legge del 1922 circa i poteri speciali delle autorità civili nel Nord Irlanda ed aveva contemporaneamente dato il via all’operazione “Demetrius”, nel corso della quale l’esercito aveva arrestato alcune persone sospettate di essere membri dell’</w:t>
      </w:r>
      <w:r w:rsidRPr="00AB3637">
        <w:rPr>
          <w:i/>
          <w:sz w:val="22"/>
          <w:szCs w:val="22"/>
        </w:rPr>
        <w:t>Iris</w:t>
      </w:r>
      <w:r>
        <w:rPr>
          <w:i/>
          <w:sz w:val="22"/>
          <w:szCs w:val="22"/>
        </w:rPr>
        <w:t>h Republic Army</w:t>
      </w:r>
      <w:r>
        <w:rPr>
          <w:sz w:val="22"/>
          <w:szCs w:val="22"/>
        </w:rPr>
        <w:t xml:space="preserve"> (IRA). </w:t>
      </w:r>
      <w:r w:rsidR="004F0B57">
        <w:rPr>
          <w:sz w:val="22"/>
          <w:szCs w:val="22"/>
        </w:rPr>
        <w:t xml:space="preserve">Dopo gli </w:t>
      </w:r>
      <w:r>
        <w:rPr>
          <w:sz w:val="22"/>
          <w:szCs w:val="22"/>
        </w:rPr>
        <w:t>arresti, la stampa britannica aveva dato notizia di trattamenti inumani e degradanti a cui tali individui erano stati sottoposti al momento dell’arresto o durante il loro interrogatorio all’interno dei centri di detenzione regionali dell’Irlanda del Nord.</w:t>
      </w:r>
    </w:p>
    <w:p w:rsidR="00333C13" w:rsidRDefault="00333C13" w:rsidP="00EB037D">
      <w:pPr>
        <w:pStyle w:val="Testonotaapidipagina"/>
        <w:spacing w:line="360" w:lineRule="auto"/>
        <w:ind w:firstLine="284"/>
        <w:jc w:val="both"/>
        <w:rPr>
          <w:sz w:val="22"/>
          <w:szCs w:val="22"/>
        </w:rPr>
      </w:pPr>
      <w:r>
        <w:rPr>
          <w:sz w:val="22"/>
          <w:szCs w:val="22"/>
        </w:rPr>
        <w:t xml:space="preserve">Il 16 dicembre 1971, Il Governo della Repubblica d’Irlanda ha presentato un ricorso alla Commissione europea dei diritti dell’uomo contro il Governo del Regno Unito, lamentando la violazione dell’art. 3 della Convenzione </w:t>
      </w:r>
      <w:r w:rsidR="00B949D7">
        <w:rPr>
          <w:sz w:val="22"/>
          <w:szCs w:val="22"/>
        </w:rPr>
        <w:t xml:space="preserve">europea in ragione della sottoposizione </w:t>
      </w:r>
      <w:r>
        <w:rPr>
          <w:sz w:val="22"/>
          <w:szCs w:val="22"/>
        </w:rPr>
        <w:t>dei detenuti ad alcune particolari tecniche di interrogatorio, tra cui l’incappucciamento, la privazione di viveri e la privazione del sonno</w:t>
      </w:r>
      <w:r>
        <w:rPr>
          <w:rStyle w:val="Rimandonotaapidipagina"/>
          <w:sz w:val="22"/>
          <w:szCs w:val="22"/>
        </w:rPr>
        <w:footnoteReference w:id="414"/>
      </w:r>
      <w:r>
        <w:rPr>
          <w:sz w:val="22"/>
          <w:szCs w:val="22"/>
        </w:rPr>
        <w:t>.</w:t>
      </w:r>
    </w:p>
    <w:p w:rsidR="00276B77" w:rsidRDefault="00333C13" w:rsidP="00276B77">
      <w:pPr>
        <w:pStyle w:val="Testonotaapidipagina"/>
        <w:spacing w:line="360" w:lineRule="auto"/>
        <w:ind w:firstLine="284"/>
        <w:jc w:val="both"/>
        <w:rPr>
          <w:sz w:val="22"/>
          <w:szCs w:val="22"/>
        </w:rPr>
      </w:pPr>
      <w:r>
        <w:rPr>
          <w:sz w:val="22"/>
          <w:szCs w:val="22"/>
        </w:rPr>
        <w:t>Il Governo del Regno Unito ha sostenuto di non essere tenuto a rispondere sul piano internazionale di tali condotte dal momento che uno Stato non può essere reputato internazionalmente responsabile, sulla base della Convenzione, di tutti i comportamenti adottati dagli organi subordinati.</w:t>
      </w:r>
      <w:r w:rsidR="00276B77">
        <w:rPr>
          <w:sz w:val="22"/>
          <w:szCs w:val="22"/>
        </w:rPr>
        <w:t xml:space="preserve"> </w:t>
      </w:r>
      <w:r w:rsidR="002D2164">
        <w:rPr>
          <w:sz w:val="22"/>
          <w:szCs w:val="22"/>
        </w:rPr>
        <w:t>L</w:t>
      </w:r>
      <w:r>
        <w:rPr>
          <w:sz w:val="22"/>
          <w:szCs w:val="22"/>
        </w:rPr>
        <w:t>a responsabilità internazionale</w:t>
      </w:r>
      <w:r w:rsidR="002D2164">
        <w:rPr>
          <w:sz w:val="22"/>
          <w:szCs w:val="22"/>
        </w:rPr>
        <w:t xml:space="preserve"> del Regno Unito</w:t>
      </w:r>
      <w:r>
        <w:rPr>
          <w:sz w:val="22"/>
          <w:szCs w:val="22"/>
        </w:rPr>
        <w:t xml:space="preserve"> poteva sorgere soltanto in caso di un mancato adempimento da parte del Governo o degli organi superiori dell’obbligo di prevenzione o di repressione del fatto illecito oppure in caso di diniego di giustizia. </w:t>
      </w:r>
    </w:p>
    <w:p w:rsidR="00333C13" w:rsidRDefault="00333C13" w:rsidP="00276B77">
      <w:pPr>
        <w:pStyle w:val="Testonotaapidipagina"/>
        <w:spacing w:line="360" w:lineRule="auto"/>
        <w:ind w:firstLine="284"/>
        <w:jc w:val="both"/>
        <w:rPr>
          <w:sz w:val="22"/>
          <w:szCs w:val="22"/>
        </w:rPr>
      </w:pPr>
      <w:r>
        <w:rPr>
          <w:sz w:val="22"/>
          <w:szCs w:val="22"/>
        </w:rPr>
        <w:t xml:space="preserve">Assimilando i comportamenti illeciti tenuti </w:t>
      </w:r>
      <w:r>
        <w:rPr>
          <w:i/>
          <w:sz w:val="22"/>
          <w:szCs w:val="22"/>
        </w:rPr>
        <w:t>ultra vires</w:t>
      </w:r>
      <w:r>
        <w:rPr>
          <w:sz w:val="22"/>
          <w:szCs w:val="22"/>
        </w:rPr>
        <w:t xml:space="preserve"> dagli organi subordinati a dei fatti di semplici privati, il Regno Unito sosteneva di non poter essere ritenuto responsabile della violazione dell’art. 3 della Convenzione</w:t>
      </w:r>
      <w:r w:rsidR="00B949D7">
        <w:rPr>
          <w:sz w:val="22"/>
          <w:szCs w:val="22"/>
        </w:rPr>
        <w:t xml:space="preserve"> europea </w:t>
      </w:r>
      <w:r>
        <w:rPr>
          <w:sz w:val="22"/>
          <w:szCs w:val="22"/>
        </w:rPr>
        <w:t>dal momento che non aveva autorizzato tali condotte, aveva adempiuto il proprio obbligo di pr</w:t>
      </w:r>
      <w:r w:rsidR="002D2164">
        <w:rPr>
          <w:sz w:val="22"/>
          <w:szCs w:val="22"/>
        </w:rPr>
        <w:t xml:space="preserve">evenzione  e </w:t>
      </w:r>
      <w:r>
        <w:rPr>
          <w:sz w:val="22"/>
          <w:szCs w:val="22"/>
        </w:rPr>
        <w:t>aveva prontamente punito gli autori</w:t>
      </w:r>
      <w:r w:rsidR="00B949D7">
        <w:rPr>
          <w:sz w:val="22"/>
          <w:szCs w:val="22"/>
        </w:rPr>
        <w:t xml:space="preserve"> dei maltrattamenti</w:t>
      </w:r>
      <w:r>
        <w:rPr>
          <w:sz w:val="22"/>
          <w:szCs w:val="22"/>
        </w:rPr>
        <w:t>:</w:t>
      </w:r>
    </w:p>
    <w:p w:rsidR="00982260" w:rsidRDefault="00982260" w:rsidP="00276B77">
      <w:pPr>
        <w:pStyle w:val="Testonotaapidipagina"/>
        <w:spacing w:line="360" w:lineRule="auto"/>
        <w:ind w:firstLine="284"/>
        <w:jc w:val="both"/>
        <w:rPr>
          <w:sz w:val="22"/>
          <w:szCs w:val="22"/>
        </w:rPr>
      </w:pPr>
    </w:p>
    <w:p w:rsidR="00333C13" w:rsidRDefault="00333C13" w:rsidP="00EB037D">
      <w:pPr>
        <w:pStyle w:val="Testonotaapidipagina"/>
        <w:spacing w:line="360" w:lineRule="auto"/>
        <w:ind w:left="567" w:right="567" w:firstLine="284"/>
        <w:jc w:val="both"/>
        <w:rPr>
          <w:sz w:val="22"/>
          <w:szCs w:val="22"/>
        </w:rPr>
      </w:pPr>
      <w:r w:rsidRPr="002D2164">
        <w:rPr>
          <w:sz w:val="22"/>
          <w:szCs w:val="22"/>
          <w:lang w:val="fr-FR"/>
        </w:rPr>
        <w:t>“</w:t>
      </w:r>
      <w:r w:rsidRPr="002D2164">
        <w:rPr>
          <w:rFonts w:cstheme="minorHAnsi"/>
          <w:sz w:val="22"/>
          <w:szCs w:val="22"/>
          <w:lang w:val="fr-FR"/>
        </w:rPr>
        <w:t>Des actes de mauvais traitements sont commis, peut-être avec la tolérance d’agents subalternes, mais le gouvernement lui-même n’a ni autorisé ces mauvais traitements ni fermé les yeux sur eux; il a au contraire tenté de les empêcher en donnant des ordres, en organisant des enquêtes approfondies sur les plaintes, en dépêchant des médecins aux centres de détention de la police et en poursuivant en justice les membres des forces de sécurité lorsqu’il dispose de preuves…En pareil cas, le gouvernement défendeur ne devrait pas être considéré comme violant la Convention, parce qu’il ne serait coupable en vertu ni de l’un ni de l’autre des deux principes reconnus par le droit international et par la jurisprudence de la</w:t>
      </w:r>
      <w:r w:rsidRPr="00616BB6">
        <w:rPr>
          <w:rFonts w:cstheme="minorHAnsi"/>
          <w:i/>
          <w:sz w:val="22"/>
          <w:szCs w:val="22"/>
          <w:lang w:val="fr-FR"/>
        </w:rPr>
        <w:t xml:space="preserve"> </w:t>
      </w:r>
      <w:r w:rsidRPr="002D2164">
        <w:rPr>
          <w:rFonts w:cstheme="minorHAnsi"/>
          <w:sz w:val="22"/>
          <w:szCs w:val="22"/>
          <w:lang w:val="fr-FR"/>
        </w:rPr>
        <w:t>Commission: il ne serait pas coupable au regard du principe du dommage direct, parce que le Gouvernement lui-même n’aurait ni autorisé les mauvais traitements ni fermé les yeux sur eux…</w:t>
      </w:r>
      <w:r w:rsidRPr="002D2164">
        <w:rPr>
          <w:lang w:val="fr-FR"/>
        </w:rPr>
        <w:t> </w:t>
      </w:r>
      <w:r w:rsidRPr="002D2164">
        <w:rPr>
          <w:sz w:val="22"/>
          <w:szCs w:val="22"/>
          <w:lang w:val="fr-FR"/>
        </w:rPr>
        <w:t>”</w:t>
      </w:r>
      <w:r w:rsidRPr="002D2164">
        <w:rPr>
          <w:rStyle w:val="Rimandonotaapidipagina"/>
          <w:sz w:val="22"/>
          <w:szCs w:val="22"/>
        </w:rPr>
        <w:footnoteReference w:id="415"/>
      </w:r>
      <w:r w:rsidRPr="002D2164">
        <w:rPr>
          <w:sz w:val="22"/>
          <w:szCs w:val="22"/>
        </w:rPr>
        <w:t>.</w:t>
      </w:r>
      <w:r w:rsidRPr="00656506">
        <w:rPr>
          <w:sz w:val="22"/>
          <w:szCs w:val="22"/>
        </w:rPr>
        <w:t xml:space="preserve"> </w:t>
      </w:r>
    </w:p>
    <w:p w:rsidR="00333C13" w:rsidRDefault="00333C13" w:rsidP="00EB037D">
      <w:pPr>
        <w:pStyle w:val="Testonotaapidipagina"/>
        <w:spacing w:line="360" w:lineRule="auto"/>
        <w:ind w:left="567" w:right="567" w:firstLine="284"/>
        <w:jc w:val="both"/>
        <w:rPr>
          <w:sz w:val="22"/>
          <w:szCs w:val="22"/>
        </w:rPr>
      </w:pPr>
    </w:p>
    <w:p w:rsidR="00333C13" w:rsidRDefault="00333C13" w:rsidP="00EB037D">
      <w:pPr>
        <w:pStyle w:val="Testonotaapidipagina"/>
        <w:spacing w:line="360" w:lineRule="auto"/>
        <w:ind w:firstLine="284"/>
        <w:jc w:val="both"/>
        <w:rPr>
          <w:sz w:val="22"/>
          <w:szCs w:val="22"/>
        </w:rPr>
      </w:pPr>
      <w:r>
        <w:rPr>
          <w:sz w:val="22"/>
          <w:szCs w:val="22"/>
        </w:rPr>
        <w:t xml:space="preserve">Al fine di giustificare la tesi dell’assenza di responsabilità internazionale, il Governo britannico ha inoltre </w:t>
      </w:r>
      <w:r w:rsidR="00C963F0">
        <w:rPr>
          <w:sz w:val="22"/>
          <w:szCs w:val="22"/>
        </w:rPr>
        <w:t xml:space="preserve">sostenuto </w:t>
      </w:r>
      <w:r>
        <w:rPr>
          <w:sz w:val="22"/>
          <w:szCs w:val="22"/>
        </w:rPr>
        <w:t xml:space="preserve">che la Convenzione poteva essere violata soltanto intenzionalmente da parte di uno Stato, </w:t>
      </w:r>
      <w:r w:rsidR="0020013D">
        <w:rPr>
          <w:sz w:val="22"/>
          <w:szCs w:val="22"/>
        </w:rPr>
        <w:t xml:space="preserve">considerando </w:t>
      </w:r>
      <w:r>
        <w:rPr>
          <w:sz w:val="22"/>
          <w:szCs w:val="22"/>
        </w:rPr>
        <w:t>la colpa un elemento costitutivo dell’illecito internazionale</w:t>
      </w:r>
      <w:r>
        <w:rPr>
          <w:rStyle w:val="Rimandonotaapidipagina"/>
          <w:sz w:val="22"/>
          <w:szCs w:val="22"/>
        </w:rPr>
        <w:footnoteReference w:id="416"/>
      </w:r>
      <w:r>
        <w:rPr>
          <w:sz w:val="22"/>
          <w:szCs w:val="22"/>
        </w:rPr>
        <w:t>.</w:t>
      </w:r>
    </w:p>
    <w:p w:rsidR="005C5940" w:rsidRPr="00FE7AD6" w:rsidRDefault="00982260" w:rsidP="00FE7AD6">
      <w:pPr>
        <w:pStyle w:val="Testonotaapidipagina"/>
        <w:spacing w:line="360" w:lineRule="auto"/>
        <w:ind w:firstLine="284"/>
        <w:jc w:val="both"/>
        <w:rPr>
          <w:sz w:val="22"/>
          <w:szCs w:val="22"/>
        </w:rPr>
      </w:pPr>
      <w:r>
        <w:rPr>
          <w:sz w:val="22"/>
          <w:szCs w:val="22"/>
        </w:rPr>
        <w:t xml:space="preserve">Nel caso di specie il Regno Unito ha quindi riproposto la tesi secondo cui </w:t>
      </w:r>
      <w:r w:rsidRPr="00982260">
        <w:rPr>
          <w:sz w:val="22"/>
          <w:szCs w:val="22"/>
        </w:rPr>
        <w:t>le condotte tenute da un organo nel mancato rispetto delle disposizioni di diritto interno o delle istruzioni ricevute devono essere assimilate ai comportamenti di semplici privati, di cui lo Stato non è tenuto a rispondere sul piano internazionale, se non per il fatto, imputabile ad ulteriori organi, di non aver prevenuto o represso tali condotte pur essendo in grado di farlo.</w:t>
      </w:r>
      <w:r w:rsidR="00FE7AD6">
        <w:rPr>
          <w:sz w:val="22"/>
          <w:szCs w:val="22"/>
        </w:rPr>
        <w:t xml:space="preserve"> Alla luce di tale concezione </w:t>
      </w:r>
      <w:r w:rsidR="00FE7AD6" w:rsidRPr="00FE7AD6">
        <w:rPr>
          <w:sz w:val="22"/>
          <w:szCs w:val="22"/>
        </w:rPr>
        <w:t>n</w:t>
      </w:r>
      <w:r w:rsidR="00FE7AD6">
        <w:rPr>
          <w:sz w:val="22"/>
          <w:szCs w:val="22"/>
        </w:rPr>
        <w:t>el caso in cui adotti</w:t>
      </w:r>
      <w:r w:rsidR="00FE7AD6" w:rsidRPr="00FE7AD6">
        <w:rPr>
          <w:sz w:val="22"/>
          <w:szCs w:val="22"/>
        </w:rPr>
        <w:t xml:space="preserve"> un comportamento </w:t>
      </w:r>
      <w:r w:rsidR="00FE7AD6" w:rsidRPr="00FE7AD6">
        <w:rPr>
          <w:i/>
          <w:sz w:val="22"/>
          <w:szCs w:val="22"/>
        </w:rPr>
        <w:t>ultra vires</w:t>
      </w:r>
      <w:r w:rsidR="00FE7AD6">
        <w:rPr>
          <w:sz w:val="22"/>
          <w:szCs w:val="22"/>
        </w:rPr>
        <w:t>, un organo non è</w:t>
      </w:r>
      <w:r w:rsidR="00FE7AD6" w:rsidRPr="00FE7AD6">
        <w:rPr>
          <w:sz w:val="22"/>
          <w:szCs w:val="22"/>
        </w:rPr>
        <w:t xml:space="preserve"> ritenuto </w:t>
      </w:r>
      <w:r w:rsidR="00B949D7">
        <w:rPr>
          <w:sz w:val="22"/>
          <w:szCs w:val="22"/>
        </w:rPr>
        <w:t>agire per conto dello Stato allorché oltrepassi</w:t>
      </w:r>
      <w:r w:rsidR="00FE7AD6" w:rsidRPr="00FE7AD6">
        <w:rPr>
          <w:sz w:val="22"/>
          <w:szCs w:val="22"/>
        </w:rPr>
        <w:t xml:space="preserve"> le funzioni lui conferite dal diritto interno.</w:t>
      </w:r>
      <w:r w:rsidR="00FE7AD6">
        <w:rPr>
          <w:sz w:val="22"/>
          <w:szCs w:val="22"/>
        </w:rPr>
        <w:t xml:space="preserve"> </w:t>
      </w:r>
      <w:r w:rsidR="00320B58">
        <w:rPr>
          <w:sz w:val="22"/>
          <w:szCs w:val="22"/>
        </w:rPr>
        <w:t xml:space="preserve">Occorre </w:t>
      </w:r>
      <w:r w:rsidR="00FE7AD6">
        <w:rPr>
          <w:sz w:val="22"/>
          <w:szCs w:val="22"/>
        </w:rPr>
        <w:t xml:space="preserve">in ogni modo notare come  il Regno Unito </w:t>
      </w:r>
      <w:r w:rsidR="00A70B89">
        <w:rPr>
          <w:sz w:val="22"/>
          <w:szCs w:val="22"/>
        </w:rPr>
        <w:t>a</w:t>
      </w:r>
      <w:r w:rsidR="00FE7AD6">
        <w:rPr>
          <w:sz w:val="22"/>
          <w:szCs w:val="22"/>
        </w:rPr>
        <w:t>bbia</w:t>
      </w:r>
      <w:r w:rsidR="00A70B89">
        <w:rPr>
          <w:sz w:val="22"/>
          <w:szCs w:val="22"/>
        </w:rPr>
        <w:t xml:space="preserve"> riproposto </w:t>
      </w:r>
      <w:r w:rsidR="00FE7AD6">
        <w:rPr>
          <w:sz w:val="22"/>
          <w:szCs w:val="22"/>
        </w:rPr>
        <w:t>tal</w:t>
      </w:r>
      <w:r w:rsidR="00B949D7">
        <w:rPr>
          <w:sz w:val="22"/>
          <w:szCs w:val="22"/>
        </w:rPr>
        <w:t xml:space="preserve">e </w:t>
      </w:r>
      <w:r w:rsidR="00A70B89">
        <w:rPr>
          <w:sz w:val="22"/>
          <w:szCs w:val="22"/>
        </w:rPr>
        <w:t>tesi prima</w:t>
      </w:r>
      <w:r w:rsidR="00FE7AD6">
        <w:rPr>
          <w:sz w:val="22"/>
          <w:szCs w:val="22"/>
        </w:rPr>
        <w:t>ncora</w:t>
      </w:r>
      <w:r w:rsidR="00A70B89">
        <w:rPr>
          <w:sz w:val="22"/>
          <w:szCs w:val="22"/>
        </w:rPr>
        <w:t xml:space="preserve"> che il </w:t>
      </w:r>
      <w:r w:rsidR="00A70B89" w:rsidRPr="00320B58">
        <w:rPr>
          <w:sz w:val="22"/>
          <w:szCs w:val="22"/>
        </w:rPr>
        <w:t xml:space="preserve">principio dell’attribuzione allo Stato dei fatti </w:t>
      </w:r>
      <w:r w:rsidR="00A70B89" w:rsidRPr="00320B58">
        <w:rPr>
          <w:i/>
          <w:sz w:val="22"/>
          <w:szCs w:val="22"/>
        </w:rPr>
        <w:t>ultra vires</w:t>
      </w:r>
      <w:r w:rsidR="00A70B89" w:rsidRPr="00320B58">
        <w:rPr>
          <w:sz w:val="22"/>
          <w:szCs w:val="22"/>
        </w:rPr>
        <w:t xml:space="preserve"> dei propri organi </w:t>
      </w:r>
      <w:r w:rsidR="005C5940" w:rsidRPr="00320B58">
        <w:rPr>
          <w:sz w:val="22"/>
          <w:szCs w:val="22"/>
        </w:rPr>
        <w:t xml:space="preserve">venisse </w:t>
      </w:r>
      <w:r w:rsidR="00B949D7">
        <w:rPr>
          <w:sz w:val="22"/>
          <w:szCs w:val="22"/>
        </w:rPr>
        <w:t xml:space="preserve">formulato </w:t>
      </w:r>
      <w:r w:rsidR="00A70B89" w:rsidRPr="00320B58">
        <w:rPr>
          <w:sz w:val="22"/>
          <w:szCs w:val="22"/>
        </w:rPr>
        <w:t>dalla Commissione del diritto internazionale nel 1975</w:t>
      </w:r>
      <w:r w:rsidR="00320B58" w:rsidRPr="00320B58">
        <w:rPr>
          <w:sz w:val="22"/>
          <w:szCs w:val="22"/>
        </w:rPr>
        <w:t>.</w:t>
      </w:r>
    </w:p>
    <w:p w:rsidR="00333C13" w:rsidRPr="00B7726F" w:rsidRDefault="00333C13" w:rsidP="00982260">
      <w:pPr>
        <w:pStyle w:val="Testonotaapidipagina"/>
        <w:spacing w:line="360" w:lineRule="auto"/>
        <w:ind w:firstLine="284"/>
        <w:jc w:val="both"/>
        <w:rPr>
          <w:sz w:val="22"/>
          <w:szCs w:val="22"/>
        </w:rPr>
      </w:pPr>
      <w:r>
        <w:rPr>
          <w:sz w:val="22"/>
          <w:szCs w:val="22"/>
        </w:rPr>
        <w:t xml:space="preserve">Nella sua risposta, il Governo irlandese ha </w:t>
      </w:r>
      <w:r w:rsidR="00987B96">
        <w:rPr>
          <w:sz w:val="22"/>
          <w:szCs w:val="22"/>
        </w:rPr>
        <w:t xml:space="preserve">invece </w:t>
      </w:r>
      <w:r>
        <w:rPr>
          <w:sz w:val="22"/>
          <w:szCs w:val="22"/>
        </w:rPr>
        <w:t>contestato tale tesi facendo appello ai principi generali della responsabilità internazionale dello Stato. A sostegno della sua po</w:t>
      </w:r>
      <w:r w:rsidR="005A04C9">
        <w:rPr>
          <w:sz w:val="22"/>
          <w:szCs w:val="22"/>
        </w:rPr>
        <w:t>sizione, ha citato</w:t>
      </w:r>
      <w:r>
        <w:rPr>
          <w:sz w:val="22"/>
          <w:szCs w:val="22"/>
        </w:rPr>
        <w:t xml:space="preserve"> la sentenza resa il 23 novembre 1926 dalla Commissione generale dei reclami tra Stati Uniti d’America e Messico nel caso </w:t>
      </w:r>
      <w:r w:rsidRPr="00440389">
        <w:rPr>
          <w:i/>
          <w:sz w:val="22"/>
          <w:szCs w:val="22"/>
        </w:rPr>
        <w:t xml:space="preserve">Youmans </w:t>
      </w:r>
      <w:r>
        <w:rPr>
          <w:sz w:val="22"/>
          <w:szCs w:val="22"/>
        </w:rPr>
        <w:t>e l’art. 5 del progetto di articoli della CDI</w:t>
      </w:r>
      <w:r>
        <w:rPr>
          <w:rStyle w:val="Rimandonotaapidipagina"/>
          <w:sz w:val="22"/>
          <w:szCs w:val="22"/>
        </w:rPr>
        <w:footnoteReference w:id="417"/>
      </w:r>
      <w:r>
        <w:rPr>
          <w:sz w:val="22"/>
          <w:szCs w:val="22"/>
        </w:rPr>
        <w:t xml:space="preserve">. </w:t>
      </w:r>
    </w:p>
    <w:p w:rsidR="009B2C85" w:rsidRDefault="00333C13" w:rsidP="00F97506">
      <w:pPr>
        <w:pStyle w:val="Testonotaapidipagina"/>
        <w:spacing w:line="360" w:lineRule="auto"/>
        <w:ind w:firstLine="284"/>
        <w:jc w:val="both"/>
        <w:rPr>
          <w:sz w:val="22"/>
          <w:szCs w:val="22"/>
        </w:rPr>
      </w:pPr>
      <w:r>
        <w:rPr>
          <w:sz w:val="22"/>
          <w:szCs w:val="22"/>
        </w:rPr>
        <w:t>Nel rapporto reso il 25 marzo 1976, la Commissione europea dei diritti dell’uomo ha rigettato la tesi sostenuta dal Regno Unito, sottolineando come gli obblighi internazionali di uno Stato possono essere violati</w:t>
      </w:r>
      <w:r w:rsidR="00AD0370">
        <w:rPr>
          <w:sz w:val="22"/>
          <w:szCs w:val="22"/>
        </w:rPr>
        <w:t>:</w:t>
      </w:r>
      <w:r w:rsidR="00A142A6">
        <w:rPr>
          <w:sz w:val="22"/>
          <w:szCs w:val="22"/>
        </w:rPr>
        <w:t xml:space="preserve"> </w:t>
      </w:r>
    </w:p>
    <w:p w:rsidR="00F97506" w:rsidRDefault="00F97506" w:rsidP="00F97506">
      <w:pPr>
        <w:pStyle w:val="Testonotaapidipagina"/>
        <w:spacing w:line="360" w:lineRule="auto"/>
        <w:ind w:firstLine="284"/>
        <w:jc w:val="both"/>
        <w:rPr>
          <w:sz w:val="22"/>
          <w:szCs w:val="22"/>
        </w:rPr>
      </w:pPr>
    </w:p>
    <w:p w:rsidR="00AD0370" w:rsidRPr="00A142A6" w:rsidRDefault="00333C13" w:rsidP="00EB037D">
      <w:pPr>
        <w:pStyle w:val="Testonotaapidipagina"/>
        <w:spacing w:line="360" w:lineRule="auto"/>
        <w:ind w:left="567" w:right="567" w:firstLine="284"/>
        <w:jc w:val="both"/>
        <w:rPr>
          <w:sz w:val="22"/>
          <w:szCs w:val="22"/>
          <w:lang w:val="fr-FR"/>
        </w:rPr>
      </w:pPr>
      <w:r w:rsidRPr="00F97506">
        <w:rPr>
          <w:sz w:val="22"/>
          <w:szCs w:val="22"/>
        </w:rPr>
        <w:t xml:space="preserve"> </w:t>
      </w:r>
      <w:r w:rsidRPr="00A142A6">
        <w:rPr>
          <w:sz w:val="22"/>
          <w:szCs w:val="22"/>
          <w:lang w:val="fr-FR"/>
        </w:rPr>
        <w:t>“par une personne exerçant une fonction officielle qui lui est confiée, quel que soit le niveau, m</w:t>
      </w:r>
      <w:r w:rsidRPr="00A142A6">
        <w:rPr>
          <w:rFonts w:cstheme="minorHAnsi"/>
          <w:sz w:val="22"/>
          <w:szCs w:val="22"/>
          <w:lang w:val="fr-FR"/>
        </w:rPr>
        <w:t>ê</w:t>
      </w:r>
      <w:r w:rsidRPr="00A142A6">
        <w:rPr>
          <w:sz w:val="22"/>
          <w:szCs w:val="22"/>
          <w:lang w:val="fr-FR"/>
        </w:rPr>
        <w:t>me le plus bas, sans autorisation expresse, voire en dehors ou à l’encontre d’instructions”</w:t>
      </w:r>
      <w:r w:rsidRPr="00A142A6">
        <w:rPr>
          <w:rStyle w:val="Rimandonotaapidipagina"/>
          <w:sz w:val="22"/>
          <w:szCs w:val="22"/>
        </w:rPr>
        <w:footnoteReference w:id="418"/>
      </w:r>
      <w:r w:rsidRPr="00A142A6">
        <w:rPr>
          <w:sz w:val="22"/>
          <w:szCs w:val="22"/>
          <w:lang w:val="fr-FR"/>
        </w:rPr>
        <w:t xml:space="preserve">. </w:t>
      </w:r>
    </w:p>
    <w:p w:rsidR="00333C13" w:rsidRPr="00AD0370" w:rsidRDefault="00333C13" w:rsidP="00EB037D">
      <w:pPr>
        <w:pStyle w:val="Testonotaapidipagina"/>
        <w:spacing w:line="360" w:lineRule="auto"/>
        <w:ind w:firstLine="284"/>
        <w:jc w:val="both"/>
        <w:rPr>
          <w:sz w:val="22"/>
          <w:szCs w:val="22"/>
          <w:lang w:val="fr-FR"/>
        </w:rPr>
      </w:pPr>
      <w:r w:rsidRPr="00AD0370">
        <w:rPr>
          <w:sz w:val="22"/>
          <w:szCs w:val="22"/>
          <w:lang w:val="fr-FR"/>
        </w:rPr>
        <w:t xml:space="preserve"> </w:t>
      </w:r>
    </w:p>
    <w:p w:rsidR="00C17373" w:rsidRDefault="00333C13" w:rsidP="00CC75B2">
      <w:pPr>
        <w:pStyle w:val="Testonotaapidipagina"/>
        <w:spacing w:line="360" w:lineRule="auto"/>
        <w:ind w:firstLine="284"/>
        <w:jc w:val="both"/>
        <w:rPr>
          <w:sz w:val="22"/>
          <w:szCs w:val="22"/>
        </w:rPr>
      </w:pPr>
      <w:r>
        <w:rPr>
          <w:sz w:val="22"/>
          <w:szCs w:val="22"/>
        </w:rPr>
        <w:t>Dopo il rapporto della Commissione, il Governo dell’Irlanda ha adito la Corte europea di diritti dell’uomo</w:t>
      </w:r>
      <w:r w:rsidR="00CC75B2">
        <w:rPr>
          <w:rStyle w:val="Rimandonotaapidipagina"/>
          <w:sz w:val="22"/>
          <w:szCs w:val="22"/>
        </w:rPr>
        <w:footnoteReference w:id="419"/>
      </w:r>
      <w:r>
        <w:rPr>
          <w:sz w:val="22"/>
          <w:szCs w:val="22"/>
        </w:rPr>
        <w:t>, la quale ha reso la sua sentenza il 18 gennaio 1978.</w:t>
      </w:r>
      <w:r w:rsidR="008C6E27">
        <w:rPr>
          <w:sz w:val="22"/>
          <w:szCs w:val="22"/>
        </w:rPr>
        <w:t xml:space="preserve"> </w:t>
      </w:r>
    </w:p>
    <w:p w:rsidR="00D7732F" w:rsidRPr="00CC75B2" w:rsidRDefault="00D7732F" w:rsidP="009C2D35">
      <w:pPr>
        <w:pStyle w:val="Testonotaapidipagina"/>
        <w:spacing w:line="360" w:lineRule="auto"/>
        <w:ind w:firstLine="284"/>
        <w:jc w:val="both"/>
        <w:rPr>
          <w:sz w:val="22"/>
          <w:szCs w:val="22"/>
        </w:rPr>
      </w:pPr>
      <w:r>
        <w:rPr>
          <w:sz w:val="22"/>
          <w:szCs w:val="22"/>
        </w:rPr>
        <w:t xml:space="preserve">A differenza di quanto avvenuto dinanzi la Commissione, il Regno Unito non ha contestato </w:t>
      </w:r>
      <w:r w:rsidR="009C2D35">
        <w:rPr>
          <w:sz w:val="22"/>
          <w:szCs w:val="22"/>
        </w:rPr>
        <w:t xml:space="preserve">nel procedimento davanti alla Corte europea </w:t>
      </w:r>
      <w:r>
        <w:rPr>
          <w:sz w:val="22"/>
          <w:szCs w:val="22"/>
        </w:rPr>
        <w:t xml:space="preserve">la propria responsabilità internazionale sulla base del fatto che uno Stato non è tenuto a rispondere a livello internazionale degli illeciti </w:t>
      </w:r>
      <w:r w:rsidR="009D5405" w:rsidRPr="009D5405">
        <w:rPr>
          <w:i/>
          <w:sz w:val="22"/>
          <w:szCs w:val="22"/>
        </w:rPr>
        <w:t>ultra vires</w:t>
      </w:r>
      <w:r w:rsidR="009D5405">
        <w:rPr>
          <w:sz w:val="22"/>
          <w:szCs w:val="22"/>
        </w:rPr>
        <w:t xml:space="preserve"> commessi dai propri </w:t>
      </w:r>
      <w:r>
        <w:rPr>
          <w:sz w:val="22"/>
          <w:szCs w:val="22"/>
        </w:rPr>
        <w:t>organi subordinati</w:t>
      </w:r>
      <w:r w:rsidR="009D5405">
        <w:rPr>
          <w:rStyle w:val="Rimandonotaapidipagina"/>
          <w:sz w:val="22"/>
          <w:szCs w:val="22"/>
        </w:rPr>
        <w:footnoteReference w:id="420"/>
      </w:r>
      <w:r>
        <w:rPr>
          <w:sz w:val="22"/>
          <w:szCs w:val="22"/>
        </w:rPr>
        <w:t>, p</w:t>
      </w:r>
      <w:r w:rsidR="009D5405">
        <w:rPr>
          <w:sz w:val="22"/>
          <w:szCs w:val="22"/>
        </w:rPr>
        <w:t>resumibilmente</w:t>
      </w:r>
      <w:r>
        <w:rPr>
          <w:sz w:val="22"/>
          <w:szCs w:val="22"/>
        </w:rPr>
        <w:t xml:space="preserve"> anche alla luce del contrario principio adottato </w:t>
      </w:r>
      <w:r w:rsidR="009D5405">
        <w:rPr>
          <w:sz w:val="22"/>
          <w:szCs w:val="22"/>
        </w:rPr>
        <w:t xml:space="preserve">nel 1975 </w:t>
      </w:r>
      <w:r>
        <w:rPr>
          <w:sz w:val="22"/>
          <w:szCs w:val="22"/>
        </w:rPr>
        <w:t>dalla Commissione del diritto internazionale</w:t>
      </w:r>
      <w:r w:rsidR="009D5405">
        <w:rPr>
          <w:sz w:val="22"/>
          <w:szCs w:val="22"/>
        </w:rPr>
        <w:t>.</w:t>
      </w:r>
    </w:p>
    <w:p w:rsidR="00333C13" w:rsidRDefault="00333C13" w:rsidP="00EB037D">
      <w:pPr>
        <w:pStyle w:val="Testonotaapidipagina"/>
        <w:spacing w:line="360" w:lineRule="auto"/>
        <w:ind w:firstLine="284"/>
        <w:jc w:val="both"/>
        <w:rPr>
          <w:sz w:val="22"/>
          <w:szCs w:val="22"/>
        </w:rPr>
      </w:pPr>
      <w:r>
        <w:rPr>
          <w:sz w:val="22"/>
          <w:szCs w:val="22"/>
        </w:rPr>
        <w:t>Condividendo le conclusioni della Commissione, la Corte</w:t>
      </w:r>
      <w:r w:rsidR="009D5405">
        <w:rPr>
          <w:sz w:val="22"/>
          <w:szCs w:val="22"/>
        </w:rPr>
        <w:t xml:space="preserve"> europea</w:t>
      </w:r>
      <w:r>
        <w:rPr>
          <w:sz w:val="22"/>
          <w:szCs w:val="22"/>
        </w:rPr>
        <w:t xml:space="preserve"> ha affermato che uno Stato non può sfuggire </w:t>
      </w:r>
      <w:r w:rsidR="00720563">
        <w:rPr>
          <w:sz w:val="22"/>
          <w:szCs w:val="22"/>
        </w:rPr>
        <w:t>al</w:t>
      </w:r>
      <w:r>
        <w:rPr>
          <w:sz w:val="22"/>
          <w:szCs w:val="22"/>
        </w:rPr>
        <w:t>la propria responsabilità internazionale sostenendo che la condotta illecita di un organo subordinato non era stata</w:t>
      </w:r>
      <w:r w:rsidR="009C2D35">
        <w:rPr>
          <w:sz w:val="22"/>
          <w:szCs w:val="22"/>
        </w:rPr>
        <w:t xml:space="preserve"> autorizzata. Anche se risultasse</w:t>
      </w:r>
      <w:r>
        <w:rPr>
          <w:sz w:val="22"/>
          <w:szCs w:val="22"/>
        </w:rPr>
        <w:t xml:space="preserve"> che le autorità superiori ignoravano l’esistenza di tali pratiche illecite di interrogatorio, gli Stati </w:t>
      </w:r>
      <w:r w:rsidR="0002195C">
        <w:rPr>
          <w:sz w:val="22"/>
          <w:szCs w:val="22"/>
        </w:rPr>
        <w:t xml:space="preserve">sono </w:t>
      </w:r>
      <w:r>
        <w:rPr>
          <w:sz w:val="22"/>
          <w:szCs w:val="22"/>
        </w:rPr>
        <w:t>tenuti ad assumere rispetto alla Convenzione la responsabilità oggettiva delle condotte tenute dai propri subordinati:</w:t>
      </w:r>
      <w:r w:rsidR="008C6E27">
        <w:rPr>
          <w:sz w:val="22"/>
          <w:szCs w:val="22"/>
        </w:rPr>
        <w:t xml:space="preserve"> </w:t>
      </w:r>
    </w:p>
    <w:p w:rsidR="00333C13" w:rsidRDefault="00333C13" w:rsidP="00EB037D">
      <w:pPr>
        <w:pStyle w:val="Testonotaapidipagina"/>
        <w:spacing w:line="360" w:lineRule="auto"/>
        <w:ind w:firstLine="284"/>
        <w:jc w:val="both"/>
        <w:rPr>
          <w:sz w:val="22"/>
          <w:szCs w:val="22"/>
        </w:rPr>
      </w:pPr>
    </w:p>
    <w:p w:rsidR="00333C13" w:rsidRDefault="00333C13" w:rsidP="00EB037D">
      <w:pPr>
        <w:pStyle w:val="Testonotaapidipagina"/>
        <w:spacing w:line="360" w:lineRule="auto"/>
        <w:ind w:left="567" w:right="567" w:firstLine="284"/>
        <w:jc w:val="both"/>
        <w:rPr>
          <w:sz w:val="22"/>
          <w:szCs w:val="22"/>
          <w:lang w:val="fr-FR"/>
        </w:rPr>
      </w:pPr>
      <w:r w:rsidRPr="00E74786">
        <w:rPr>
          <w:sz w:val="22"/>
          <w:szCs w:val="22"/>
          <w:lang w:val="fr-FR"/>
        </w:rPr>
        <w:t>“On n’imagine pas que les autorités supérieures d’un Etat ignorent, ou du moins soient en droit d’ignorer, l’existence de pareille pratique. En outre, elles assument au regard de la Convention la responsabilité objective de</w:t>
      </w:r>
      <w:r w:rsidR="00A37BA8" w:rsidRPr="00E74786">
        <w:rPr>
          <w:sz w:val="22"/>
          <w:szCs w:val="22"/>
          <w:lang w:val="fr-FR"/>
        </w:rPr>
        <w:t xml:space="preserve"> la conduite de leurs subordonné</w:t>
      </w:r>
      <w:r w:rsidRPr="00E74786">
        <w:rPr>
          <w:sz w:val="22"/>
          <w:szCs w:val="22"/>
          <w:lang w:val="fr-FR"/>
        </w:rPr>
        <w:t>s; elles ont le devoir de leur imposer leur volonté et ne sauraient se retrancher derrière leur impuissance à les faire respecter</w:t>
      </w:r>
      <w:r>
        <w:rPr>
          <w:sz w:val="22"/>
          <w:szCs w:val="22"/>
          <w:lang w:val="fr-FR"/>
        </w:rPr>
        <w:t>”</w:t>
      </w:r>
      <w:r>
        <w:rPr>
          <w:rStyle w:val="Rimandonotaapidipagina"/>
          <w:sz w:val="22"/>
          <w:szCs w:val="22"/>
        </w:rPr>
        <w:footnoteReference w:id="421"/>
      </w:r>
      <w:r w:rsidRPr="00832926">
        <w:rPr>
          <w:sz w:val="22"/>
          <w:szCs w:val="22"/>
          <w:lang w:val="fr-FR"/>
        </w:rPr>
        <w:t>.</w:t>
      </w:r>
    </w:p>
    <w:p w:rsidR="00333C13" w:rsidRPr="00832926" w:rsidRDefault="00333C13" w:rsidP="00EB037D">
      <w:pPr>
        <w:pStyle w:val="Testonotaapidipagina"/>
        <w:spacing w:line="360" w:lineRule="auto"/>
        <w:ind w:firstLine="284"/>
        <w:jc w:val="both"/>
        <w:rPr>
          <w:sz w:val="22"/>
          <w:szCs w:val="22"/>
          <w:lang w:val="fr-FR"/>
        </w:rPr>
      </w:pPr>
    </w:p>
    <w:p w:rsidR="00E74786" w:rsidRDefault="00333C13" w:rsidP="00E74786">
      <w:pPr>
        <w:pStyle w:val="Testonotaapidipagina"/>
        <w:spacing w:line="360" w:lineRule="auto"/>
        <w:ind w:firstLine="284"/>
        <w:jc w:val="both"/>
        <w:rPr>
          <w:sz w:val="22"/>
          <w:szCs w:val="22"/>
        </w:rPr>
      </w:pPr>
      <w:r w:rsidRPr="00446913">
        <w:rPr>
          <w:sz w:val="22"/>
          <w:szCs w:val="22"/>
        </w:rPr>
        <w:t xml:space="preserve">La Corte ha </w:t>
      </w:r>
      <w:r w:rsidR="0002195C">
        <w:rPr>
          <w:sz w:val="22"/>
          <w:szCs w:val="22"/>
        </w:rPr>
        <w:t xml:space="preserve">concluso </w:t>
      </w:r>
      <w:r w:rsidRPr="00446913">
        <w:rPr>
          <w:sz w:val="22"/>
          <w:szCs w:val="22"/>
        </w:rPr>
        <w:t xml:space="preserve">che alcune tecniche di interrogatorio utilizzate dai membri delle </w:t>
      </w:r>
      <w:r>
        <w:rPr>
          <w:sz w:val="22"/>
          <w:szCs w:val="22"/>
        </w:rPr>
        <w:t xml:space="preserve">forze armate britanniche costituivano dei trattamenti disumani e degradanti adottati in violazione dell’art. 3 della Convenzione. In virtù dell’attribuzione al Regno Unito dei comportamenti illeciti adottati </w:t>
      </w:r>
      <w:r>
        <w:rPr>
          <w:i/>
          <w:sz w:val="22"/>
          <w:szCs w:val="22"/>
        </w:rPr>
        <w:t>ultra vires</w:t>
      </w:r>
      <w:r>
        <w:rPr>
          <w:sz w:val="22"/>
          <w:szCs w:val="22"/>
        </w:rPr>
        <w:t xml:space="preserve"> dai </w:t>
      </w:r>
      <w:r w:rsidRPr="00517089">
        <w:rPr>
          <w:sz w:val="22"/>
          <w:szCs w:val="22"/>
        </w:rPr>
        <w:t>propri organi, lo Stato era tenuto a risponderne nell’ordinamento internazionale.</w:t>
      </w:r>
    </w:p>
    <w:p w:rsidR="00E74786" w:rsidRDefault="00E74786" w:rsidP="00E74786">
      <w:pPr>
        <w:pStyle w:val="Testonotaapidipagina"/>
        <w:spacing w:line="360" w:lineRule="auto"/>
        <w:jc w:val="both"/>
        <w:rPr>
          <w:sz w:val="22"/>
          <w:szCs w:val="22"/>
        </w:rPr>
      </w:pPr>
    </w:p>
    <w:p w:rsidR="00333C13" w:rsidRPr="00E74786" w:rsidRDefault="00E74786" w:rsidP="00BC33B1">
      <w:pPr>
        <w:pStyle w:val="Testonotaapidipagina"/>
        <w:spacing w:line="360" w:lineRule="auto"/>
        <w:ind w:firstLine="851"/>
        <w:jc w:val="both"/>
        <w:rPr>
          <w:sz w:val="22"/>
          <w:szCs w:val="22"/>
        </w:rPr>
      </w:pPr>
      <w:r>
        <w:rPr>
          <w:sz w:val="22"/>
          <w:szCs w:val="22"/>
        </w:rPr>
        <w:t>4.1.2</w:t>
      </w:r>
      <w:r w:rsidR="00DF2CA8">
        <w:rPr>
          <w:sz w:val="22"/>
          <w:szCs w:val="22"/>
        </w:rPr>
        <w:t xml:space="preserve"> La sentenza</w:t>
      </w:r>
      <w:r w:rsidR="00380CE2">
        <w:rPr>
          <w:sz w:val="22"/>
          <w:szCs w:val="22"/>
        </w:rPr>
        <w:t xml:space="preserve"> </w:t>
      </w:r>
      <w:r w:rsidR="00333C13" w:rsidRPr="00804B91">
        <w:rPr>
          <w:i/>
          <w:sz w:val="22"/>
          <w:szCs w:val="22"/>
        </w:rPr>
        <w:t>Assanidze c. Georgia</w:t>
      </w:r>
    </w:p>
    <w:p w:rsidR="00333C13" w:rsidRDefault="00333C13" w:rsidP="00EB037D">
      <w:pPr>
        <w:pStyle w:val="Testonotaapidipagina"/>
        <w:spacing w:line="360" w:lineRule="auto"/>
        <w:ind w:firstLine="284"/>
        <w:jc w:val="both"/>
        <w:rPr>
          <w:sz w:val="22"/>
          <w:szCs w:val="22"/>
        </w:rPr>
      </w:pPr>
    </w:p>
    <w:p w:rsidR="00333C13" w:rsidRDefault="005332AE" w:rsidP="005332AE">
      <w:pPr>
        <w:pStyle w:val="Testonotaapidipagina"/>
        <w:spacing w:line="360" w:lineRule="auto"/>
        <w:ind w:firstLine="284"/>
        <w:jc w:val="both"/>
        <w:rPr>
          <w:sz w:val="22"/>
          <w:szCs w:val="22"/>
        </w:rPr>
      </w:pPr>
      <w:r>
        <w:rPr>
          <w:sz w:val="22"/>
          <w:szCs w:val="22"/>
        </w:rPr>
        <w:t>Il principio in base a cui uno Stato non può sfuggire alla propria responsabilità internazionale sostenendo che la condotta illecita di un org</w:t>
      </w:r>
      <w:r w:rsidR="0002195C">
        <w:rPr>
          <w:sz w:val="22"/>
          <w:szCs w:val="22"/>
        </w:rPr>
        <w:t>ano subordinato non rispecchi</w:t>
      </w:r>
      <w:r>
        <w:rPr>
          <w:sz w:val="22"/>
          <w:szCs w:val="22"/>
        </w:rPr>
        <w:t xml:space="preserve"> le istruzioni ricevute è stato ribadito dalla Corte europea dei diritti dell’uomo nella sentenza resa nel 2004 nel caso </w:t>
      </w:r>
      <w:r w:rsidR="00333C13" w:rsidRPr="008D7B08">
        <w:rPr>
          <w:i/>
          <w:sz w:val="22"/>
          <w:szCs w:val="22"/>
        </w:rPr>
        <w:t>Assanidze c. Georgia</w:t>
      </w:r>
      <w:r w:rsidRPr="005332AE">
        <w:rPr>
          <w:rStyle w:val="Rimandonotaapidipagina"/>
          <w:sz w:val="22"/>
          <w:szCs w:val="22"/>
        </w:rPr>
        <w:footnoteReference w:id="422"/>
      </w:r>
      <w:r w:rsidRPr="005332AE">
        <w:rPr>
          <w:sz w:val="22"/>
          <w:szCs w:val="22"/>
        </w:rPr>
        <w:t>.</w:t>
      </w:r>
      <w:r>
        <w:rPr>
          <w:sz w:val="22"/>
          <w:szCs w:val="22"/>
        </w:rPr>
        <w:t xml:space="preserve"> </w:t>
      </w:r>
      <w:r w:rsidR="0002195C">
        <w:rPr>
          <w:sz w:val="22"/>
          <w:szCs w:val="22"/>
        </w:rPr>
        <w:t xml:space="preserve">In tale sentenza </w:t>
      </w:r>
      <w:r w:rsidR="00333C13">
        <w:rPr>
          <w:sz w:val="22"/>
          <w:szCs w:val="22"/>
        </w:rPr>
        <w:t>la Corte di Strasburgo si è occupata della questione dell’attribuzione alla Georgia della condotta di un ente pubblico territoriale, la Repubblica autonoma di Ajaria, la quale si rifiutava di liberare un individuo detenuto dalle autorità locali contravvenendo ad una decisi</w:t>
      </w:r>
      <w:r w:rsidR="0002195C">
        <w:rPr>
          <w:sz w:val="22"/>
          <w:szCs w:val="22"/>
        </w:rPr>
        <w:t xml:space="preserve">one della Corte suprema dello </w:t>
      </w:r>
      <w:r w:rsidR="00333C13">
        <w:rPr>
          <w:sz w:val="22"/>
          <w:szCs w:val="22"/>
        </w:rPr>
        <w:t>Stato</w:t>
      </w:r>
      <w:r w:rsidR="00B7516D">
        <w:rPr>
          <w:sz w:val="22"/>
          <w:szCs w:val="22"/>
        </w:rPr>
        <w:t xml:space="preserve">. </w:t>
      </w:r>
      <w:r w:rsidR="00333C13">
        <w:rPr>
          <w:sz w:val="22"/>
          <w:szCs w:val="22"/>
        </w:rPr>
        <w:t>La Georgia negava che tale omissione fosse ad essa attribuibile proprio a causa della mancata collaborazione delle autorità ajariane</w:t>
      </w:r>
      <w:r w:rsidR="00333C13">
        <w:rPr>
          <w:rStyle w:val="Rimandonotaapidipagina"/>
          <w:sz w:val="22"/>
          <w:szCs w:val="22"/>
        </w:rPr>
        <w:footnoteReference w:id="423"/>
      </w:r>
      <w:r w:rsidR="00333C13">
        <w:rPr>
          <w:sz w:val="22"/>
          <w:szCs w:val="22"/>
        </w:rPr>
        <w:t>.</w:t>
      </w:r>
    </w:p>
    <w:p w:rsidR="00333C13" w:rsidRDefault="00B7516D" w:rsidP="00EB037D">
      <w:pPr>
        <w:pStyle w:val="Testonotaapidipagina"/>
        <w:spacing w:line="360" w:lineRule="auto"/>
        <w:ind w:firstLine="284"/>
        <w:jc w:val="both"/>
        <w:rPr>
          <w:sz w:val="22"/>
          <w:szCs w:val="22"/>
        </w:rPr>
      </w:pPr>
      <w:r>
        <w:rPr>
          <w:sz w:val="22"/>
          <w:szCs w:val="22"/>
        </w:rPr>
        <w:t xml:space="preserve">La Corte, nella sentenza resa l’8 aprile 2004, </w:t>
      </w:r>
      <w:r w:rsidR="00333C13">
        <w:rPr>
          <w:sz w:val="22"/>
          <w:szCs w:val="22"/>
        </w:rPr>
        <w:t xml:space="preserve">non ha dato alcuna rilevanza alla circostanza che il governo centrale dello Stato non fosse riuscito a far rispettare le proprie decisioni da parte di un ente di governo decentrato. Dal momento che l’ordinamento interno sottoponeva la Repubblica autonoma di Ajaria al potere di controllo delle autorità georgiane, non sembrava sufficiente per escludere l’attribuzione </w:t>
      </w:r>
      <w:r w:rsidR="002F373F">
        <w:rPr>
          <w:sz w:val="22"/>
          <w:szCs w:val="22"/>
        </w:rPr>
        <w:t xml:space="preserve">allo Stato il fatto </w:t>
      </w:r>
      <w:r w:rsidR="00D15854">
        <w:rPr>
          <w:sz w:val="22"/>
          <w:szCs w:val="22"/>
        </w:rPr>
        <w:t xml:space="preserve">che nel caso di specie l’ente pubblico </w:t>
      </w:r>
      <w:r w:rsidR="00333C13">
        <w:rPr>
          <w:sz w:val="22"/>
          <w:szCs w:val="22"/>
        </w:rPr>
        <w:t>fosse venuto meno agli obblighi inerenti la sua funzione</w:t>
      </w:r>
      <w:r w:rsidR="00333C13">
        <w:rPr>
          <w:rStyle w:val="Rimandonotaapidipagina"/>
          <w:sz w:val="22"/>
          <w:szCs w:val="22"/>
        </w:rPr>
        <w:footnoteReference w:id="424"/>
      </w:r>
      <w:r w:rsidR="00333C13">
        <w:rPr>
          <w:sz w:val="22"/>
          <w:szCs w:val="22"/>
        </w:rPr>
        <w:t>.</w:t>
      </w:r>
    </w:p>
    <w:p w:rsidR="00333C13" w:rsidRDefault="00333C13" w:rsidP="00EB037D">
      <w:pPr>
        <w:pStyle w:val="Testonotaapidipagina"/>
        <w:spacing w:line="360" w:lineRule="auto"/>
        <w:ind w:firstLine="284"/>
        <w:jc w:val="both"/>
        <w:rPr>
          <w:sz w:val="22"/>
          <w:szCs w:val="22"/>
        </w:rPr>
      </w:pPr>
      <w:r>
        <w:rPr>
          <w:sz w:val="22"/>
          <w:szCs w:val="22"/>
        </w:rPr>
        <w:t>Ad avviso della Corte, lo Stato rimane responsabile delle condotte dei propri organi anche quando non è in grado di assicurare che i rapporti tra di essi si svolgano sulla base di quanto previsto dall’ordinamento interno</w:t>
      </w:r>
      <w:r>
        <w:rPr>
          <w:rStyle w:val="Rimandonotaapidipagina"/>
          <w:sz w:val="22"/>
          <w:szCs w:val="22"/>
        </w:rPr>
        <w:footnoteReference w:id="425"/>
      </w:r>
      <w:r>
        <w:rPr>
          <w:sz w:val="22"/>
          <w:szCs w:val="22"/>
        </w:rPr>
        <w:t>. Uno Stato non può pertanto negare di avere agito nel caso in cui gli organi subordinati non rispettano le istruzioni ricevute dalle autorità dello Stato centrale:</w:t>
      </w:r>
    </w:p>
    <w:p w:rsidR="00333C13" w:rsidRDefault="00333C13" w:rsidP="00EB037D">
      <w:pPr>
        <w:pStyle w:val="Testonotaapidipagina"/>
        <w:spacing w:line="360" w:lineRule="auto"/>
        <w:ind w:firstLine="284"/>
        <w:jc w:val="both"/>
        <w:rPr>
          <w:sz w:val="22"/>
          <w:szCs w:val="22"/>
        </w:rPr>
      </w:pPr>
    </w:p>
    <w:p w:rsidR="00333C13" w:rsidRPr="000B2224" w:rsidRDefault="00333C13" w:rsidP="00EB037D">
      <w:pPr>
        <w:pStyle w:val="Testonotaapidipagina"/>
        <w:spacing w:line="360" w:lineRule="auto"/>
        <w:ind w:left="567" w:right="567" w:firstLine="284"/>
        <w:jc w:val="both"/>
        <w:rPr>
          <w:sz w:val="22"/>
          <w:szCs w:val="22"/>
          <w:lang w:val="en-US"/>
        </w:rPr>
      </w:pPr>
      <w:r w:rsidRPr="000B2224">
        <w:rPr>
          <w:sz w:val="22"/>
          <w:szCs w:val="22"/>
          <w:lang w:val="en-US"/>
        </w:rPr>
        <w:t>“The Convention does not merely oblige the higher authorities of the Contracting States themselves to respect the rights and freedoms it embodies; it also has the consequence that, in order to secure the enjoyment of those rights and freedoms, those authorities must prevent or remedy any breach at subordinate levels. The higher authorities of the State are under a duty to require their subordinates to comply with the Convention and cannot shelter behind their inability to ensure that it is respected”</w:t>
      </w:r>
      <w:r w:rsidRPr="000B2224">
        <w:rPr>
          <w:rStyle w:val="Rimandonotaapidipagina"/>
          <w:sz w:val="22"/>
          <w:szCs w:val="22"/>
          <w:lang w:val="en-US"/>
        </w:rPr>
        <w:footnoteReference w:id="426"/>
      </w:r>
      <w:r w:rsidRPr="000B2224">
        <w:rPr>
          <w:sz w:val="22"/>
          <w:szCs w:val="22"/>
          <w:lang w:val="en-US"/>
        </w:rPr>
        <w:t>.</w:t>
      </w:r>
    </w:p>
    <w:p w:rsidR="00333C13" w:rsidRDefault="00333C13" w:rsidP="00EB037D">
      <w:pPr>
        <w:pStyle w:val="Testonotaapidipagina"/>
        <w:spacing w:line="360" w:lineRule="auto"/>
        <w:ind w:right="567" w:firstLine="284"/>
        <w:jc w:val="both"/>
        <w:rPr>
          <w:sz w:val="22"/>
          <w:szCs w:val="22"/>
          <w:lang w:val="en-US"/>
        </w:rPr>
      </w:pPr>
    </w:p>
    <w:p w:rsidR="00333C13" w:rsidRDefault="00333C13" w:rsidP="00EB037D">
      <w:pPr>
        <w:pStyle w:val="Testonotaapidipagina"/>
        <w:spacing w:line="360" w:lineRule="auto"/>
        <w:ind w:right="567" w:firstLine="284"/>
        <w:jc w:val="both"/>
        <w:rPr>
          <w:sz w:val="22"/>
          <w:szCs w:val="22"/>
        </w:rPr>
      </w:pPr>
      <w:r w:rsidRPr="005B5624">
        <w:rPr>
          <w:sz w:val="22"/>
          <w:szCs w:val="22"/>
        </w:rPr>
        <w:t>Il fatto che organi dello Stato si sottraggano agli obblighi ine</w:t>
      </w:r>
      <w:r>
        <w:rPr>
          <w:sz w:val="22"/>
          <w:szCs w:val="22"/>
        </w:rPr>
        <w:t>renti alle funzioni loro assegna</w:t>
      </w:r>
      <w:r w:rsidRPr="005B5624">
        <w:rPr>
          <w:sz w:val="22"/>
          <w:szCs w:val="22"/>
        </w:rPr>
        <w:t>te dal diritto interno o non rispettino le istruzioni del governo central</w:t>
      </w:r>
      <w:r>
        <w:rPr>
          <w:sz w:val="22"/>
          <w:szCs w:val="22"/>
        </w:rPr>
        <w:t>e</w:t>
      </w:r>
      <w:r w:rsidRPr="005B5624">
        <w:rPr>
          <w:sz w:val="22"/>
          <w:szCs w:val="22"/>
        </w:rPr>
        <w:t xml:space="preserve"> risulta ininfluente ai fine del riconoscimento di una data condotta come fatto dello Stato sul piano internazionale.</w:t>
      </w:r>
      <w:r>
        <w:rPr>
          <w:sz w:val="22"/>
          <w:szCs w:val="22"/>
        </w:rPr>
        <w:t xml:space="preserve"> Sembra potersi desumere che nel momento in cui uno Stato, in base al proprio diritto interno, attribuisce delle funzioni di governo ad un individuo o ente e ne inserisce l’attività nella sua organizzazione, crea una situazione tale da </w:t>
      </w:r>
      <w:r w:rsidR="003265D4">
        <w:rPr>
          <w:sz w:val="22"/>
          <w:szCs w:val="22"/>
        </w:rPr>
        <w:t xml:space="preserve">dover </w:t>
      </w:r>
      <w:r>
        <w:rPr>
          <w:sz w:val="22"/>
          <w:szCs w:val="22"/>
        </w:rPr>
        <w:t>sopportare le c</w:t>
      </w:r>
      <w:r w:rsidR="0080212D">
        <w:rPr>
          <w:sz w:val="22"/>
          <w:szCs w:val="22"/>
        </w:rPr>
        <w:t>onseguenze della propria scelta organizzativa.</w:t>
      </w:r>
    </w:p>
    <w:p w:rsidR="0054132C" w:rsidRDefault="0054132C" w:rsidP="0054132C">
      <w:pPr>
        <w:pStyle w:val="Testonotaapidipagina"/>
        <w:spacing w:line="360" w:lineRule="auto"/>
        <w:jc w:val="both"/>
        <w:rPr>
          <w:sz w:val="22"/>
          <w:szCs w:val="22"/>
        </w:rPr>
      </w:pPr>
    </w:p>
    <w:p w:rsidR="00333C13" w:rsidRDefault="0054132C" w:rsidP="00BC33B1">
      <w:pPr>
        <w:pStyle w:val="Testonotaapidipagina"/>
        <w:spacing w:line="360" w:lineRule="auto"/>
        <w:ind w:left="708" w:firstLine="143"/>
        <w:jc w:val="both"/>
        <w:rPr>
          <w:i/>
          <w:sz w:val="22"/>
          <w:szCs w:val="22"/>
        </w:rPr>
      </w:pPr>
      <w:r>
        <w:rPr>
          <w:sz w:val="22"/>
          <w:szCs w:val="22"/>
        </w:rPr>
        <w:t xml:space="preserve">4.1.3 </w:t>
      </w:r>
      <w:r w:rsidR="00333C13">
        <w:rPr>
          <w:sz w:val="22"/>
          <w:szCs w:val="22"/>
        </w:rPr>
        <w:t xml:space="preserve">La sentenza </w:t>
      </w:r>
      <w:r w:rsidR="00333C13">
        <w:rPr>
          <w:i/>
          <w:sz w:val="22"/>
          <w:szCs w:val="22"/>
        </w:rPr>
        <w:t>Ilascu e altri c. Moldova e Russia</w:t>
      </w:r>
    </w:p>
    <w:p w:rsidR="00333C13" w:rsidRPr="002D0895" w:rsidRDefault="00333C13" w:rsidP="00EB037D">
      <w:pPr>
        <w:pStyle w:val="Testonotaapidipagina"/>
        <w:spacing w:line="360" w:lineRule="auto"/>
        <w:ind w:firstLine="284"/>
        <w:jc w:val="both"/>
        <w:rPr>
          <w:sz w:val="22"/>
          <w:szCs w:val="22"/>
        </w:rPr>
      </w:pPr>
    </w:p>
    <w:p w:rsidR="00333C13" w:rsidRDefault="00333C13" w:rsidP="00EB037D">
      <w:pPr>
        <w:spacing w:after="0" w:line="360" w:lineRule="auto"/>
        <w:ind w:firstLine="284"/>
        <w:jc w:val="both"/>
      </w:pPr>
      <w:r>
        <w:t xml:space="preserve">La Corte europea dei diritti dell’uomo ha riconosciuto esplicitamente il principio dell’attribuzione allo Stato dei fatti </w:t>
      </w:r>
      <w:r>
        <w:rPr>
          <w:i/>
        </w:rPr>
        <w:t xml:space="preserve">ultra vires </w:t>
      </w:r>
      <w:r>
        <w:t xml:space="preserve">dei propri organi anche nella sentenza resa </w:t>
      </w:r>
      <w:r w:rsidR="009D5405">
        <w:t xml:space="preserve">l’8 luglio 2004 </w:t>
      </w:r>
      <w:r>
        <w:t xml:space="preserve">nel caso </w:t>
      </w:r>
      <w:r>
        <w:rPr>
          <w:i/>
        </w:rPr>
        <w:t>Ilascu e altri c. Moldova e Russia</w:t>
      </w:r>
      <w:r>
        <w:rPr>
          <w:rStyle w:val="Rimandonotaapidipagina"/>
        </w:rPr>
        <w:footnoteReference w:id="427"/>
      </w:r>
      <w:r>
        <w:t>, in cui è stata chiamata ad affrontare il problema della responsabilità di uno Stato per la condotta di un ente che, grazie al suo sostegno, esercitava un potere di governo all’interno del territorio di un altro Stato</w:t>
      </w:r>
      <w:r>
        <w:rPr>
          <w:rStyle w:val="Rimandonotaapidipagina"/>
        </w:rPr>
        <w:footnoteReference w:id="428"/>
      </w:r>
      <w:r>
        <w:t>.</w:t>
      </w:r>
    </w:p>
    <w:p w:rsidR="00333C13" w:rsidRDefault="00333C13" w:rsidP="00EB037D">
      <w:pPr>
        <w:spacing w:after="0" w:line="360" w:lineRule="auto"/>
        <w:ind w:firstLine="284"/>
        <w:jc w:val="both"/>
      </w:pPr>
      <w:r>
        <w:t>Nel giugno del 1992 quattro cittadini moldavi sono stati arrestati a Tiraspol, in Mold</w:t>
      </w:r>
      <w:r w:rsidR="00BE043F">
        <w:t>avia, da alcuni soldati dell’ex-</w:t>
      </w:r>
      <w:r>
        <w:t>Quattordicesima armata sovietica e da altri individui che indossavano uniformi prive di segni distintivi. Essi erano accusati di attività antisovietiche e di lotta illecita contro lo Stato della Transdniestria, una regione della Moldavia proclamatasi indipendente nel 1991 all’indomani della costituzione della Repubblica moldava, e sostenuta a livello militare prima dall’Unione sovietica e poi dalla Federazione russa.</w:t>
      </w:r>
    </w:p>
    <w:p w:rsidR="00333C13" w:rsidRDefault="00333C13" w:rsidP="00EB037D">
      <w:pPr>
        <w:spacing w:after="0" w:line="360" w:lineRule="auto"/>
        <w:ind w:firstLine="284"/>
        <w:jc w:val="both"/>
      </w:pPr>
      <w:r>
        <w:t>Fra gli arrestati vi era anche Ilie Ilascu, leader del Fronte popolare, un partito della Moldavia impegnato nella campagna per l’unificazione della Moldavia con la Romania.</w:t>
      </w:r>
    </w:p>
    <w:p w:rsidR="00333C13" w:rsidRDefault="00333C13" w:rsidP="00EB037D">
      <w:pPr>
        <w:spacing w:after="0" w:line="360" w:lineRule="auto"/>
        <w:ind w:firstLine="284"/>
        <w:jc w:val="both"/>
      </w:pPr>
      <w:r>
        <w:t xml:space="preserve">I cittadini moldavi sono stati condotti al quartier generale della polizia di Tiraspol, dove sono stati interrogati e sottoposti a maltrattamenti per diversi giorni. Il processo a loro carico dinanzi alla Corte suprema della Repubblica moldava di Transdniestria si è concluso il 9 dicembre 1993 con una sentenza di condanna alla pena di morte per Ilascu e ad una pena detentiva compresa fra i 12 e i 15 anni per gli altri imputati. Nel giugno del 1999 Ilascu e gli altri cittadini moldavi hanno presentato un ricorso alla Corte europea dei diritti dell’uomo contro la Repubblica di Moldavia e contro la Federazione russa, lamentando la violazione dell’art. 6 della Convenzione europea per essere stati giudicati da un tribunale incompetente, dell’art. 5 per aver subito una detenzione arbitraria, e dell’art. 3 per essere stati sottoposti a tortura e trattamenti inumani e degradanti. La responsabilità per le suddette violazioni veniva </w:t>
      </w:r>
      <w:r w:rsidR="00910E0E">
        <w:t xml:space="preserve">attribuita </w:t>
      </w:r>
      <w:r>
        <w:t>dai ricorrenti sia alla Federazione russa, in virtù del controllo effettivo da essa esercitato sul territorio dell</w:t>
      </w:r>
      <w:r w:rsidR="00910E0E">
        <w:t xml:space="preserve">a Transdniestria, sia </w:t>
      </w:r>
      <w:r>
        <w:t>alla Repubblica di Moldavia dal momento che non aveva adottato le misure adeguate a porvi fine.</w:t>
      </w:r>
    </w:p>
    <w:p w:rsidR="00333C13" w:rsidRDefault="00333C13" w:rsidP="00EB037D">
      <w:pPr>
        <w:spacing w:after="0" w:line="360" w:lineRule="auto"/>
        <w:ind w:firstLine="284"/>
        <w:jc w:val="both"/>
      </w:pPr>
      <w:r>
        <w:t xml:space="preserve">La Grande Camera, nel pronunciarsi nel merito della questione, ha ritenuto opportuno distinguere la questione della responsabilità della Moldavia rispetto a quella </w:t>
      </w:r>
      <w:r w:rsidR="006022C8">
        <w:t xml:space="preserve">della </w:t>
      </w:r>
      <w:r>
        <w:t>Federazione russa.</w:t>
      </w:r>
    </w:p>
    <w:p w:rsidR="00333C13" w:rsidRDefault="00BC1714" w:rsidP="00EB037D">
      <w:pPr>
        <w:spacing w:after="0" w:line="360" w:lineRule="auto"/>
        <w:ind w:firstLine="284"/>
        <w:jc w:val="both"/>
      </w:pPr>
      <w:r>
        <w:t xml:space="preserve">Riprendendo quanto già affermato nella sentenza resa nel caso </w:t>
      </w:r>
      <w:r w:rsidRPr="00BC1714">
        <w:rPr>
          <w:i/>
        </w:rPr>
        <w:t>Irlanda c. Regno Unito</w:t>
      </w:r>
      <w:r w:rsidRPr="00BC1714">
        <w:rPr>
          <w:rStyle w:val="Rimandonotaapidipagina"/>
        </w:rPr>
        <w:footnoteReference w:id="429"/>
      </w:r>
      <w:r w:rsidRPr="00BC1714">
        <w:t>,</w:t>
      </w:r>
      <w:r>
        <w:t xml:space="preserve"> n</w:t>
      </w:r>
      <w:r w:rsidR="00333C13">
        <w:t>el valutare se i due Stati potessero essere considerati internazionalmente responsabili per le violazioni lamentate dai ricorrenti, la Grande Camera ha sottolineato che:</w:t>
      </w:r>
    </w:p>
    <w:p w:rsidR="00333C13" w:rsidRDefault="00333C13" w:rsidP="00EB037D">
      <w:pPr>
        <w:spacing w:after="0" w:line="360" w:lineRule="auto"/>
        <w:ind w:firstLine="284"/>
        <w:jc w:val="both"/>
      </w:pPr>
    </w:p>
    <w:p w:rsidR="00333C13" w:rsidRPr="006022C8" w:rsidRDefault="00333C13" w:rsidP="00EB037D">
      <w:pPr>
        <w:spacing w:after="0" w:line="360" w:lineRule="auto"/>
        <w:ind w:left="567" w:right="567" w:firstLine="284"/>
        <w:jc w:val="both"/>
        <w:rPr>
          <w:lang w:val="en-US"/>
        </w:rPr>
      </w:pPr>
      <w:r w:rsidRPr="006022C8">
        <w:t xml:space="preserve"> </w:t>
      </w:r>
      <w:r w:rsidRPr="006022C8">
        <w:rPr>
          <w:lang w:val="en-US"/>
        </w:rPr>
        <w:t xml:space="preserve">“a State may also be held responsible even where its agents are acting </w:t>
      </w:r>
      <w:r w:rsidRPr="00AA4977">
        <w:rPr>
          <w:i/>
          <w:lang w:val="en-US"/>
        </w:rPr>
        <w:t>ultra vires</w:t>
      </w:r>
      <w:r w:rsidRPr="006022C8">
        <w:rPr>
          <w:lang w:val="en-US"/>
        </w:rPr>
        <w:t xml:space="preserve"> or contrary to instructions. Under the Convention, a State's authorities are strictly liable for the conduct of their subordinates; they are under a duty to impose their will and cannot shelter behind their inability to ensure that it is respected”</w:t>
      </w:r>
      <w:r w:rsidRPr="006022C8">
        <w:rPr>
          <w:rStyle w:val="Rimandonotaapidipagina"/>
          <w:lang w:val="en-US"/>
        </w:rPr>
        <w:footnoteReference w:id="430"/>
      </w:r>
      <w:r w:rsidRPr="006022C8">
        <w:rPr>
          <w:lang w:val="en-US"/>
        </w:rPr>
        <w:t>.</w:t>
      </w:r>
    </w:p>
    <w:p w:rsidR="00333C13" w:rsidRDefault="00333C13" w:rsidP="00EB037D">
      <w:pPr>
        <w:spacing w:after="0" w:line="360" w:lineRule="auto"/>
        <w:ind w:firstLine="284"/>
        <w:jc w:val="both"/>
        <w:rPr>
          <w:lang w:val="en-US"/>
        </w:rPr>
      </w:pPr>
    </w:p>
    <w:p w:rsidR="002F01BB" w:rsidRDefault="002F01BB" w:rsidP="00EB037D">
      <w:pPr>
        <w:spacing w:after="0" w:line="360" w:lineRule="auto"/>
        <w:ind w:firstLine="284"/>
        <w:jc w:val="both"/>
      </w:pPr>
      <w:r>
        <w:t>Anche in tale circostanza pertanto la Corte europea ha affermato che uno Stato non può sfuggire alla propria responsabilità internazionale sostenendo che la condotta illecita di un organo subordinato non era stata autorizzata.</w:t>
      </w:r>
    </w:p>
    <w:p w:rsidR="00333C13" w:rsidRDefault="00D54C7C" w:rsidP="00EB037D">
      <w:pPr>
        <w:spacing w:after="0" w:line="360" w:lineRule="auto"/>
        <w:ind w:firstLine="284"/>
        <w:jc w:val="both"/>
      </w:pPr>
      <w:r w:rsidRPr="00D54C7C">
        <w:t xml:space="preserve">Con </w:t>
      </w:r>
      <w:r w:rsidR="00333C13">
        <w:t xml:space="preserve">riferimento alla Federazione russa, la Grande Camera ha poi constatato la riferibilità a tale Stato sia dei comportamenti tenuti dai propri organi sia di quelli </w:t>
      </w:r>
      <w:r>
        <w:t xml:space="preserve">degli </w:t>
      </w:r>
      <w:r w:rsidR="00333C13">
        <w:t>organi del regime separatista instauratosi nella regione moldava della Transdniestria, in virtù dell’e</w:t>
      </w:r>
      <w:r w:rsidR="006022C8">
        <w:t xml:space="preserve">ffettiva autorità esercitata dalla Federazione russa su </w:t>
      </w:r>
      <w:r w:rsidR="00333C13">
        <w:t>tale territorio</w:t>
      </w:r>
      <w:r w:rsidR="00333C13">
        <w:rPr>
          <w:rStyle w:val="Rimandonotaapidipagina"/>
        </w:rPr>
        <w:footnoteReference w:id="431"/>
      </w:r>
      <w:r w:rsidR="00333C13">
        <w:t xml:space="preserve">: </w:t>
      </w:r>
    </w:p>
    <w:p w:rsidR="00333C13" w:rsidRPr="00C26FC8" w:rsidRDefault="00333C13" w:rsidP="00EB037D">
      <w:pPr>
        <w:spacing w:after="0" w:line="360" w:lineRule="auto"/>
        <w:ind w:firstLine="284"/>
        <w:jc w:val="both"/>
      </w:pPr>
    </w:p>
    <w:p w:rsidR="00333C13" w:rsidRPr="00C26FC8" w:rsidRDefault="00333C13" w:rsidP="00EB037D">
      <w:pPr>
        <w:spacing w:after="0" w:line="360" w:lineRule="auto"/>
        <w:ind w:left="567" w:right="567" w:firstLine="284"/>
        <w:jc w:val="both"/>
        <w:rPr>
          <w:lang w:val="en-US"/>
        </w:rPr>
      </w:pPr>
      <w:r w:rsidRPr="00C26FC8">
        <w:rPr>
          <w:lang w:val="en-US"/>
        </w:rPr>
        <w:t>“In the light of all these circumstances the Court considers that the Russian Federation’s responsibility is engaged in respect of the unlawful acts committed by the Transdniestrian separatists, regard being had to the military and political support it gave them to help them set up the separatist regime and the participation of its military personnel in the fighting”</w:t>
      </w:r>
      <w:r w:rsidRPr="00C26FC8">
        <w:rPr>
          <w:rStyle w:val="Rimandonotaapidipagina"/>
          <w:lang w:val="en-US"/>
        </w:rPr>
        <w:footnoteReference w:id="432"/>
      </w:r>
      <w:r w:rsidRPr="00C26FC8">
        <w:rPr>
          <w:lang w:val="en-US"/>
        </w:rPr>
        <w:t>.</w:t>
      </w:r>
    </w:p>
    <w:p w:rsidR="00333C13" w:rsidRPr="000F2794" w:rsidRDefault="00333C13" w:rsidP="00EB037D">
      <w:pPr>
        <w:spacing w:after="0" w:line="360" w:lineRule="auto"/>
        <w:ind w:left="567" w:right="567" w:firstLine="284"/>
        <w:jc w:val="both"/>
        <w:rPr>
          <w:lang w:val="en-US"/>
        </w:rPr>
      </w:pPr>
      <w:r w:rsidRPr="000F2794">
        <w:rPr>
          <w:i/>
          <w:lang w:val="en-US"/>
        </w:rPr>
        <w:t xml:space="preserve"> </w:t>
      </w:r>
    </w:p>
    <w:p w:rsidR="00AD0370" w:rsidRDefault="00333C13" w:rsidP="00EB037D">
      <w:pPr>
        <w:spacing w:after="0" w:line="360" w:lineRule="auto"/>
        <w:ind w:firstLine="284"/>
        <w:jc w:val="both"/>
      </w:pPr>
      <w:r w:rsidRPr="002B6398">
        <w:t>Nonostante nel caso di specie un peso notevole sia stato dato al fatto che gli organi della Russia avevano avuto un ruolo dirett</w:t>
      </w:r>
      <w:r>
        <w:t xml:space="preserve">o nell’arresto e la detenzione dei ricorrenti, la Corte ha comunque precisato che la responsabilità internazionale di tale Stato riguardava anche condotte rispetto a cui non vi era stata la diretta partecipazione di suoi organi </w:t>
      </w:r>
      <w:r>
        <w:rPr>
          <w:i/>
        </w:rPr>
        <w:t>de iure</w:t>
      </w:r>
      <w:r w:rsidRPr="004829F4">
        <w:t>, in quanto tale territorio si trovava</w:t>
      </w:r>
      <w:r w:rsidR="00AD0370">
        <w:t>:</w:t>
      </w:r>
    </w:p>
    <w:p w:rsidR="00AD0370" w:rsidRDefault="00AD0370" w:rsidP="00EB037D">
      <w:pPr>
        <w:spacing w:after="0" w:line="360" w:lineRule="auto"/>
        <w:ind w:firstLine="284"/>
        <w:jc w:val="both"/>
      </w:pPr>
    </w:p>
    <w:p w:rsidR="00333C13" w:rsidRPr="00C26FC8" w:rsidRDefault="00333C13" w:rsidP="00EB037D">
      <w:pPr>
        <w:spacing w:after="0" w:line="360" w:lineRule="auto"/>
        <w:ind w:left="567" w:right="567" w:firstLine="284"/>
        <w:jc w:val="both"/>
        <w:rPr>
          <w:lang w:val="en-US"/>
        </w:rPr>
      </w:pPr>
      <w:r w:rsidRPr="00C26FC8">
        <w:t xml:space="preserve"> </w:t>
      </w:r>
      <w:r w:rsidRPr="00C26FC8">
        <w:rPr>
          <w:lang w:val="en-US"/>
        </w:rPr>
        <w:t>“under the effective authority, or at the very least under the decisive influence, of the Russian Federation and in any event that it survives by virtue of the military, economic, financial  and political support given to it by the Russian Federation”</w:t>
      </w:r>
      <w:r w:rsidRPr="00C26FC8">
        <w:rPr>
          <w:rStyle w:val="Rimandonotaapidipagina"/>
        </w:rPr>
        <w:footnoteReference w:id="433"/>
      </w:r>
      <w:r w:rsidRPr="00C26FC8">
        <w:rPr>
          <w:lang w:val="en-US"/>
        </w:rPr>
        <w:t>.</w:t>
      </w:r>
    </w:p>
    <w:p w:rsidR="00AD0370" w:rsidRPr="00AD0370" w:rsidRDefault="00AD0370" w:rsidP="00EB037D">
      <w:pPr>
        <w:spacing w:after="0" w:line="360" w:lineRule="auto"/>
        <w:ind w:firstLine="284"/>
        <w:jc w:val="both"/>
        <w:rPr>
          <w:lang w:val="en-US"/>
        </w:rPr>
      </w:pPr>
    </w:p>
    <w:p w:rsidR="00333C13" w:rsidRDefault="00333C13" w:rsidP="009939C1">
      <w:pPr>
        <w:spacing w:after="0" w:line="360" w:lineRule="auto"/>
        <w:ind w:firstLine="284"/>
        <w:jc w:val="both"/>
      </w:pPr>
      <w:r>
        <w:t>Sembra pertanto possibile affermare che la Corte ha assimilato, sulla base dei sopracitati elementi di fatto, il regime separatista ad un ente territoriale decentrato della Russia, la quale sarebbe pertanto tenuta a rispondere in ambito internazionale di tutti i comportamenti tenuti dagli organi del regime nell’esercizio delle proprie funzioni, senza che assuma alcuna rilevanza l’eventuale mancato rispetto delle istruzioni ricevute</w:t>
      </w:r>
      <w:r>
        <w:rPr>
          <w:rStyle w:val="Rimandonotaapidipagina"/>
        </w:rPr>
        <w:footnoteReference w:id="434"/>
      </w:r>
      <w:r>
        <w:t>.</w:t>
      </w:r>
    </w:p>
    <w:p w:rsidR="00333C13" w:rsidRDefault="00333C13" w:rsidP="009939C1">
      <w:pPr>
        <w:spacing w:after="0" w:line="360" w:lineRule="auto"/>
        <w:ind w:firstLine="284"/>
        <w:jc w:val="both"/>
      </w:pPr>
    </w:p>
    <w:p w:rsidR="00333C13" w:rsidRDefault="00C26FC8" w:rsidP="00BC33B1">
      <w:pPr>
        <w:spacing w:after="0" w:line="360" w:lineRule="auto"/>
        <w:ind w:firstLine="567"/>
        <w:jc w:val="both"/>
      </w:pPr>
      <w:r>
        <w:t xml:space="preserve">4.2 </w:t>
      </w:r>
      <w:r w:rsidR="002A11BD">
        <w:t>Le sentenze della Corte i</w:t>
      </w:r>
      <w:r w:rsidR="00333C13">
        <w:t xml:space="preserve">nteramericana dei diritti dell’uomo </w:t>
      </w:r>
    </w:p>
    <w:p w:rsidR="00333C13" w:rsidRDefault="00333C13" w:rsidP="009939C1">
      <w:pPr>
        <w:pStyle w:val="Paragrafoelenco"/>
        <w:spacing w:after="0" w:line="360" w:lineRule="auto"/>
        <w:ind w:left="1423" w:firstLine="284"/>
        <w:jc w:val="both"/>
      </w:pPr>
    </w:p>
    <w:p w:rsidR="00333C13" w:rsidRDefault="00C26FC8" w:rsidP="00BC33B1">
      <w:pPr>
        <w:spacing w:after="0" w:line="360" w:lineRule="auto"/>
        <w:ind w:firstLine="851"/>
      </w:pPr>
      <w:r>
        <w:t xml:space="preserve">4.2.1 </w:t>
      </w:r>
      <w:r w:rsidR="00F93BE5">
        <w:t xml:space="preserve">La sentenza resa nel caso </w:t>
      </w:r>
      <w:r w:rsidR="00F93BE5" w:rsidRPr="00F93BE5">
        <w:rPr>
          <w:i/>
        </w:rPr>
        <w:t>Ve</w:t>
      </w:r>
      <w:r w:rsidR="00333C13">
        <w:rPr>
          <w:i/>
        </w:rPr>
        <w:t xml:space="preserve">lásquez Rodríguez </w:t>
      </w:r>
    </w:p>
    <w:p w:rsidR="00333C13" w:rsidRDefault="00333C13" w:rsidP="009939C1">
      <w:pPr>
        <w:spacing w:after="0" w:line="360" w:lineRule="auto"/>
        <w:ind w:firstLine="284"/>
      </w:pPr>
    </w:p>
    <w:p w:rsidR="00333C13" w:rsidRDefault="009939C1" w:rsidP="009939C1">
      <w:pPr>
        <w:spacing w:after="0" w:line="360" w:lineRule="auto"/>
        <w:ind w:firstLine="284"/>
        <w:jc w:val="both"/>
      </w:pPr>
      <w:r>
        <w:t>Il 24 aprile 1986</w:t>
      </w:r>
      <w:r w:rsidR="00333C13">
        <w:t xml:space="preserve"> la Commissione interamericana dei diritti dell’uomo ha sottoposto alla Corte interamericana dei diritti dell’uomo i</w:t>
      </w:r>
      <w:r>
        <w:t>l caso</w:t>
      </w:r>
      <w:r w:rsidR="00333C13">
        <w:t xml:space="preserve"> </w:t>
      </w:r>
      <w:r w:rsidR="00333C13">
        <w:rPr>
          <w:i/>
        </w:rPr>
        <w:t>Velásquez Rodríguez</w:t>
      </w:r>
      <w:r w:rsidR="00333C13">
        <w:rPr>
          <w:rStyle w:val="Rimandonotaapidipagina"/>
        </w:rPr>
        <w:footnoteReference w:id="435"/>
      </w:r>
      <w:r>
        <w:t>, riguardante</w:t>
      </w:r>
      <w:r w:rsidR="00333C13">
        <w:t xml:space="preserve"> la </w:t>
      </w:r>
      <w:r w:rsidR="00823275">
        <w:t xml:space="preserve">prassi delle sparizioni forzose </w:t>
      </w:r>
      <w:r w:rsidR="00910E0E">
        <w:t>seguita</w:t>
      </w:r>
      <w:r w:rsidR="00333C13">
        <w:t xml:space="preserve"> in quegli anni dal Governo dell’Honduras.</w:t>
      </w:r>
    </w:p>
    <w:p w:rsidR="00333C13" w:rsidRDefault="00333C13" w:rsidP="00EB037D">
      <w:pPr>
        <w:spacing w:after="0" w:line="360" w:lineRule="auto"/>
        <w:ind w:firstLine="284"/>
        <w:jc w:val="both"/>
      </w:pPr>
      <w:r>
        <w:t>La Commissione accusava l’Honduras di aver violato numerose disposizioni della Convenzione american</w:t>
      </w:r>
      <w:r w:rsidR="00542FCD">
        <w:t>a dei diritti dell’uomo in ragione</w:t>
      </w:r>
      <w:r>
        <w:t xml:space="preserve"> dell’arrest</w:t>
      </w:r>
      <w:r w:rsidR="00915D25">
        <w:t xml:space="preserve">o e della successiva detenzione </w:t>
      </w:r>
      <w:r>
        <w:t xml:space="preserve">senza mandato </w:t>
      </w:r>
      <w:r w:rsidR="006B36ED">
        <w:t>di un giudice</w:t>
      </w:r>
      <w:r w:rsidR="00915D25">
        <w:t xml:space="preserve">, </w:t>
      </w:r>
      <w:r w:rsidR="006B36ED">
        <w:t xml:space="preserve"> </w:t>
      </w:r>
      <w:r>
        <w:t>di uno studente, Ange</w:t>
      </w:r>
      <w:r w:rsidR="00F93BE5">
        <w:t>l Manfredo Velásquez Rodríguez</w:t>
      </w:r>
      <w:r>
        <w:t>, da parte delle sue forze militari. Sulla base delle testimonianze raccolte, l</w:t>
      </w:r>
      <w:r w:rsidR="00F93BE5">
        <w:t xml:space="preserve">a Commissione sosteneva che </w:t>
      </w:r>
      <w:r>
        <w:t>lo stude</w:t>
      </w:r>
      <w:r w:rsidR="00F93BE5">
        <w:t>nte era stato sottoposto a tortura ed era stato successivamente assassinato</w:t>
      </w:r>
      <w:r>
        <w:t xml:space="preserve"> da parte delle stesse forze armate.</w:t>
      </w:r>
    </w:p>
    <w:p w:rsidR="00951B66" w:rsidRDefault="00333C13" w:rsidP="00EB037D">
      <w:pPr>
        <w:spacing w:after="0" w:line="360" w:lineRule="auto"/>
        <w:ind w:firstLine="284"/>
        <w:jc w:val="both"/>
      </w:pPr>
      <w:r>
        <w:t>Essendo competente a pronunciarsi soltanto circa l’eventuale violazione da parte degli Stati delle disposizioni della Convenzione, la Corte Interameric</w:t>
      </w:r>
      <w:r w:rsidR="009939C1">
        <w:t>ana dei diritti dell’uomo, nella sentenza resa</w:t>
      </w:r>
      <w:r>
        <w:t xml:space="preserve"> il 29 luglio 1988</w:t>
      </w:r>
      <w:r w:rsidR="009939C1">
        <w:t>,</w:t>
      </w:r>
      <w:r>
        <w:t xml:space="preserve"> </w:t>
      </w:r>
      <w:r w:rsidR="00951B66">
        <w:t>si è preoccupata di stabilire se queste azioni facessero sorgere la responsabilità dell’Honduras per violazione della Convenzione.</w:t>
      </w:r>
    </w:p>
    <w:p w:rsidR="001C55F2" w:rsidRPr="00A943DC" w:rsidRDefault="001C55F2" w:rsidP="00EB037D">
      <w:pPr>
        <w:spacing w:after="0" w:line="360" w:lineRule="auto"/>
        <w:ind w:firstLine="284"/>
        <w:jc w:val="both"/>
        <w:rPr>
          <w:lang w:val="en-US"/>
        </w:rPr>
      </w:pPr>
      <w:r w:rsidRPr="00A943DC">
        <w:rPr>
          <w:lang w:val="en-US"/>
        </w:rPr>
        <w:t>Secondo la Corte:</w:t>
      </w:r>
    </w:p>
    <w:p w:rsidR="00333C13" w:rsidRPr="00A943DC" w:rsidRDefault="00333C13" w:rsidP="00EB037D">
      <w:pPr>
        <w:spacing w:after="0" w:line="360" w:lineRule="auto"/>
        <w:ind w:firstLine="284"/>
        <w:jc w:val="both"/>
        <w:rPr>
          <w:lang w:val="en-US"/>
        </w:rPr>
      </w:pPr>
    </w:p>
    <w:p w:rsidR="00333C13" w:rsidRPr="00D25790" w:rsidRDefault="00333C13" w:rsidP="00EB037D">
      <w:pPr>
        <w:spacing w:after="0" w:line="360" w:lineRule="auto"/>
        <w:ind w:left="567" w:right="567" w:firstLine="284"/>
        <w:jc w:val="both"/>
        <w:rPr>
          <w:lang w:val="en-US"/>
        </w:rPr>
      </w:pPr>
      <w:r w:rsidRPr="00D25790">
        <w:rPr>
          <w:lang w:val="en-US"/>
        </w:rPr>
        <w:t>“According to Article 1 (1), any exercise of public power that violates the rights recognized by the Convention is illegal. Whenever a State organ, official or public entity violates one of those rights, this constitutes a failure of the duty to respect the rights and freedoms set forth in the Convention. This conclusion is independent of whether the organ or official has contravened provisions of internal law or overstepped the limits of his authority: under international law a State is responsible for the acts of its agents undertaken in their official capacity and for their omissions, even when those agents act outside the sphere of their authority or violate internal law”</w:t>
      </w:r>
      <w:r w:rsidRPr="00D25790">
        <w:rPr>
          <w:rStyle w:val="Rimandonotaapidipagina"/>
        </w:rPr>
        <w:footnoteReference w:id="436"/>
      </w:r>
      <w:r w:rsidRPr="00D25790">
        <w:rPr>
          <w:lang w:val="en-US"/>
        </w:rPr>
        <w:t>.</w:t>
      </w:r>
    </w:p>
    <w:p w:rsidR="00333C13" w:rsidRPr="00D25790" w:rsidRDefault="00333C13" w:rsidP="00EB037D">
      <w:pPr>
        <w:spacing w:after="0" w:line="360" w:lineRule="auto"/>
        <w:ind w:firstLine="284"/>
        <w:jc w:val="both"/>
        <w:rPr>
          <w:lang w:val="en-US"/>
        </w:rPr>
      </w:pPr>
    </w:p>
    <w:p w:rsidR="00333C13" w:rsidRDefault="00333C13" w:rsidP="00EB037D">
      <w:pPr>
        <w:spacing w:after="0" w:line="360" w:lineRule="auto"/>
        <w:ind w:firstLine="284"/>
        <w:jc w:val="both"/>
      </w:pPr>
      <w:r>
        <w:t xml:space="preserve">Se le condotte illecite tenute da un organo statale in violazione del proprio ordinamento interno non potessero essere considerate una violazione degli obblighi che uno Stato è tenuto a rispettare in virtù della Convenzione, </w:t>
      </w:r>
      <w:r w:rsidR="00DF0610">
        <w:t>secondo la Corte</w:t>
      </w:r>
      <w:r w:rsidR="00915D25">
        <w:t>,</w:t>
      </w:r>
      <w:r w:rsidR="00DF0610">
        <w:t xml:space="preserve"> </w:t>
      </w:r>
      <w:r>
        <w:t>l’intero sistema di protezione dei diritti umani da essa previsto diverrebbe illusorio</w:t>
      </w:r>
      <w:r>
        <w:rPr>
          <w:rStyle w:val="Rimandonotaapidipagina"/>
        </w:rPr>
        <w:footnoteReference w:id="437"/>
      </w:r>
      <w:r>
        <w:t>.</w:t>
      </w:r>
    </w:p>
    <w:p w:rsidR="00333C13" w:rsidRDefault="00333C13" w:rsidP="00EB037D">
      <w:pPr>
        <w:spacing w:after="0" w:line="360" w:lineRule="auto"/>
        <w:ind w:firstLine="284"/>
        <w:jc w:val="both"/>
      </w:pPr>
      <w:r>
        <w:t>La Corte ha peraltro osser</w:t>
      </w:r>
      <w:r w:rsidR="009C54B9">
        <w:t xml:space="preserve">vato come l’ordinamento giuridico </w:t>
      </w:r>
      <w:r>
        <w:t>dell’Honduras non autorizza</w:t>
      </w:r>
      <w:r w:rsidR="00D25790">
        <w:t>sse i comportamenti che erano stati tenuti</w:t>
      </w:r>
      <w:r w:rsidR="00DF0610">
        <w:t xml:space="preserve"> dagli organi statali</w:t>
      </w:r>
      <w:r w:rsidR="00672B58">
        <w:t xml:space="preserve"> e che tali comportamenti erano </w:t>
      </w:r>
      <w:r>
        <w:t xml:space="preserve">considerati reati, che non tutti i livelli di Governo erano necessariamente al corrente di essi e che non era provato che </w:t>
      </w:r>
      <w:r w:rsidR="00D25790">
        <w:t xml:space="preserve">fossero stati </w:t>
      </w:r>
      <w:r>
        <w:t xml:space="preserve">adottati sulla base di istruzioni impartite dagli organi superiori. Tali circostanze non </w:t>
      </w:r>
      <w:r w:rsidR="00915D25">
        <w:t xml:space="preserve">sono state </w:t>
      </w:r>
      <w:r w:rsidR="00F93BE5">
        <w:t>comunque</w:t>
      </w:r>
      <w:r>
        <w:t xml:space="preserve"> </w:t>
      </w:r>
      <w:r w:rsidR="00915D25">
        <w:t xml:space="preserve">ritenute </w:t>
      </w:r>
      <w:r>
        <w:t>suscettibili di esonerare lo Stato dalla sua responsabilità internazionale per la violazione dei diritti dell’uomo da parte dei suoi organi durante l’esercizio delle proprie funzioni:</w:t>
      </w:r>
    </w:p>
    <w:p w:rsidR="00333C13" w:rsidRDefault="00333C13" w:rsidP="00EB037D">
      <w:pPr>
        <w:spacing w:after="0" w:line="360" w:lineRule="auto"/>
        <w:ind w:firstLine="284"/>
        <w:jc w:val="both"/>
      </w:pPr>
    </w:p>
    <w:p w:rsidR="00F93BE5" w:rsidRDefault="00333C13" w:rsidP="00F93BE5">
      <w:pPr>
        <w:spacing w:after="0" w:line="360" w:lineRule="auto"/>
        <w:ind w:left="567" w:right="567" w:firstLine="284"/>
        <w:jc w:val="both"/>
        <w:rPr>
          <w:lang w:val="en-US"/>
        </w:rPr>
      </w:pPr>
      <w:r w:rsidRPr="00D25790">
        <w:rPr>
          <w:lang w:val="en-US"/>
        </w:rPr>
        <w:t>“The Court notes that the legal order of Honduras does n</w:t>
      </w:r>
      <w:r w:rsidR="00CE52F2" w:rsidRPr="00D25790">
        <w:rPr>
          <w:lang w:val="en-US"/>
        </w:rPr>
        <w:t>ot authorize such acts and that</w:t>
      </w:r>
      <w:r w:rsidRPr="00D25790">
        <w:rPr>
          <w:lang w:val="en-US"/>
        </w:rPr>
        <w:t xml:space="preserve"> internal law defines them as crimes. The Court also recognizes that not all levels of the Government of Honduras were necessarily aware of those acts, nor is there any evidence that such acts were the result of official orders. Nevertheless, those circumstances are irrelevant for the purposes of establishing whether Honduras is responsible under international law for the violations of human rights perpetrated within the practice of disappearances”</w:t>
      </w:r>
      <w:r w:rsidRPr="00D25790">
        <w:rPr>
          <w:rStyle w:val="Rimandonotaapidipagina"/>
        </w:rPr>
        <w:footnoteReference w:id="438"/>
      </w:r>
      <w:r w:rsidRPr="00D25790">
        <w:rPr>
          <w:lang w:val="en-US"/>
        </w:rPr>
        <w:t>.</w:t>
      </w:r>
    </w:p>
    <w:p w:rsidR="00672B58" w:rsidRDefault="00672B58" w:rsidP="00F93BE5">
      <w:pPr>
        <w:spacing w:after="0" w:line="360" w:lineRule="auto"/>
        <w:ind w:left="567" w:right="567" w:firstLine="284"/>
        <w:jc w:val="both"/>
        <w:rPr>
          <w:lang w:val="en-US"/>
        </w:rPr>
      </w:pPr>
    </w:p>
    <w:p w:rsidR="00A30879" w:rsidRDefault="00A30879" w:rsidP="00C12659">
      <w:pPr>
        <w:spacing w:after="0" w:line="360" w:lineRule="auto"/>
        <w:ind w:firstLine="284"/>
        <w:jc w:val="both"/>
      </w:pPr>
      <w:r>
        <w:t>Come la Corte europea nei casi precedentemente citati</w:t>
      </w:r>
      <w:r w:rsidR="004E376D">
        <w:rPr>
          <w:rStyle w:val="Rimandonotaapidipagina"/>
        </w:rPr>
        <w:footnoteReference w:id="439"/>
      </w:r>
      <w:r>
        <w:t>, anche la Corte interamericana dei diritti dell’uomo ha in tale circostanza riconosciuto l’irrilevanza ai fini del sorgere della responsabilit</w:t>
      </w:r>
      <w:r w:rsidR="004E376D">
        <w:t>à internazi</w:t>
      </w:r>
      <w:r w:rsidR="00672B58">
        <w:t>on</w:t>
      </w:r>
      <w:r>
        <w:t>ale dello St</w:t>
      </w:r>
      <w:r w:rsidR="00672B58">
        <w:t>ato per un illecito commesso da un</w:t>
      </w:r>
      <w:r>
        <w:t xml:space="preserve"> propri</w:t>
      </w:r>
      <w:r w:rsidR="00672B58">
        <w:t>o organo, sia de</w:t>
      </w:r>
      <w:r>
        <w:t xml:space="preserve">l mancato rispetto delle istruzioni ricevute dagli organi superiori che </w:t>
      </w:r>
      <w:r w:rsidR="00672B58">
        <w:t>del</w:t>
      </w:r>
      <w:r>
        <w:t>l’eventuale violazione delle disposizioni del diritt</w:t>
      </w:r>
      <w:r w:rsidR="004E376D">
        <w:t xml:space="preserve">o interno in tema di competenza, </w:t>
      </w:r>
      <w:r w:rsidR="00672B58">
        <w:t xml:space="preserve">purché tale organo </w:t>
      </w:r>
      <w:r w:rsidR="004E376D">
        <w:t>abbia agito nella sua capacità ufficiale.</w:t>
      </w:r>
    </w:p>
    <w:p w:rsidR="00A30879" w:rsidRDefault="004E376D" w:rsidP="00646010">
      <w:pPr>
        <w:spacing w:after="0" w:line="360" w:lineRule="auto"/>
        <w:ind w:firstLine="284"/>
        <w:jc w:val="both"/>
      </w:pPr>
      <w:r>
        <w:t>La Corte ha dichiarato pertanto all’unanimità che il Governo dell’Honduras aveva violato numerose disposizioni della Convenzione e l’ha condannato al pagamento di una somma di denaro a titolo di risarcimento ai parenti delle vittime.</w:t>
      </w:r>
    </w:p>
    <w:p w:rsidR="0029182A" w:rsidRDefault="0029182A" w:rsidP="00C12659">
      <w:pPr>
        <w:spacing w:after="0" w:line="360" w:lineRule="auto"/>
        <w:ind w:firstLine="284"/>
        <w:jc w:val="both"/>
      </w:pPr>
    </w:p>
    <w:p w:rsidR="00333C13" w:rsidRDefault="00F56D15" w:rsidP="00BC33B1">
      <w:pPr>
        <w:spacing w:after="0" w:line="360" w:lineRule="auto"/>
        <w:ind w:firstLine="851"/>
        <w:jc w:val="both"/>
      </w:pPr>
      <w:r>
        <w:t xml:space="preserve">4.2.2 </w:t>
      </w:r>
      <w:r w:rsidR="00333C13">
        <w:t xml:space="preserve">La sentenza resa nel caso </w:t>
      </w:r>
      <w:r w:rsidR="00333C13">
        <w:rPr>
          <w:i/>
        </w:rPr>
        <w:t xml:space="preserve">Mapiripán Massacre </w:t>
      </w:r>
      <w:r w:rsidR="00333C13" w:rsidRPr="00121C16">
        <w:t>c.</w:t>
      </w:r>
      <w:r w:rsidR="00333C13">
        <w:rPr>
          <w:i/>
        </w:rPr>
        <w:t xml:space="preserve"> Colombia</w:t>
      </w:r>
    </w:p>
    <w:p w:rsidR="00333C13" w:rsidRDefault="00333C13" w:rsidP="00C12659">
      <w:pPr>
        <w:spacing w:after="0" w:line="360" w:lineRule="auto"/>
        <w:ind w:firstLine="284"/>
        <w:jc w:val="both"/>
      </w:pPr>
      <w:r>
        <w:t xml:space="preserve"> </w:t>
      </w:r>
    </w:p>
    <w:p w:rsidR="00333C13" w:rsidRDefault="00646010" w:rsidP="00C12659">
      <w:pPr>
        <w:spacing w:after="0" w:line="360" w:lineRule="auto"/>
        <w:ind w:firstLine="284"/>
        <w:jc w:val="both"/>
      </w:pPr>
      <w:r>
        <w:t>Dopo la sentenza resa nel caso</w:t>
      </w:r>
      <w:r w:rsidR="00333C13">
        <w:t xml:space="preserve"> </w:t>
      </w:r>
      <w:r>
        <w:rPr>
          <w:i/>
        </w:rPr>
        <w:t xml:space="preserve">Velásquez Rodríguez, </w:t>
      </w:r>
      <w:r w:rsidR="00333C13">
        <w:t>la Corte interamericana per i diritti umani, nell’affrontare la questione della responsabilità di uno Stato per le violazioni dei diritti dell’uomo commesse da gruppi paramilitari,</w:t>
      </w:r>
      <w:r w:rsidR="009E7F14">
        <w:t xml:space="preserve"> ha in numerose occasioni affermato</w:t>
      </w:r>
      <w:r w:rsidR="00333C13">
        <w:t xml:space="preserve"> il principio di diritto internazionale secondo cui uno Stato è internazionalmente responsabile per le attività </w:t>
      </w:r>
      <w:r w:rsidR="00333C13">
        <w:rPr>
          <w:i/>
        </w:rPr>
        <w:t>ultra vires</w:t>
      </w:r>
      <w:r w:rsidR="00333C13">
        <w:t xml:space="preserve"> dei propri organi</w:t>
      </w:r>
      <w:r w:rsidR="00A943DC">
        <w:t xml:space="preserve"> e anche di quelli di gruppi paramilitari ad essa collegati</w:t>
      </w:r>
      <w:r w:rsidR="00333C13">
        <w:t>. La Corte interamericana, come spesso anche la Commissione</w:t>
      </w:r>
      <w:r w:rsidR="00D44BE0">
        <w:t xml:space="preserve"> interamericana</w:t>
      </w:r>
      <w:r w:rsidR="00333C13">
        <w:t>, ha giustificato la responsabilità internazionale dello Stato sulla base del tipo di legame che univa i paramilitari allo Stato.</w:t>
      </w:r>
    </w:p>
    <w:p w:rsidR="00C12659" w:rsidRDefault="00C12659" w:rsidP="00C12659">
      <w:pPr>
        <w:spacing w:after="0" w:line="360" w:lineRule="auto"/>
        <w:ind w:firstLine="284"/>
        <w:jc w:val="both"/>
      </w:pPr>
      <w:r>
        <w:t>I gruppi paramilitari sono gruppi armati di individui dotati di una organizzazione interna di cui lo Stato si avvale per lo svolgimento di funzioni militari o di polizia, parallelamente agli organi statali istituzionalmente deputati allo svolgimento di tali mansioni. Nella prassi non sono rari i casi in cui è il diritto interno a prevedere la costituzione di gruppi di privati cittadini ai quali è affidato il compito di integrare l’azione delle forze di polizia nel mantenimento dell’ordine pubblico. Talora l’attribuzione allo Stato dei comportamenti adottati da tali gruppi si baserà sul riconoscimento formale del loro ruolo all’interno della struttura organizzativa dello Stato</w:t>
      </w:r>
      <w:r>
        <w:rPr>
          <w:rStyle w:val="Rimandonotaapidipagina"/>
        </w:rPr>
        <w:footnoteReference w:id="440"/>
      </w:r>
      <w:r>
        <w:t>. Frequentemente, però, lo Stato non formalizza in termini giuridici i rapporti intrattenuti con i gruppi paramilitari.</w:t>
      </w:r>
    </w:p>
    <w:p w:rsidR="00333C13" w:rsidRDefault="00333C13" w:rsidP="00EB037D">
      <w:pPr>
        <w:spacing w:after="0" w:line="360" w:lineRule="auto"/>
        <w:ind w:firstLine="284"/>
        <w:jc w:val="both"/>
      </w:pPr>
      <w:r>
        <w:t xml:space="preserve">Una delle circostanze in cui lo Stato è stato ritenuto internazionalmente responsabile </w:t>
      </w:r>
      <w:r w:rsidR="001422BE">
        <w:t xml:space="preserve">dalla Corte interamericana dei diritti dell’uomo </w:t>
      </w:r>
      <w:r>
        <w:t xml:space="preserve">per </w:t>
      </w:r>
      <w:r w:rsidR="00D44BE0">
        <w:t xml:space="preserve">i fatti </w:t>
      </w:r>
      <w:r>
        <w:t>commessi dai gruppi paramilitari</w:t>
      </w:r>
      <w:r w:rsidR="001422BE">
        <w:t xml:space="preserve"> </w:t>
      </w:r>
      <w:r>
        <w:t xml:space="preserve">è il caso </w:t>
      </w:r>
      <w:r>
        <w:rPr>
          <w:i/>
        </w:rPr>
        <w:t>Mapiripán Massacre c. Colombia</w:t>
      </w:r>
      <w:r>
        <w:rPr>
          <w:rStyle w:val="Rimandonotaapidipagina"/>
        </w:rPr>
        <w:footnoteReference w:id="441"/>
      </w:r>
      <w:r>
        <w:t>.</w:t>
      </w:r>
    </w:p>
    <w:p w:rsidR="00333C13" w:rsidRDefault="00333C13" w:rsidP="00EB037D">
      <w:pPr>
        <w:spacing w:after="0" w:line="360" w:lineRule="auto"/>
        <w:ind w:firstLine="284"/>
        <w:jc w:val="both"/>
      </w:pPr>
      <w:r>
        <w:t xml:space="preserve">Il 12 luglio 1997, circa un centinaio di membri delle </w:t>
      </w:r>
      <w:r>
        <w:rPr>
          <w:i/>
        </w:rPr>
        <w:t>Autodefensas Unidas de Colombia</w:t>
      </w:r>
      <w:r>
        <w:t xml:space="preserve"> sono atterrati all’aeroporto di San José de Guaviare con il benestare dell’esercito regolare colombiano, che ha fornito loro anche i mezzi di trasporto per raggiungere il territorio di Mapiripán. I membri del gruppo paramilitare, che indossavano divise dell’esercito regolare ed erano dotati di armi il cui uso era ad esso riservato, sono rimasti sul luogo dal 15 al 20 luglio, giorni durante i quali hanno torturato ed ucciso decine di individui. Il massacro di Mapiripán è avvenuto grazie al supporto logistico, la collaborazione, l’acquiescenza e le omissioni di alcuni membri dell’esercito colombiano</w:t>
      </w:r>
      <w:r>
        <w:rPr>
          <w:rStyle w:val="Rimandonotaapidipagina"/>
        </w:rPr>
        <w:footnoteReference w:id="442"/>
      </w:r>
      <w:r>
        <w:t>.</w:t>
      </w:r>
    </w:p>
    <w:p w:rsidR="00333C13" w:rsidRDefault="00333C13" w:rsidP="00EB037D">
      <w:pPr>
        <w:spacing w:after="0" w:line="360" w:lineRule="auto"/>
        <w:ind w:firstLine="284"/>
        <w:jc w:val="both"/>
      </w:pPr>
      <w:r>
        <w:t>A seguito della presentazione alla Corte Interamericana dei d</w:t>
      </w:r>
      <w:r w:rsidR="00A943DC">
        <w:t xml:space="preserve">iritti dell’uomo di un ricorso </w:t>
      </w:r>
      <w:r>
        <w:t>da parte della Commissione, lo Stato colombiano ha riconosciuto, nell’udienza pubblica del 7 marzo 2005, la propria responsabilità internazionale per la violazione di alcune disposizioni della Convenzione interamericana dei diritti dell’uomo da parte di propri organi, che avevano agito contravvenendo alle disposizioni dell’ordinamento interno:</w:t>
      </w:r>
    </w:p>
    <w:p w:rsidR="00333C13" w:rsidRDefault="00333C13" w:rsidP="00EB037D">
      <w:pPr>
        <w:spacing w:after="0" w:line="360" w:lineRule="auto"/>
        <w:ind w:firstLine="284"/>
        <w:jc w:val="both"/>
      </w:pPr>
    </w:p>
    <w:p w:rsidR="00333C13" w:rsidRPr="00717EB2" w:rsidRDefault="00333C13" w:rsidP="00EB037D">
      <w:pPr>
        <w:spacing w:after="0" w:line="360" w:lineRule="auto"/>
        <w:ind w:left="567" w:right="567" w:firstLine="284"/>
        <w:jc w:val="both"/>
        <w:rPr>
          <w:lang w:val="en-US"/>
        </w:rPr>
      </w:pPr>
      <w:r w:rsidRPr="00717EB2">
        <w:rPr>
          <w:lang w:val="en-US"/>
        </w:rPr>
        <w:t>“The State has acknowledged its international responsibility for the violation of Articles 4(1), 5(1), 5(2), 7(1) and 7(2) of the Convention, in connection with the facts mentioned in section B of Chapter VI of the application filed by the Commission. Nevertheless, taking into account the content of domestic rulings, it argues that said responsibility derives from irregular actions by its agents and not from a policy of the State or of its Institutions</w:t>
      </w:r>
      <w:r w:rsidRPr="00717EB2">
        <w:rPr>
          <w:rStyle w:val="Rimandonotaapidipagina"/>
          <w:lang w:val="en-US"/>
        </w:rPr>
        <w:t xml:space="preserve"> </w:t>
      </w:r>
      <w:r w:rsidRPr="00717EB2">
        <w:rPr>
          <w:lang w:val="en-US"/>
        </w:rPr>
        <w:t>“</w:t>
      </w:r>
      <w:r w:rsidRPr="00717EB2">
        <w:rPr>
          <w:rStyle w:val="Rimandonotaapidipagina"/>
        </w:rPr>
        <w:footnoteReference w:id="443"/>
      </w:r>
      <w:r w:rsidRPr="00717EB2">
        <w:rPr>
          <w:lang w:val="en-US"/>
        </w:rPr>
        <w:t>.</w:t>
      </w:r>
    </w:p>
    <w:p w:rsidR="00333C13" w:rsidRPr="00717EB2" w:rsidRDefault="00333C13" w:rsidP="00EB037D">
      <w:pPr>
        <w:spacing w:after="0" w:line="360" w:lineRule="auto"/>
        <w:ind w:firstLine="284"/>
        <w:jc w:val="both"/>
        <w:rPr>
          <w:lang w:val="en-US"/>
        </w:rPr>
      </w:pPr>
    </w:p>
    <w:p w:rsidR="00333C13" w:rsidRDefault="00333C13" w:rsidP="00EB037D">
      <w:pPr>
        <w:spacing w:after="0" w:line="360" w:lineRule="auto"/>
        <w:ind w:firstLine="284"/>
        <w:jc w:val="both"/>
      </w:pPr>
      <w:r>
        <w:t>Con riferimento agli avvenimenti di Mapirip</w:t>
      </w:r>
      <w:r>
        <w:rPr>
          <w:rFonts w:cstheme="minorHAnsi"/>
        </w:rPr>
        <w:t>á</w:t>
      </w:r>
      <w:r>
        <w:t xml:space="preserve">n, lo Stato </w:t>
      </w:r>
      <w:r w:rsidR="00D1564B">
        <w:t xml:space="preserve">asseriva </w:t>
      </w:r>
      <w:r>
        <w:t>però che fossero ad esso attribuibili soltanto i comportamenti adottati dai membri dell’esercito regolare ad esclusione invece di quelli dei gruppi paramilitari, in opposizione a quanto sostenuto dalla Commissione</w:t>
      </w:r>
      <w:r>
        <w:rPr>
          <w:rStyle w:val="Rimandonotaapidipagina"/>
        </w:rPr>
        <w:footnoteReference w:id="444"/>
      </w:r>
      <w:r>
        <w:t>.</w:t>
      </w:r>
    </w:p>
    <w:p w:rsidR="00333C13" w:rsidRDefault="00333C13" w:rsidP="00EB037D">
      <w:pPr>
        <w:spacing w:after="0" w:line="360" w:lineRule="auto"/>
        <w:ind w:firstLine="284"/>
        <w:jc w:val="both"/>
      </w:pPr>
      <w:r>
        <w:t>Secondo il Governo colombiano, attribuire in via generale tali condotte allo Stato come se fossero state tenute da organi statali significava contravvenire ai principi di diritto internazionale generale in tema di responsabilità.</w:t>
      </w:r>
    </w:p>
    <w:p w:rsidR="00333C13" w:rsidRDefault="00333C13" w:rsidP="00EB037D">
      <w:pPr>
        <w:spacing w:after="0" w:line="360" w:lineRule="auto"/>
        <w:ind w:firstLine="284"/>
        <w:jc w:val="both"/>
      </w:pPr>
      <w:r>
        <w:t>Nella sentenza resa nel 2005 nel caso</w:t>
      </w:r>
      <w:r>
        <w:rPr>
          <w:i/>
        </w:rPr>
        <w:t xml:space="preserve"> Mapiripán Massacre c. Colombia</w:t>
      </w:r>
      <w:r w:rsidR="008259B4">
        <w:t>, la Corte ha affermato</w:t>
      </w:r>
      <w:r>
        <w:t xml:space="preserve"> la responsabilità internazionale della Colombia per l’accaduto e ha sottolineato che, in caso di violazione di una delle disposizioni della Convenzione da parte di organi statali, risulta irrilevante l’eventuale mancato rispetto </w:t>
      </w:r>
      <w:r w:rsidR="00D44BE0">
        <w:t xml:space="preserve">della propria </w:t>
      </w:r>
      <w:r>
        <w:t xml:space="preserve">competenza, in virtù del principio di diritto internazionale generale secondo cui uno Stato è responsabile di tutti i comportamenti adottati dai propri organi nella loro qualità ufficiale, anche nel caso in cui abbiano agito </w:t>
      </w:r>
      <w:r w:rsidR="00D44BE0" w:rsidRPr="00D44BE0">
        <w:rPr>
          <w:i/>
        </w:rPr>
        <w:t>ultra vires</w:t>
      </w:r>
      <w:r>
        <w:t>:</w:t>
      </w:r>
    </w:p>
    <w:p w:rsidR="00333C13" w:rsidRDefault="00333C13" w:rsidP="00EB037D">
      <w:pPr>
        <w:spacing w:after="0" w:line="360" w:lineRule="auto"/>
        <w:ind w:firstLine="284"/>
        <w:jc w:val="both"/>
      </w:pPr>
    </w:p>
    <w:p w:rsidR="00333C13" w:rsidRPr="00B036BB" w:rsidRDefault="00333C13" w:rsidP="00EB037D">
      <w:pPr>
        <w:autoSpaceDE w:val="0"/>
        <w:autoSpaceDN w:val="0"/>
        <w:adjustRightInd w:val="0"/>
        <w:spacing w:after="0" w:line="360" w:lineRule="auto"/>
        <w:ind w:left="567" w:right="567" w:firstLine="284"/>
        <w:jc w:val="both"/>
        <w:rPr>
          <w:lang w:val="en-US"/>
        </w:rPr>
      </w:pPr>
      <w:r w:rsidRPr="00B036BB">
        <w:rPr>
          <w:rFonts w:ascii="Verdana" w:hAnsi="Verdana" w:cs="Verdana"/>
          <w:sz w:val="16"/>
          <w:szCs w:val="16"/>
          <w:lang w:val="en-US"/>
        </w:rPr>
        <w:t>“</w:t>
      </w:r>
      <w:r w:rsidRPr="00B036BB">
        <w:rPr>
          <w:lang w:val="en-US"/>
        </w:rPr>
        <w:t>In accordance with Article 1(1) any form of exercising public authority that violates the rights embodied in the Convention is unlawful. In this regard, any circumstances in which a body or official of the State or of a public institution inappropriately abridges one of said rights constitutes disregard for the duty to respect rights, enshrined in that Article. This conclusion is independent of whether the body or official acted contravening domestic legal provisions or going beyond the limits of his own sphere of competence, as it is a principle of International Law that the State is responsible for the acts of its agents carried out in their official capacity and by their omissions, even if they act outside the limits of their sphere of competence or in violation of domestic law”</w:t>
      </w:r>
      <w:r w:rsidRPr="00B036BB">
        <w:rPr>
          <w:rStyle w:val="Rimandonotaapidipagina"/>
        </w:rPr>
        <w:footnoteReference w:id="445"/>
      </w:r>
      <w:r w:rsidRPr="00B036BB">
        <w:rPr>
          <w:lang w:val="en-US"/>
        </w:rPr>
        <w:t>.</w:t>
      </w:r>
    </w:p>
    <w:p w:rsidR="00333C13" w:rsidRPr="00C160A7" w:rsidRDefault="00333C13" w:rsidP="00EB037D">
      <w:pPr>
        <w:autoSpaceDE w:val="0"/>
        <w:autoSpaceDN w:val="0"/>
        <w:adjustRightInd w:val="0"/>
        <w:spacing w:after="0" w:line="360" w:lineRule="auto"/>
        <w:ind w:firstLine="284"/>
        <w:rPr>
          <w:rFonts w:ascii="Verdana" w:hAnsi="Verdana" w:cs="Verdana"/>
          <w:sz w:val="16"/>
          <w:szCs w:val="16"/>
          <w:lang w:val="en-US"/>
        </w:rPr>
      </w:pPr>
    </w:p>
    <w:p w:rsidR="00333C13" w:rsidRDefault="00333C13" w:rsidP="00EB037D">
      <w:pPr>
        <w:spacing w:after="0" w:line="360" w:lineRule="auto"/>
        <w:ind w:firstLine="284"/>
        <w:jc w:val="both"/>
      </w:pPr>
      <w:r>
        <w:t xml:space="preserve">Alla luce della particolare natura della Convenzione, dovuta ai diritti che intende proteggere, la Corte ha inoltre sottolineato come le disposizioni previste da tale strumento internazionale debbano essere interpretate in maniera evolutiva, al fine di garantire la massima protezione possibile agli esseri umani. Con riferimento alla responsabilità internazionale, la Corte ha ritenuto che la Convenzione americana deve considerarsi </w:t>
      </w:r>
      <w:r>
        <w:rPr>
          <w:i/>
        </w:rPr>
        <w:t>lex specialis</w:t>
      </w:r>
      <w:r>
        <w:t xml:space="preserve">, per cui l’attribuzione deve avvenire sulla base di quanto previsto dalle sue stesse disposizioni. </w:t>
      </w:r>
    </w:p>
    <w:p w:rsidR="00333C13" w:rsidRDefault="00333C13" w:rsidP="00EB037D">
      <w:pPr>
        <w:autoSpaceDE w:val="0"/>
        <w:autoSpaceDN w:val="0"/>
        <w:adjustRightInd w:val="0"/>
        <w:spacing w:after="0" w:line="360" w:lineRule="auto"/>
        <w:ind w:firstLine="284"/>
        <w:jc w:val="both"/>
      </w:pPr>
      <w:r>
        <w:t>Prendendo in debita considerazione quanto contenuto nel rapporto dell’Alto Commissario dei diritti umani delle Nazioni Unite circa il rispetto dei diritti umani in Colombia nel 1997</w:t>
      </w:r>
      <w:r>
        <w:rPr>
          <w:rStyle w:val="Rimandonotaapidipagina"/>
        </w:rPr>
        <w:footnoteReference w:id="446"/>
      </w:r>
      <w:r>
        <w:t xml:space="preserve">, la Corte ha sottolineato che, nonostante il massacro fosse stato materialmente perpetrato dalle AUC, </w:t>
      </w:r>
      <w:r w:rsidR="00912C62">
        <w:t xml:space="preserve">aveva potuto essere </w:t>
      </w:r>
      <w:r>
        <w:t>compiuto soltanto grazie alla collaborazione, acquiescenza e tolleranza da parte delle forze armate regolari della Colombia. Nonostante mancassero le prove in base a cui attestare l’esistenza di un legame di dipendenza tra l’esercito regolare e i gruppi paramilitari oppure una delega fattuale di pubbliche funzioni da parte dello Stato, la Colombia doveva essere ritenuta internazionalmente responsabile sia dei comportamenti dei propri organi che di quelli dei paramilitari, sulla base del fatto che gli illeciti erano stati commessi in territori sottoposti alla propria giurisdizione</w:t>
      </w:r>
      <w:r>
        <w:rPr>
          <w:rStyle w:val="Rimandonotaapidipagina"/>
        </w:rPr>
        <w:footnoteReference w:id="447"/>
      </w:r>
      <w:r>
        <w:t xml:space="preserve">. Le autorità statali, pur essendo pienamente a conoscenza delle intenzioni del gruppo paramilitare di instillare paura tra coloro che popolavano quel territorio, non solo avevano collaborato al fine di rendere realizzabili i loro intenti, ma avevano fatto il possibile affinché il massacro apparisse agli occhi dell’opinione pubblica perpetrato senza </w:t>
      </w:r>
      <w:r w:rsidR="00E35DF6">
        <w:t xml:space="preserve">la loro partecipazione o </w:t>
      </w:r>
      <w:r>
        <w:t>tolleranza:</w:t>
      </w:r>
    </w:p>
    <w:p w:rsidR="00333C13" w:rsidRPr="00E35DF6" w:rsidRDefault="00333C13" w:rsidP="00EB037D">
      <w:pPr>
        <w:autoSpaceDE w:val="0"/>
        <w:autoSpaceDN w:val="0"/>
        <w:adjustRightInd w:val="0"/>
        <w:spacing w:after="0" w:line="360" w:lineRule="auto"/>
        <w:ind w:left="567" w:right="567" w:firstLine="284"/>
        <w:jc w:val="both"/>
      </w:pPr>
    </w:p>
    <w:p w:rsidR="00333C13" w:rsidRPr="00E35DF6" w:rsidRDefault="00333C13" w:rsidP="00EB037D">
      <w:pPr>
        <w:autoSpaceDE w:val="0"/>
        <w:autoSpaceDN w:val="0"/>
        <w:adjustRightInd w:val="0"/>
        <w:spacing w:after="0" w:line="360" w:lineRule="auto"/>
        <w:ind w:left="567" w:right="567" w:firstLine="284"/>
        <w:jc w:val="both"/>
        <w:rPr>
          <w:lang w:val="en-US"/>
        </w:rPr>
      </w:pPr>
      <w:r w:rsidRPr="00E35DF6">
        <w:rPr>
          <w:lang w:val="en-US"/>
        </w:rPr>
        <w:t>“In brief, having established that there was a link between the armed forces and this paramilitary group to commit the massacre, based on the acknowledgment of the facts by the State and the body of evidence in the file, the Court has reached the conclusion that the international responsibility of the State has resulted from a set of actions and omissions by State agents and private citizens, conducted in a coordinated, parallel or linked manner, with the aim of carrying out the massacre. First of all, said agents collaborated directly or indirectly with the acts committed by the paramilitary, and secondly, they were remiss regarding their duty to protect the victims against said acts and regarding their duty to effectively investigate them, all of which has led to violations of human rights embodied in the Convention. In other words, since the acts committed by the paramilitary against the victims in the instant case cannot be considered mere acts amongst private individuals, as they are linked to actions and omissions by State officials, the State is found to be responsible for said acts, based on non-fulfillment of its erga omnes treaty obligations to ensure the effective exercise of human rights in said relations amongst individuals”</w:t>
      </w:r>
      <w:r w:rsidRPr="00E35DF6">
        <w:rPr>
          <w:rStyle w:val="Rimandonotaapidipagina"/>
        </w:rPr>
        <w:footnoteReference w:id="448"/>
      </w:r>
      <w:r w:rsidRPr="00E35DF6">
        <w:rPr>
          <w:lang w:val="en-US"/>
        </w:rPr>
        <w:t>.</w:t>
      </w:r>
    </w:p>
    <w:p w:rsidR="00333C13" w:rsidRPr="008D1C47" w:rsidRDefault="00333C13" w:rsidP="00EB037D">
      <w:pPr>
        <w:autoSpaceDE w:val="0"/>
        <w:autoSpaceDN w:val="0"/>
        <w:adjustRightInd w:val="0"/>
        <w:spacing w:after="0" w:line="360" w:lineRule="auto"/>
        <w:ind w:firstLine="284"/>
        <w:jc w:val="both"/>
        <w:rPr>
          <w:lang w:val="en-US"/>
        </w:rPr>
      </w:pPr>
    </w:p>
    <w:p w:rsidR="00BC0A03" w:rsidRDefault="00BC0A03" w:rsidP="004634C6">
      <w:pPr>
        <w:autoSpaceDE w:val="0"/>
        <w:autoSpaceDN w:val="0"/>
        <w:adjustRightInd w:val="0"/>
        <w:spacing w:after="0" w:line="360" w:lineRule="auto"/>
        <w:ind w:firstLine="284"/>
        <w:jc w:val="both"/>
      </w:pPr>
      <w:r>
        <w:t xml:space="preserve">Come la Corte internazionale di giustizia in alcune </w:t>
      </w:r>
      <w:r w:rsidRPr="00647A63">
        <w:t xml:space="preserve">pronunce </w:t>
      </w:r>
      <w:r>
        <w:t xml:space="preserve">riguardanti </w:t>
      </w:r>
      <w:r w:rsidRPr="00647A63">
        <w:t>la riferibilità allo Stato delle condotte di gruppi armati</w:t>
      </w:r>
      <w:r>
        <w:rPr>
          <w:rStyle w:val="Rimandonotaapidipagina"/>
        </w:rPr>
        <w:footnoteReference w:id="449"/>
      </w:r>
      <w:r>
        <w:t>, nel caso di specie anche la Corte interamericana dei diritti dell’uomo ha valorizzato elementi fattuali al fine di ritenere attribuibili in via generale</w:t>
      </w:r>
      <w:r w:rsidRPr="00BC0A03">
        <w:t xml:space="preserve"> </w:t>
      </w:r>
      <w:r>
        <w:t xml:space="preserve">allo Stato le condotte tenute da individui che non possedevano lo </w:t>
      </w:r>
      <w:r w:rsidRPr="003D44A8">
        <w:rPr>
          <w:i/>
        </w:rPr>
        <w:t>status</w:t>
      </w:r>
      <w:r>
        <w:t xml:space="preserve"> di organo in base all’ordinamento interno. </w:t>
      </w:r>
      <w:r w:rsidR="00333C13">
        <w:t>In virtù dello stretto legame intercorrente con gli organi e l’organizzazione statale in genere,  le condotte tenute dal gruppo paramilitare non potevano in alcun modo essere pertanto assimilate a dei comportamenti di semplici privati, bensì risultavano attribuibili in via gener</w:t>
      </w:r>
      <w:r w:rsidR="00B96B50">
        <w:t>ale allo Stato senza che fosse necessario accertare</w:t>
      </w:r>
      <w:r w:rsidR="00333C13">
        <w:t xml:space="preserve"> l’esistenza di un effettivo controllo sulle specifiche condotte.</w:t>
      </w:r>
    </w:p>
    <w:p w:rsidR="00BC0A03" w:rsidRDefault="00BC0A03" w:rsidP="00F56D15">
      <w:pPr>
        <w:autoSpaceDE w:val="0"/>
        <w:autoSpaceDN w:val="0"/>
        <w:adjustRightInd w:val="0"/>
        <w:spacing w:after="0" w:line="360" w:lineRule="auto"/>
        <w:ind w:firstLine="284"/>
        <w:jc w:val="both"/>
      </w:pPr>
    </w:p>
    <w:p w:rsidR="00333C13" w:rsidRDefault="00F56D15" w:rsidP="00BC33B1">
      <w:pPr>
        <w:autoSpaceDE w:val="0"/>
        <w:autoSpaceDN w:val="0"/>
        <w:adjustRightInd w:val="0"/>
        <w:spacing w:after="0" w:line="360" w:lineRule="auto"/>
        <w:ind w:left="1418" w:hanging="567"/>
        <w:jc w:val="both"/>
      </w:pPr>
      <w:r>
        <w:t xml:space="preserve">4.2.3 </w:t>
      </w:r>
      <w:r w:rsidR="006101D9">
        <w:t>Altre sentenze della Corte i</w:t>
      </w:r>
      <w:r w:rsidR="00333C13">
        <w:t xml:space="preserve">nteramericana in cui è stato enunciato il principio della responsabilità internazionale dello Stato per attività </w:t>
      </w:r>
      <w:r w:rsidR="00333C13" w:rsidRPr="00F56D15">
        <w:rPr>
          <w:i/>
        </w:rPr>
        <w:t xml:space="preserve">ultra vires </w:t>
      </w:r>
      <w:r w:rsidR="00333C13">
        <w:t>dei propri organi</w:t>
      </w:r>
    </w:p>
    <w:p w:rsidR="00333C13" w:rsidRDefault="00333C13" w:rsidP="00EB037D">
      <w:pPr>
        <w:autoSpaceDE w:val="0"/>
        <w:autoSpaceDN w:val="0"/>
        <w:adjustRightInd w:val="0"/>
        <w:spacing w:after="0" w:line="360" w:lineRule="auto"/>
        <w:ind w:firstLine="284"/>
        <w:jc w:val="both"/>
      </w:pPr>
    </w:p>
    <w:p w:rsidR="00333C13" w:rsidRPr="00955BE2" w:rsidRDefault="00333C13" w:rsidP="00EB037D">
      <w:pPr>
        <w:autoSpaceDE w:val="0"/>
        <w:autoSpaceDN w:val="0"/>
        <w:adjustRightInd w:val="0"/>
        <w:spacing w:after="0" w:line="360" w:lineRule="auto"/>
        <w:ind w:firstLine="284"/>
        <w:jc w:val="both"/>
      </w:pPr>
      <w:r>
        <w:t>Un’alt</w:t>
      </w:r>
      <w:r w:rsidR="006101D9">
        <w:t>ra circostanza in cui la Corte i</w:t>
      </w:r>
      <w:r>
        <w:t>nteramericana dei diritti dell’uomo è stata chiamata dalla Commissione a pronunciarsi circa la responsabilità internazionale dello Stato per la violazione di alcune disposizioni della Convenzione</w:t>
      </w:r>
      <w:r w:rsidRPr="00E07DF2">
        <w:t xml:space="preserve"> </w:t>
      </w:r>
      <w:r>
        <w:t>da parte di un gruppo paramilitare</w:t>
      </w:r>
      <w:r w:rsidRPr="00E07DF2">
        <w:t xml:space="preserve"> </w:t>
      </w:r>
      <w:r>
        <w:t xml:space="preserve">è il caso </w:t>
      </w:r>
      <w:r w:rsidRPr="001422BE">
        <w:rPr>
          <w:i/>
        </w:rPr>
        <w:t>Pueblo Bello Massacre</w:t>
      </w:r>
      <w:r w:rsidR="006101D9" w:rsidRPr="001422BE">
        <w:rPr>
          <w:i/>
        </w:rPr>
        <w:t xml:space="preserve"> </w:t>
      </w:r>
      <w:r w:rsidRPr="001422BE">
        <w:rPr>
          <w:i/>
        </w:rPr>
        <w:t>c. Colombia</w:t>
      </w:r>
      <w:r>
        <w:t xml:space="preserve">, in cui </w:t>
      </w:r>
      <w:r w:rsidRPr="00955BE2">
        <w:t>veniva lamentato il massacro di alcuni abitanti del villaggio di Pueblo Bello nel 1990</w:t>
      </w:r>
      <w:r w:rsidR="000A47BE">
        <w:t>,</w:t>
      </w:r>
      <w:r w:rsidRPr="00955BE2">
        <w:t xml:space="preserve"> </w:t>
      </w:r>
      <w:r w:rsidR="006101D9" w:rsidRPr="00955BE2">
        <w:t xml:space="preserve">avvenuto </w:t>
      </w:r>
      <w:r w:rsidRPr="00955BE2">
        <w:t>con l’acquiescenza degli organi statali</w:t>
      </w:r>
      <w:r w:rsidRPr="00955BE2">
        <w:rPr>
          <w:rStyle w:val="Rimandonotaapidipagina"/>
        </w:rPr>
        <w:footnoteReference w:id="450"/>
      </w:r>
      <w:r w:rsidRPr="00955BE2">
        <w:t>.</w:t>
      </w:r>
    </w:p>
    <w:p w:rsidR="00333C13" w:rsidRPr="00955BE2" w:rsidRDefault="00333C13" w:rsidP="00955BE2">
      <w:pPr>
        <w:spacing w:after="0" w:line="360" w:lineRule="auto"/>
        <w:ind w:firstLine="284"/>
        <w:jc w:val="both"/>
        <w:rPr>
          <w:lang w:val="en-US"/>
        </w:rPr>
      </w:pPr>
      <w:r w:rsidRPr="00955BE2">
        <w:t xml:space="preserve">Secondo il Governo della Colombia, </w:t>
      </w:r>
      <w:r w:rsidR="000706C4" w:rsidRPr="00955BE2">
        <w:t xml:space="preserve">uno Stato non </w:t>
      </w:r>
      <w:r w:rsidR="00955BE2" w:rsidRPr="00955BE2">
        <w:t>può essere chiamato</w:t>
      </w:r>
      <w:r w:rsidR="000706C4" w:rsidRPr="00955BE2">
        <w:t xml:space="preserve"> automaticamente a rispondere </w:t>
      </w:r>
      <w:r w:rsidR="00955BE2" w:rsidRPr="00955BE2">
        <w:t xml:space="preserve">sul piano internazionale </w:t>
      </w:r>
      <w:r w:rsidR="000706C4" w:rsidRPr="00955BE2">
        <w:t>di fatti di privati.</w:t>
      </w:r>
      <w:r w:rsidR="00955BE2">
        <w:t xml:space="preserve"> </w:t>
      </w:r>
      <w:r w:rsidR="00A233DC" w:rsidRPr="00955BE2">
        <w:rPr>
          <w:lang w:val="en-US"/>
        </w:rPr>
        <w:t>Lo Stato contestava</w:t>
      </w:r>
      <w:r w:rsidRPr="00955BE2">
        <w:rPr>
          <w:lang w:val="en-US"/>
        </w:rPr>
        <w:t xml:space="preserve"> </w:t>
      </w:r>
      <w:r w:rsidR="00955BE2" w:rsidRPr="00955BE2">
        <w:rPr>
          <w:lang w:val="en-US"/>
        </w:rPr>
        <w:t xml:space="preserve">pertanto </w:t>
      </w:r>
      <w:r w:rsidRPr="00955BE2">
        <w:rPr>
          <w:lang w:val="en-US"/>
        </w:rPr>
        <w:t>la propria responsabilità internazionale nel caso di specie sulla base del fatto che “the structures for attributing responsibilit</w:t>
      </w:r>
      <w:r w:rsidR="000A47BE">
        <w:rPr>
          <w:lang w:val="en-US"/>
        </w:rPr>
        <w:t>y to the State constitute numer</w:t>
      </w:r>
      <w:r w:rsidRPr="00955BE2">
        <w:rPr>
          <w:lang w:val="en-US"/>
        </w:rPr>
        <w:t>us clausus, because they consist of a rigorous description of the events in which the violation of the treaty-based obligation is attributable to the State”</w:t>
      </w:r>
      <w:r w:rsidRPr="00955BE2">
        <w:rPr>
          <w:rStyle w:val="Rimandonotaapidipagina"/>
          <w:lang w:val="en-US"/>
        </w:rPr>
        <w:footnoteReference w:id="451"/>
      </w:r>
      <w:r w:rsidRPr="00955BE2">
        <w:rPr>
          <w:lang w:val="en-US"/>
        </w:rPr>
        <w:t>.</w:t>
      </w:r>
    </w:p>
    <w:p w:rsidR="00333C13" w:rsidRDefault="00333C13" w:rsidP="00EB037D">
      <w:pPr>
        <w:spacing w:after="0" w:line="360" w:lineRule="auto"/>
        <w:ind w:firstLine="284"/>
        <w:jc w:val="both"/>
      </w:pPr>
      <w:r w:rsidRPr="00955BE2">
        <w:t xml:space="preserve">Nel pronunciarsi </w:t>
      </w:r>
      <w:r w:rsidR="00A233DC" w:rsidRPr="00955BE2">
        <w:t xml:space="preserve">sul </w:t>
      </w:r>
      <w:r w:rsidRPr="00955BE2">
        <w:t>massacro di Pueblo Bello, la Corte</w:t>
      </w:r>
      <w:r>
        <w:t xml:space="preserve"> interamericana ha sottolineato che la responsabilità internazionale dello Stato sorge al momento della violazione degli obblighi </w:t>
      </w:r>
      <w:r>
        <w:rPr>
          <w:i/>
        </w:rPr>
        <w:t>erga omnes</w:t>
      </w:r>
      <w:r>
        <w:t xml:space="preserve"> di rispettare i diritti riconosciuti dalla Convenzione e di assicurare la loro effettività in ogni circostanza e con riferimento a tutti gli individui sottoposti alla propria giurisdizione. Pur riconoscendo che l’attribuzione di condotte allo Stato è un fenomeno regolato da norme di diritto internazionale, la Corte ha criticato l’argomentazione della Colombia considerando illusorio che sia possibile individuare </w:t>
      </w:r>
      <w:r w:rsidRPr="00CC2DC6">
        <w:rPr>
          <w:i/>
        </w:rPr>
        <w:t>a priori</w:t>
      </w:r>
      <w:r>
        <w:t xml:space="preserve"> quali siano le specifiche condizioni</w:t>
      </w:r>
      <w:r w:rsidRPr="00BC2802">
        <w:t xml:space="preserve"> </w:t>
      </w:r>
      <w:r>
        <w:t>in presenza delle quali una certa condotta, tenuta da un suo organ</w:t>
      </w:r>
      <w:r w:rsidR="00A233DC">
        <w:t xml:space="preserve">o o da privati, deve esserle </w:t>
      </w:r>
      <w:r>
        <w:t>attribuita. La Corte h</w:t>
      </w:r>
      <w:r w:rsidR="00523854">
        <w:t>a però allo stesso tempo affermato</w:t>
      </w:r>
      <w:r>
        <w:t xml:space="preserve"> che qualsiasi violazione dei diritti umani riconosciuti dalla Convenzione dovuta al comportamento adottato nella propria qualità ufficiale da un organo costituisce un fatto attribuibile allo Stato in virtù del diritto internazionale generale, indipendentemente dalla circostanza che abbia oltrepassato i limiti della propria competenza:</w:t>
      </w:r>
    </w:p>
    <w:p w:rsidR="00333C13" w:rsidRDefault="00333C13" w:rsidP="00EB037D">
      <w:pPr>
        <w:spacing w:after="0" w:line="360" w:lineRule="auto"/>
        <w:ind w:firstLine="284"/>
        <w:jc w:val="both"/>
      </w:pPr>
    </w:p>
    <w:p w:rsidR="00955BE2" w:rsidRDefault="00333C13" w:rsidP="00EB037D">
      <w:pPr>
        <w:autoSpaceDE w:val="0"/>
        <w:autoSpaceDN w:val="0"/>
        <w:adjustRightInd w:val="0"/>
        <w:spacing w:after="0" w:line="360" w:lineRule="auto"/>
        <w:ind w:left="567" w:right="567" w:firstLine="284"/>
        <w:jc w:val="both"/>
        <w:rPr>
          <w:lang w:val="en-US"/>
        </w:rPr>
      </w:pPr>
      <w:r w:rsidRPr="004F1F08">
        <w:rPr>
          <w:rFonts w:ascii="Verdana" w:hAnsi="Verdana" w:cs="Verdana"/>
          <w:sz w:val="20"/>
          <w:szCs w:val="20"/>
          <w:lang w:val="en-US"/>
        </w:rPr>
        <w:t>“</w:t>
      </w:r>
      <w:r w:rsidRPr="004F1F08">
        <w:rPr>
          <w:lang w:val="en-US"/>
        </w:rPr>
        <w:t>It is a principle of international law that the State responds for the acts and omissions of its agents in their official capacity, even if they overstep the limits of their authority</w:t>
      </w:r>
      <w:r w:rsidRPr="004F1F08">
        <w:rPr>
          <w:rFonts w:ascii="Verdana" w:hAnsi="Verdana" w:cs="Verdana"/>
          <w:sz w:val="20"/>
          <w:szCs w:val="20"/>
          <w:lang w:val="en-US"/>
        </w:rPr>
        <w:t>”</w:t>
      </w:r>
      <w:r w:rsidRPr="004F1F08">
        <w:rPr>
          <w:rStyle w:val="Rimandonotaapidipagina"/>
        </w:rPr>
        <w:footnoteReference w:id="452"/>
      </w:r>
      <w:r w:rsidRPr="004F1F08">
        <w:rPr>
          <w:lang w:val="en-US"/>
        </w:rPr>
        <w:t>.</w:t>
      </w:r>
      <w:r w:rsidR="0036591F">
        <w:rPr>
          <w:lang w:val="en-US"/>
        </w:rPr>
        <w:t xml:space="preserve"> </w:t>
      </w:r>
    </w:p>
    <w:p w:rsidR="001108F4" w:rsidRDefault="001108F4" w:rsidP="00B600C1">
      <w:pPr>
        <w:autoSpaceDE w:val="0"/>
        <w:autoSpaceDN w:val="0"/>
        <w:adjustRightInd w:val="0"/>
        <w:spacing w:after="0" w:line="360" w:lineRule="auto"/>
        <w:ind w:firstLine="284"/>
        <w:jc w:val="both"/>
        <w:rPr>
          <w:lang w:val="en-US"/>
        </w:rPr>
      </w:pPr>
    </w:p>
    <w:p w:rsidR="00333C13" w:rsidRPr="000F47AC" w:rsidRDefault="00083A9B" w:rsidP="000F47AC">
      <w:pPr>
        <w:autoSpaceDE w:val="0"/>
        <w:autoSpaceDN w:val="0"/>
        <w:adjustRightInd w:val="0"/>
        <w:spacing w:after="0" w:line="360" w:lineRule="auto"/>
        <w:jc w:val="both"/>
      </w:pPr>
      <w:r>
        <w:t xml:space="preserve">Con riferimento </w:t>
      </w:r>
      <w:r w:rsidR="006100E3">
        <w:t xml:space="preserve">a </w:t>
      </w:r>
      <w:r w:rsidR="001108F4">
        <w:t xml:space="preserve">tale </w:t>
      </w:r>
      <w:r w:rsidR="00955BE2" w:rsidRPr="00955BE2">
        <w:rPr>
          <w:i/>
        </w:rPr>
        <w:t>obiter dictum</w:t>
      </w:r>
      <w:r w:rsidR="00B600C1">
        <w:rPr>
          <w:i/>
        </w:rPr>
        <w:t xml:space="preserve"> </w:t>
      </w:r>
      <w:r w:rsidR="00B600C1">
        <w:t>della Corte</w:t>
      </w:r>
      <w:r w:rsidR="00955BE2">
        <w:t xml:space="preserve">, sembra interessante notare come il principio dell’attribuzione allo Stato dei fatti </w:t>
      </w:r>
      <w:r w:rsidR="00955BE2" w:rsidRPr="00955BE2">
        <w:rPr>
          <w:i/>
        </w:rPr>
        <w:t>ultra vires</w:t>
      </w:r>
      <w:r w:rsidR="00955BE2">
        <w:t xml:space="preserve"> dei propri organi</w:t>
      </w:r>
      <w:r>
        <w:t xml:space="preserve"> sia</w:t>
      </w:r>
      <w:r w:rsidR="001108F4">
        <w:t xml:space="preserve"> stato riconosciuto nonostante </w:t>
      </w:r>
      <w:r>
        <w:t>in tale circostanza</w:t>
      </w:r>
      <w:r w:rsidRPr="004520D3">
        <w:t xml:space="preserve"> </w:t>
      </w:r>
      <w:r w:rsidR="001108F4" w:rsidRPr="004520D3">
        <w:t xml:space="preserve">l’operazione attributiva </w:t>
      </w:r>
      <w:r w:rsidR="00B600C1">
        <w:t xml:space="preserve">venisse assimilata </w:t>
      </w:r>
      <w:r w:rsidR="000F47AC">
        <w:t xml:space="preserve">ad </w:t>
      </w:r>
      <w:r w:rsidR="001108F4">
        <w:t xml:space="preserve">un’operazione </w:t>
      </w:r>
      <w:r w:rsidR="000F47AC">
        <w:t>di</w:t>
      </w:r>
      <w:r w:rsidR="001108F4" w:rsidRPr="004520D3">
        <w:t xml:space="preserve"> mero accertamento di un legame </w:t>
      </w:r>
      <w:r w:rsidR="001108F4">
        <w:t xml:space="preserve">fattuale </w:t>
      </w:r>
      <w:r w:rsidR="001108F4" w:rsidRPr="004520D3">
        <w:t>esistente tra l’ente soggetto internazionale e le persone fisiche o giuridiche che effettivamente agiscono per suo conto.</w:t>
      </w:r>
      <w:r>
        <w:t xml:space="preserve"> Pur escludendo che rientri tra le funzioni del diritto internazionale det</w:t>
      </w:r>
      <w:r w:rsidR="006100E3">
        <w:t>e</w:t>
      </w:r>
      <w:r>
        <w:t xml:space="preserve">rminare concretamente quale siano le condizioni in presenza delle quali un fatto può essere attribuito ad uno Stato, </w:t>
      </w:r>
      <w:r w:rsidR="0030754C">
        <w:t xml:space="preserve">l’aver agito </w:t>
      </w:r>
      <w:r w:rsidR="0030754C" w:rsidRPr="0030754C">
        <w:rPr>
          <w:i/>
        </w:rPr>
        <w:t>ultra vires</w:t>
      </w:r>
      <w:r w:rsidR="0030754C">
        <w:t xml:space="preserve"> da parte di un individuo che gode della qualità di organo in base al diritto interno è ritenuto irrilevante ai fini dell’attribuzione di fatti allo Stato quale soggetto internazionale.</w:t>
      </w:r>
      <w:r w:rsidR="006100E3">
        <w:t xml:space="preserve"> </w:t>
      </w:r>
    </w:p>
    <w:p w:rsidR="00333C13" w:rsidRDefault="00333C13" w:rsidP="00EB037D">
      <w:pPr>
        <w:spacing w:after="0" w:line="360" w:lineRule="auto"/>
        <w:ind w:firstLine="284"/>
        <w:jc w:val="both"/>
      </w:pPr>
      <w:r>
        <w:t xml:space="preserve">Il principio della responsabilità internazionale dello Stato per le attività </w:t>
      </w:r>
      <w:r>
        <w:rPr>
          <w:i/>
        </w:rPr>
        <w:t>ultra vires</w:t>
      </w:r>
      <w:r>
        <w:t xml:space="preserve"> dei propri organi è stato nuovamente riconosciuto dalla Corte</w:t>
      </w:r>
      <w:r w:rsidR="00801A0A">
        <w:t xml:space="preserve"> interamericana</w:t>
      </w:r>
      <w:r>
        <w:t xml:space="preserve"> nella sentenza resa nel 2008 nel caso </w:t>
      </w:r>
      <w:r>
        <w:rPr>
          <w:i/>
        </w:rPr>
        <w:t>Yvon Neptune c. Haiti</w:t>
      </w:r>
      <w:r>
        <w:rPr>
          <w:rStyle w:val="Rimandonotaapidipagina"/>
        </w:rPr>
        <w:footnoteReference w:id="453"/>
      </w:r>
      <w:r>
        <w:t>.</w:t>
      </w:r>
    </w:p>
    <w:p w:rsidR="00333C13" w:rsidRDefault="00333C13" w:rsidP="00EB037D">
      <w:pPr>
        <w:spacing w:after="0" w:line="360" w:lineRule="auto"/>
        <w:ind w:firstLine="284"/>
        <w:jc w:val="both"/>
      </w:pPr>
      <w:r>
        <w:t xml:space="preserve">Anche in </w:t>
      </w:r>
      <w:r w:rsidR="00231720">
        <w:t>tale circostanza la Corte, per</w:t>
      </w:r>
      <w:r>
        <w:t xml:space="preserve"> stabilire l’eventuale violazione da parte di Haiti di alcune disposizioni della Convenzione per l’</w:t>
      </w:r>
      <w:r w:rsidR="00231720">
        <w:t>irregolare arresto di un suo</w:t>
      </w:r>
      <w:r>
        <w:t xml:space="preserve"> cittadino</w:t>
      </w:r>
      <w:r>
        <w:rPr>
          <w:rStyle w:val="Rimandonotaapidipagina"/>
        </w:rPr>
        <w:footnoteReference w:id="454"/>
      </w:r>
      <w:r>
        <w:t xml:space="preserve">, ha ritenuto di </w:t>
      </w:r>
      <w:r w:rsidR="00523854">
        <w:t xml:space="preserve">dover </w:t>
      </w:r>
      <w:r>
        <w:t>sottolineare che un principio di diritto internazionale generale riconosce che lo Stato è tenuto a rispondere nell’ordinamento internazionale di tutte le condotte tenute dai propri organi nell’esercizio delle proprie funzioni, anche nel caso in cui abbiano agito nel mancato rispetto delle disposizioni di diritto interno in tema di competenza:</w:t>
      </w:r>
    </w:p>
    <w:p w:rsidR="00333C13" w:rsidRDefault="00333C13" w:rsidP="00EB037D">
      <w:pPr>
        <w:spacing w:after="0" w:line="360" w:lineRule="auto"/>
        <w:ind w:firstLine="284"/>
        <w:jc w:val="both"/>
      </w:pPr>
    </w:p>
    <w:p w:rsidR="000F47AC" w:rsidRDefault="00333C13" w:rsidP="000F47AC">
      <w:pPr>
        <w:spacing w:after="0" w:line="360" w:lineRule="auto"/>
        <w:ind w:left="567" w:right="567" w:firstLine="284"/>
        <w:jc w:val="both"/>
        <w:rPr>
          <w:lang w:val="en-US"/>
        </w:rPr>
      </w:pPr>
      <w:r w:rsidRPr="00231720">
        <w:rPr>
          <w:lang w:val="en-US"/>
        </w:rPr>
        <w:t>“[…]the Court has established that this responsibility arises from “acts or omissions of any power or organ of the State, irrespective of its rank, that violate the American Convention,” and it is generated immediately with the international unlawful act attributed to the State, because it is a principle of international law that the State responds for the acts or omissions of its agents in their official capacity, even if they act above and beyond the limits of their competence”</w:t>
      </w:r>
      <w:r w:rsidRPr="00231720">
        <w:rPr>
          <w:rStyle w:val="Rimandonotaapidipagina"/>
        </w:rPr>
        <w:footnoteReference w:id="455"/>
      </w:r>
      <w:r w:rsidRPr="00231720">
        <w:rPr>
          <w:lang w:val="en-US"/>
        </w:rPr>
        <w:t>.</w:t>
      </w:r>
    </w:p>
    <w:p w:rsidR="000F47AC" w:rsidRDefault="000F47AC" w:rsidP="000F47AC">
      <w:pPr>
        <w:spacing w:after="0" w:line="360" w:lineRule="auto"/>
        <w:ind w:left="567" w:right="567" w:firstLine="284"/>
        <w:jc w:val="both"/>
        <w:rPr>
          <w:lang w:val="en-US"/>
        </w:rPr>
      </w:pPr>
    </w:p>
    <w:p w:rsidR="00B67A18" w:rsidRPr="000F47AC" w:rsidRDefault="000F47AC" w:rsidP="00B67A18">
      <w:pPr>
        <w:spacing w:after="0" w:line="360" w:lineRule="auto"/>
        <w:ind w:firstLine="284"/>
        <w:jc w:val="both"/>
      </w:pPr>
      <w:r w:rsidRPr="000F47AC">
        <w:t xml:space="preserve">L’aver agito in qualità ufficiale viene riconosciuto anche in tale fattispecie come </w:t>
      </w:r>
      <w:r w:rsidR="00B67A18">
        <w:t xml:space="preserve">la condizione in base a </w:t>
      </w:r>
      <w:r w:rsidRPr="000F47AC">
        <w:t>cui</w:t>
      </w:r>
      <w:r w:rsidR="00B67A18">
        <w:t xml:space="preserve"> un comportamento adottato da un organo al di fuori della propria competenza può essere considerato un fatto dello Stato</w:t>
      </w:r>
      <w:r w:rsidR="00801A0A">
        <w:t xml:space="preserve"> quale soggetto internazionale.</w:t>
      </w:r>
    </w:p>
    <w:p w:rsidR="00333C13" w:rsidRPr="000F47AC" w:rsidRDefault="00333C13" w:rsidP="00EB037D">
      <w:pPr>
        <w:spacing w:after="0" w:line="360" w:lineRule="auto"/>
        <w:ind w:firstLine="284"/>
        <w:jc w:val="both"/>
      </w:pPr>
    </w:p>
    <w:p w:rsidR="00333C13" w:rsidRDefault="00231720" w:rsidP="00BC33B1">
      <w:pPr>
        <w:spacing w:after="0" w:line="360" w:lineRule="auto"/>
        <w:ind w:firstLine="567"/>
        <w:jc w:val="both"/>
      </w:pPr>
      <w:r>
        <w:t xml:space="preserve">4.3 </w:t>
      </w:r>
      <w:r w:rsidR="00801A0A">
        <w:t>L’orientamento</w:t>
      </w:r>
      <w:r>
        <w:t xml:space="preserve"> del </w:t>
      </w:r>
      <w:r w:rsidR="00333C13">
        <w:t>Comitato dei diritti umani</w:t>
      </w:r>
    </w:p>
    <w:p w:rsidR="00333C13" w:rsidRDefault="00333C13" w:rsidP="00EB037D">
      <w:pPr>
        <w:spacing w:after="0" w:line="360" w:lineRule="auto"/>
        <w:ind w:firstLine="284"/>
        <w:jc w:val="both"/>
      </w:pPr>
    </w:p>
    <w:p w:rsidR="00EA4308" w:rsidRDefault="00333C13" w:rsidP="00E85792">
      <w:pPr>
        <w:spacing w:after="0" w:line="360" w:lineRule="auto"/>
        <w:ind w:firstLine="284"/>
        <w:jc w:val="both"/>
        <w:rPr>
          <w:rFonts w:cstheme="minorHAnsi"/>
        </w:rPr>
      </w:pPr>
      <w:r>
        <w:rPr>
          <w:rFonts w:cstheme="minorHAnsi"/>
        </w:rPr>
        <w:t xml:space="preserve">Nel giugno del 1990, durante un’operazione militare, </w:t>
      </w:r>
      <w:r w:rsidR="00EA4308">
        <w:rPr>
          <w:rFonts w:cstheme="minorHAnsi"/>
        </w:rPr>
        <w:t xml:space="preserve">alcuni </w:t>
      </w:r>
      <w:r>
        <w:rPr>
          <w:rFonts w:cstheme="minorHAnsi"/>
        </w:rPr>
        <w:t xml:space="preserve">individui erano stati prelevati dalle proprie abitazioni da parte di membri delle forze regolari </w:t>
      </w:r>
      <w:r w:rsidR="007C5866">
        <w:rPr>
          <w:rFonts w:cstheme="minorHAnsi"/>
        </w:rPr>
        <w:t xml:space="preserve">dello Sri Lanka </w:t>
      </w:r>
      <w:r>
        <w:rPr>
          <w:rFonts w:cstheme="minorHAnsi"/>
        </w:rPr>
        <w:t xml:space="preserve">in quanto sospettati di far parte del </w:t>
      </w:r>
      <w:r>
        <w:rPr>
          <w:rFonts w:cstheme="minorHAnsi"/>
          <w:i/>
        </w:rPr>
        <w:t>Liberation Tigers of Tamil Eelam</w:t>
      </w:r>
      <w:r w:rsidR="00D23EB5" w:rsidRPr="00D23EB5">
        <w:rPr>
          <w:rStyle w:val="Rimandonotaapidipagina"/>
          <w:rFonts w:cstheme="minorHAnsi"/>
        </w:rPr>
        <w:footnoteReference w:id="456"/>
      </w:r>
      <w:r>
        <w:rPr>
          <w:rFonts w:cstheme="minorHAnsi"/>
        </w:rPr>
        <w:t xml:space="preserve">, erano stati portati in un campo militare ed erano stati sottoposti a tortura. Mentre alcuni </w:t>
      </w:r>
      <w:r w:rsidR="00EA4308">
        <w:rPr>
          <w:rFonts w:cstheme="minorHAnsi"/>
        </w:rPr>
        <w:t xml:space="preserve">di essi </w:t>
      </w:r>
      <w:r>
        <w:rPr>
          <w:rFonts w:cstheme="minorHAnsi"/>
        </w:rPr>
        <w:t>erano stati liberati dopo pochi giorni, altri, tra cui il figlio del ricorrente, non avevano più fat</w:t>
      </w:r>
      <w:r w:rsidR="00E85792">
        <w:rPr>
          <w:rFonts w:cstheme="minorHAnsi"/>
        </w:rPr>
        <w:t xml:space="preserve">to ritorno. </w:t>
      </w:r>
    </w:p>
    <w:p w:rsidR="00333C13" w:rsidRDefault="00333C13" w:rsidP="00E85792">
      <w:pPr>
        <w:spacing w:after="0" w:line="360" w:lineRule="auto"/>
        <w:ind w:firstLine="284"/>
        <w:jc w:val="both"/>
        <w:rPr>
          <w:rFonts w:cstheme="minorHAnsi"/>
        </w:rPr>
      </w:pPr>
      <w:r>
        <w:rPr>
          <w:rFonts w:cstheme="minorHAnsi"/>
        </w:rPr>
        <w:t>Nell’ottobre 199</w:t>
      </w:r>
      <w:r w:rsidR="00E85792">
        <w:rPr>
          <w:rFonts w:cstheme="minorHAnsi"/>
        </w:rPr>
        <w:t xml:space="preserve">9, un cittadino </w:t>
      </w:r>
      <w:r w:rsidR="00EA4308">
        <w:rPr>
          <w:rFonts w:cstheme="minorHAnsi"/>
        </w:rPr>
        <w:t xml:space="preserve">dello Sri Lanka </w:t>
      </w:r>
      <w:r>
        <w:rPr>
          <w:rFonts w:cstheme="minorHAnsi"/>
        </w:rPr>
        <w:t>ha presentato una comunicazione individual</w:t>
      </w:r>
      <w:r w:rsidR="00E85792">
        <w:rPr>
          <w:rFonts w:cstheme="minorHAnsi"/>
        </w:rPr>
        <w:t xml:space="preserve">e al Comitato dei diritti umani, organo di controllo sul rispetto del Patto ONU sui diritti civili e politici del 1966, </w:t>
      </w:r>
      <w:r>
        <w:rPr>
          <w:rFonts w:cstheme="minorHAnsi"/>
        </w:rPr>
        <w:t>lamentando che suo figlio, nell’ambito degli avvenimenti precedentemente descritti, era stato vittima di una violazione da parte dello Stato di numerose disposizioni del Patto sui diritti civili e politici</w:t>
      </w:r>
      <w:r w:rsidR="00E85792">
        <w:rPr>
          <w:rStyle w:val="Rimandonotaapidipagina"/>
          <w:rFonts w:cstheme="minorHAnsi"/>
        </w:rPr>
        <w:footnoteReference w:id="457"/>
      </w:r>
      <w:r>
        <w:rPr>
          <w:rFonts w:cstheme="minorHAnsi"/>
        </w:rPr>
        <w:t xml:space="preserve">. In tale circostanza lo Sri Lanka ha tentato di sfuggire alla propria responsabilità internazionale sostenendo di essere all’oscuro delle attività tenute </w:t>
      </w:r>
      <w:r w:rsidR="009E6C81">
        <w:rPr>
          <w:rFonts w:cstheme="minorHAnsi"/>
        </w:rPr>
        <w:t xml:space="preserve">dal </w:t>
      </w:r>
      <w:r w:rsidR="0042433A">
        <w:rPr>
          <w:rFonts w:cstheme="minorHAnsi"/>
        </w:rPr>
        <w:t>caporale delle forze regolari</w:t>
      </w:r>
      <w:r w:rsidR="006E233B">
        <w:rPr>
          <w:rFonts w:cstheme="minorHAnsi"/>
        </w:rPr>
        <w:t xml:space="preserve"> che aveva compiuto il fatto</w:t>
      </w:r>
      <w:r w:rsidR="0042433A">
        <w:rPr>
          <w:rFonts w:cstheme="minorHAnsi"/>
        </w:rPr>
        <w:t xml:space="preserve">, </w:t>
      </w:r>
      <w:r>
        <w:rPr>
          <w:rFonts w:cstheme="minorHAnsi"/>
        </w:rPr>
        <w:t>in quanto totalmente separate e distinte rispetto alle operazioni intraprese in quella regione da parte dell’esercito. In ragione della mancata cono</w:t>
      </w:r>
      <w:r w:rsidR="009E6C81">
        <w:rPr>
          <w:rFonts w:cstheme="minorHAnsi"/>
        </w:rPr>
        <w:t xml:space="preserve">scenza delle attività svolte dal caporale, </w:t>
      </w:r>
      <w:r>
        <w:rPr>
          <w:rFonts w:cstheme="minorHAnsi"/>
        </w:rPr>
        <w:t xml:space="preserve">la violazione dei diritti garantiti dal Patto non poteva essere attribuita allo Stato, bensì doveva essere considerata frutto di comportamenti tenuti nella propria qualità privata da </w:t>
      </w:r>
      <w:r w:rsidR="009E6C81">
        <w:rPr>
          <w:rFonts w:cstheme="minorHAnsi"/>
        </w:rPr>
        <w:t>un individuo che godeva</w:t>
      </w:r>
      <w:r>
        <w:rPr>
          <w:rFonts w:cstheme="minorHAnsi"/>
        </w:rPr>
        <w:t xml:space="preserve"> dello </w:t>
      </w:r>
      <w:r>
        <w:rPr>
          <w:rFonts w:cstheme="minorHAnsi"/>
          <w:i/>
        </w:rPr>
        <w:t>status</w:t>
      </w:r>
      <w:r>
        <w:rPr>
          <w:rFonts w:cstheme="minorHAnsi"/>
        </w:rPr>
        <w:t xml:space="preserve"> organico</w:t>
      </w:r>
      <w:r>
        <w:rPr>
          <w:rStyle w:val="Rimandonotaapidipagina"/>
          <w:rFonts w:cstheme="minorHAnsi"/>
        </w:rPr>
        <w:footnoteReference w:id="458"/>
      </w:r>
      <w:r>
        <w:rPr>
          <w:rFonts w:cstheme="minorHAnsi"/>
        </w:rPr>
        <w:t>.</w:t>
      </w:r>
    </w:p>
    <w:p w:rsidR="00333C13" w:rsidRDefault="00333C13" w:rsidP="00EB037D">
      <w:pPr>
        <w:spacing w:after="0" w:line="360" w:lineRule="auto"/>
        <w:ind w:firstLine="284"/>
        <w:jc w:val="both"/>
        <w:rPr>
          <w:rFonts w:cstheme="minorHAnsi"/>
        </w:rPr>
      </w:pPr>
      <w:r>
        <w:rPr>
          <w:rFonts w:cstheme="minorHAnsi"/>
        </w:rPr>
        <w:t>Secondo</w:t>
      </w:r>
      <w:r w:rsidR="00281A57">
        <w:rPr>
          <w:rFonts w:cstheme="minorHAnsi"/>
        </w:rPr>
        <w:t xml:space="preserve"> il ricorrente</w:t>
      </w:r>
      <w:r>
        <w:rPr>
          <w:rFonts w:cstheme="minorHAnsi"/>
        </w:rPr>
        <w:t>, Thevaraja Sarma, la scomparsa di suo figlio si inseriva in una pratica sistematica condotta dagli organi statali a partire dal 1989 nell’ambito della guerra condotta contro il movimento di liberazione nazionale Tamil e doveva essere pertanto considerata un fatto statale.</w:t>
      </w:r>
    </w:p>
    <w:p w:rsidR="00333C13" w:rsidRPr="00AC29EA" w:rsidRDefault="00333C13" w:rsidP="00EB037D">
      <w:pPr>
        <w:spacing w:after="0" w:line="360" w:lineRule="auto"/>
        <w:ind w:firstLine="284"/>
        <w:jc w:val="both"/>
        <w:rPr>
          <w:rFonts w:cstheme="minorHAnsi"/>
        </w:rPr>
      </w:pPr>
      <w:r>
        <w:rPr>
          <w:rFonts w:cstheme="minorHAnsi"/>
        </w:rPr>
        <w:t xml:space="preserve">Individuando nell’attribuzione di tali comportamenti allo Stato la principale problematica da affrontare, </w:t>
      </w:r>
      <w:r w:rsidR="001907A6">
        <w:rPr>
          <w:rFonts w:cstheme="minorHAnsi"/>
        </w:rPr>
        <w:t xml:space="preserve">il ricorrente ha sostenuto </w:t>
      </w:r>
      <w:r>
        <w:rPr>
          <w:rFonts w:cstheme="minorHAnsi"/>
        </w:rPr>
        <w:t>che la scomparsa di suo figlio dovesse essere considerata un fatto statale in quanto tenuta da organi dello Stato. Nei casi in cui la violazione di un</w:t>
      </w:r>
      <w:r w:rsidR="001907A6">
        <w:rPr>
          <w:rFonts w:cstheme="minorHAnsi"/>
        </w:rPr>
        <w:t>a disposizione del Patto</w:t>
      </w:r>
      <w:r>
        <w:rPr>
          <w:rFonts w:cstheme="minorHAnsi"/>
        </w:rPr>
        <w:t xml:space="preserve"> è frutto di un comportamento adottato da un organo statale che si avvale della propria au</w:t>
      </w:r>
      <w:r w:rsidR="006E233B">
        <w:rPr>
          <w:rFonts w:cstheme="minorHAnsi"/>
        </w:rPr>
        <w:t>torità per commettere un fatt</w:t>
      </w:r>
      <w:r>
        <w:rPr>
          <w:rFonts w:cstheme="minorHAnsi"/>
        </w:rPr>
        <w:t>o, a suo par</w:t>
      </w:r>
      <w:r w:rsidR="001907A6">
        <w:rPr>
          <w:rFonts w:cstheme="minorHAnsi"/>
        </w:rPr>
        <w:t xml:space="preserve">ere, </w:t>
      </w:r>
      <w:r>
        <w:rPr>
          <w:rFonts w:cstheme="minorHAnsi"/>
        </w:rPr>
        <w:t xml:space="preserve">lo Stato ne </w:t>
      </w:r>
      <w:r w:rsidR="001907A6">
        <w:rPr>
          <w:rFonts w:cstheme="minorHAnsi"/>
        </w:rPr>
        <w:t>avrebbe dovuto</w:t>
      </w:r>
      <w:r w:rsidR="00B83FDC">
        <w:rPr>
          <w:rFonts w:cstheme="minorHAnsi"/>
        </w:rPr>
        <w:t xml:space="preserve"> rispondere</w:t>
      </w:r>
      <w:r>
        <w:rPr>
          <w:rFonts w:cstheme="minorHAnsi"/>
        </w:rPr>
        <w:t xml:space="preserve">. Secondo il ricorrente, risultava irrilevante la circostanza che un organo statale avesse tenuto nella propria qualità ufficiale una condotta </w:t>
      </w:r>
      <w:r>
        <w:rPr>
          <w:rFonts w:cstheme="minorHAnsi"/>
          <w:i/>
        </w:rPr>
        <w:t>ultra vires</w:t>
      </w:r>
      <w:r>
        <w:rPr>
          <w:rFonts w:cstheme="minorHAnsi"/>
        </w:rPr>
        <w:t xml:space="preserve"> in quanto lo Stato </w:t>
      </w:r>
      <w:r w:rsidR="00281A57">
        <w:rPr>
          <w:rFonts w:cstheme="minorHAnsi"/>
        </w:rPr>
        <w:t xml:space="preserve">gli </w:t>
      </w:r>
      <w:r>
        <w:rPr>
          <w:rFonts w:cstheme="minorHAnsi"/>
        </w:rPr>
        <w:t xml:space="preserve">aveva fornito </w:t>
      </w:r>
      <w:r w:rsidR="00AC29EA">
        <w:rPr>
          <w:rFonts w:cstheme="minorHAnsi"/>
        </w:rPr>
        <w:t xml:space="preserve">i mezzi </w:t>
      </w:r>
      <w:r w:rsidR="000C5BCA">
        <w:rPr>
          <w:rFonts w:cstheme="minorHAnsi"/>
        </w:rPr>
        <w:t xml:space="preserve">e l’autorità necessarie </w:t>
      </w:r>
      <w:r w:rsidR="006E233B">
        <w:rPr>
          <w:rFonts w:cstheme="minorHAnsi"/>
        </w:rPr>
        <w:t xml:space="preserve">per compiere </w:t>
      </w:r>
      <w:r w:rsidR="00F56569">
        <w:rPr>
          <w:rFonts w:cstheme="minorHAnsi"/>
        </w:rPr>
        <w:t xml:space="preserve">quel </w:t>
      </w:r>
      <w:r w:rsidR="006E233B">
        <w:rPr>
          <w:rFonts w:cstheme="minorHAnsi"/>
        </w:rPr>
        <w:t>fatto</w:t>
      </w:r>
      <w:r w:rsidR="00AC29EA">
        <w:rPr>
          <w:rStyle w:val="Rimandonotaapidipagina"/>
          <w:rFonts w:cstheme="minorHAnsi"/>
        </w:rPr>
        <w:footnoteReference w:id="459"/>
      </w:r>
      <w:r w:rsidR="00AC29EA">
        <w:rPr>
          <w:rFonts w:cstheme="minorHAnsi"/>
        </w:rPr>
        <w:t>.</w:t>
      </w:r>
    </w:p>
    <w:p w:rsidR="00664F1A" w:rsidRPr="008460D4" w:rsidRDefault="00333C13" w:rsidP="00EB037D">
      <w:pPr>
        <w:spacing w:after="0" w:line="360" w:lineRule="auto"/>
        <w:ind w:firstLine="284"/>
        <w:jc w:val="both"/>
        <w:rPr>
          <w:rFonts w:cstheme="minorHAnsi"/>
          <w:lang w:val="en-US"/>
        </w:rPr>
      </w:pPr>
      <w:r>
        <w:rPr>
          <w:rFonts w:cstheme="minorHAnsi"/>
        </w:rPr>
        <w:t>Pronunciandosi nel merito</w:t>
      </w:r>
      <w:r w:rsidR="00281A57">
        <w:rPr>
          <w:rFonts w:cstheme="minorHAnsi"/>
        </w:rPr>
        <w:t xml:space="preserve">, il Comitato dei diritti umani, </w:t>
      </w:r>
      <w:r w:rsidR="006E777F">
        <w:rPr>
          <w:rFonts w:cstheme="minorHAnsi"/>
        </w:rPr>
        <w:t xml:space="preserve">nell’osservazione formulata </w:t>
      </w:r>
      <w:r w:rsidR="00281A57">
        <w:rPr>
          <w:rFonts w:cstheme="minorHAnsi"/>
        </w:rPr>
        <w:t xml:space="preserve">il 31 luglio 2003, </w:t>
      </w:r>
      <w:r>
        <w:rPr>
          <w:rFonts w:cstheme="minorHAnsi"/>
        </w:rPr>
        <w:t>ha riconosciuto lo Sri Lanka responsabile degli illeciti lamentati, avendo modo di sottolineare l’irrilevanza ai fini della responsabilità internazionale dell</w:t>
      </w:r>
      <w:r w:rsidR="00664F1A">
        <w:rPr>
          <w:rFonts w:cstheme="minorHAnsi"/>
        </w:rPr>
        <w:t>’eventualità che un organo avesse</w:t>
      </w:r>
      <w:r>
        <w:rPr>
          <w:rFonts w:cstheme="minorHAnsi"/>
        </w:rPr>
        <w:t xml:space="preserve"> agito in contravvenzione del pr</w:t>
      </w:r>
      <w:r w:rsidR="00664F1A">
        <w:rPr>
          <w:rFonts w:cstheme="minorHAnsi"/>
        </w:rPr>
        <w:t>oprio ordinamento interno, avesse</w:t>
      </w:r>
      <w:r>
        <w:rPr>
          <w:rFonts w:cstheme="minorHAnsi"/>
        </w:rPr>
        <w:t xml:space="preserve"> oltrepassato i limiti della propria competenza o</w:t>
      </w:r>
      <w:r w:rsidR="00281A57">
        <w:rPr>
          <w:rFonts w:cstheme="minorHAnsi"/>
        </w:rPr>
        <w:t>ppure che i suoi superiori fossero</w:t>
      </w:r>
      <w:r>
        <w:rPr>
          <w:rFonts w:cstheme="minorHAnsi"/>
        </w:rPr>
        <w:t xml:space="preserve"> totalmente all’oscuro del suo operato</w:t>
      </w:r>
      <w:r w:rsidR="00281A57">
        <w:rPr>
          <w:rFonts w:cstheme="minorHAnsi"/>
        </w:rPr>
        <w:t xml:space="preserve">. </w:t>
      </w:r>
      <w:r w:rsidR="007F19F1">
        <w:rPr>
          <w:rFonts w:cstheme="minorHAnsi"/>
          <w:lang w:val="en-US"/>
        </w:rPr>
        <w:t>Si legge nelle osservazioni de</w:t>
      </w:r>
      <w:r w:rsidR="00281A57" w:rsidRPr="008460D4">
        <w:rPr>
          <w:rFonts w:cstheme="minorHAnsi"/>
          <w:lang w:val="en-US"/>
        </w:rPr>
        <w:t>l Comitato:</w:t>
      </w:r>
    </w:p>
    <w:p w:rsidR="00664F1A" w:rsidRPr="008460D4" w:rsidRDefault="00664F1A" w:rsidP="00EB037D">
      <w:pPr>
        <w:spacing w:after="0" w:line="360" w:lineRule="auto"/>
        <w:ind w:firstLine="284"/>
        <w:jc w:val="both"/>
        <w:rPr>
          <w:rFonts w:cstheme="minorHAnsi"/>
          <w:lang w:val="en-US"/>
        </w:rPr>
      </w:pPr>
    </w:p>
    <w:p w:rsidR="00D13237" w:rsidRDefault="00664F1A" w:rsidP="00D13237">
      <w:pPr>
        <w:spacing w:after="0" w:line="360" w:lineRule="auto"/>
        <w:ind w:left="720" w:right="720" w:firstLine="284"/>
        <w:jc w:val="both"/>
        <w:rPr>
          <w:rFonts w:cstheme="minorHAnsi"/>
          <w:lang w:val="en-US"/>
        </w:rPr>
      </w:pPr>
      <w:r w:rsidRPr="00281A57">
        <w:rPr>
          <w:lang w:val="en-US"/>
        </w:rPr>
        <w:t>“The Committee considers that, for purposes of establishing State responsibility,</w:t>
      </w:r>
      <w:r w:rsidR="006E777F">
        <w:rPr>
          <w:lang w:val="en-US"/>
        </w:rPr>
        <w:t xml:space="preserve"> </w:t>
      </w:r>
      <w:r w:rsidRPr="00281A57">
        <w:rPr>
          <w:lang w:val="en-US"/>
        </w:rPr>
        <w:t xml:space="preserve">it is irrelevant in the present case that the officer to whom the disappearance is attributed acted </w:t>
      </w:r>
      <w:r w:rsidRPr="006E777F">
        <w:rPr>
          <w:i/>
          <w:lang w:val="en-US"/>
        </w:rPr>
        <w:t>ultra vires</w:t>
      </w:r>
      <w:r w:rsidRPr="00281A57">
        <w:rPr>
          <w:lang w:val="en-US"/>
        </w:rPr>
        <w:t xml:space="preserve"> or that superior officers were unaware of the actions taken by that officer”</w:t>
      </w:r>
      <w:r w:rsidR="00333C13" w:rsidRPr="00281A57">
        <w:rPr>
          <w:rStyle w:val="Rimandonotaapidipagina"/>
          <w:rFonts w:cstheme="minorHAnsi"/>
        </w:rPr>
        <w:footnoteReference w:id="460"/>
      </w:r>
      <w:r w:rsidR="00D13237">
        <w:rPr>
          <w:rFonts w:cstheme="minorHAnsi"/>
          <w:lang w:val="en-US"/>
        </w:rPr>
        <w:t>.</w:t>
      </w:r>
    </w:p>
    <w:p w:rsidR="00D13237" w:rsidRDefault="00D13237" w:rsidP="00D13237">
      <w:pPr>
        <w:spacing w:after="0" w:line="360" w:lineRule="auto"/>
        <w:ind w:left="720" w:right="720" w:firstLine="284"/>
        <w:jc w:val="both"/>
        <w:rPr>
          <w:rFonts w:cstheme="minorHAnsi"/>
          <w:lang w:val="en-US"/>
        </w:rPr>
      </w:pPr>
    </w:p>
    <w:p w:rsidR="00D13237" w:rsidRPr="00D13237" w:rsidRDefault="00D13237" w:rsidP="00D13237">
      <w:pPr>
        <w:spacing w:after="0" w:line="360" w:lineRule="auto"/>
        <w:ind w:firstLine="360"/>
        <w:jc w:val="both"/>
        <w:rPr>
          <w:rFonts w:cstheme="minorHAnsi"/>
        </w:rPr>
      </w:pPr>
      <w:r w:rsidRPr="005D77CF">
        <w:rPr>
          <w:rFonts w:cstheme="minorHAnsi"/>
        </w:rPr>
        <w:t>Il Comitato ha ritenuto che lo Sri Lanka dovesse ris</w:t>
      </w:r>
      <w:r w:rsidR="00112A27" w:rsidRPr="005D77CF">
        <w:rPr>
          <w:rFonts w:cstheme="minorHAnsi"/>
        </w:rPr>
        <w:t>pondere inter</w:t>
      </w:r>
      <w:r w:rsidR="006E777F">
        <w:rPr>
          <w:rFonts w:cstheme="minorHAnsi"/>
        </w:rPr>
        <w:t xml:space="preserve">nazionalmente del fatto compiuto </w:t>
      </w:r>
      <w:r w:rsidR="00112A27" w:rsidRPr="005D77CF">
        <w:rPr>
          <w:rFonts w:cstheme="minorHAnsi"/>
          <w:i/>
        </w:rPr>
        <w:t>ultra vires</w:t>
      </w:r>
      <w:r w:rsidR="00112A27" w:rsidRPr="005D77CF">
        <w:rPr>
          <w:rFonts w:cstheme="minorHAnsi"/>
        </w:rPr>
        <w:t xml:space="preserve"> tenuto da un proprio organo in quanto fatto ad esso attribuibile sul piano internazionale. Il riferimento all’art. 7 del progetto di articoli adottato in seconda lettura dalla CDI e all’art. 2 par. 3</w:t>
      </w:r>
      <w:r w:rsidR="005D77CF">
        <w:rPr>
          <w:rFonts w:cstheme="minorHAnsi"/>
        </w:rPr>
        <w:t xml:space="preserve"> lett. </w:t>
      </w:r>
      <w:r w:rsidR="005D77CF" w:rsidRPr="005D77CF">
        <w:rPr>
          <w:rFonts w:cstheme="minorHAnsi"/>
          <w:i/>
        </w:rPr>
        <w:t>a)</w:t>
      </w:r>
      <w:r w:rsidR="00112A27" w:rsidRPr="005D77CF">
        <w:rPr>
          <w:rFonts w:cstheme="minorHAnsi"/>
        </w:rPr>
        <w:t xml:space="preserve"> del Patto sui diritti civili e politici</w:t>
      </w:r>
      <w:r w:rsidR="00024F5D" w:rsidRPr="005D77CF">
        <w:rPr>
          <w:rStyle w:val="Rimandonotaapidipagina"/>
          <w:rFonts w:cstheme="minorHAnsi"/>
        </w:rPr>
        <w:footnoteReference w:id="461"/>
      </w:r>
      <w:r w:rsidR="00112A27" w:rsidRPr="005D77CF">
        <w:rPr>
          <w:rFonts w:cstheme="minorHAnsi"/>
        </w:rPr>
        <w:t xml:space="preserve"> sembra inoltre dimostrare che l’aver agito nella qualità </w:t>
      </w:r>
      <w:r w:rsidR="00220A6F">
        <w:rPr>
          <w:rFonts w:cstheme="minorHAnsi"/>
        </w:rPr>
        <w:t xml:space="preserve">deve essere considerata </w:t>
      </w:r>
      <w:r w:rsidR="00024F5D" w:rsidRPr="005D77CF">
        <w:rPr>
          <w:rFonts w:cstheme="minorHAnsi"/>
        </w:rPr>
        <w:t xml:space="preserve">la condizione in base a cui un fatto </w:t>
      </w:r>
      <w:r w:rsidR="00024F5D" w:rsidRPr="0030754C">
        <w:rPr>
          <w:rFonts w:cstheme="minorHAnsi"/>
          <w:i/>
        </w:rPr>
        <w:t>ultra vires</w:t>
      </w:r>
      <w:r w:rsidR="00024F5D" w:rsidRPr="005D77CF">
        <w:rPr>
          <w:rFonts w:cstheme="minorHAnsi"/>
        </w:rPr>
        <w:t xml:space="preserve"> di un organo </w:t>
      </w:r>
      <w:r w:rsidR="00220A6F">
        <w:rPr>
          <w:rFonts w:cstheme="minorHAnsi"/>
        </w:rPr>
        <w:t>statale può ritenersi</w:t>
      </w:r>
      <w:r w:rsidR="00024F5D" w:rsidRPr="005D77CF">
        <w:rPr>
          <w:rFonts w:cstheme="minorHAnsi"/>
        </w:rPr>
        <w:t xml:space="preserve"> un fatto dello Stato </w:t>
      </w:r>
      <w:r w:rsidR="0030754C">
        <w:rPr>
          <w:rFonts w:cstheme="minorHAnsi"/>
        </w:rPr>
        <w:t>nell’ordinamento internazionale.</w:t>
      </w:r>
    </w:p>
    <w:p w:rsidR="00333C13" w:rsidRPr="00D13237" w:rsidRDefault="00333C13" w:rsidP="00EB037D">
      <w:pPr>
        <w:spacing w:after="0" w:line="360" w:lineRule="auto"/>
        <w:ind w:firstLine="284"/>
        <w:jc w:val="both"/>
        <w:rPr>
          <w:rFonts w:cstheme="minorHAnsi"/>
        </w:rPr>
      </w:pPr>
    </w:p>
    <w:p w:rsidR="00333C13" w:rsidRDefault="005C1D7F" w:rsidP="005C1D7F">
      <w:pPr>
        <w:spacing w:after="0" w:line="360" w:lineRule="auto"/>
        <w:ind w:left="360"/>
        <w:jc w:val="both"/>
      </w:pPr>
      <w:r>
        <w:t>5.</w:t>
      </w:r>
      <w:r>
        <w:tab/>
      </w:r>
      <w:r w:rsidR="00333C13">
        <w:t xml:space="preserve">La giurisprudenza del Tribunale penale internazionale per la </w:t>
      </w:r>
      <w:r w:rsidR="00333C13" w:rsidRPr="005C1D7F">
        <w:rPr>
          <w:i/>
        </w:rPr>
        <w:t>ex</w:t>
      </w:r>
      <w:r w:rsidR="00281A57">
        <w:t>-I</w:t>
      </w:r>
      <w:r w:rsidR="00333C13">
        <w:t>ugoslavia</w:t>
      </w:r>
    </w:p>
    <w:p w:rsidR="00333C13" w:rsidRDefault="00333C13" w:rsidP="00EB037D">
      <w:pPr>
        <w:spacing w:after="0" w:line="360" w:lineRule="auto"/>
        <w:ind w:firstLine="284"/>
        <w:jc w:val="both"/>
      </w:pPr>
    </w:p>
    <w:p w:rsidR="00333C13" w:rsidRDefault="00333C13" w:rsidP="00EB037D">
      <w:pPr>
        <w:spacing w:after="0" w:line="360" w:lineRule="auto"/>
        <w:ind w:firstLine="284"/>
        <w:jc w:val="both"/>
      </w:pPr>
      <w:r>
        <w:t xml:space="preserve">Un’applicazione del principio dell’attribuzione allo Stato delle condotte </w:t>
      </w:r>
      <w:r>
        <w:rPr>
          <w:i/>
        </w:rPr>
        <w:t>ultra vires</w:t>
      </w:r>
      <w:r>
        <w:t xml:space="preserve"> </w:t>
      </w:r>
      <w:r w:rsidRPr="001F7983">
        <w:t>dei propri organi</w:t>
      </w:r>
      <w:r>
        <w:t xml:space="preserve"> si è avuta nella sentenza resa dalla Camera d’appello del Tribunale p</w:t>
      </w:r>
      <w:r w:rsidR="00281A57">
        <w:t>enale internazionale per la ex-I</w:t>
      </w:r>
      <w:r>
        <w:t xml:space="preserve">ugoslavia nel caso </w:t>
      </w:r>
      <w:r>
        <w:rPr>
          <w:i/>
        </w:rPr>
        <w:t>Prosecutor v. Dusko Tad</w:t>
      </w:r>
      <w:r w:rsidR="004323D9">
        <w:rPr>
          <w:rFonts w:cstheme="minorHAnsi"/>
          <w:i/>
        </w:rPr>
        <w:t>ić</w:t>
      </w:r>
      <w:r>
        <w:rPr>
          <w:rStyle w:val="Rimandonotaapidipagina"/>
        </w:rPr>
        <w:footnoteReference w:id="462"/>
      </w:r>
      <w:r>
        <w:t>. La Camera di appello era stata chiamata a pronunciarsi sull’impugnazione di una sentenza della Cam</w:t>
      </w:r>
      <w:r w:rsidR="006C6C5A">
        <w:t>era di prima istanza, promossa</w:t>
      </w:r>
      <w:r>
        <w:t xml:space="preserve"> per </w:t>
      </w:r>
      <w:r w:rsidR="006C6C5A">
        <w:t xml:space="preserve">preteso </w:t>
      </w:r>
      <w:r>
        <w:t>errore di diritto dalla difesa di Dusko Tad</w:t>
      </w:r>
      <w:r w:rsidR="001414DE">
        <w:rPr>
          <w:rFonts w:cstheme="minorHAnsi"/>
        </w:rPr>
        <w:t>ić</w:t>
      </w:r>
      <w:r>
        <w:rPr>
          <w:rFonts w:cstheme="minorHAnsi"/>
        </w:rPr>
        <w:t xml:space="preserve">, un serbo imputato di gravi crimini </w:t>
      </w:r>
      <w:r w:rsidR="00281A57">
        <w:rPr>
          <w:rFonts w:cstheme="minorHAnsi"/>
        </w:rPr>
        <w:t xml:space="preserve">di guerra </w:t>
      </w:r>
      <w:r>
        <w:rPr>
          <w:rFonts w:cstheme="minorHAnsi"/>
        </w:rPr>
        <w:t>commessi nella regione di Prijedor, in Bosnia.</w:t>
      </w:r>
      <w:r>
        <w:t xml:space="preserve"> </w:t>
      </w:r>
    </w:p>
    <w:p w:rsidR="00333C13" w:rsidRDefault="00333C13" w:rsidP="002D6682">
      <w:pPr>
        <w:spacing w:after="0" w:line="360" w:lineRule="auto"/>
        <w:ind w:firstLine="284"/>
        <w:jc w:val="both"/>
      </w:pPr>
      <w:r>
        <w:t xml:space="preserve">In tale pronuncia il Tribunale ha fatto ricorso alle regole sull’attribuzione </w:t>
      </w:r>
      <w:r w:rsidR="00281A57">
        <w:t xml:space="preserve">di fatti illeciti </w:t>
      </w:r>
      <w:r>
        <w:t>ai fini della responsabilità internazionale per poter determinare la natura interna o internazionale del conflitto nella</w:t>
      </w:r>
      <w:r>
        <w:rPr>
          <w:i/>
        </w:rPr>
        <w:t xml:space="preserve"> ex</w:t>
      </w:r>
      <w:r w:rsidR="001414DE">
        <w:t>-</w:t>
      </w:r>
      <w:r>
        <w:t>Iugoslavia, ritenuto elemento rilevante per definire la responsabilità penale di individui</w:t>
      </w:r>
      <w:r>
        <w:rPr>
          <w:rStyle w:val="Rimandonotaapidipagina"/>
        </w:rPr>
        <w:footnoteReference w:id="463"/>
      </w:r>
      <w:r>
        <w:t xml:space="preserve">. </w:t>
      </w:r>
      <w:r w:rsidR="006C6C5A">
        <w:t>Se fosse stato accertato</w:t>
      </w:r>
      <w:r>
        <w:t xml:space="preserve"> che </w:t>
      </w:r>
      <w:r w:rsidR="001414DE">
        <w:t>le condotte dell’esercito serbo-</w:t>
      </w:r>
      <w:r>
        <w:t xml:space="preserve">bosniaco e della </w:t>
      </w:r>
      <w:r>
        <w:rPr>
          <w:i/>
        </w:rPr>
        <w:t>Republika Srpska</w:t>
      </w:r>
      <w:r>
        <w:t xml:space="preserve"> potevano essere attribuite alla Repubblica Federale di Iugoslavia, si sarebbe giunti alla conclusione che si era trattato </w:t>
      </w:r>
      <w:r w:rsidR="001414DE">
        <w:t>di un conflitto internazionale e che quindi Tad</w:t>
      </w:r>
      <w:r w:rsidR="0087520E">
        <w:rPr>
          <w:rFonts w:cstheme="minorHAnsi"/>
        </w:rPr>
        <w:t>ić, membro dell’esercito serbo-bosniaco</w:t>
      </w:r>
      <w:r w:rsidR="006E777F">
        <w:rPr>
          <w:rFonts w:cstheme="minorHAnsi"/>
        </w:rPr>
        <w:t>, dovesse</w:t>
      </w:r>
      <w:r w:rsidR="001414DE">
        <w:rPr>
          <w:rFonts w:cstheme="minorHAnsi"/>
        </w:rPr>
        <w:t xml:space="preserve"> rispondere della violazione delle norme applicabili a tale tipo di conflitto.</w:t>
      </w:r>
      <w:r w:rsidR="002D6682">
        <w:rPr>
          <w:rFonts w:cstheme="minorHAnsi"/>
        </w:rPr>
        <w:t xml:space="preserve"> Al fine di stabilire se la condotta di </w:t>
      </w:r>
      <w:r w:rsidR="002D6682">
        <w:t>Tad</w:t>
      </w:r>
      <w:r w:rsidR="002D6682">
        <w:rPr>
          <w:rFonts w:cstheme="minorHAnsi"/>
        </w:rPr>
        <w:t>ić fosse attribuibile alla Repubblica federale di Iugoslavia,</w:t>
      </w:r>
      <w:r w:rsidR="002D6682">
        <w:t xml:space="preserve"> u</w:t>
      </w:r>
      <w:r>
        <w:t xml:space="preserve">na delle questioni preliminari trattate dalla Camera d’appello è stata l’interpretazione della sentenza resa dalla Corte internazionale di giustizia nel caso delle </w:t>
      </w:r>
      <w:r>
        <w:rPr>
          <w:i/>
        </w:rPr>
        <w:t>attività militari e paramilitari degli Stati Uniti in Nicaragua</w:t>
      </w:r>
      <w:r w:rsidR="00A9756B">
        <w:t xml:space="preserve">, con particolare riguardo all’affermazione </w:t>
      </w:r>
      <w:r>
        <w:t>che le condotte di individui che non godono della qualità organica nell’ordinamento statale possono essere attribuite allo Stato esclusivamente nel caso in cui siano state adottate previa istruzione o sotto l’effettivo controllo di organi statali.</w:t>
      </w:r>
    </w:p>
    <w:p w:rsidR="00333C13" w:rsidRDefault="00333C13" w:rsidP="00EB037D">
      <w:pPr>
        <w:spacing w:after="0" w:line="360" w:lineRule="auto"/>
        <w:ind w:firstLine="284"/>
        <w:jc w:val="both"/>
      </w:pPr>
      <w:r>
        <w:t xml:space="preserve">La Camera d’appello ha riconosciuto valida la distinzione tra criteri attributivi fondati sull’esistenza di un rapporto fattuale e criteri che invece si basano sulla qualità di organo dell’individuo-agente, precisando che lo </w:t>
      </w:r>
      <w:r>
        <w:rPr>
          <w:i/>
        </w:rPr>
        <w:t>status</w:t>
      </w:r>
      <w:r>
        <w:t xml:space="preserve"> organico si riferisce al caso di individui o enti che godono di tale qualità in base all’ordinamento interno</w:t>
      </w:r>
      <w:r>
        <w:rPr>
          <w:rStyle w:val="Rimandonotaapidipagina"/>
        </w:rPr>
        <w:footnoteReference w:id="464"/>
      </w:r>
      <w:r>
        <w:t xml:space="preserve">. </w:t>
      </w:r>
    </w:p>
    <w:p w:rsidR="00333C13" w:rsidRDefault="006C6C5A" w:rsidP="00EB037D">
      <w:pPr>
        <w:spacing w:after="0" w:line="360" w:lineRule="auto"/>
        <w:ind w:firstLine="284"/>
        <w:jc w:val="both"/>
      </w:pPr>
      <w:r>
        <w:t>Nel prendere quindi</w:t>
      </w:r>
      <w:r w:rsidR="00333C13">
        <w:t xml:space="preserve"> in considerazione le circostanze in base a cui uno Stato può essere ritenuto internazionalmente responsabile per i comportamenti adotta</w:t>
      </w:r>
      <w:r w:rsidR="00C34C59">
        <w:t>ti da individui o enti che, pur</w:t>
      </w:r>
      <w:r w:rsidR="00333C13">
        <w:t xml:space="preserve"> non godendo della qualità organica in base al diritto interno, agiscono in fatto per suo conto, </w:t>
      </w:r>
      <w:r w:rsidR="00536700">
        <w:t>la Corte ha sottolineato come i</w:t>
      </w:r>
      <w:r w:rsidR="00333C13">
        <w:t xml:space="preserve"> </w:t>
      </w:r>
      <w:r w:rsidR="00A0144B">
        <w:t xml:space="preserve">criteri utilizzati </w:t>
      </w:r>
      <w:r w:rsidR="006E777F">
        <w:t xml:space="preserve">per le forze armate </w:t>
      </w:r>
      <w:r w:rsidR="00333C13">
        <w:t xml:space="preserve">non possono </w:t>
      </w:r>
      <w:r w:rsidR="00A0144B">
        <w:t xml:space="preserve">essere </w:t>
      </w:r>
      <w:r w:rsidR="00333C13">
        <w:t xml:space="preserve">eccessivamente rigidi. </w:t>
      </w:r>
    </w:p>
    <w:p w:rsidR="00333C13" w:rsidRDefault="00333C13" w:rsidP="00EB037D">
      <w:pPr>
        <w:spacing w:after="0" w:line="360" w:lineRule="auto"/>
        <w:ind w:firstLine="284"/>
        <w:jc w:val="both"/>
      </w:pPr>
      <w:r>
        <w:t xml:space="preserve">La </w:t>
      </w:r>
      <w:r w:rsidRPr="00EF6E53">
        <w:rPr>
          <w:i/>
        </w:rPr>
        <w:t>ratio</w:t>
      </w:r>
      <w:r>
        <w:t xml:space="preserve"> della formulazione dell’art. 8 adottato in prima lettura dalla CDI sarebbe difatti quella di evitare che uno Stato, dopo aver delegato in fatto a privati lo svolgimento di attività che non potrebbero essere svolte legittimamente dai propri organi, tenti di sfuggire alla sua responsabilità internazionale argomentando che tali individui o enti, pur avendo esercitato pubbliche funzioni, non godono della qualità di organo nel diritto interno. L’esigenza di garantire la sicurezza delle relazioni internazional</w:t>
      </w:r>
      <w:r w:rsidR="006C6C5A">
        <w:t>i impone che gli Stati non possa</w:t>
      </w:r>
      <w:r>
        <w:t xml:space="preserve">no permettere che individui agiscano di fatto per suo conto, per poi dissociarsi dal loro operato nell’eventualità in cui commettano un </w:t>
      </w:r>
      <w:r w:rsidR="00A00B64">
        <w:t xml:space="preserve">fatto </w:t>
      </w:r>
      <w:r>
        <w:t>illecito</w:t>
      </w:r>
      <w:r>
        <w:rPr>
          <w:rStyle w:val="Rimandonotaapidipagina"/>
        </w:rPr>
        <w:footnoteReference w:id="465"/>
      </w:r>
      <w:r>
        <w:t>.</w:t>
      </w:r>
    </w:p>
    <w:p w:rsidR="00333C13" w:rsidRDefault="00333C13" w:rsidP="00EB037D">
      <w:pPr>
        <w:spacing w:after="0" w:line="360" w:lineRule="auto"/>
        <w:ind w:firstLine="284"/>
        <w:jc w:val="both"/>
      </w:pPr>
      <w:r>
        <w:t xml:space="preserve">Pur riconoscendo che in diritto internazionale il requisito per riferire allo Stato le condotte adottate da privati </w:t>
      </w:r>
      <w:r w:rsidR="00DE4DC1">
        <w:t>che agiscono</w:t>
      </w:r>
      <w:r w:rsidR="00C34C59">
        <w:t xml:space="preserve"> </w:t>
      </w:r>
      <w:r w:rsidR="00DE4DC1">
        <w:t xml:space="preserve">per suo conto </w:t>
      </w:r>
      <w:r>
        <w:t xml:space="preserve">è che lo Stato abbia esercitato un controllo sulle loro attività, secondo la Camera d’appello, il grado di controllo richiesto ai fini dell’attribuzione varierebbe in funzione delle singole circostanze fattuali. </w:t>
      </w:r>
    </w:p>
    <w:p w:rsidR="00333C13" w:rsidRDefault="00333C13" w:rsidP="00EB037D">
      <w:pPr>
        <w:spacing w:after="0" w:line="360" w:lineRule="auto"/>
        <w:ind w:firstLine="284"/>
        <w:jc w:val="both"/>
      </w:pPr>
      <w:r w:rsidRPr="00AB0BAA">
        <w:t xml:space="preserve">Nell’eventualità in cui un individuo o un gruppo </w:t>
      </w:r>
      <w:r w:rsidR="005966CA" w:rsidRPr="00AB0BAA">
        <w:t xml:space="preserve">non organizzato </w:t>
      </w:r>
      <w:r w:rsidRPr="00AB0BAA">
        <w:t>di individu</w:t>
      </w:r>
      <w:r w:rsidR="003F391D" w:rsidRPr="00AB0BAA">
        <w:t>i</w:t>
      </w:r>
      <w:r w:rsidR="003F391D">
        <w:t xml:space="preserve">, nello svolgere una </w:t>
      </w:r>
      <w:r>
        <w:t>attività</w:t>
      </w:r>
      <w:r w:rsidR="003F391D">
        <w:t xml:space="preserve"> lecita</w:t>
      </w:r>
      <w:r>
        <w:t xml:space="preserve"> che era stata loro di fatto affidata dallo Stato, commettano un fatto illecito:</w:t>
      </w:r>
    </w:p>
    <w:p w:rsidR="00333C13" w:rsidRPr="004873EC" w:rsidRDefault="00333C13" w:rsidP="00EB037D">
      <w:pPr>
        <w:spacing w:after="0" w:line="360" w:lineRule="auto"/>
        <w:ind w:firstLine="284"/>
        <w:jc w:val="both"/>
      </w:pPr>
    </w:p>
    <w:p w:rsidR="00333C13" w:rsidRPr="004873EC" w:rsidRDefault="00333C13" w:rsidP="00EB037D">
      <w:pPr>
        <w:spacing w:after="0" w:line="360" w:lineRule="auto"/>
        <w:ind w:left="567" w:right="567" w:firstLine="284"/>
        <w:jc w:val="both"/>
        <w:rPr>
          <w:lang w:val="en-US"/>
        </w:rPr>
      </w:pPr>
      <w:r w:rsidRPr="004873EC">
        <w:rPr>
          <w:lang w:val="en-US"/>
        </w:rPr>
        <w:t xml:space="preserve">“[…] by anology with the rules concerning State responsibility for acts of State officials acting </w:t>
      </w:r>
      <w:r w:rsidRPr="006E777F">
        <w:rPr>
          <w:i/>
          <w:lang w:val="en-US"/>
        </w:rPr>
        <w:t>ultra vires</w:t>
      </w:r>
      <w:r w:rsidRPr="004873EC">
        <w:rPr>
          <w:lang w:val="en-US"/>
        </w:rPr>
        <w:t>, it can be held that the State incurs responsibility on account of its specific request to the private individual o</w:t>
      </w:r>
      <w:r w:rsidR="002508A7">
        <w:rPr>
          <w:lang w:val="en-US"/>
        </w:rPr>
        <w:t>r</w:t>
      </w:r>
      <w:r w:rsidRPr="004873EC">
        <w:rPr>
          <w:lang w:val="en-US"/>
        </w:rPr>
        <w:t xml:space="preserve"> individuals to discharge a task on its behalf”</w:t>
      </w:r>
      <w:r w:rsidRPr="004873EC">
        <w:rPr>
          <w:rStyle w:val="Rimandonotaapidipagina"/>
          <w:lang w:val="en-US"/>
        </w:rPr>
        <w:footnoteReference w:id="466"/>
      </w:r>
      <w:r w:rsidRPr="004873EC">
        <w:rPr>
          <w:lang w:val="en-US"/>
        </w:rPr>
        <w:t>.</w:t>
      </w:r>
    </w:p>
    <w:p w:rsidR="00333C13" w:rsidRDefault="00333C13" w:rsidP="00EB037D">
      <w:pPr>
        <w:spacing w:after="0" w:line="360" w:lineRule="auto"/>
        <w:ind w:firstLine="284"/>
        <w:jc w:val="both"/>
        <w:rPr>
          <w:lang w:val="en-US"/>
        </w:rPr>
      </w:pPr>
    </w:p>
    <w:p w:rsidR="00333C13" w:rsidRDefault="00333C13" w:rsidP="00EB037D">
      <w:pPr>
        <w:spacing w:after="0" w:line="360" w:lineRule="auto"/>
        <w:ind w:firstLine="284"/>
        <w:jc w:val="both"/>
      </w:pPr>
      <w:r w:rsidRPr="00A41FBA">
        <w:t>Nonostante quindi non vengano rispettate le istruzioni impartite, lo Stato dovrebbe comunque rispond</w:t>
      </w:r>
      <w:r>
        <w:t>ere in ambito interna</w:t>
      </w:r>
      <w:r w:rsidR="003F391D">
        <w:t xml:space="preserve">zionale degli eventuali </w:t>
      </w:r>
      <w:r w:rsidR="00042154">
        <w:t xml:space="preserve">illeciti </w:t>
      </w:r>
      <w:r>
        <w:t>in quanto commessi da individui che, pur non essendo formalmente integrati a livello organizzativo nella struttura di governo, esercitano in fatto funzioni implicanti l’esercizio di pubblici poteri per conto dello Stato.</w:t>
      </w:r>
      <w:r w:rsidR="002508A7">
        <w:t xml:space="preserve"> A differenza di quanto accade con riferimento agli organi </w:t>
      </w:r>
      <w:r w:rsidR="002508A7" w:rsidRPr="00E63B1F">
        <w:rPr>
          <w:i/>
        </w:rPr>
        <w:t>de jure</w:t>
      </w:r>
      <w:r w:rsidR="002508A7">
        <w:t xml:space="preserve">, </w:t>
      </w:r>
      <w:r w:rsidR="00E63B1F">
        <w:t xml:space="preserve">nell’ipotesi qui </w:t>
      </w:r>
      <w:r w:rsidR="002508A7">
        <w:t>presa in esame l’attribuzione</w:t>
      </w:r>
      <w:r w:rsidR="00E63B1F">
        <w:t xml:space="preserve"> di condotte allo Stato</w:t>
      </w:r>
      <w:r w:rsidR="002508A7">
        <w:t xml:space="preserve"> non è </w:t>
      </w:r>
      <w:r w:rsidR="00E63B1F">
        <w:t xml:space="preserve">naturalmente </w:t>
      </w:r>
      <w:r w:rsidR="002508A7">
        <w:t xml:space="preserve">condizionata </w:t>
      </w:r>
      <w:r w:rsidR="00E63B1F">
        <w:t>d</w:t>
      </w:r>
      <w:r w:rsidR="002508A7">
        <w:t>alla circostanza che l’ind</w:t>
      </w:r>
      <w:r w:rsidR="00E63B1F">
        <w:t xml:space="preserve">ividuo o ente abbia agito nell’esercizio delle sue funzioni, bensì </w:t>
      </w:r>
      <w:r w:rsidR="0050243D">
        <w:t>d</w:t>
      </w:r>
      <w:r w:rsidR="00E63B1F">
        <w:t>al fatto che sia stato lo stesso Stato a incaricarlo dello svolgimento di attività espressione dei suoi poteri sovrani.</w:t>
      </w:r>
    </w:p>
    <w:p w:rsidR="00333C13" w:rsidRDefault="00333C13" w:rsidP="00EB037D">
      <w:pPr>
        <w:spacing w:after="0" w:line="360" w:lineRule="auto"/>
        <w:ind w:firstLine="284"/>
        <w:jc w:val="both"/>
      </w:pPr>
      <w:r>
        <w:t>La Camera d’appello ha poi sottolineato la necessità di distinguere la situazione in cui individui o enti agiscono per conto dello Stato senza specifiche istruzioni rispetto al caso dei gruppi militari o paramilitari organizzati, degli irr</w:t>
      </w:r>
      <w:r w:rsidR="003F391D">
        <w:t>egolari o dei ribelli. In presenza di</w:t>
      </w:r>
      <w:r w:rsidR="006E777F">
        <w:t xml:space="preserve"> una catena di comando e di</w:t>
      </w:r>
      <w:r>
        <w:t xml:space="preserve"> regole ben prestabilite, si presuppone che la condotta posta in essere da un individuo rispecchi la volontà del gruppo.</w:t>
      </w:r>
      <w:r w:rsidRPr="00AE2DB0">
        <w:t xml:space="preserve"> </w:t>
      </w:r>
    </w:p>
    <w:p w:rsidR="00333C13" w:rsidRDefault="00333C13" w:rsidP="00EB037D">
      <w:pPr>
        <w:spacing w:after="0" w:line="360" w:lineRule="auto"/>
        <w:ind w:firstLine="284"/>
        <w:jc w:val="both"/>
      </w:pPr>
      <w:r>
        <w:t>In tale circostanza non risulterebbe pertanto necessario accertare che il gruppo abbia agito dietro istruzioni di organi statali con riferimento ad ogni singola condotta al fine di attribuire la loro attività allo Stato, bensì sarebbe sufficiente verificare l’esistenza di un controllo generale sul loro operato, che si reputa esistente nel caso in cui gli organi statali abbiano equipaggiato e finanziato il gruppo ed abbiano partecipato alla pianificazione generale della sua attività.</w:t>
      </w:r>
    </w:p>
    <w:p w:rsidR="00333C13" w:rsidRDefault="00333C13" w:rsidP="00EB037D">
      <w:pPr>
        <w:spacing w:after="0" w:line="360" w:lineRule="auto"/>
        <w:ind w:firstLine="284"/>
        <w:jc w:val="both"/>
      </w:pPr>
      <w:r>
        <w:t xml:space="preserve">Secondo la Camera, la circostanza che lo Stato sia responsabile delle condotte dei membri del gruppo indipendentemente da qualsiasi istruzione ad essi impartita, rende tali individui assimilabili agli organi statali. I comportamenti adottati nello svolgimento delle funzioni di governo da questi in fatto esercitate devono considerarsi in via generale attribuibili allo Stato: </w:t>
      </w:r>
    </w:p>
    <w:p w:rsidR="00333C13" w:rsidRPr="00987AB0" w:rsidRDefault="00333C13" w:rsidP="00EB037D">
      <w:pPr>
        <w:spacing w:after="0" w:line="360" w:lineRule="auto"/>
        <w:ind w:firstLine="284"/>
        <w:jc w:val="both"/>
      </w:pPr>
    </w:p>
    <w:p w:rsidR="00333C13" w:rsidRPr="00987AB0" w:rsidRDefault="00333C13" w:rsidP="00EB037D">
      <w:pPr>
        <w:spacing w:after="0" w:line="360" w:lineRule="auto"/>
        <w:ind w:left="567" w:right="567" w:firstLine="284"/>
        <w:jc w:val="both"/>
        <w:rPr>
          <w:lang w:val="en-US"/>
        </w:rPr>
      </w:pPr>
      <w:r w:rsidRPr="00987AB0">
        <w:rPr>
          <w:lang w:val="en-US"/>
        </w:rPr>
        <w:t xml:space="preserve">“Under the rules of State responsibility, as restated in Article 10 of the Draft on State Responsibility as provisionally adopted by the International Law Commission, a State is internationally accountable for </w:t>
      </w:r>
      <w:r w:rsidRPr="00AA4977">
        <w:rPr>
          <w:i/>
          <w:lang w:val="en-US"/>
        </w:rPr>
        <w:t>ultra vires</w:t>
      </w:r>
      <w:r w:rsidRPr="00987AB0">
        <w:rPr>
          <w:lang w:val="en-US"/>
        </w:rPr>
        <w:t xml:space="preserve"> acts or transactions of its organs. In other words it incurs responsibility even for acts committed by its officials outside their remit or contrary to its behest. The rationale behind this provision is that a State must be held accountable for acts of its organs whether or not these organs complied with instructions, if any, from the higher authorities. Generally speaking, it can be maintained that the whole body of international law on State responsibility is based on a realistic concept of accountability, which disregards legal formalities and aims at ensuring that States entrusting some functions to individuals or groups of individuals must answer for their actions, even when they act contrary to their directives. The same logic should apply to the situation under discussion. As noted above, the situation of an organised group is different from that of a single private individual performing a specific act on behalf of a State. In the case of an organised group, the group normally engages in a series of activities. If it is under the overall control of a State, it must perforce engage the responsibility of that State for its activities, whether or not each of them was specifically imposed, requested or directed by the State. To a large extent the wise words used by the United States-Mexico General Claims Commission in the </w:t>
      </w:r>
      <w:r w:rsidRPr="006E777F">
        <w:rPr>
          <w:i/>
          <w:lang w:val="en-US"/>
        </w:rPr>
        <w:t>Youmans</w:t>
      </w:r>
      <w:r w:rsidRPr="00987AB0">
        <w:rPr>
          <w:lang w:val="en-US"/>
        </w:rPr>
        <w:t xml:space="preserve"> case with regard to State responsibility for acts of State military officials should hold true for acts of organised groups over which a State exercises overall control”</w:t>
      </w:r>
      <w:r w:rsidRPr="00987AB0">
        <w:rPr>
          <w:rStyle w:val="Rimandonotaapidipagina"/>
          <w:lang w:val="en-US"/>
        </w:rPr>
        <w:footnoteReference w:id="467"/>
      </w:r>
      <w:r w:rsidRPr="00987AB0">
        <w:rPr>
          <w:lang w:val="en-US"/>
        </w:rPr>
        <w:t>.</w:t>
      </w:r>
    </w:p>
    <w:p w:rsidR="00333C13" w:rsidRPr="00987AB0" w:rsidRDefault="00333C13" w:rsidP="00EB037D">
      <w:pPr>
        <w:spacing w:after="0" w:line="360" w:lineRule="auto"/>
        <w:ind w:right="567" w:firstLine="284"/>
        <w:jc w:val="both"/>
        <w:rPr>
          <w:lang w:val="en-US"/>
        </w:rPr>
      </w:pPr>
    </w:p>
    <w:p w:rsidR="00333C13" w:rsidRPr="00AA4977" w:rsidRDefault="00333C13" w:rsidP="00EB037D">
      <w:pPr>
        <w:spacing w:after="0" w:line="360" w:lineRule="auto"/>
        <w:ind w:firstLine="284"/>
        <w:jc w:val="both"/>
      </w:pPr>
      <w:r w:rsidRPr="005E3D32">
        <w:t>La Camera ha avuto modo però di precisare che, mentre nel caso della commissione di fatti illeciti</w:t>
      </w:r>
      <w:r>
        <w:t xml:space="preserve"> </w:t>
      </w:r>
      <w:r w:rsidRPr="005E3D32">
        <w:rPr>
          <w:i/>
        </w:rPr>
        <w:t>ultra vires</w:t>
      </w:r>
      <w:r>
        <w:t xml:space="preserve"> da parte di un </w:t>
      </w:r>
      <w:r w:rsidRPr="005E3D32">
        <w:t>organo</w:t>
      </w:r>
      <w:r w:rsidR="0050243D">
        <w:t xml:space="preserve"> </w:t>
      </w:r>
      <w:r w:rsidR="0050243D" w:rsidRPr="0050243D">
        <w:rPr>
          <w:i/>
        </w:rPr>
        <w:t>de jure</w:t>
      </w:r>
      <w:r w:rsidRPr="005E3D32">
        <w:t xml:space="preserve"> la responsabilità internazionale</w:t>
      </w:r>
      <w:r>
        <w:t xml:space="preserve"> dello Stato</w:t>
      </w:r>
      <w:r w:rsidRPr="005E3D32">
        <w:t xml:space="preserve"> sorge </w:t>
      </w:r>
      <w:r>
        <w:t>in vir</w:t>
      </w:r>
      <w:r w:rsidR="00987AB0">
        <w:t xml:space="preserve">tù della qualifica organica </w:t>
      </w:r>
      <w:r>
        <w:t>riconosciuta</w:t>
      </w:r>
      <w:r w:rsidR="00987AB0">
        <w:t>gli</w:t>
      </w:r>
      <w:r>
        <w:t xml:space="preserve"> dall’ordinamento interno, per quanto concerne i gruppi organizzati la responsabilità internazionale deve intendersi come il </w:t>
      </w:r>
      <w:r w:rsidRPr="00AA4977">
        <w:t>corollario del controllo generale esercitato su di essi dallo Stato</w:t>
      </w:r>
      <w:r w:rsidRPr="00AA4977">
        <w:rPr>
          <w:rStyle w:val="Rimandonotaapidipagina"/>
        </w:rPr>
        <w:footnoteReference w:id="468"/>
      </w:r>
      <w:r w:rsidRPr="00AA4977">
        <w:t xml:space="preserve">. </w:t>
      </w:r>
    </w:p>
    <w:p w:rsidR="00333C13" w:rsidRDefault="00333C13" w:rsidP="00EB037D">
      <w:pPr>
        <w:spacing w:after="0" w:line="360" w:lineRule="auto"/>
        <w:ind w:firstLine="284"/>
        <w:jc w:val="both"/>
      </w:pPr>
      <w:r>
        <w:t>Nel caso dell’</w:t>
      </w:r>
      <w:r w:rsidR="00987AB0">
        <w:t>individuo-</w:t>
      </w:r>
      <w:r>
        <w:t>organo, quindi, è necessario accertare se chi ha agito int</w:t>
      </w:r>
      <w:r w:rsidR="00E6543D">
        <w:t xml:space="preserve">rattiene con lo Stato un legame </w:t>
      </w:r>
      <w:r w:rsidR="003F391D">
        <w:t xml:space="preserve">a tal punto stretto </w:t>
      </w:r>
      <w:r>
        <w:t xml:space="preserve">da giustificare la riconducibilità in via generale del comportamento allo Stato anche nel caso in cui abbia agito </w:t>
      </w:r>
      <w:r w:rsidRPr="00935223">
        <w:rPr>
          <w:i/>
        </w:rPr>
        <w:t>ultra vires</w:t>
      </w:r>
      <w:r>
        <w:t xml:space="preserve">. Nell’ipotesi </w:t>
      </w:r>
      <w:r w:rsidR="00987AB0">
        <w:t>di gruppi di individui non organi ma sottoposti a</w:t>
      </w:r>
      <w:r>
        <w:t>l controllo globale invece, l’attribuzione dipende dall’esistenza tra lo Stato e il gruppo organizzato di un rapporto fattuale costituitosi in forza della partecipazione statale al finanziamento e alla pianificazione generale della sua attività.</w:t>
      </w:r>
    </w:p>
    <w:p w:rsidR="00333C13" w:rsidRDefault="00333C13" w:rsidP="00EB037D">
      <w:pPr>
        <w:spacing w:after="0" w:line="360" w:lineRule="auto"/>
        <w:ind w:firstLine="284"/>
        <w:jc w:val="both"/>
      </w:pPr>
      <w:r>
        <w:t>È stato da ultimo affermato dalla Camera un terzo criterio attributivo fondato sull’esistenza di un legame fattuale tra un singolo individuo e lo Stato, in base al quale individui o enti possono essere assimilati ad organi dello Stato in ragione della collocazione della loro attività nella struttura organizzativa statale. Con riferimento a tali individui o enti, non risulta determinante ai fini dell’attribuzione</w:t>
      </w:r>
      <w:r w:rsidR="00987AB0">
        <w:t xml:space="preserve"> accertare se vi siano state istruzioni</w:t>
      </w:r>
      <w:r>
        <w:t xml:space="preserve"> da parte di organi dello Stato:</w:t>
      </w:r>
    </w:p>
    <w:p w:rsidR="00333C13" w:rsidRDefault="00333C13" w:rsidP="00EB037D">
      <w:pPr>
        <w:spacing w:after="0" w:line="360" w:lineRule="auto"/>
        <w:ind w:firstLine="284"/>
        <w:jc w:val="both"/>
      </w:pPr>
    </w:p>
    <w:p w:rsidR="00333C13" w:rsidRPr="007767AE" w:rsidRDefault="00333C13" w:rsidP="00EB037D">
      <w:pPr>
        <w:spacing w:after="0" w:line="360" w:lineRule="auto"/>
        <w:ind w:left="567" w:right="567" w:firstLine="284"/>
        <w:jc w:val="both"/>
        <w:rPr>
          <w:lang w:val="en-US"/>
        </w:rPr>
      </w:pPr>
      <w:r w:rsidRPr="007767AE">
        <w:rPr>
          <w:lang w:val="en-US"/>
        </w:rPr>
        <w:t>“The Appeals Chamber holds the view that international law aslo embraces a third test. This test is the assimilation of individuals to State organs on account of their actual behaviour within the structure of a State ( and regardless of any possible requirement of State instructions)”</w:t>
      </w:r>
      <w:r w:rsidRPr="007767AE">
        <w:rPr>
          <w:rStyle w:val="Rimandonotaapidipagina"/>
        </w:rPr>
        <w:footnoteReference w:id="469"/>
      </w:r>
      <w:r w:rsidRPr="007767AE">
        <w:rPr>
          <w:lang w:val="en-US"/>
        </w:rPr>
        <w:t>.</w:t>
      </w:r>
    </w:p>
    <w:p w:rsidR="003718A7" w:rsidRDefault="003718A7" w:rsidP="00EB037D">
      <w:pPr>
        <w:spacing w:after="0" w:line="360" w:lineRule="auto"/>
        <w:ind w:left="567" w:right="567" w:firstLine="284"/>
        <w:jc w:val="both"/>
        <w:rPr>
          <w:lang w:val="en-US"/>
        </w:rPr>
      </w:pPr>
    </w:p>
    <w:p w:rsidR="00333C13" w:rsidRPr="003A7F70" w:rsidRDefault="003718A7" w:rsidP="00EB037D">
      <w:pPr>
        <w:spacing w:after="0" w:line="360" w:lineRule="auto"/>
        <w:ind w:firstLine="284"/>
        <w:jc w:val="both"/>
      </w:pPr>
      <w:r>
        <w:t xml:space="preserve">La Camera d’appello ha </w:t>
      </w:r>
      <w:r w:rsidR="00B55099">
        <w:t xml:space="preserve">dunque </w:t>
      </w:r>
      <w:r>
        <w:t xml:space="preserve">riconosciuto che comportamenti adottati da un gruppo di fatto controllato dallo Stato devono essere ad esso attribuiti anche nella circostanza in cui siano stati tenuti in violazione di </w:t>
      </w:r>
      <w:r w:rsidRPr="003A7F70">
        <w:t>istruzioni ricevute da parte di organi statali.</w:t>
      </w:r>
    </w:p>
    <w:p w:rsidR="00333C13" w:rsidRPr="005C1D7F" w:rsidRDefault="003A7F70" w:rsidP="00EB037D">
      <w:pPr>
        <w:spacing w:after="0" w:line="360" w:lineRule="auto"/>
        <w:ind w:firstLine="284"/>
        <w:jc w:val="both"/>
        <w:rPr>
          <w:lang w:val="en-US"/>
        </w:rPr>
      </w:pPr>
      <w:r w:rsidRPr="003A7F70">
        <w:t xml:space="preserve">Quanto sostenuto porta a concludere che </w:t>
      </w:r>
      <w:r w:rsidR="00333C13" w:rsidRPr="003A7F70">
        <w:t xml:space="preserve">il criterio del controllo globale </w:t>
      </w:r>
      <w:r w:rsidR="00E41FA0">
        <w:t xml:space="preserve">conduce </w:t>
      </w:r>
      <w:r w:rsidR="00333C13" w:rsidRPr="003A7F70">
        <w:t xml:space="preserve">a conseguenze giuridiche equivalenti rispetto al criterio che si fonda sullo </w:t>
      </w:r>
      <w:r w:rsidR="00333C13" w:rsidRPr="003A7F70">
        <w:rPr>
          <w:i/>
        </w:rPr>
        <w:t xml:space="preserve">status </w:t>
      </w:r>
      <w:r w:rsidR="00333C13" w:rsidRPr="003A7F70">
        <w:t xml:space="preserve">organico. </w:t>
      </w:r>
      <w:r w:rsidRPr="005C1D7F">
        <w:rPr>
          <w:lang w:val="en-US"/>
        </w:rPr>
        <w:t xml:space="preserve">Alla luce di quanto </w:t>
      </w:r>
      <w:r w:rsidR="00E41FA0">
        <w:rPr>
          <w:lang w:val="en-US"/>
        </w:rPr>
        <w:t xml:space="preserve">affermato </w:t>
      </w:r>
      <w:r w:rsidRPr="005C1D7F">
        <w:rPr>
          <w:lang w:val="en-US"/>
        </w:rPr>
        <w:t>dalla Camera d’appello:</w:t>
      </w:r>
    </w:p>
    <w:p w:rsidR="00333C13" w:rsidRPr="005C1D7F" w:rsidRDefault="00333C13" w:rsidP="00EB037D">
      <w:pPr>
        <w:spacing w:after="0" w:line="360" w:lineRule="auto"/>
        <w:ind w:firstLine="284"/>
        <w:jc w:val="both"/>
        <w:rPr>
          <w:lang w:val="en-US"/>
        </w:rPr>
      </w:pPr>
    </w:p>
    <w:p w:rsidR="00333C13" w:rsidRPr="00B55099" w:rsidRDefault="00333C13" w:rsidP="00EB037D">
      <w:pPr>
        <w:spacing w:after="0" w:line="360" w:lineRule="auto"/>
        <w:ind w:left="567" w:right="567" w:firstLine="284"/>
        <w:jc w:val="both"/>
        <w:rPr>
          <w:lang w:val="en-US"/>
        </w:rPr>
      </w:pPr>
      <w:r w:rsidRPr="005C1D7F">
        <w:rPr>
          <w:lang w:val="en-US"/>
        </w:rPr>
        <w:t xml:space="preserve"> </w:t>
      </w:r>
      <w:r w:rsidRPr="00B55099">
        <w:rPr>
          <w:lang w:val="en-US"/>
        </w:rPr>
        <w:t xml:space="preserve">“…despite these legal differences, the fact nevertheless remains that international law renders any State responsible for acts in breach of international law performed by (i) individuals having the formal status of organs of a State (and this occurs even when these organs act </w:t>
      </w:r>
      <w:r w:rsidRPr="00AA4977">
        <w:rPr>
          <w:i/>
          <w:lang w:val="en-US"/>
        </w:rPr>
        <w:t>ultra vires</w:t>
      </w:r>
      <w:r w:rsidRPr="00B55099">
        <w:rPr>
          <w:lang w:val="en-US"/>
        </w:rPr>
        <w:t xml:space="preserve"> or contra legem) or (ii) individuals who make up organized groups subject to the State’s control”</w:t>
      </w:r>
      <w:r w:rsidRPr="00B55099">
        <w:rPr>
          <w:rStyle w:val="Rimandonotaapidipagina"/>
        </w:rPr>
        <w:footnoteReference w:id="470"/>
      </w:r>
      <w:r w:rsidRPr="00B55099">
        <w:rPr>
          <w:lang w:val="en-US"/>
        </w:rPr>
        <w:t>.</w:t>
      </w:r>
    </w:p>
    <w:p w:rsidR="00333C13" w:rsidRDefault="00333C13" w:rsidP="00EB037D">
      <w:pPr>
        <w:spacing w:after="0" w:line="360" w:lineRule="auto"/>
        <w:ind w:firstLine="284"/>
        <w:jc w:val="both"/>
        <w:rPr>
          <w:lang w:val="en-US"/>
        </w:rPr>
      </w:pPr>
    </w:p>
    <w:p w:rsidR="00333C13" w:rsidRPr="00561C4D" w:rsidRDefault="00333C13" w:rsidP="00EB037D">
      <w:pPr>
        <w:spacing w:after="0" w:line="360" w:lineRule="auto"/>
        <w:ind w:firstLine="284"/>
        <w:jc w:val="both"/>
      </w:pPr>
      <w:r>
        <w:t>Pur ammettendo infat</w:t>
      </w:r>
      <w:r w:rsidR="00B55099">
        <w:t>ti che organi della Repubblica f</w:t>
      </w:r>
      <w:r>
        <w:t>ederale di Iugoslavia erano direttamente coinvolti nella pianificazione delle a</w:t>
      </w:r>
      <w:r w:rsidR="003718A7">
        <w:t>ttività dei gruppi armati serbo-</w:t>
      </w:r>
      <w:r>
        <w:t>bosniaci, la Camera d’appello non si è preoccupata di determinare l’effettivo contenuto di tali piani</w:t>
      </w:r>
      <w:r>
        <w:rPr>
          <w:rStyle w:val="Rimandonotaapidipagina"/>
        </w:rPr>
        <w:footnoteReference w:id="471"/>
      </w:r>
      <w:r>
        <w:t>. Sulla base dell’esistenza di un controllo globale, essa ha invece affermato che dov</w:t>
      </w:r>
      <w:r w:rsidR="00B55099">
        <w:t>evano essere riferiti alla Repubblica federale di Iugoslavia</w:t>
      </w:r>
      <w:r>
        <w:t xml:space="preserve"> tutti i comportamenti adottati dal gruppo, pervenendo pertanto alle medesime conclusioni </w:t>
      </w:r>
      <w:r w:rsidR="00B55099">
        <w:t xml:space="preserve">per quanto attiene all’attribuzione di comportamenti </w:t>
      </w:r>
      <w:r>
        <w:t xml:space="preserve">a cui si sarebbe giunti mediante la loro assimilazione ad organi statali. </w:t>
      </w:r>
    </w:p>
    <w:p w:rsidR="00B55099" w:rsidRDefault="00333C13" w:rsidP="009D54AA">
      <w:pPr>
        <w:spacing w:after="0" w:line="360" w:lineRule="auto"/>
        <w:ind w:firstLine="284"/>
        <w:jc w:val="both"/>
      </w:pPr>
      <w:r w:rsidRPr="00847519">
        <w:t xml:space="preserve">Una implicita conferma risiede inoltre nel riconoscimento da parte della Camera </w:t>
      </w:r>
      <w:r w:rsidR="00E41FA0">
        <w:t xml:space="preserve">d’appello </w:t>
      </w:r>
      <w:r w:rsidRPr="00847519">
        <w:t>della possibilità che in alcune circostanze individui o gruppi di individui possono essere equiparati ai fini attributivi ad organi dello Stato. In tal caso si ritiene che tale eventualità si sia realizzata con riferimento ad un gruppo organizzato operante in stretto collegamento con l’org</w:t>
      </w:r>
      <w:r w:rsidR="009D54AA">
        <w:t>anizzazione formale dello Stato.</w:t>
      </w:r>
    </w:p>
    <w:p w:rsidR="00CD60B6" w:rsidRDefault="00CD60B6" w:rsidP="009D54AA">
      <w:pPr>
        <w:spacing w:after="0" w:line="360" w:lineRule="auto"/>
        <w:ind w:firstLine="284"/>
        <w:jc w:val="both"/>
      </w:pPr>
    </w:p>
    <w:p w:rsidR="00333C13" w:rsidRDefault="005C1D7F" w:rsidP="005C1D7F">
      <w:pPr>
        <w:spacing w:after="0" w:line="360" w:lineRule="auto"/>
        <w:ind w:left="360"/>
        <w:jc w:val="both"/>
      </w:pPr>
      <w:r>
        <w:t xml:space="preserve">6. </w:t>
      </w:r>
      <w:r>
        <w:tab/>
      </w:r>
      <w:r w:rsidR="00333C13">
        <w:t xml:space="preserve">La giurisprudenza della Corte internazionale di giustizia </w:t>
      </w:r>
    </w:p>
    <w:p w:rsidR="00333C13" w:rsidRDefault="00333C13" w:rsidP="00EB037D">
      <w:pPr>
        <w:spacing w:after="0" w:line="360" w:lineRule="auto"/>
        <w:ind w:firstLine="284"/>
        <w:jc w:val="both"/>
      </w:pPr>
    </w:p>
    <w:p w:rsidR="0026066F" w:rsidRDefault="0026066F" w:rsidP="005115FE">
      <w:pPr>
        <w:spacing w:after="0" w:line="360" w:lineRule="auto"/>
        <w:ind w:left="567"/>
        <w:jc w:val="both"/>
      </w:pPr>
      <w:r>
        <w:t xml:space="preserve">6.1 La sentenza resa nel caso delle </w:t>
      </w:r>
      <w:r w:rsidRPr="0026066F">
        <w:rPr>
          <w:i/>
        </w:rPr>
        <w:t>Attività militari e paramilitari in e contro il Nicaragua</w:t>
      </w:r>
    </w:p>
    <w:p w:rsidR="0026066F" w:rsidRDefault="0026066F" w:rsidP="0026066F">
      <w:pPr>
        <w:spacing w:after="0" w:line="360" w:lineRule="auto"/>
        <w:ind w:firstLine="708"/>
        <w:jc w:val="both"/>
      </w:pPr>
    </w:p>
    <w:p w:rsidR="009B704D" w:rsidRDefault="009B704D" w:rsidP="00312DA1">
      <w:pPr>
        <w:pStyle w:val="Testonotaapidipagina"/>
        <w:spacing w:line="360" w:lineRule="auto"/>
        <w:ind w:firstLine="284"/>
        <w:jc w:val="both"/>
        <w:rPr>
          <w:sz w:val="22"/>
          <w:szCs w:val="22"/>
        </w:rPr>
      </w:pPr>
      <w:r w:rsidRPr="00647A63">
        <w:rPr>
          <w:sz w:val="22"/>
          <w:szCs w:val="22"/>
        </w:rPr>
        <w:t xml:space="preserve">La Corte internazionale di giustizia si è occupata del problema dell’attribuzione allo Stato delle condotte </w:t>
      </w:r>
      <w:r>
        <w:rPr>
          <w:sz w:val="22"/>
          <w:szCs w:val="22"/>
        </w:rPr>
        <w:t xml:space="preserve">dei propri organi in </w:t>
      </w:r>
      <w:r w:rsidR="007C431C">
        <w:rPr>
          <w:sz w:val="22"/>
          <w:szCs w:val="22"/>
        </w:rPr>
        <w:t xml:space="preserve">alcune </w:t>
      </w:r>
      <w:r w:rsidRPr="00647A63">
        <w:rPr>
          <w:sz w:val="22"/>
          <w:szCs w:val="22"/>
        </w:rPr>
        <w:t xml:space="preserve">pronunce relative alla riferibilità allo Stato delle condotte di gruppi armati che non sono organi statali in base all’ordinamento interno. </w:t>
      </w:r>
      <w:r w:rsidR="007C431C">
        <w:rPr>
          <w:sz w:val="22"/>
          <w:szCs w:val="22"/>
        </w:rPr>
        <w:t xml:space="preserve">Tali </w:t>
      </w:r>
      <w:r>
        <w:rPr>
          <w:sz w:val="22"/>
          <w:szCs w:val="22"/>
        </w:rPr>
        <w:t>pronunce rese dalla Corte internazionale di giustizia con riferimento alle condotte tenute da gruppi paramilitari si caratterizzano per una sostanziale uniformità</w:t>
      </w:r>
      <w:r w:rsidR="00312DA1">
        <w:rPr>
          <w:sz w:val="22"/>
          <w:szCs w:val="22"/>
        </w:rPr>
        <w:t xml:space="preserve"> nell’affrontare tale questione. L</w:t>
      </w:r>
      <w:r>
        <w:rPr>
          <w:sz w:val="22"/>
          <w:szCs w:val="22"/>
        </w:rPr>
        <w:t>a soluzione prospettata dalla Corte muove</w:t>
      </w:r>
      <w:r w:rsidR="00312DA1">
        <w:rPr>
          <w:sz w:val="22"/>
          <w:szCs w:val="22"/>
        </w:rPr>
        <w:t xml:space="preserve"> </w:t>
      </w:r>
      <w:r>
        <w:rPr>
          <w:sz w:val="22"/>
          <w:szCs w:val="22"/>
        </w:rPr>
        <w:t>dal presupposto che</w:t>
      </w:r>
      <w:r w:rsidR="00312DA1">
        <w:rPr>
          <w:sz w:val="22"/>
          <w:szCs w:val="22"/>
        </w:rPr>
        <w:t>, oltre al criterio in base a cui devono r</w:t>
      </w:r>
      <w:r w:rsidR="00E41FA0">
        <w:rPr>
          <w:sz w:val="22"/>
          <w:szCs w:val="22"/>
        </w:rPr>
        <w:t>iferirsi allo Stato i comportam</w:t>
      </w:r>
      <w:r w:rsidR="00312DA1">
        <w:rPr>
          <w:sz w:val="22"/>
          <w:szCs w:val="22"/>
        </w:rPr>
        <w:t xml:space="preserve">enti tenuti nella qualità ufficiale dagli organi </w:t>
      </w:r>
      <w:r w:rsidR="00312DA1" w:rsidRPr="00312DA1">
        <w:rPr>
          <w:i/>
          <w:sz w:val="22"/>
          <w:szCs w:val="22"/>
        </w:rPr>
        <w:t>de jure</w:t>
      </w:r>
      <w:r w:rsidR="00312DA1">
        <w:rPr>
          <w:sz w:val="22"/>
          <w:szCs w:val="22"/>
        </w:rPr>
        <w:t xml:space="preserve">,  </w:t>
      </w:r>
      <w:r>
        <w:rPr>
          <w:sz w:val="22"/>
          <w:szCs w:val="22"/>
        </w:rPr>
        <w:t xml:space="preserve">esistono due differenti criteri per giustificare l’attribuzione allo Stato dei comportamenti adottati da individui ad esso legati da un rapporto fattuale. Al fine di riferire allo Stato in ambito internazionale delle condotte tenute dai gruppi paramilitari, la Corte, </w:t>
      </w:r>
      <w:r>
        <w:rPr>
          <w:i/>
          <w:sz w:val="22"/>
          <w:szCs w:val="22"/>
        </w:rPr>
        <w:t>in primis</w:t>
      </w:r>
      <w:r>
        <w:rPr>
          <w:sz w:val="22"/>
          <w:szCs w:val="22"/>
        </w:rPr>
        <w:t>, ha provveduto ad accertare l’esistenza di un legame organico di fatto in base a cui i membri del gruppo paramilitare potevano essere assimilati a coloro che godono dello</w:t>
      </w:r>
      <w:r>
        <w:rPr>
          <w:i/>
          <w:sz w:val="22"/>
          <w:szCs w:val="22"/>
        </w:rPr>
        <w:t xml:space="preserve"> status</w:t>
      </w:r>
      <w:r>
        <w:rPr>
          <w:sz w:val="22"/>
          <w:szCs w:val="22"/>
        </w:rPr>
        <w:t xml:space="preserve"> organico in base al diritto interno. Soltanto una volta accertata l’assenza di un tale legame, la Corte ha provveduto a verificare se l’attribuzione poteva trovare giustificazione sulla base del fatto che i paramilitari avevano agito dietro istruzioni o sotto il controllo effettivo degli organi statali.</w:t>
      </w:r>
    </w:p>
    <w:p w:rsidR="003D712E" w:rsidRDefault="003D712E" w:rsidP="009B704D">
      <w:pPr>
        <w:pStyle w:val="Testonotaapidipagina"/>
        <w:spacing w:line="360" w:lineRule="auto"/>
        <w:ind w:firstLine="284"/>
        <w:jc w:val="both"/>
      </w:pPr>
      <w:r>
        <w:rPr>
          <w:sz w:val="22"/>
          <w:szCs w:val="22"/>
        </w:rPr>
        <w:t>La prima occasione in cui la Corte ha utilizzato tali</w:t>
      </w:r>
      <w:r w:rsidRPr="003D712E">
        <w:rPr>
          <w:sz w:val="22"/>
          <w:szCs w:val="22"/>
        </w:rPr>
        <w:t xml:space="preserve"> </w:t>
      </w:r>
      <w:r>
        <w:rPr>
          <w:sz w:val="22"/>
          <w:szCs w:val="22"/>
        </w:rPr>
        <w:t xml:space="preserve">due criteri per giustificare l’attribuzione allo Stato dei comportamenti adottati da individui ad esso legati da un rapporto fattuale è stata nella sentenza resa </w:t>
      </w:r>
      <w:r w:rsidR="00335D5D">
        <w:rPr>
          <w:sz w:val="22"/>
          <w:szCs w:val="22"/>
        </w:rPr>
        <w:t xml:space="preserve">27 giugno 1986 </w:t>
      </w:r>
      <w:r>
        <w:rPr>
          <w:sz w:val="22"/>
          <w:szCs w:val="22"/>
        </w:rPr>
        <w:t xml:space="preserve">nel caso </w:t>
      </w:r>
      <w:r w:rsidRPr="007239A8">
        <w:rPr>
          <w:i/>
          <w:sz w:val="22"/>
          <w:szCs w:val="22"/>
        </w:rPr>
        <w:t>Attività militari e paramilitari in e contro il Nicaragua</w:t>
      </w:r>
      <w:r w:rsidR="00016459" w:rsidRPr="00016459">
        <w:rPr>
          <w:rStyle w:val="Rimandonotaapidipagina"/>
        </w:rPr>
        <w:footnoteReference w:id="472"/>
      </w:r>
      <w:r w:rsidRPr="00016459">
        <w:t>.</w:t>
      </w:r>
    </w:p>
    <w:p w:rsidR="00016459" w:rsidRPr="007239A8" w:rsidRDefault="00016459" w:rsidP="009B704D">
      <w:pPr>
        <w:pStyle w:val="Testonotaapidipagina"/>
        <w:spacing w:line="360" w:lineRule="auto"/>
        <w:ind w:firstLine="284"/>
        <w:jc w:val="both"/>
        <w:rPr>
          <w:sz w:val="22"/>
          <w:szCs w:val="22"/>
        </w:rPr>
      </w:pPr>
      <w:r w:rsidRPr="007239A8">
        <w:rPr>
          <w:sz w:val="22"/>
          <w:szCs w:val="22"/>
        </w:rPr>
        <w:t xml:space="preserve">Nonostante nel caso di specie la Corte non abbia direttamente affrontato il problema dell’attribuzione allo Stato sul piano internazionale dei fatti </w:t>
      </w:r>
      <w:r w:rsidRPr="007239A8">
        <w:rPr>
          <w:i/>
          <w:sz w:val="22"/>
          <w:szCs w:val="22"/>
        </w:rPr>
        <w:t>ultra vires</w:t>
      </w:r>
      <w:r w:rsidRPr="007239A8">
        <w:rPr>
          <w:sz w:val="22"/>
          <w:szCs w:val="22"/>
        </w:rPr>
        <w:t xml:space="preserve"> dei propri organi, una breve trattazione di tale pr</w:t>
      </w:r>
      <w:r w:rsidR="002D3BEA" w:rsidRPr="007239A8">
        <w:rPr>
          <w:sz w:val="22"/>
          <w:szCs w:val="22"/>
        </w:rPr>
        <w:t>onuncia pare comunque essenziale ai fini della presente indagine</w:t>
      </w:r>
      <w:r w:rsidR="007C431C" w:rsidRPr="007239A8">
        <w:rPr>
          <w:sz w:val="22"/>
          <w:szCs w:val="22"/>
        </w:rPr>
        <w:t>,</w:t>
      </w:r>
      <w:r w:rsidR="002D3BEA" w:rsidRPr="007239A8">
        <w:rPr>
          <w:sz w:val="22"/>
          <w:szCs w:val="22"/>
        </w:rPr>
        <w:t xml:space="preserve"> alla luce dei numerosi riferimenti all’orientamento seguito </w:t>
      </w:r>
      <w:r w:rsidR="0067012F">
        <w:rPr>
          <w:sz w:val="22"/>
          <w:szCs w:val="22"/>
        </w:rPr>
        <w:t>in tal sede d</w:t>
      </w:r>
      <w:r w:rsidR="002D3BEA" w:rsidRPr="007239A8">
        <w:rPr>
          <w:sz w:val="22"/>
          <w:szCs w:val="22"/>
        </w:rPr>
        <w:t>alla Corte riscontrabili nelle successive sentenze da essa rese sempre in materia di attribuzione ad uno Stato della condotta di gruppi armati.</w:t>
      </w:r>
    </w:p>
    <w:p w:rsidR="00406CFE" w:rsidRDefault="007C431C" w:rsidP="00B3507B">
      <w:pPr>
        <w:spacing w:after="0" w:line="360" w:lineRule="auto"/>
        <w:ind w:firstLine="708"/>
        <w:jc w:val="both"/>
        <w:rPr>
          <w:lang w:val="en-US"/>
        </w:rPr>
      </w:pPr>
      <w:r w:rsidRPr="007C431C">
        <w:t xml:space="preserve">Nella fattispecie, al fine di verificare se le attività dei ribelli anti-sandinisti (i c.d. </w:t>
      </w:r>
      <w:r w:rsidR="00E23880">
        <w:rPr>
          <w:i/>
        </w:rPr>
        <w:t>C</w:t>
      </w:r>
      <w:r w:rsidRPr="007239A8">
        <w:rPr>
          <w:i/>
        </w:rPr>
        <w:t>ontras</w:t>
      </w:r>
      <w:r w:rsidRPr="007C431C">
        <w:t xml:space="preserve">) </w:t>
      </w:r>
      <w:r w:rsidR="001B78EB">
        <w:t xml:space="preserve">erano attribuibili </w:t>
      </w:r>
      <w:r w:rsidRPr="007C431C">
        <w:t xml:space="preserve">agli Stati Uniti, la Corte internazionale di giustizia aveva </w:t>
      </w:r>
      <w:r w:rsidR="0067012F" w:rsidRPr="0067012F">
        <w:t>innanzitutto</w:t>
      </w:r>
      <w:r w:rsidRPr="0067012F">
        <w:t xml:space="preserve"> </w:t>
      </w:r>
      <w:r w:rsidRPr="007C431C">
        <w:t xml:space="preserve">verificato se </w:t>
      </w:r>
      <w:r w:rsidRPr="00B3507B">
        <w:t>tali individui potevano essere assimilati ad organi statali</w:t>
      </w:r>
      <w:r w:rsidR="00E23880">
        <w:t>,</w:t>
      </w:r>
      <w:r w:rsidR="00E23880" w:rsidRPr="00E23880">
        <w:t xml:space="preserve"> </w:t>
      </w:r>
      <w:r w:rsidR="00E23880" w:rsidRPr="00B3507B">
        <w:t xml:space="preserve">con la conseguenza che lo Stato avrebbe dovuto rispondere </w:t>
      </w:r>
      <w:r w:rsidR="00E23880">
        <w:t xml:space="preserve">in via generale </w:t>
      </w:r>
      <w:r w:rsidR="00E23880" w:rsidRPr="00B3507B">
        <w:t>di tutti i comportamenti da essi tenuti</w:t>
      </w:r>
      <w:r w:rsidR="007239A8" w:rsidRPr="00B3507B">
        <w:rPr>
          <w:rStyle w:val="Rimandonotaapidipagina"/>
        </w:rPr>
        <w:footnoteReference w:id="473"/>
      </w:r>
      <w:r w:rsidR="007239A8" w:rsidRPr="00B3507B">
        <w:t>.</w:t>
      </w:r>
      <w:r w:rsidR="00B3507B">
        <w:t xml:space="preserve"> </w:t>
      </w:r>
      <w:r w:rsidR="00B3507B" w:rsidRPr="00B3507B">
        <w:rPr>
          <w:lang w:val="en-US"/>
        </w:rPr>
        <w:t>Tale ipotesi era stata sostenuta dinanzi la Corte dal Nicaragua, secondo cui “any offences w</w:t>
      </w:r>
      <w:r w:rsidR="007447FF">
        <w:rPr>
          <w:lang w:val="en-US"/>
        </w:rPr>
        <w:t>h</w:t>
      </w:r>
      <w:r w:rsidR="00B3507B" w:rsidRPr="00B3507B">
        <w:rPr>
          <w:lang w:val="en-US"/>
        </w:rPr>
        <w:t xml:space="preserve">ich they </w:t>
      </w:r>
      <w:r w:rsidR="00B3507B" w:rsidRPr="00E23880">
        <w:rPr>
          <w:i/>
          <w:lang w:val="en-US"/>
        </w:rPr>
        <w:t>[Contras]</w:t>
      </w:r>
      <w:r w:rsidR="00B3507B" w:rsidRPr="00B3507B">
        <w:rPr>
          <w:lang w:val="en-US"/>
        </w:rPr>
        <w:t xml:space="preserve"> have committed would be imput</w:t>
      </w:r>
      <w:r w:rsidR="00DD1643">
        <w:rPr>
          <w:lang w:val="en-US"/>
        </w:rPr>
        <w:t>able to the Government of the Un</w:t>
      </w:r>
      <w:r w:rsidR="00B3507B" w:rsidRPr="00B3507B">
        <w:rPr>
          <w:lang w:val="en-US"/>
        </w:rPr>
        <w:t>ited States, like those of any other forces under the latter’s command”</w:t>
      </w:r>
      <w:r w:rsidR="00DD1643">
        <w:rPr>
          <w:rStyle w:val="Rimandonotaapidipagina"/>
          <w:lang w:val="en-US"/>
        </w:rPr>
        <w:footnoteReference w:id="474"/>
      </w:r>
      <w:r w:rsidR="00B3507B" w:rsidRPr="00B3507B">
        <w:rPr>
          <w:lang w:val="en-US"/>
        </w:rPr>
        <w:t xml:space="preserve">. </w:t>
      </w:r>
    </w:p>
    <w:p w:rsidR="00E23880" w:rsidRDefault="00DD1643" w:rsidP="00B3507B">
      <w:pPr>
        <w:spacing w:after="0" w:line="360" w:lineRule="auto"/>
        <w:ind w:firstLine="708"/>
        <w:jc w:val="both"/>
      </w:pPr>
      <w:r w:rsidRPr="00DD1643">
        <w:t>In particolare, la Corte si è impegnata ad accertare il grado di dipendenza del gruppo paramilitare</w:t>
      </w:r>
      <w:r>
        <w:t xml:space="preserve"> rispetto agli Stati Uniti alla luce di una indagine circa</w:t>
      </w:r>
      <w:r w:rsidR="00E23880">
        <w:t xml:space="preserve"> </w:t>
      </w:r>
      <w:r w:rsidR="007447FF">
        <w:t>la sua struttura organizzativa.</w:t>
      </w:r>
    </w:p>
    <w:p w:rsidR="00E60957" w:rsidRDefault="00DD1643" w:rsidP="00E60957">
      <w:pPr>
        <w:spacing w:after="0" w:line="360" w:lineRule="auto"/>
        <w:ind w:firstLine="708"/>
        <w:jc w:val="both"/>
      </w:pPr>
      <w:r>
        <w:t xml:space="preserve"> L’esame del problema dell’attribuzione sembra muovere </w:t>
      </w:r>
      <w:r w:rsidR="00E23880">
        <w:t xml:space="preserve">quindi </w:t>
      </w:r>
      <w:r>
        <w:t xml:space="preserve">dall’idea che in alcune occasioni la dipendenza di un gruppo di individui da uno Stato è a tal punto intensa da poter giustificare in via generale la riferibilità </w:t>
      </w:r>
      <w:r w:rsidR="00E23880">
        <w:t xml:space="preserve">ad esso </w:t>
      </w:r>
      <w:r w:rsidR="005B2D1F">
        <w:t>delle condotte tenute.</w:t>
      </w:r>
    </w:p>
    <w:p w:rsidR="005B2D1F" w:rsidRDefault="000A1A2B" w:rsidP="00E60957">
      <w:pPr>
        <w:spacing w:after="0" w:line="360" w:lineRule="auto"/>
        <w:ind w:firstLine="708"/>
        <w:jc w:val="both"/>
      </w:pPr>
      <w:r>
        <w:t>Tale riferibilità in via generale delle condotte allo Stato</w:t>
      </w:r>
      <w:r w:rsidR="005B2D1F">
        <w:t xml:space="preserve"> è ad avviso della Corte subordinata alla valutazione dell’esistenza di un controllo rigido, di tipo gerarchico, da parte dello Stato nei confronti del gruppo paramilitare, spesso difficile da accertare in concreto.</w:t>
      </w:r>
    </w:p>
    <w:p w:rsidR="000A1A2B" w:rsidRDefault="000A1A2B" w:rsidP="00CC7BEA">
      <w:pPr>
        <w:spacing w:after="0" w:line="360" w:lineRule="auto"/>
        <w:jc w:val="both"/>
      </w:pPr>
      <w:r>
        <w:t>Ne</w:t>
      </w:r>
      <w:r w:rsidR="005B2D1F">
        <w:t>lla fattispecie</w:t>
      </w:r>
      <w:r>
        <w:t xml:space="preserve"> </w:t>
      </w:r>
      <w:r w:rsidR="005B2D1F">
        <w:t>la Corte non ha reputato</w:t>
      </w:r>
      <w:r>
        <w:t xml:space="preserve"> </w:t>
      </w:r>
      <w:r w:rsidR="005B2D1F">
        <w:t>sufficiente</w:t>
      </w:r>
      <w:r>
        <w:t xml:space="preserve"> ai fini dell’accertamento della completa dipendenza la circostanza che i comandanti del gruppo paramilitare erano stati selezionati da organi degli Stati Uniti</w:t>
      </w:r>
      <w:r w:rsidR="000138BD">
        <w:t>,</w:t>
      </w:r>
      <w:r>
        <w:t xml:space="preserve"> che tale Stato aveva provveduto ad</w:t>
      </w:r>
      <w:r w:rsidR="00480A4A">
        <w:t xml:space="preserve"> addestrare, armare ed equipaggiare il gruppo, la cui attività dipendeva fortemente dal supporto logistico e finanziario dello Stato.</w:t>
      </w:r>
      <w:r w:rsidR="001B78EB">
        <w:t xml:space="preserve"> Il fatto che i Contras non fossero stati costituiti dagli Stati Uniti è stato valorizzato </w:t>
      </w:r>
      <w:r w:rsidR="00CC7BEA">
        <w:t xml:space="preserve">inoltre </w:t>
      </w:r>
      <w:r w:rsidR="001B78EB">
        <w:t>più volte dalla Corte al fine di dubitare che l’attività del gruppo paramilitare riflettesse in ogni occasione strategie decise dagli organi dello Stato.</w:t>
      </w:r>
    </w:p>
    <w:p w:rsidR="00420DBC" w:rsidRPr="00CC7BEA" w:rsidRDefault="00B3507B" w:rsidP="00420DBC">
      <w:pPr>
        <w:spacing w:after="0" w:line="360" w:lineRule="auto"/>
        <w:ind w:firstLine="708"/>
        <w:jc w:val="both"/>
      </w:pPr>
      <w:r w:rsidRPr="00B3507B">
        <w:t>Solo u</w:t>
      </w:r>
      <w:r w:rsidR="00CC7BEA">
        <w:t>na volta accertata l’assenza nel caso di specie di un legame organico di fatto</w:t>
      </w:r>
      <w:r w:rsidR="00880EE4" w:rsidRPr="00B3507B">
        <w:t xml:space="preserve">, la Corte ha verificato se potesse trovare applicazione il criterio del controllo effettivo, in base al quale potevano </w:t>
      </w:r>
      <w:r w:rsidR="00880EE4" w:rsidRPr="00CC7BEA">
        <w:t xml:space="preserve">essere attribuiti allo Stato specifiche condotte adottate in violazione </w:t>
      </w:r>
      <w:r w:rsidR="00E60957" w:rsidRPr="00CC7BEA">
        <w:t xml:space="preserve">dei diritti umani e </w:t>
      </w:r>
      <w:r w:rsidR="00880EE4" w:rsidRPr="00CC7BEA">
        <w:t>del diritto umanitario da gruppi di individui che non rivestivano la qualità di organi dello Stato</w:t>
      </w:r>
      <w:r w:rsidR="000A1A2B" w:rsidRPr="00CC7BEA">
        <w:rPr>
          <w:rStyle w:val="Rimandonotaapidipagina"/>
        </w:rPr>
        <w:footnoteReference w:id="475"/>
      </w:r>
      <w:r w:rsidR="00880EE4" w:rsidRPr="00CC7BEA">
        <w:t xml:space="preserve">. </w:t>
      </w:r>
      <w:r w:rsidR="007447FF">
        <w:t xml:space="preserve">In questa </w:t>
      </w:r>
      <w:r w:rsidR="00420DBC">
        <w:t xml:space="preserve">fase la Corte ha spostato invece l’attenzione sul controllo esercitato dallo Stato rispetto </w:t>
      </w:r>
      <w:r w:rsidR="001620F9">
        <w:t xml:space="preserve">alle specifiche condotte poste in essere </w:t>
      </w:r>
      <w:r w:rsidR="00BC5FC6">
        <w:t xml:space="preserve">dal </w:t>
      </w:r>
      <w:r w:rsidR="001620F9">
        <w:t>gruppo paramilitare.</w:t>
      </w:r>
    </w:p>
    <w:p w:rsidR="00473076" w:rsidRPr="00CC7BEA" w:rsidRDefault="00CC7BEA" w:rsidP="0026066F">
      <w:pPr>
        <w:spacing w:after="0" w:line="360" w:lineRule="auto"/>
        <w:ind w:firstLine="708"/>
        <w:jc w:val="both"/>
      </w:pPr>
      <w:r w:rsidRPr="00CC7BEA">
        <w:t>Tale pronuncia</w:t>
      </w:r>
      <w:r>
        <w:t xml:space="preserve"> contribuisce in maniera significativa a delineare l’ipotesi secondo cui il riferimento al diritto interno non sia l’esclusivo criterio in base al quale sia possibile accertare l’esistenza di un rapporto organico ai fini dell’attribuzione di condotte allo Stato.</w:t>
      </w:r>
      <w:r w:rsidR="008460C0">
        <w:t xml:space="preserve"> </w:t>
      </w:r>
      <w:r w:rsidR="00BC5FC6">
        <w:t xml:space="preserve">Ai fini dell’indagine circa la possibilità di attribuire allo Stato i fatti </w:t>
      </w:r>
      <w:r w:rsidR="00BC5FC6" w:rsidRPr="00BC5FC6">
        <w:rPr>
          <w:i/>
        </w:rPr>
        <w:t>ultra vires</w:t>
      </w:r>
      <w:r w:rsidR="00BC5FC6">
        <w:t xml:space="preserve"> dei propri organi, sembra pertanto assumere rilevanza la circostanza che i</w:t>
      </w:r>
      <w:r w:rsidR="008460C0">
        <w:t xml:space="preserve">n alcune circostanze l’intensità del legame effettivo avrebbe la funzione di supplire all’assenza del dato formale di diritto interno, consentendo di applicare in relazione a tale ipotesi lo stesso criterio di attribuzione che si apllica in relazione agli organi </w:t>
      </w:r>
      <w:r w:rsidR="008460C0" w:rsidRPr="008460C0">
        <w:rPr>
          <w:i/>
        </w:rPr>
        <w:t>de jure</w:t>
      </w:r>
      <w:r w:rsidR="008460C0">
        <w:t>.</w:t>
      </w:r>
    </w:p>
    <w:p w:rsidR="005115FE" w:rsidRDefault="005115FE" w:rsidP="007447FF">
      <w:pPr>
        <w:spacing w:after="0" w:line="360" w:lineRule="auto"/>
        <w:jc w:val="both"/>
      </w:pPr>
    </w:p>
    <w:p w:rsidR="00065C41" w:rsidRDefault="00065C41" w:rsidP="007447FF">
      <w:pPr>
        <w:spacing w:after="0" w:line="360" w:lineRule="auto"/>
        <w:jc w:val="both"/>
      </w:pPr>
    </w:p>
    <w:p w:rsidR="00333C13" w:rsidRDefault="0026066F" w:rsidP="00BC33B1">
      <w:pPr>
        <w:spacing w:after="0" w:line="360" w:lineRule="auto"/>
        <w:ind w:firstLine="567"/>
        <w:jc w:val="both"/>
      </w:pPr>
      <w:r>
        <w:t xml:space="preserve">6.2 </w:t>
      </w:r>
      <w:r w:rsidR="00333C13">
        <w:t xml:space="preserve">La sentenza resa nel caso delle </w:t>
      </w:r>
      <w:r w:rsidR="007E6E72">
        <w:rPr>
          <w:i/>
        </w:rPr>
        <w:t>A</w:t>
      </w:r>
      <w:r w:rsidR="00333C13" w:rsidRPr="0026066F">
        <w:rPr>
          <w:i/>
        </w:rPr>
        <w:t>ttività militari sul territorio del Congo</w:t>
      </w:r>
    </w:p>
    <w:p w:rsidR="00333C13" w:rsidRDefault="00333C13" w:rsidP="00EB037D">
      <w:pPr>
        <w:spacing w:after="0" w:line="360" w:lineRule="auto"/>
        <w:ind w:left="1068" w:firstLine="284"/>
        <w:jc w:val="both"/>
      </w:pPr>
    </w:p>
    <w:p w:rsidR="006F2CB8" w:rsidRDefault="00CC795C" w:rsidP="006F2CB8">
      <w:pPr>
        <w:pStyle w:val="Testonotaapidipagina"/>
        <w:spacing w:line="360" w:lineRule="auto"/>
        <w:ind w:firstLine="284"/>
        <w:jc w:val="both"/>
        <w:rPr>
          <w:sz w:val="22"/>
          <w:szCs w:val="22"/>
        </w:rPr>
      </w:pPr>
      <w:r>
        <w:rPr>
          <w:sz w:val="22"/>
          <w:szCs w:val="22"/>
        </w:rPr>
        <w:t>Nonostante contenga soltato sparute osservazioni riguardo la questione dell’attribuzione di condotte allo Stato, u</w:t>
      </w:r>
      <w:r w:rsidR="009F09AB">
        <w:rPr>
          <w:sz w:val="22"/>
          <w:szCs w:val="22"/>
        </w:rPr>
        <w:t xml:space="preserve">no </w:t>
      </w:r>
      <w:r w:rsidR="006F2CB8">
        <w:rPr>
          <w:sz w:val="22"/>
          <w:szCs w:val="22"/>
        </w:rPr>
        <w:t xml:space="preserve">schema concettuale </w:t>
      </w:r>
      <w:r w:rsidR="009F09AB">
        <w:rPr>
          <w:sz w:val="22"/>
          <w:szCs w:val="22"/>
        </w:rPr>
        <w:t xml:space="preserve">simile a quello appena descritto con riferimento al caso </w:t>
      </w:r>
      <w:r w:rsidR="009F09AB">
        <w:t xml:space="preserve">delle </w:t>
      </w:r>
      <w:r w:rsidR="009F09AB" w:rsidRPr="0026066F">
        <w:rPr>
          <w:i/>
        </w:rPr>
        <w:t>Attività militari e param</w:t>
      </w:r>
      <w:r w:rsidR="009F09AB">
        <w:rPr>
          <w:i/>
        </w:rPr>
        <w:t xml:space="preserve">ilitari in e contro il </w:t>
      </w:r>
      <w:r w:rsidR="009F09AB" w:rsidRPr="009F09AB">
        <w:rPr>
          <w:i/>
          <w:sz w:val="22"/>
          <w:szCs w:val="22"/>
        </w:rPr>
        <w:t>Nicaragua</w:t>
      </w:r>
      <w:r w:rsidR="009F09AB">
        <w:rPr>
          <w:sz w:val="22"/>
          <w:szCs w:val="22"/>
        </w:rPr>
        <w:t xml:space="preserve"> </w:t>
      </w:r>
      <w:r w:rsidR="006F2CB8">
        <w:rPr>
          <w:sz w:val="22"/>
          <w:szCs w:val="22"/>
        </w:rPr>
        <w:t xml:space="preserve">è stato seguito dalla Corte internazionale di giustizia </w:t>
      </w:r>
      <w:r>
        <w:rPr>
          <w:sz w:val="22"/>
          <w:szCs w:val="22"/>
        </w:rPr>
        <w:t xml:space="preserve">anche </w:t>
      </w:r>
      <w:r w:rsidR="006F2CB8">
        <w:rPr>
          <w:sz w:val="22"/>
          <w:szCs w:val="22"/>
        </w:rPr>
        <w:t xml:space="preserve">nella sentenza del 19 dicembre 2005 resa nel caso delle </w:t>
      </w:r>
      <w:r w:rsidR="006F2CB8">
        <w:rPr>
          <w:i/>
          <w:sz w:val="22"/>
          <w:szCs w:val="22"/>
        </w:rPr>
        <w:t>attività militari sul territorio del Congo</w:t>
      </w:r>
      <w:r w:rsidR="006F2CB8">
        <w:rPr>
          <w:rStyle w:val="Rimandonotaapidipagina"/>
          <w:sz w:val="22"/>
          <w:szCs w:val="22"/>
        </w:rPr>
        <w:footnoteReference w:id="476"/>
      </w:r>
      <w:r w:rsidR="006F2CB8">
        <w:rPr>
          <w:sz w:val="22"/>
          <w:szCs w:val="22"/>
        </w:rPr>
        <w:t>.</w:t>
      </w:r>
    </w:p>
    <w:p w:rsidR="009D54AA" w:rsidRDefault="000D0DEC" w:rsidP="000D0DEC">
      <w:pPr>
        <w:spacing w:after="0" w:line="360" w:lineRule="auto"/>
        <w:ind w:firstLine="284"/>
        <w:jc w:val="both"/>
      </w:pPr>
      <w:r w:rsidRPr="000D0DEC">
        <w:t xml:space="preserve">Prima </w:t>
      </w:r>
      <w:r w:rsidR="006F2CB8">
        <w:t xml:space="preserve">ancora </w:t>
      </w:r>
      <w:r w:rsidRPr="000D0DEC">
        <w:t xml:space="preserve">di </w:t>
      </w:r>
      <w:r w:rsidR="00291A9A">
        <w:t xml:space="preserve">acceratre se la Corte si sia interrogata </w:t>
      </w:r>
      <w:r w:rsidR="00471132">
        <w:t xml:space="preserve">anche in tale circostanza </w:t>
      </w:r>
      <w:r w:rsidRPr="000D0DEC">
        <w:t xml:space="preserve">circa l’esistenza di elementi fattuali in grado di qualificare come organo un ente che non godeva di tale qualità in base all’ordinamento dello Stato, </w:t>
      </w:r>
      <w:r w:rsidR="00291A9A">
        <w:t xml:space="preserve">sembra importante </w:t>
      </w:r>
      <w:r w:rsidR="00471132">
        <w:t xml:space="preserve">innanzitutto </w:t>
      </w:r>
      <w:r w:rsidR="00291A9A">
        <w:t xml:space="preserve">sottolineare come in tale pronuncia sia stato </w:t>
      </w:r>
      <w:r w:rsidR="00471132">
        <w:t xml:space="preserve">esplicitamente </w:t>
      </w:r>
      <w:r>
        <w:t xml:space="preserve">ammesso che i fatti commessi dalle forze armate regolari ugandesi, </w:t>
      </w:r>
      <w:r>
        <w:rPr>
          <w:i/>
        </w:rPr>
        <w:t>Uganda People’s Defence Force</w:t>
      </w:r>
      <w:r>
        <w:t xml:space="preserve">, fossero riferibili </w:t>
      </w:r>
      <w:r w:rsidR="009D54AA">
        <w:t>allo Stato, quale soggetto internazionale, sulla base di una norma di diritto internazionale generale che riconosce come proprie dello Stato le condotte tenute dagli organi. La Corte ha inoltre avuto modo di chiarire che risulta del tutto irrilevante ai fini dell’attribuzione di una condotta di un organo allo Stato la circostanza che questo abbia agito non rispettando la propria competenza o le istruzioni ricevute:</w:t>
      </w:r>
    </w:p>
    <w:p w:rsidR="009D54AA" w:rsidRDefault="009D54AA" w:rsidP="009D54AA">
      <w:pPr>
        <w:pStyle w:val="Testonotaapidipagina"/>
        <w:spacing w:line="360" w:lineRule="auto"/>
        <w:ind w:firstLine="284"/>
        <w:jc w:val="both"/>
        <w:rPr>
          <w:sz w:val="22"/>
          <w:szCs w:val="22"/>
        </w:rPr>
      </w:pPr>
    </w:p>
    <w:p w:rsidR="009D54AA" w:rsidRPr="00647A63" w:rsidRDefault="009D54AA" w:rsidP="009D54AA">
      <w:pPr>
        <w:autoSpaceDE w:val="0"/>
        <w:autoSpaceDN w:val="0"/>
        <w:adjustRightInd w:val="0"/>
        <w:spacing w:after="0" w:line="360" w:lineRule="auto"/>
        <w:ind w:left="567" w:right="567" w:firstLine="284"/>
        <w:jc w:val="both"/>
        <w:rPr>
          <w:rFonts w:ascii="TimesNRMT" w:hAnsi="TimesNRMT" w:cs="TimesNRMT"/>
          <w:sz w:val="20"/>
          <w:szCs w:val="20"/>
          <w:lang w:val="en-US"/>
        </w:rPr>
      </w:pPr>
      <w:r w:rsidRPr="00647A63">
        <w:rPr>
          <w:lang w:val="en-US"/>
        </w:rPr>
        <w:t>“</w:t>
      </w:r>
      <w:r w:rsidRPr="002D6BB6">
        <w:rPr>
          <w:lang w:val="en-US"/>
        </w:rPr>
        <w:t xml:space="preserve">The Court turns now to the question as to whether acts and omissions of the UPDF and its officers and soldiers are attributable to Uganda. The conduct of the UPDF as a whole is clearly attributable to Uganda, being the conduct of a State organ. According to a well-established  rule of international law, which is of customary character, “the conduct of any organ of a State must be regarded as an act of that State” (Difference Relating to Immunity from Legal Process of a Special </w:t>
      </w:r>
      <w:r w:rsidRPr="00647A63">
        <w:rPr>
          <w:lang w:val="en-US"/>
        </w:rPr>
        <w:t>Rapporteur of the Commission on Human Rights, Advisory Opinion, I.C.J. Reports 1999 (I), p. 87, para. 62) […]It is furthermore irrelevant for the attribution of their conduct to Uganda whether the UPDF personnel acted contrary to the instructions given or exceeded their authority”</w:t>
      </w:r>
      <w:r w:rsidRPr="00647A63">
        <w:rPr>
          <w:rStyle w:val="Rimandonotaapidipagina"/>
        </w:rPr>
        <w:footnoteReference w:id="477"/>
      </w:r>
      <w:r w:rsidRPr="00647A63">
        <w:rPr>
          <w:rFonts w:ascii="TimesNRMT" w:hAnsi="TimesNRMT" w:cs="TimesNRMT"/>
          <w:sz w:val="20"/>
          <w:szCs w:val="20"/>
          <w:lang w:val="en-US"/>
        </w:rPr>
        <w:t>.</w:t>
      </w:r>
    </w:p>
    <w:p w:rsidR="009D54AA" w:rsidRPr="00647A63" w:rsidRDefault="009D54AA" w:rsidP="009D54AA">
      <w:pPr>
        <w:pStyle w:val="Testonotaapidipagina"/>
        <w:spacing w:line="360" w:lineRule="auto"/>
        <w:ind w:firstLine="284"/>
        <w:jc w:val="both"/>
        <w:rPr>
          <w:sz w:val="22"/>
          <w:szCs w:val="22"/>
          <w:lang w:val="en-US"/>
        </w:rPr>
      </w:pPr>
    </w:p>
    <w:p w:rsidR="00291A9A" w:rsidRDefault="009D54AA" w:rsidP="00291A9A">
      <w:pPr>
        <w:pStyle w:val="Testonotaapidipagina"/>
        <w:spacing w:line="360" w:lineRule="auto"/>
        <w:ind w:firstLine="284"/>
        <w:jc w:val="both"/>
        <w:rPr>
          <w:sz w:val="22"/>
          <w:szCs w:val="22"/>
        </w:rPr>
      </w:pPr>
      <w:r w:rsidRPr="00E26C8B">
        <w:rPr>
          <w:sz w:val="22"/>
          <w:szCs w:val="22"/>
        </w:rPr>
        <w:t>T</w:t>
      </w:r>
      <w:r>
        <w:rPr>
          <w:sz w:val="22"/>
          <w:szCs w:val="22"/>
        </w:rPr>
        <w:t>ale considerazione é stata formulata dalla Corte con riferimento alle condotte tenute dalle forze armate. L’art. 3 della Quarta Convenzione dell’Aja concernente le leggi e gli usi della guerra terrestre stabilisce, del resto, che la parte belligerante è responsabile di tutte le condotte tenute da persone facenti parte le proprie forze armate, indipendentemente dalla condizione che abbiano agito in qualità ufficiale. Il testo della suddetta disposizione è stato ripreso anche dall’art. 91 del primo Protocollo aggiuntivo alle Convenzioni di Ginevra del 1949 relativo alla protezione delle vittime dei conflitti armati internazionali.</w:t>
      </w:r>
    </w:p>
    <w:p w:rsidR="00333C13" w:rsidRPr="006F0C5D" w:rsidRDefault="00291A9A" w:rsidP="00CC795C">
      <w:pPr>
        <w:pStyle w:val="Testonotaapidipagina"/>
        <w:spacing w:line="360" w:lineRule="auto"/>
        <w:ind w:firstLine="284"/>
        <w:jc w:val="both"/>
        <w:rPr>
          <w:sz w:val="22"/>
          <w:szCs w:val="22"/>
        </w:rPr>
      </w:pPr>
      <w:r>
        <w:rPr>
          <w:sz w:val="22"/>
          <w:szCs w:val="22"/>
        </w:rPr>
        <w:t xml:space="preserve">Per quanto concerne invece </w:t>
      </w:r>
      <w:r w:rsidR="006F2CB8">
        <w:rPr>
          <w:sz w:val="22"/>
          <w:szCs w:val="22"/>
        </w:rPr>
        <w:t xml:space="preserve">le </w:t>
      </w:r>
      <w:r w:rsidR="00352586">
        <w:rPr>
          <w:sz w:val="22"/>
          <w:szCs w:val="22"/>
        </w:rPr>
        <w:t>condizioni di fatto in presenza delle quali è possibile qualificare un gruppo come organo dello Stato</w:t>
      </w:r>
      <w:r w:rsidR="006F2CB8">
        <w:rPr>
          <w:rStyle w:val="Rimandonotaapidipagina"/>
          <w:sz w:val="22"/>
          <w:szCs w:val="22"/>
        </w:rPr>
        <w:footnoteReference w:id="478"/>
      </w:r>
      <w:r w:rsidR="00352586">
        <w:rPr>
          <w:sz w:val="22"/>
          <w:szCs w:val="22"/>
        </w:rPr>
        <w:t>, la Corte non ha fornito indicazioni precise, limitandosi soltanto a negare che l’assistenza militare e logistica prestata da uno Stato a favore dei gruppi paramilitari potesse bastare al fine di giustificare l’attribuzione ad esso delle loro condotte</w:t>
      </w:r>
      <w:r w:rsidR="00352586">
        <w:rPr>
          <w:rStyle w:val="Rimandonotaapidipagina"/>
          <w:sz w:val="22"/>
          <w:szCs w:val="22"/>
        </w:rPr>
        <w:footnoteReference w:id="479"/>
      </w:r>
      <w:r w:rsidR="00352586">
        <w:rPr>
          <w:sz w:val="22"/>
          <w:szCs w:val="22"/>
        </w:rPr>
        <w:t xml:space="preserve">. </w:t>
      </w:r>
      <w:r w:rsidR="00333C13" w:rsidRPr="006F0C5D">
        <w:rPr>
          <w:sz w:val="22"/>
          <w:szCs w:val="22"/>
        </w:rPr>
        <w:t xml:space="preserve">In tale pronuncia la Corte </w:t>
      </w:r>
      <w:r w:rsidR="00D01963" w:rsidRPr="006F0C5D">
        <w:rPr>
          <w:sz w:val="22"/>
          <w:szCs w:val="22"/>
        </w:rPr>
        <w:t xml:space="preserve">ha </w:t>
      </w:r>
      <w:r w:rsidR="00471132">
        <w:rPr>
          <w:sz w:val="22"/>
          <w:szCs w:val="22"/>
        </w:rPr>
        <w:t xml:space="preserve">quindi </w:t>
      </w:r>
      <w:r w:rsidR="00333C13" w:rsidRPr="006F0C5D">
        <w:rPr>
          <w:sz w:val="22"/>
          <w:szCs w:val="22"/>
        </w:rPr>
        <w:t>accertato che non potevano essere attribuite all’Uganda le condotte tenute da un gruppo paramilitare, dal nome Movimento di liberazione del Congo, sulla base del fatto che non era stato provato</w:t>
      </w:r>
      <w:r w:rsidR="007447FF">
        <w:rPr>
          <w:sz w:val="22"/>
          <w:szCs w:val="22"/>
        </w:rPr>
        <w:t>,</w:t>
      </w:r>
      <w:r w:rsidR="00333C13" w:rsidRPr="006F0C5D">
        <w:rPr>
          <w:sz w:val="22"/>
          <w:szCs w:val="22"/>
        </w:rPr>
        <w:t xml:space="preserve"> né che tale gruppo era un organo statale né che lo Stato aveva esercitato una direzione o un controllo sugli specifici comportamenti da esso tenuti</w:t>
      </w:r>
      <w:r w:rsidR="00333C13" w:rsidRPr="006F0C5D">
        <w:rPr>
          <w:rStyle w:val="Rimandonotaapidipagina"/>
          <w:sz w:val="22"/>
          <w:szCs w:val="22"/>
        </w:rPr>
        <w:footnoteReference w:id="480"/>
      </w:r>
      <w:r w:rsidR="00333C13" w:rsidRPr="006F0C5D">
        <w:rPr>
          <w:sz w:val="22"/>
          <w:szCs w:val="22"/>
        </w:rPr>
        <w:t>.</w:t>
      </w:r>
    </w:p>
    <w:p w:rsidR="00CC795C" w:rsidRDefault="00333C13" w:rsidP="00BC5FC6">
      <w:pPr>
        <w:pStyle w:val="Testonotaapidipagina"/>
        <w:spacing w:line="360" w:lineRule="auto"/>
        <w:ind w:firstLine="284"/>
        <w:jc w:val="both"/>
        <w:rPr>
          <w:sz w:val="22"/>
          <w:szCs w:val="22"/>
        </w:rPr>
      </w:pPr>
      <w:r w:rsidRPr="006F0C5D">
        <w:rPr>
          <w:sz w:val="22"/>
          <w:szCs w:val="22"/>
        </w:rPr>
        <w:t xml:space="preserve">In virtù del fatto che la Corte </w:t>
      </w:r>
      <w:r w:rsidR="008675EA" w:rsidRPr="006F0C5D">
        <w:rPr>
          <w:sz w:val="22"/>
          <w:szCs w:val="22"/>
        </w:rPr>
        <w:t>ha riconosciuto che devono essere attribuiti allo Stato i fatti contrari alle istruzioni o alla propria competenza tenuti</w:t>
      </w:r>
      <w:r w:rsidR="008675EA" w:rsidRPr="006F0C5D">
        <w:rPr>
          <w:i/>
          <w:sz w:val="22"/>
          <w:szCs w:val="22"/>
        </w:rPr>
        <w:t xml:space="preserve"> </w:t>
      </w:r>
      <w:r w:rsidR="008675EA">
        <w:rPr>
          <w:sz w:val="22"/>
          <w:szCs w:val="22"/>
        </w:rPr>
        <w:t xml:space="preserve">dagli organi ed </w:t>
      </w:r>
      <w:r w:rsidRPr="006F0C5D">
        <w:rPr>
          <w:sz w:val="22"/>
          <w:szCs w:val="22"/>
        </w:rPr>
        <w:t>ha</w:t>
      </w:r>
      <w:r w:rsidR="008675EA">
        <w:rPr>
          <w:sz w:val="22"/>
          <w:szCs w:val="22"/>
        </w:rPr>
        <w:t xml:space="preserve"> inoltre</w:t>
      </w:r>
      <w:r w:rsidRPr="006F0C5D">
        <w:rPr>
          <w:sz w:val="22"/>
          <w:szCs w:val="22"/>
        </w:rPr>
        <w:t xml:space="preserve"> prospettato la possibilità che individui o enti possono essere assimilati sulla base di elementi fattuali a coloro che godono della qualità orga</w:t>
      </w:r>
      <w:r w:rsidR="008675EA">
        <w:rPr>
          <w:sz w:val="22"/>
          <w:szCs w:val="22"/>
        </w:rPr>
        <w:t>nica nell’ordinamento interno,</w:t>
      </w:r>
      <w:r w:rsidRPr="006F0C5D">
        <w:rPr>
          <w:sz w:val="22"/>
          <w:szCs w:val="22"/>
        </w:rPr>
        <w:t xml:space="preserve"> sembra plausibile affermare </w:t>
      </w:r>
      <w:r w:rsidR="00291A9A" w:rsidRPr="006F0C5D">
        <w:rPr>
          <w:sz w:val="22"/>
          <w:szCs w:val="22"/>
        </w:rPr>
        <w:t xml:space="preserve">che </w:t>
      </w:r>
      <w:r w:rsidRPr="006F0C5D">
        <w:rPr>
          <w:sz w:val="22"/>
          <w:szCs w:val="22"/>
        </w:rPr>
        <w:t xml:space="preserve">in via teorica l’attribuzione allo Stato dei fatti </w:t>
      </w:r>
      <w:r w:rsidRPr="006F0C5D">
        <w:rPr>
          <w:i/>
          <w:sz w:val="22"/>
          <w:szCs w:val="22"/>
        </w:rPr>
        <w:t>ultra vires</w:t>
      </w:r>
      <w:r w:rsidRPr="006F0C5D">
        <w:rPr>
          <w:sz w:val="22"/>
          <w:szCs w:val="22"/>
        </w:rPr>
        <w:t xml:space="preserve"> possa essere ammessa anche con riferimento a coloro che risultano in fatto integrati all’interno dell’organizzazione di governo dello Stato</w:t>
      </w:r>
      <w:r w:rsidR="00B4587E" w:rsidRPr="006F0C5D">
        <w:rPr>
          <w:rStyle w:val="Rimandonotaapidipagina"/>
          <w:sz w:val="22"/>
          <w:szCs w:val="22"/>
        </w:rPr>
        <w:footnoteReference w:id="481"/>
      </w:r>
      <w:r w:rsidRPr="006F0C5D">
        <w:rPr>
          <w:sz w:val="22"/>
          <w:szCs w:val="22"/>
        </w:rPr>
        <w:t>.</w:t>
      </w:r>
    </w:p>
    <w:p w:rsidR="00561C4D" w:rsidRDefault="002D6BB6" w:rsidP="00BC33B1">
      <w:pPr>
        <w:spacing w:after="0" w:line="360" w:lineRule="auto"/>
        <w:ind w:left="567"/>
        <w:jc w:val="both"/>
      </w:pPr>
      <w:r>
        <w:t xml:space="preserve">6.3 </w:t>
      </w:r>
      <w:r w:rsidR="00561C4D">
        <w:t>La sentenza resa nel caso</w:t>
      </w:r>
      <w:r w:rsidR="00561C4D" w:rsidRPr="002D6BB6">
        <w:rPr>
          <w:i/>
        </w:rPr>
        <w:t xml:space="preserve"> </w:t>
      </w:r>
      <w:r w:rsidR="00561C4D">
        <w:t xml:space="preserve">della </w:t>
      </w:r>
      <w:r w:rsidR="007E6E72">
        <w:rPr>
          <w:i/>
        </w:rPr>
        <w:t>A</w:t>
      </w:r>
      <w:r w:rsidR="00561C4D" w:rsidRPr="002D6BB6">
        <w:rPr>
          <w:i/>
        </w:rPr>
        <w:t>pplicazione della Convenzione sul genocidio</w:t>
      </w:r>
    </w:p>
    <w:p w:rsidR="00561C4D" w:rsidRDefault="00561C4D" w:rsidP="00EB037D">
      <w:pPr>
        <w:spacing w:after="0" w:line="360" w:lineRule="auto"/>
        <w:ind w:firstLine="284"/>
        <w:jc w:val="both"/>
      </w:pPr>
    </w:p>
    <w:p w:rsidR="00561C4D" w:rsidRDefault="00561C4D" w:rsidP="00EB037D">
      <w:pPr>
        <w:spacing w:after="0" w:line="360" w:lineRule="auto"/>
        <w:ind w:firstLine="284"/>
        <w:jc w:val="both"/>
      </w:pPr>
      <w:r>
        <w:t>Nell’affare relativo all’</w:t>
      </w:r>
      <w:r>
        <w:rPr>
          <w:i/>
        </w:rPr>
        <w:t>applicazione della Convenzione sul genocidio</w:t>
      </w:r>
      <w:r>
        <w:t>, una delle più importanti questioni alle quali la Corte internazionale di giustizia doveva trovare una soluzione nell’ambito della controversia tra la Bosnia–Erzegovina e la Serbia–Montenegro era quella se gli atti di genocidio commessi a Srebrenica nel 1995 da membri dell’esercito della Repubblica Srpska e dal gruppo paramilitare degli Skorpion fossero attribuibili alla allora Repubblica federale di Iugoslavia. Nella sentenza resa il 26 febbraio 2007, la Corte ha precisato le regole attributive in base alle quali possono essere riferiti allo Stato in ambito internazionale i comportamenti adottati da gruppi armati organizzati che, pur non essendo formalmente organi dello Stato in base al diritto interno, vengono da esso aiutati, finanziati oppure organizzati</w:t>
      </w:r>
      <w:r>
        <w:rPr>
          <w:rStyle w:val="Rimandonotaapidipagina"/>
        </w:rPr>
        <w:footnoteReference w:id="482"/>
      </w:r>
      <w:r>
        <w:t>.</w:t>
      </w:r>
    </w:p>
    <w:p w:rsidR="00121DDD" w:rsidRDefault="00561C4D" w:rsidP="00121DDD">
      <w:pPr>
        <w:spacing w:after="0" w:line="360" w:lineRule="auto"/>
        <w:ind w:firstLine="284"/>
        <w:jc w:val="both"/>
      </w:pPr>
      <w:r>
        <w:t xml:space="preserve">Una delle questioni più controverse riguardava la possibilità di riferire allo Stato sul piano internazionale le condotte di tali individui sulla base di una loro equiparazione in fatto agli organi statali. La Bosnia </w:t>
      </w:r>
      <w:r w:rsidR="00200312">
        <w:t>fondava</w:t>
      </w:r>
      <w:r>
        <w:t xml:space="preserve"> su tale criterio attributivo la propr</w:t>
      </w:r>
      <w:r w:rsidR="00582345">
        <w:t xml:space="preserve">ia pretesa di ritenere la Serbia-Montenegro </w:t>
      </w:r>
      <w:r>
        <w:t>internazionalmente resp</w:t>
      </w:r>
      <w:r w:rsidR="00473076">
        <w:t xml:space="preserve">onsabile per le condotte della </w:t>
      </w:r>
      <w:r>
        <w:t>Repubblica Srspka e dei gruppi paramilitari.</w:t>
      </w:r>
      <w:r w:rsidR="00121DDD" w:rsidRPr="00121DDD">
        <w:t xml:space="preserve"> </w:t>
      </w:r>
      <w:r w:rsidR="00121DDD">
        <w:t xml:space="preserve">Condorelli, in veste di difensore della Bosnia, ha difatti sostenuto la possibilità di attribuire allo Stato le condotte </w:t>
      </w:r>
      <w:r w:rsidR="00121DDD">
        <w:rPr>
          <w:i/>
        </w:rPr>
        <w:t>ultra vires</w:t>
      </w:r>
      <w:r w:rsidR="00121DDD">
        <w:t xml:space="preserve"> tenute da organi di fatto: </w:t>
      </w:r>
    </w:p>
    <w:p w:rsidR="00121DDD" w:rsidRDefault="00121DDD" w:rsidP="00121DDD">
      <w:pPr>
        <w:spacing w:after="0" w:line="360" w:lineRule="auto"/>
        <w:ind w:firstLine="284"/>
        <w:jc w:val="both"/>
      </w:pPr>
    </w:p>
    <w:p w:rsidR="00121DDD" w:rsidRPr="00982CF9" w:rsidRDefault="00121DDD" w:rsidP="00121DDD">
      <w:pPr>
        <w:spacing w:after="0" w:line="360" w:lineRule="auto"/>
        <w:ind w:left="567" w:right="567" w:firstLine="284"/>
        <w:jc w:val="both"/>
        <w:rPr>
          <w:lang w:val="fr-FR"/>
        </w:rPr>
      </w:pPr>
      <w:r w:rsidRPr="00982CF9">
        <w:rPr>
          <w:lang w:val="fr-FR"/>
        </w:rPr>
        <w:t xml:space="preserve">“L’Etat jouit du droit souverain de s’organiser à sa façon et que partant c’est à son droit interne qu’il revient d’établir qui sont ses organes. Il s’ensuit que, lorsque l’ordre juridique interne de l’Etat accorde le statut d’organe, l’existence de ce statut est incontestable sur le plan international: tous les agissements de tous ceux qu’un Etat qualifie, au moyen de son droit interne, comme ses organes sont des faits de l’Etat en droit international. Mais la primauté absolue du droit interne pour ce qui est de l’identification des organes de l’Etat ne peut signifier exclusivité absolue. En effet, il y a des cas dans lesquels le droit international a son mot à dire dans ce domaine, notamment lorsqu’un Etat, seul maître de son droit interne, tenterait d’utiliser ce droit de manière dolosive afin d’échapper à sa responsabilité internationale et dans ce but éviterait d’octroyer le statut d’organe à des personnes ou des groupes de personnes dont il se sert effectivement en tant qu’organes.[…]l’attribution à l’Etat des comportements de ses organes (qu’ils soient ou non qualifiés comme tels par le droit interne concerné) joue de jure de manière générale et n’est soumise à aucune condition ; en particulier, aux fins de l’attribution, il n’y a nullement à apporter la preuve que chacun des comportements des organes en question a fait l’objet d’instruction ou de directives spécifiques de l’Etat, voire qu’il a été effectué spécifiquement sous son contrôle. Enfin, je rappellerai encore un concept important, que tout le monde s’accorde à considérer comme indiscutable: l’attribution à l’Etat de tous les comportements de ses organes intervient même si ceux-ci ont agi </w:t>
      </w:r>
      <w:r w:rsidRPr="00AA4977">
        <w:rPr>
          <w:i/>
          <w:lang w:val="fr-FR"/>
        </w:rPr>
        <w:t>ultra vires</w:t>
      </w:r>
      <w:r w:rsidRPr="00982CF9">
        <w:rPr>
          <w:lang w:val="fr-FR"/>
        </w:rPr>
        <w:t>, c’est-à-dire en outrepassant leurs compétences ou en violant les instructions reçues par des organes supérieurs”</w:t>
      </w:r>
      <w:r w:rsidRPr="00982CF9">
        <w:rPr>
          <w:rStyle w:val="Rimandonotaapidipagina"/>
        </w:rPr>
        <w:footnoteReference w:id="483"/>
      </w:r>
      <w:r w:rsidRPr="00982CF9">
        <w:rPr>
          <w:lang w:val="fr-FR"/>
        </w:rPr>
        <w:t xml:space="preserve">. </w:t>
      </w:r>
    </w:p>
    <w:p w:rsidR="00121DDD" w:rsidRDefault="00121DDD" w:rsidP="00121DDD">
      <w:pPr>
        <w:spacing w:after="0" w:line="360" w:lineRule="auto"/>
        <w:ind w:firstLine="284"/>
        <w:jc w:val="both"/>
        <w:rPr>
          <w:lang w:val="fr-FR"/>
        </w:rPr>
      </w:pPr>
    </w:p>
    <w:p w:rsidR="00FC6D30" w:rsidRDefault="00121DDD" w:rsidP="00FC6D30">
      <w:pPr>
        <w:spacing w:after="0" w:line="360" w:lineRule="auto"/>
        <w:ind w:firstLine="284"/>
        <w:jc w:val="both"/>
      </w:pPr>
      <w:r>
        <w:t xml:space="preserve">Richiamando la prassi in materia di rapporti tra Stati federali e Stati federati, egli ha rilevato come il fatto che in alcune circostanze la Repubblica Srspka si fosse rifiutata di seguire le istruzioni ricevute dalle autorità di Belgrado non fosse sufficiente a mettere in discussione il suo </w:t>
      </w:r>
      <w:r>
        <w:rPr>
          <w:i/>
        </w:rPr>
        <w:t>status</w:t>
      </w:r>
      <w:r>
        <w:t xml:space="preserve"> organico e quindi l’attribuzione delle sue condotte alla Repubblica federale di Iugoslavia</w:t>
      </w:r>
      <w:r>
        <w:rPr>
          <w:rStyle w:val="Rimandonotaapidipagina"/>
        </w:rPr>
        <w:footnoteReference w:id="484"/>
      </w:r>
      <w:r>
        <w:t>.</w:t>
      </w:r>
    </w:p>
    <w:p w:rsidR="00FC6D30" w:rsidRDefault="00FC6D30" w:rsidP="006777CA">
      <w:pPr>
        <w:spacing w:after="0" w:line="360" w:lineRule="auto"/>
        <w:ind w:firstLine="284"/>
        <w:jc w:val="both"/>
      </w:pPr>
      <w:r>
        <w:t>Secondo la Serbia, invece, le condotte adottate dalla Repubblica Srspka e dai gruppi paramilitari non erano attribuibili alla Repubblica federale di Iugoslavia in quanto non sottoposte all’effettivo controllo da parte del Governo di Belgrado</w:t>
      </w:r>
      <w:r w:rsidR="006777CA">
        <w:rPr>
          <w:rStyle w:val="Rimandonotaapidipagina"/>
        </w:rPr>
        <w:footnoteReference w:id="485"/>
      </w:r>
      <w:r>
        <w:t>.</w:t>
      </w:r>
    </w:p>
    <w:p w:rsidR="00561C4D" w:rsidRDefault="00121DDD" w:rsidP="00EB037D">
      <w:pPr>
        <w:spacing w:after="0" w:line="360" w:lineRule="auto"/>
        <w:ind w:firstLine="284"/>
        <w:jc w:val="both"/>
      </w:pPr>
      <w:r>
        <w:t>La Corte internazionale di giustizia, n</w:t>
      </w:r>
      <w:r w:rsidR="00561C4D">
        <w:t xml:space="preserve">el ricostruire le regole generali in tema di attribuzione di condotte, ha affermato che devono essere </w:t>
      </w:r>
      <w:r w:rsidR="00582345">
        <w:t>riferite</w:t>
      </w:r>
      <w:r w:rsidR="00561C4D">
        <w:t xml:space="preserve"> allo Stato in primo luogo le condotte di individui o enti che godono dello </w:t>
      </w:r>
      <w:r w:rsidR="00561C4D">
        <w:rPr>
          <w:i/>
        </w:rPr>
        <w:t>status</w:t>
      </w:r>
      <w:r w:rsidR="00561C4D">
        <w:t xml:space="preserve"> organico in base al diritto interno, come stabilito da un principio di diritto internazionale generale codificato all’art. 4 del progetto di articoli della CDI sulla responsabilità internazionale degli Stati adottato in seconda lettura nel 2001</w:t>
      </w:r>
      <w:r w:rsidR="00561C4D">
        <w:rPr>
          <w:rStyle w:val="Rimandonotaapidipagina"/>
        </w:rPr>
        <w:footnoteReference w:id="486"/>
      </w:r>
      <w:r w:rsidR="00561C4D">
        <w:t xml:space="preserve">. </w:t>
      </w:r>
    </w:p>
    <w:p w:rsidR="00561C4D" w:rsidRDefault="00561C4D" w:rsidP="00BC5FC6">
      <w:pPr>
        <w:spacing w:after="0" w:line="360" w:lineRule="auto"/>
        <w:ind w:firstLine="284"/>
        <w:jc w:val="both"/>
      </w:pPr>
      <w:r w:rsidRPr="0077705B">
        <w:t xml:space="preserve">Dopo aver accertato che la </w:t>
      </w:r>
      <w:r>
        <w:t>Repubblica Srspka e i gruppi</w:t>
      </w:r>
      <w:r w:rsidR="00200312">
        <w:t xml:space="preserve"> paramilitari non godevano della</w:t>
      </w:r>
      <w:r>
        <w:t xml:space="preserve"> qualità organica alla luce del diritto interno serbo, la Corte ha verificato se, al di là del loro apparente </w:t>
      </w:r>
      <w:r w:rsidRPr="0077705B">
        <w:rPr>
          <w:i/>
        </w:rPr>
        <w:t>status</w:t>
      </w:r>
      <w:r>
        <w:t>, si trattasse comunque di persone o gruppi di persone assimilabili ad organi statali</w:t>
      </w:r>
      <w:r>
        <w:rPr>
          <w:rStyle w:val="Rimandonotaapidipagina"/>
        </w:rPr>
        <w:footnoteReference w:id="487"/>
      </w:r>
      <w:r>
        <w:t>.</w:t>
      </w:r>
      <w:r w:rsidR="00BC5FC6">
        <w:t xml:space="preserve"> </w:t>
      </w:r>
      <w:r>
        <w:t xml:space="preserve">Ricordando quanto già asserito nella sentenza resa nel caso delle </w:t>
      </w:r>
      <w:r>
        <w:rPr>
          <w:i/>
        </w:rPr>
        <w:t>attività militari e paramilitari degli Stati Uniti in Nicaragua</w:t>
      </w:r>
      <w:r w:rsidRPr="00473076">
        <w:rPr>
          <w:rStyle w:val="Rimandonotaapidipagina"/>
        </w:rPr>
        <w:footnoteReference w:id="488"/>
      </w:r>
      <w:r w:rsidRPr="00473076">
        <w:t>,</w:t>
      </w:r>
      <w:r>
        <w:t xml:space="preserve"> la Corte ha sottolineato la necessità per il diritto i</w:t>
      </w:r>
      <w:r w:rsidR="00582345">
        <w:t>nternazionale di andare oltre il loro</w:t>
      </w:r>
      <w:r>
        <w:rPr>
          <w:i/>
        </w:rPr>
        <w:t xml:space="preserve"> status</w:t>
      </w:r>
      <w:r>
        <w:t xml:space="preserve"> </w:t>
      </w:r>
      <w:r w:rsidR="00582345">
        <w:t xml:space="preserve">secondo il diritto interno </w:t>
      </w:r>
      <w:r>
        <w:t xml:space="preserve">ai fini dell’accertamento della qualità organica e di prendere in considerazione i reali rapporti tra la persona che agisce e lo Stato, al quale essa si lega in maniera a tal punto stretta da sembrare la sua </w:t>
      </w:r>
      <w:r>
        <w:rPr>
          <w:i/>
        </w:rPr>
        <w:t>longa manus</w:t>
      </w:r>
      <w:r>
        <w:t>:</w:t>
      </w:r>
    </w:p>
    <w:p w:rsidR="00561C4D" w:rsidRDefault="00561C4D" w:rsidP="00EB037D">
      <w:pPr>
        <w:spacing w:after="0" w:line="360" w:lineRule="auto"/>
        <w:ind w:firstLine="284"/>
        <w:jc w:val="both"/>
      </w:pPr>
    </w:p>
    <w:p w:rsidR="00561C4D" w:rsidRPr="00582345" w:rsidRDefault="00561C4D" w:rsidP="00EB037D">
      <w:pPr>
        <w:spacing w:after="0" w:line="360" w:lineRule="auto"/>
        <w:ind w:left="567" w:right="567" w:firstLine="284"/>
        <w:jc w:val="both"/>
        <w:rPr>
          <w:lang w:val="en-US"/>
        </w:rPr>
      </w:pPr>
      <w:r w:rsidRPr="00582345">
        <w:rPr>
          <w:sz w:val="20"/>
          <w:szCs w:val="20"/>
          <w:lang w:val="en-US"/>
        </w:rPr>
        <w:t>“</w:t>
      </w:r>
      <w:r w:rsidRPr="00582345">
        <w:rPr>
          <w:lang w:val="en-US"/>
        </w:rPr>
        <w:t>In such a case, it is appropriate to look beyond legal status alone, in order to grasp the reality of the relationship between the person taking action, and the State to which he is so closely attached as to appear to be nothing more than its agent: any other solution would allow States to escape their international responsibility by choosing to act through persons or entities whose supposed independence would be purely fictitious</w:t>
      </w:r>
      <w:r w:rsidRPr="00582345">
        <w:rPr>
          <w:sz w:val="20"/>
          <w:szCs w:val="20"/>
          <w:lang w:val="en-US"/>
        </w:rPr>
        <w:t>”</w:t>
      </w:r>
      <w:r w:rsidRPr="00582345">
        <w:rPr>
          <w:rStyle w:val="Rimandonotaapidipagina"/>
        </w:rPr>
        <w:footnoteReference w:id="489"/>
      </w:r>
      <w:r w:rsidRPr="00582345">
        <w:rPr>
          <w:lang w:val="en-US"/>
        </w:rPr>
        <w:t>.</w:t>
      </w:r>
    </w:p>
    <w:p w:rsidR="00561C4D" w:rsidRPr="00D95F7C" w:rsidRDefault="00561C4D" w:rsidP="00EB037D">
      <w:pPr>
        <w:spacing w:after="0" w:line="360" w:lineRule="auto"/>
        <w:ind w:firstLine="284"/>
        <w:jc w:val="both"/>
        <w:rPr>
          <w:lang w:val="en-US"/>
        </w:rPr>
      </w:pPr>
    </w:p>
    <w:p w:rsidR="00561C4D" w:rsidRDefault="00561C4D" w:rsidP="00EB037D">
      <w:pPr>
        <w:spacing w:after="0" w:line="360" w:lineRule="auto"/>
        <w:ind w:firstLine="284"/>
        <w:jc w:val="both"/>
      </w:pPr>
      <w:r w:rsidRPr="005D04CA">
        <w:rPr>
          <w:lang w:val="en-US"/>
        </w:rPr>
        <w:t xml:space="preserve"> </w:t>
      </w:r>
      <w:r>
        <w:t>Tale eventualità è espressamente riconosciuta come un’ipotesi eccezionale che si configura solo a condizione che tali persone, gruppi di persone o entità agiscano in fatto sotto la completa dipendenza dello Stato, divenendo dei suoi semplici strumenti:</w:t>
      </w:r>
    </w:p>
    <w:p w:rsidR="00561C4D" w:rsidRDefault="00561C4D" w:rsidP="00EB037D">
      <w:pPr>
        <w:spacing w:after="0" w:line="360" w:lineRule="auto"/>
        <w:ind w:firstLine="284"/>
        <w:jc w:val="both"/>
      </w:pPr>
    </w:p>
    <w:p w:rsidR="00561C4D" w:rsidRPr="00582345" w:rsidRDefault="00561C4D" w:rsidP="00EB037D">
      <w:pPr>
        <w:spacing w:after="0" w:line="360" w:lineRule="auto"/>
        <w:ind w:left="567" w:right="567" w:firstLine="284"/>
        <w:jc w:val="both"/>
        <w:rPr>
          <w:lang w:val="en-US"/>
        </w:rPr>
      </w:pPr>
      <w:r w:rsidRPr="00582345">
        <w:rPr>
          <w:lang w:val="en-US"/>
        </w:rPr>
        <w:t>“However, so to equate persons or entities with State organs when they do not have that status under internal law must be exceptional, for it requires proof of a particularly great degree of State control over them, a relationship which the Court’s Judgment quoted above expressly described as complete dependence”</w:t>
      </w:r>
      <w:r w:rsidRPr="00582345">
        <w:rPr>
          <w:rStyle w:val="Rimandonotaapidipagina"/>
        </w:rPr>
        <w:footnoteReference w:id="490"/>
      </w:r>
      <w:r w:rsidRPr="00582345">
        <w:rPr>
          <w:lang w:val="en-US"/>
        </w:rPr>
        <w:t>.</w:t>
      </w:r>
    </w:p>
    <w:p w:rsidR="007F2013" w:rsidRDefault="007F2013" w:rsidP="007F2013">
      <w:pPr>
        <w:spacing w:after="0" w:line="360" w:lineRule="auto"/>
        <w:jc w:val="both"/>
        <w:rPr>
          <w:lang w:val="en-US"/>
        </w:rPr>
      </w:pPr>
    </w:p>
    <w:p w:rsidR="00561C4D" w:rsidRDefault="00042154" w:rsidP="00EB037D">
      <w:pPr>
        <w:spacing w:after="0" w:line="360" w:lineRule="auto"/>
        <w:ind w:firstLine="284"/>
        <w:jc w:val="both"/>
      </w:pPr>
      <w:r w:rsidRPr="008715D2">
        <w:rPr>
          <w:lang w:val="en-US"/>
        </w:rPr>
        <w:t xml:space="preserve"> </w:t>
      </w:r>
      <w:r>
        <w:t>A differ</w:t>
      </w:r>
      <w:r w:rsidR="00AD4141">
        <w:t xml:space="preserve">enza delle precedenti pronunce, e in particolare di quella resa nel caso </w:t>
      </w:r>
      <w:r w:rsidR="00AD4141" w:rsidRPr="00B04F54">
        <w:rPr>
          <w:i/>
        </w:rPr>
        <w:t>Nicaragua</w:t>
      </w:r>
      <w:r w:rsidR="00A576DB" w:rsidRPr="00B04F54">
        <w:rPr>
          <w:i/>
        </w:rPr>
        <w:t xml:space="preserve"> </w:t>
      </w:r>
      <w:r w:rsidR="00B04F54" w:rsidRPr="00B04F54">
        <w:t>c.</w:t>
      </w:r>
      <w:r w:rsidR="00B04F54" w:rsidRPr="00B04F54">
        <w:rPr>
          <w:i/>
        </w:rPr>
        <w:t xml:space="preserve"> Stati Uniti</w:t>
      </w:r>
      <w:r w:rsidR="00B04F54">
        <w:t xml:space="preserve"> </w:t>
      </w:r>
      <w:r w:rsidR="00A576DB">
        <w:t xml:space="preserve">in cui </w:t>
      </w:r>
      <w:r w:rsidR="00A576DB" w:rsidRPr="00A576DB">
        <w:t>la Corte non aveva precisato se il riferimento alla totale dipendenza dallo Stato  fosse l’unico criterio in grado di giustificare l’assimilazione di tali individui o enti agli organi statali oppure soltanto l’elemento fattuale più adeguato da prendere in considerazione co</w:t>
      </w:r>
      <w:r w:rsidR="00A576DB">
        <w:t>n riferimento al caso di specie</w:t>
      </w:r>
      <w:r w:rsidR="00AD4141">
        <w:t>,</w:t>
      </w:r>
      <w:r w:rsidR="00A576DB">
        <w:t xml:space="preserve"> nella sentenza del 2007</w:t>
      </w:r>
      <w:r w:rsidR="00AD4141">
        <w:t xml:space="preserve"> l</w:t>
      </w:r>
      <w:r w:rsidR="00561C4D">
        <w:t>a Corte sembra delimitare l’ambito di applicazione di tale criterio di attribuzione riconoscendo nella totale dipendenza l’unica situazione di fatto in presenza della quale appare giustificata una assimilazione di individui o enti ad organi dello Stato. Nonostante nella sentenza non siano presenti indicazioni utili a comprend</w:t>
      </w:r>
      <w:r w:rsidR="00200312">
        <w:t>ere quando un individuo o gruppo</w:t>
      </w:r>
      <w:r w:rsidR="00561C4D">
        <w:t xml:space="preserve"> di individui possono essere considerati completamente dipendenti dagli org</w:t>
      </w:r>
      <w:r w:rsidR="00443258">
        <w:t>ani statali, la Corte ha affermato</w:t>
      </w:r>
      <w:r w:rsidR="00561C4D">
        <w:t xml:space="preserve"> che è sufficiente che si siano manifestate delle divergenze sulle strategie da seguire per rendere impossibile la loro assimilazione ad organi statali</w:t>
      </w:r>
      <w:r w:rsidR="00561C4D">
        <w:rPr>
          <w:rStyle w:val="Rimandonotaapidipagina"/>
        </w:rPr>
        <w:footnoteReference w:id="491"/>
      </w:r>
      <w:r w:rsidR="00561C4D">
        <w:t>.</w:t>
      </w:r>
    </w:p>
    <w:p w:rsidR="00561C4D" w:rsidRDefault="00561C4D" w:rsidP="00EB037D">
      <w:pPr>
        <w:spacing w:after="0" w:line="360" w:lineRule="auto"/>
        <w:ind w:firstLine="284"/>
        <w:jc w:val="both"/>
      </w:pPr>
      <w:r>
        <w:t xml:space="preserve">L’impressione che si ricava è che la Corte assume una posizione particolarmente rigorosa nel valutare il grado di controllo necessario ai fini dell’attribuzione, tanto più che l’assimilazione di un individuo o ente ad un organo </w:t>
      </w:r>
      <w:r>
        <w:rPr>
          <w:i/>
        </w:rPr>
        <w:t xml:space="preserve">de iure </w:t>
      </w:r>
      <w:r>
        <w:t>dovrebbe in linea di principio implicare che l’insieme dei comportamenti da esso adottati nell’esercizio delle funzioni è attribuibile allo Stato, anche ove abbia agito contrariamente ai limiti imposti alla propria attività o alle istruzioni ricevute:</w:t>
      </w:r>
    </w:p>
    <w:p w:rsidR="00561C4D" w:rsidRDefault="00561C4D" w:rsidP="00EB037D">
      <w:pPr>
        <w:spacing w:after="0" w:line="360" w:lineRule="auto"/>
        <w:ind w:firstLine="284"/>
        <w:jc w:val="both"/>
      </w:pPr>
    </w:p>
    <w:p w:rsidR="00F726A7" w:rsidRDefault="00561C4D" w:rsidP="00F726A7">
      <w:pPr>
        <w:autoSpaceDE w:val="0"/>
        <w:autoSpaceDN w:val="0"/>
        <w:adjustRightInd w:val="0"/>
        <w:spacing w:after="0" w:line="360" w:lineRule="auto"/>
        <w:ind w:left="567" w:right="567" w:firstLine="284"/>
        <w:jc w:val="both"/>
        <w:rPr>
          <w:lang w:val="en-US"/>
        </w:rPr>
      </w:pPr>
      <w:r w:rsidRPr="00345A2A">
        <w:rPr>
          <w:lang w:val="en-US"/>
        </w:rPr>
        <w:t>“</w:t>
      </w:r>
      <w:r w:rsidRPr="00C511A2">
        <w:rPr>
          <w:lang w:val="en-US"/>
        </w:rPr>
        <w:t>the question whether those persons should be equated with State organs de facto, even though not enjoying that status under internal law depends […] as previously explained, on whether those persons were in a relationship of such complete dependence on the State that they cannot be considered otherwise than as organs of the State, so that all their actions performed in such capacity would be attributable to the State for purposes of international responsibility</w:t>
      </w:r>
      <w:r w:rsidRPr="00345A2A">
        <w:rPr>
          <w:lang w:val="en-US"/>
        </w:rPr>
        <w:t>”</w:t>
      </w:r>
      <w:r w:rsidRPr="00C511A2">
        <w:rPr>
          <w:rStyle w:val="Rimandonotaapidipagina"/>
        </w:rPr>
        <w:footnoteReference w:id="492"/>
      </w:r>
      <w:r w:rsidRPr="00C511A2">
        <w:rPr>
          <w:lang w:val="en-US"/>
        </w:rPr>
        <w:t>.</w:t>
      </w:r>
    </w:p>
    <w:p w:rsidR="00F726A7" w:rsidRDefault="00F726A7" w:rsidP="00F726A7">
      <w:pPr>
        <w:autoSpaceDE w:val="0"/>
        <w:autoSpaceDN w:val="0"/>
        <w:adjustRightInd w:val="0"/>
        <w:spacing w:after="0" w:line="360" w:lineRule="auto"/>
        <w:ind w:left="567" w:right="567" w:firstLine="284"/>
        <w:jc w:val="both"/>
        <w:rPr>
          <w:lang w:val="en-US"/>
        </w:rPr>
      </w:pPr>
    </w:p>
    <w:p w:rsidR="00561C4D" w:rsidRDefault="00F726A7" w:rsidP="00AE62B0">
      <w:pPr>
        <w:autoSpaceDE w:val="0"/>
        <w:autoSpaceDN w:val="0"/>
        <w:adjustRightInd w:val="0"/>
        <w:spacing w:after="0" w:line="360" w:lineRule="auto"/>
        <w:ind w:firstLine="284"/>
        <w:jc w:val="both"/>
      </w:pPr>
      <w:r w:rsidRPr="00F726A7">
        <w:t xml:space="preserve">Nonostante non sia possibile riscontrare nella sentenza delle </w:t>
      </w:r>
      <w:r w:rsidR="001E6B67">
        <w:t>esplicite indicazioni a riguardo, la circostanza che la stessa Corte abbia ammesso che la distinzione fra comportamenti tenuti nell’esercizio delle funzioni e comportamenti tenuti in qualità di privato sia valida anche rispetto agli organi di fatto potrebbe lasciar supporre che la regola che attribuisce allo Stato le condotte adottate in violazione delle competenze assegnate trovi applicazione anche con riferimento a tale ipotesi</w:t>
      </w:r>
      <w:r w:rsidR="001E6B67">
        <w:rPr>
          <w:rStyle w:val="Rimandonotaapidipagina"/>
        </w:rPr>
        <w:footnoteReference w:id="493"/>
      </w:r>
      <w:r w:rsidR="001E6B67">
        <w:t>.</w:t>
      </w:r>
    </w:p>
    <w:p w:rsidR="007F2013" w:rsidRPr="00F726A7" w:rsidRDefault="007F2013" w:rsidP="00AE62B0">
      <w:pPr>
        <w:autoSpaceDE w:val="0"/>
        <w:autoSpaceDN w:val="0"/>
        <w:adjustRightInd w:val="0"/>
        <w:spacing w:after="0" w:line="360" w:lineRule="auto"/>
        <w:ind w:firstLine="284"/>
        <w:jc w:val="both"/>
      </w:pPr>
    </w:p>
    <w:p w:rsidR="00561C4D" w:rsidRPr="00AB45D2" w:rsidRDefault="009A6CEB" w:rsidP="009A6CEB">
      <w:pPr>
        <w:spacing w:after="0"/>
        <w:ind w:firstLine="284"/>
      </w:pPr>
      <w:r>
        <w:t xml:space="preserve">7. </w:t>
      </w:r>
      <w:r w:rsidR="00766EBC">
        <w:t xml:space="preserve">Osservazioni </w:t>
      </w:r>
      <w:r w:rsidR="002A11BD">
        <w:t>sul</w:t>
      </w:r>
      <w:r w:rsidR="00561C4D" w:rsidRPr="00AB45D2">
        <w:t xml:space="preserve">la prassi </w:t>
      </w:r>
      <w:r w:rsidR="002A11BD">
        <w:t>e</w:t>
      </w:r>
      <w:r w:rsidR="00766EBC">
        <w:t xml:space="preserve"> giurisprudenza recenti</w:t>
      </w:r>
    </w:p>
    <w:p w:rsidR="00561C4D" w:rsidRPr="006E5CB2" w:rsidRDefault="00561C4D" w:rsidP="00EB037D">
      <w:pPr>
        <w:spacing w:after="0" w:line="360" w:lineRule="auto"/>
        <w:ind w:firstLine="284"/>
        <w:jc w:val="both"/>
      </w:pPr>
    </w:p>
    <w:p w:rsidR="006E5CB2" w:rsidRDefault="006E5CB2" w:rsidP="006E5CB2">
      <w:pPr>
        <w:spacing w:after="0" w:line="360" w:lineRule="auto"/>
        <w:ind w:firstLine="284"/>
        <w:jc w:val="both"/>
      </w:pPr>
      <w:r w:rsidRPr="006E5CB2">
        <w:t xml:space="preserve">Alla luce della prassi internazionale recente, sembra possibile affermare che il principio secondo cui lo Stato </w:t>
      </w:r>
      <w:r>
        <w:t xml:space="preserve">deve </w:t>
      </w:r>
      <w:r w:rsidRPr="006E5CB2">
        <w:t xml:space="preserve">rispondere internazionalmente dei fatti illeciti </w:t>
      </w:r>
      <w:r w:rsidRPr="006E5CB2">
        <w:rPr>
          <w:i/>
        </w:rPr>
        <w:t>ultra vires</w:t>
      </w:r>
      <w:r>
        <w:t xml:space="preserve"> tenuti dai propri organi </w:t>
      </w:r>
      <w:r w:rsidRPr="006E5CB2">
        <w:t>nell’esercizio delle funzioni ha acquisito una natura consuetudinaria.</w:t>
      </w:r>
    </w:p>
    <w:p w:rsidR="00A80233" w:rsidRDefault="00A80233" w:rsidP="006E5CB2">
      <w:pPr>
        <w:spacing w:after="0" w:line="360" w:lineRule="auto"/>
        <w:ind w:firstLine="284"/>
        <w:jc w:val="both"/>
      </w:pPr>
      <w:r>
        <w:t xml:space="preserve">Probabilmente su impulso della codificazione della materia da parte della Commissione del diritto internazionale, in epoca recente il problema dei fatti illeciti internazionali </w:t>
      </w:r>
      <w:r w:rsidRPr="00AD4654">
        <w:rPr>
          <w:i/>
        </w:rPr>
        <w:t>ultra vires</w:t>
      </w:r>
      <w:r w:rsidRPr="00AD4654">
        <w:t xml:space="preserve"> </w:t>
      </w:r>
      <w:r>
        <w:t xml:space="preserve">viene posto in termini di attribuzione di fatti allo Stato, e non solo di responsablità internazionale. Ci si domanda cioè se </w:t>
      </w:r>
      <w:r>
        <w:rPr>
          <w:rFonts w:cstheme="minorHAnsi"/>
        </w:rPr>
        <w:t xml:space="preserve">le condotte tenute dagli </w:t>
      </w:r>
      <w:r w:rsidRPr="00C30B8E">
        <w:rPr>
          <w:rFonts w:cstheme="minorHAnsi"/>
        </w:rPr>
        <w:t>organi</w:t>
      </w:r>
      <w:r>
        <w:rPr>
          <w:rFonts w:cstheme="minorHAnsi"/>
        </w:rPr>
        <w:t xml:space="preserve"> statali, </w:t>
      </w:r>
      <w:r w:rsidRPr="00C30B8E">
        <w:rPr>
          <w:rFonts w:cstheme="minorHAnsi"/>
        </w:rPr>
        <w:t>eccedendo i limiti della competenza oppure contravvenendo alle istruzioni</w:t>
      </w:r>
      <w:r>
        <w:rPr>
          <w:rFonts w:cstheme="minorHAnsi"/>
        </w:rPr>
        <w:t xml:space="preserve"> ricevute,</w:t>
      </w:r>
      <w:r>
        <w:t xml:space="preserve"> possano ritenersi dei fatti dello Stato quale soggetto internazionale e non più soltanto se lo Stato sia tenuto a risponderne internazionalmente.</w:t>
      </w:r>
    </w:p>
    <w:p w:rsidR="00124BBF" w:rsidRDefault="006E5CB2" w:rsidP="006A5BB7">
      <w:pPr>
        <w:spacing w:after="0" w:line="360" w:lineRule="auto"/>
        <w:ind w:firstLine="284"/>
        <w:jc w:val="both"/>
      </w:pPr>
      <w:r w:rsidRPr="006E5CB2">
        <w:t>Per quanto concerne le attività di individui che godono della qualità di organo in virtù di</w:t>
      </w:r>
      <w:r>
        <w:t xml:space="preserve"> un legame formale con lo Stato, </w:t>
      </w:r>
      <w:r w:rsidR="004018C3">
        <w:t xml:space="preserve">è possibile innanzitutto mettere in luce una tendenziale uniformità della giurisprudenza nel riconoscere che lo Stato ne è internazionalmente responsabile anche nel caso in cui siano </w:t>
      </w:r>
      <w:r w:rsidR="000353CF">
        <w:t>state com</w:t>
      </w:r>
      <w:r w:rsidR="00CB3E28">
        <w:t xml:space="preserve">piute </w:t>
      </w:r>
      <w:r w:rsidR="004018C3" w:rsidRPr="004018C3">
        <w:rPr>
          <w:i/>
        </w:rPr>
        <w:t>ultra vires</w:t>
      </w:r>
      <w:r w:rsidR="00963EC4">
        <w:t xml:space="preserve"> </w:t>
      </w:r>
      <w:r w:rsidR="00B04F54">
        <w:t xml:space="preserve">nel senso </w:t>
      </w:r>
      <w:r w:rsidR="00963EC4">
        <w:t xml:space="preserve">che si tratti di fatti ad esso attribuibili. </w:t>
      </w:r>
      <w:r w:rsidR="00684388">
        <w:t>Un indizio del chiaro allineamento della giurisprudenza con il progetto di articoli adottato dalla Commissione del diritto internazionale in tema di responsabilità internazionale degl</w:t>
      </w:r>
      <w:r w:rsidR="00B04F54">
        <w:t>i Stati</w:t>
      </w:r>
      <w:r w:rsidR="00684388">
        <w:t xml:space="preserve"> è rappresentato inoltre dal ric</w:t>
      </w:r>
      <w:r w:rsidR="00B04F54">
        <w:t xml:space="preserve">onoscimento in via generale </w:t>
      </w:r>
      <w:r w:rsidR="00684388">
        <w:t xml:space="preserve">del suddetto principio. </w:t>
      </w:r>
    </w:p>
    <w:p w:rsidR="00F4530A" w:rsidRDefault="00684388" w:rsidP="00A6782D">
      <w:pPr>
        <w:spacing w:after="0" w:line="360" w:lineRule="auto"/>
        <w:ind w:firstLine="284"/>
        <w:jc w:val="both"/>
      </w:pPr>
      <w:r>
        <w:t xml:space="preserve">In particolare, nella giurisprudenza </w:t>
      </w:r>
      <w:r w:rsidR="00A6782D">
        <w:t xml:space="preserve">della seconda parte del ventesimo secolo </w:t>
      </w:r>
      <w:r>
        <w:t xml:space="preserve">non </w:t>
      </w:r>
      <w:r w:rsidR="00AF0608">
        <w:t>viene più fatta menzione del</w:t>
      </w:r>
      <w:r w:rsidR="00F4530A">
        <w:t>la limitazione</w:t>
      </w:r>
      <w:r w:rsidR="00AF0608">
        <w:t xml:space="preserve"> della manifesta incompetenza dell’organo</w:t>
      </w:r>
      <w:r w:rsidR="00F4530A">
        <w:t>,</w:t>
      </w:r>
      <w:r w:rsidR="00AF0608">
        <w:t xml:space="preserve"> in </w:t>
      </w:r>
      <w:r w:rsidR="00B04F54">
        <w:t xml:space="preserve">base </w:t>
      </w:r>
      <w:r w:rsidR="00065C41">
        <w:t>alla quale lo Stato non sarebbe</w:t>
      </w:r>
      <w:r w:rsidR="00AF0608">
        <w:t xml:space="preserve"> tenuto a rispondere sul piano internazionale delle condotte </w:t>
      </w:r>
      <w:r w:rsidR="00AF0608" w:rsidRPr="00AF0608">
        <w:rPr>
          <w:i/>
        </w:rPr>
        <w:t xml:space="preserve">ultra vires </w:t>
      </w:r>
      <w:r w:rsidR="00AF0608">
        <w:t>dei propri organi nel caso</w:t>
      </w:r>
      <w:r w:rsidR="00A6782D">
        <w:t xml:space="preserve"> in cui la loro incompetenza è</w:t>
      </w:r>
      <w:r w:rsidR="00AF0608">
        <w:t xml:space="preserve"> a tal punto manifesta da risultare incontrovertibile agli occhi del terzo.</w:t>
      </w:r>
      <w:r w:rsidR="006A5BB7">
        <w:t xml:space="preserve"> </w:t>
      </w:r>
      <w:r w:rsidR="00A6782D">
        <w:t xml:space="preserve">In epoca recente </w:t>
      </w:r>
      <w:r w:rsidR="00E7401D">
        <w:t xml:space="preserve">infatti </w:t>
      </w:r>
      <w:r w:rsidR="00A6782D">
        <w:t>l</w:t>
      </w:r>
      <w:r w:rsidR="00A82B41">
        <w:t xml:space="preserve">o Stato non è </w:t>
      </w:r>
      <w:r w:rsidR="006A5BB7">
        <w:t xml:space="preserve">ritenuto internazionalmente </w:t>
      </w:r>
      <w:r w:rsidR="00F4530A">
        <w:t xml:space="preserve">responsabile delle condotte </w:t>
      </w:r>
      <w:r w:rsidR="00A80233">
        <w:t xml:space="preserve">illecite </w:t>
      </w:r>
      <w:r w:rsidR="00F4530A">
        <w:t>dei propri organi soltanto nel caso in cui</w:t>
      </w:r>
      <w:r w:rsidR="006A5BB7">
        <w:t xml:space="preserve"> siano state adottate nella loro qualità privata, non esistendo alcun tipo di legame tra il fatto e la fu</w:t>
      </w:r>
      <w:r w:rsidR="000D3707">
        <w:t>nzione ufficiale esercitata tale da giustificarne la sua attribuzione</w:t>
      </w:r>
      <w:r w:rsidR="00171905" w:rsidRPr="00171905">
        <w:t xml:space="preserve"> </w:t>
      </w:r>
      <w:r w:rsidR="00171905">
        <w:t>ad esso</w:t>
      </w:r>
      <w:r w:rsidR="000D3707">
        <w:t>.</w:t>
      </w:r>
      <w:r w:rsidR="00171905">
        <w:t xml:space="preserve"> </w:t>
      </w:r>
    </w:p>
    <w:p w:rsidR="008C5D3B" w:rsidRDefault="000353CF" w:rsidP="007A5F95">
      <w:pPr>
        <w:spacing w:after="0" w:line="360" w:lineRule="auto"/>
        <w:ind w:firstLine="284"/>
        <w:jc w:val="both"/>
      </w:pPr>
      <w:r>
        <w:t xml:space="preserve">Anche </w:t>
      </w:r>
      <w:r w:rsidR="006A5BB7">
        <w:t>la prassi degli Stati</w:t>
      </w:r>
      <w:r>
        <w:t>, sebbene in maniera meno uniforme, appare nel complesso orientata verso il ri</w:t>
      </w:r>
      <w:r w:rsidR="00B04F54">
        <w:t>conoscimento in termini generali</w:t>
      </w:r>
      <w:r>
        <w:t xml:space="preserve"> del principio della responsabilità internazionale dello Stato per fatti </w:t>
      </w:r>
      <w:r w:rsidRPr="000353CF">
        <w:rPr>
          <w:i/>
        </w:rPr>
        <w:t>ultra vires</w:t>
      </w:r>
      <w:r>
        <w:t xml:space="preserve"> dei propri organi. </w:t>
      </w:r>
      <w:r w:rsidR="0097769D">
        <w:t xml:space="preserve">Le </w:t>
      </w:r>
      <w:r>
        <w:t xml:space="preserve">sparute </w:t>
      </w:r>
      <w:r w:rsidR="00B04F54">
        <w:t xml:space="preserve">eccezioni </w:t>
      </w:r>
      <w:r>
        <w:t>in cui</w:t>
      </w:r>
      <w:r w:rsidR="00A82B41">
        <w:t xml:space="preserve"> uno Stato ha sostenuto di non dover rispondere internazionalmente di tali fatti</w:t>
      </w:r>
      <w:r w:rsidR="00B04F54">
        <w:t xml:space="preserve"> sembrano in realtà spieg</w:t>
      </w:r>
      <w:r w:rsidR="0097769D">
        <w:t xml:space="preserve">abili alla luce di ulteriori elementi. </w:t>
      </w:r>
    </w:p>
    <w:p w:rsidR="000353CF" w:rsidRDefault="0097769D" w:rsidP="007A5F95">
      <w:pPr>
        <w:spacing w:after="0" w:line="360" w:lineRule="auto"/>
        <w:ind w:firstLine="284"/>
        <w:jc w:val="both"/>
      </w:pPr>
      <w:r>
        <w:t xml:space="preserve">Si pensi, ad esempio, alle argomentazioni sostenute dal Governo britannico dinanzi gli organi di controllo della Convenzione europea dei diritti dell’uomo nel caso </w:t>
      </w:r>
      <w:r w:rsidRPr="0097769D">
        <w:rPr>
          <w:i/>
        </w:rPr>
        <w:t>Irlanda</w:t>
      </w:r>
      <w:r>
        <w:t xml:space="preserve"> c. </w:t>
      </w:r>
      <w:r w:rsidRPr="0097769D">
        <w:rPr>
          <w:i/>
        </w:rPr>
        <w:t>Regno Unito</w:t>
      </w:r>
      <w:r w:rsidRPr="008C5D3B">
        <w:rPr>
          <w:rStyle w:val="Rimandonotaapidipagina"/>
        </w:rPr>
        <w:footnoteReference w:id="494"/>
      </w:r>
      <w:r w:rsidRPr="008C5D3B">
        <w:t>.</w:t>
      </w:r>
      <w:r w:rsidR="00C30993">
        <w:t xml:space="preserve"> Al fine di sfuggire alla responsabilità in</w:t>
      </w:r>
      <w:r w:rsidR="00720660">
        <w:t xml:space="preserve">ternazionale per violazione del divieto di trattamenti inumani e degradanti, il Regno Unito aveva riproposto la vecchia tesi secondo cui i fatti </w:t>
      </w:r>
      <w:r w:rsidR="00720660" w:rsidRPr="00320B58">
        <w:rPr>
          <w:i/>
        </w:rPr>
        <w:t>ultra vires</w:t>
      </w:r>
      <w:r w:rsidR="00720660">
        <w:t xml:space="preserve"> degli organi statali devono essere assimilati a dei fatti di privati, rispetto ai quali lo Stato può essere </w:t>
      </w:r>
      <w:r w:rsidR="00BE7E55">
        <w:t>ritenuto internazionalmente responsabile soltanto</w:t>
      </w:r>
      <w:r w:rsidR="00720660">
        <w:t xml:space="preserve"> in caso di un mancato adempimento da parte del Governo o degli organi superiori dell’obbligo di prevenzione o di repressione del fatto illecito oppure in caso di diniego di giustizia. Il peso di tale presa di posizione deve essere indubbiamente ridimensionato</w:t>
      </w:r>
      <w:r w:rsidR="00BE7E55">
        <w:t xml:space="preserve">, in particolare </w:t>
      </w:r>
      <w:r w:rsidR="00720660">
        <w:t xml:space="preserve">alla luce del fatto che </w:t>
      </w:r>
      <w:r w:rsidR="00BE7E55">
        <w:t xml:space="preserve">essa </w:t>
      </w:r>
      <w:r w:rsidR="00720660">
        <w:t xml:space="preserve">è stata assunta dal Governo del Regno Unito prima ancora che il </w:t>
      </w:r>
      <w:r w:rsidR="00720660" w:rsidRPr="00320B58">
        <w:t>principio d</w:t>
      </w:r>
      <w:r w:rsidR="000D3707">
        <w:t>ell’attribuzione allo Stato dei</w:t>
      </w:r>
      <w:r w:rsidR="00720660" w:rsidRPr="00320B58">
        <w:t xml:space="preserve"> fatti </w:t>
      </w:r>
      <w:r w:rsidR="00720660" w:rsidRPr="00320B58">
        <w:rPr>
          <w:i/>
        </w:rPr>
        <w:t>ultra vires</w:t>
      </w:r>
      <w:r w:rsidR="00720660" w:rsidRPr="00320B58">
        <w:t xml:space="preserve"> dei propri organi venisse adottato dalla Commissione del diritto internazionale nel 1975.</w:t>
      </w:r>
      <w:r w:rsidR="007A5F95">
        <w:t xml:space="preserve"> Un ridimensionamento di tale presa di posizione sembra inoltre doveroso anche alla luce del radicale cambio di atteggiamento </w:t>
      </w:r>
      <w:r w:rsidR="00BE7E55">
        <w:t xml:space="preserve">su tale questione da parte </w:t>
      </w:r>
      <w:r w:rsidR="007A5F95">
        <w:t xml:space="preserve">dello </w:t>
      </w:r>
      <w:r w:rsidR="00BE7E55">
        <w:t xml:space="preserve">stesso </w:t>
      </w:r>
      <w:r w:rsidR="007A5F95">
        <w:t xml:space="preserve">Stato dinanzi la Corte europea dei diritti dell’uomo solo qualche anno più tardi. </w:t>
      </w:r>
    </w:p>
    <w:p w:rsidR="007A5F95" w:rsidRDefault="007A5F95" w:rsidP="00BE7E55">
      <w:pPr>
        <w:spacing w:after="0" w:line="360" w:lineRule="auto"/>
        <w:ind w:firstLine="284"/>
        <w:jc w:val="both"/>
      </w:pPr>
      <w:r>
        <w:t>Per quanto concerne</w:t>
      </w:r>
      <w:r w:rsidR="00755C5D">
        <w:t xml:space="preserve"> invece la prassi recente</w:t>
      </w:r>
      <w:r w:rsidR="00B04F54">
        <w:t xml:space="preserve"> relativa a controversie trattate</w:t>
      </w:r>
      <w:r w:rsidR="00755C5D">
        <w:t xml:space="preserve"> in via diplomatica, è possibile ricordare l’atteggiam</w:t>
      </w:r>
      <w:r w:rsidR="006414FF">
        <w:t>ento avverso al principio dell’attribuzione a</w:t>
      </w:r>
      <w:r w:rsidR="00BE7E55">
        <w:t xml:space="preserve">llo Stato </w:t>
      </w:r>
      <w:r w:rsidR="006414FF">
        <w:t xml:space="preserve">di </w:t>
      </w:r>
      <w:r w:rsidR="00755C5D">
        <w:t xml:space="preserve">fatti </w:t>
      </w:r>
      <w:r w:rsidR="00755C5D" w:rsidRPr="00755C5D">
        <w:rPr>
          <w:i/>
        </w:rPr>
        <w:t>ultra vires</w:t>
      </w:r>
      <w:r w:rsidR="00755C5D">
        <w:t xml:space="preserve"> </w:t>
      </w:r>
      <w:r w:rsidR="00BE7E55">
        <w:t xml:space="preserve">degli organi </w:t>
      </w:r>
      <w:r w:rsidR="00755C5D">
        <w:t xml:space="preserve">assunto dall’URSS in occasione dell’incidente aereo </w:t>
      </w:r>
      <w:r w:rsidR="00755C5D" w:rsidRPr="00F92426">
        <w:t>del 1° settembre 1983</w:t>
      </w:r>
      <w:r w:rsidR="00755C5D">
        <w:rPr>
          <w:rStyle w:val="Rimandonotaapidipagina"/>
        </w:rPr>
        <w:footnoteReference w:id="495"/>
      </w:r>
      <w:r w:rsidR="00755C5D">
        <w:t>.</w:t>
      </w:r>
      <w:r w:rsidR="00B04F54">
        <w:t xml:space="preserve"> </w:t>
      </w:r>
      <w:r w:rsidR="00065C41">
        <w:t xml:space="preserve"> </w:t>
      </w:r>
      <w:r w:rsidR="00BE7E55">
        <w:t>Al fine di riconoscere il giusto valore</w:t>
      </w:r>
      <w:r w:rsidR="000D3707">
        <w:t xml:space="preserve"> anche</w:t>
      </w:r>
      <w:r w:rsidR="00BE7E55">
        <w:t xml:space="preserve"> a tale presa di </w:t>
      </w:r>
      <w:r w:rsidR="00A6782D">
        <w:t xml:space="preserve">posizione, si ritiene debbano essere tenute in debito conto </w:t>
      </w:r>
      <w:r w:rsidR="00BE7E55">
        <w:t>le difficoltà riscontrate in concreto</w:t>
      </w:r>
      <w:r w:rsidR="00BE7E55" w:rsidRPr="00BE7E55">
        <w:t xml:space="preserve"> </w:t>
      </w:r>
      <w:r w:rsidR="00BE7E55">
        <w:t xml:space="preserve">nel ricostruire </w:t>
      </w:r>
      <w:r w:rsidR="000D3707">
        <w:t xml:space="preserve">relativamente a tale controversia </w:t>
      </w:r>
      <w:r w:rsidR="00BE7E55">
        <w:t>le argomentazioni</w:t>
      </w:r>
      <w:r w:rsidR="00B04F54">
        <w:t xml:space="preserve"> degli Stati da quanto risulta</w:t>
      </w:r>
      <w:r w:rsidR="00BE7E55" w:rsidRPr="00BE7E55">
        <w:t xml:space="preserve"> </w:t>
      </w:r>
      <w:r w:rsidR="00BE7E55">
        <w:t>da notizie apparse sulla stampa periodica o su riviste giuridiche specializzate.</w:t>
      </w:r>
      <w:r w:rsidR="00575EF1">
        <w:t xml:space="preserve"> </w:t>
      </w:r>
      <w:r w:rsidR="00EC6D6D">
        <w:t xml:space="preserve">Si ricorda inoltre come sia d’obbligo la prudenza nell’apprezzamento delle </w:t>
      </w:r>
      <w:r w:rsidR="00575EF1">
        <w:t>prese di posizioni assunte dagli Stati</w:t>
      </w:r>
      <w:r w:rsidR="00EC6D6D">
        <w:t xml:space="preserve"> nell’ambi</w:t>
      </w:r>
      <w:r w:rsidR="00B04F54">
        <w:t>to di controversie trattate</w:t>
      </w:r>
      <w:r w:rsidR="00EC6D6D">
        <w:t xml:space="preserve"> in via diplomatica: le considerazioni di stampo giuridico appaiono sovente a tal punto connesse alle particolarità del caso specifico o a considerazioni di natura politica da rendere opinabile la loro portata quali prove dell’esistenza o meno di una regola internazionale generale.</w:t>
      </w:r>
    </w:p>
    <w:p w:rsidR="00345D26" w:rsidRPr="00345D26" w:rsidRDefault="006414FF" w:rsidP="00BE7E55">
      <w:pPr>
        <w:spacing w:after="0" w:line="360" w:lineRule="auto"/>
        <w:ind w:firstLine="284"/>
        <w:jc w:val="both"/>
      </w:pPr>
      <w:r>
        <w:t xml:space="preserve">Venendo ad analizzare la questione della possibilità di attribuire allo Stato i fatti </w:t>
      </w:r>
      <w:r w:rsidRPr="000D385D">
        <w:rPr>
          <w:i/>
        </w:rPr>
        <w:t>ultra vires</w:t>
      </w:r>
      <w:r>
        <w:t xml:space="preserve"> </w:t>
      </w:r>
      <w:r w:rsidRPr="00345D26">
        <w:t xml:space="preserve">tenuti da individui o enti ad esso connessi da un legame fattuale, va </w:t>
      </w:r>
      <w:r w:rsidRPr="00345D26">
        <w:rPr>
          <w:i/>
        </w:rPr>
        <w:t>in primis</w:t>
      </w:r>
      <w:r w:rsidRPr="00345D26">
        <w:t xml:space="preserve"> indicato che la giurisprudenza</w:t>
      </w:r>
      <w:r w:rsidR="00345D26" w:rsidRPr="00345D26">
        <w:t xml:space="preserve"> della seconda parte del ventesimo secolo</w:t>
      </w:r>
      <w:r w:rsidR="00865009" w:rsidRPr="00345D26">
        <w:t xml:space="preserve">, seppur non del tutto uniforme, è indubbiamente più vasta rispetto </w:t>
      </w:r>
      <w:r w:rsidR="00345D26" w:rsidRPr="00345D26">
        <w:t>a quella del</w:t>
      </w:r>
      <w:r w:rsidR="00865009" w:rsidRPr="00345D26">
        <w:t xml:space="preserve"> periodo precedente.</w:t>
      </w:r>
      <w:r w:rsidR="00345D26" w:rsidRPr="00345D26">
        <w:t xml:space="preserve"> </w:t>
      </w:r>
    </w:p>
    <w:p w:rsidR="003E5F78" w:rsidRDefault="00345D26" w:rsidP="00E476E5">
      <w:pPr>
        <w:spacing w:after="0" w:line="360" w:lineRule="auto"/>
        <w:ind w:firstLine="284"/>
        <w:jc w:val="both"/>
      </w:pPr>
      <w:r w:rsidRPr="00345D26">
        <w:t>Nella giurisprudenza internazionale recente</w:t>
      </w:r>
      <w:r>
        <w:t xml:space="preserve">, </w:t>
      </w:r>
      <w:r w:rsidR="003E5F78">
        <w:t xml:space="preserve">difatti, </w:t>
      </w:r>
      <w:r w:rsidRPr="00345D26">
        <w:t>non mancano casi</w:t>
      </w:r>
      <w:r w:rsidR="003E5F78">
        <w:t xml:space="preserve"> inerenti l’attività di gruppi organizzati</w:t>
      </w:r>
      <w:r w:rsidRPr="00345D26">
        <w:t xml:space="preserve"> in cui</w:t>
      </w:r>
      <w:r w:rsidR="0052622A">
        <w:t xml:space="preserve"> si è fatto ricorso a criteri di attribuzione che si fondano su elementi fattuali differenti rispetto all’istruzione o al controllo effet</w:t>
      </w:r>
      <w:r w:rsidR="003E5F78">
        <w:t>tivo.</w:t>
      </w:r>
      <w:r w:rsidR="00AF6148">
        <w:t xml:space="preserve"> La</w:t>
      </w:r>
      <w:r w:rsidR="003E5F78">
        <w:t xml:space="preserve"> difficoltà riscontrata in tal</w:t>
      </w:r>
      <w:r w:rsidR="00B04F54">
        <w:t>une situazioni nell’accertare s</w:t>
      </w:r>
      <w:r w:rsidR="003E5F78">
        <w:t xml:space="preserve">e le condotte </w:t>
      </w:r>
      <w:r w:rsidR="00E3519B">
        <w:t>tenute da individui o enti sia</w:t>
      </w:r>
      <w:r w:rsidR="003E5F78">
        <w:t xml:space="preserve"> stata oggetto di istruzioni o di uno specifico controllo da parte </w:t>
      </w:r>
      <w:r w:rsidR="00AF6148">
        <w:t xml:space="preserve">dello Stato, ha spinto gli interpreti a ricostruire un criterio più generale di attribuzione, fondato su una sostanziale equiparazione di tali individui ad organi statali </w:t>
      </w:r>
      <w:r w:rsidR="00AF6148" w:rsidRPr="00AF6148">
        <w:rPr>
          <w:i/>
        </w:rPr>
        <w:t>de iure</w:t>
      </w:r>
      <w:r w:rsidR="00AF6148">
        <w:t>.</w:t>
      </w:r>
      <w:r w:rsidR="00E3519B">
        <w:t xml:space="preserve"> </w:t>
      </w:r>
      <w:r w:rsidR="0009735A">
        <w:t xml:space="preserve">Continuando a reputare </w:t>
      </w:r>
      <w:r w:rsidR="00E3519B">
        <w:t xml:space="preserve">valida la distinzione fra organo e individuo che riceve istruzioni da parte dello Stato, </w:t>
      </w:r>
      <w:r w:rsidR="00E476E5">
        <w:t xml:space="preserve">nella prassi sono stati ritenuti fatti attribuibili in via generale allo Stato le condotte di individui o enti che, pur non godendo dello </w:t>
      </w:r>
      <w:r w:rsidR="00E476E5" w:rsidRPr="00E476E5">
        <w:rPr>
          <w:i/>
        </w:rPr>
        <w:t>status</w:t>
      </w:r>
      <w:r w:rsidR="00E476E5">
        <w:t xml:space="preserve"> di organi in base all’ordinamento interno, erano ad essi assimilabili alla luce della forte integrazione nell’apparato di governo dello Stato e del tipo di funzione svolta.</w:t>
      </w:r>
    </w:p>
    <w:p w:rsidR="00281936" w:rsidRDefault="006B4923" w:rsidP="00E62911">
      <w:pPr>
        <w:spacing w:after="0" w:line="360" w:lineRule="auto"/>
        <w:ind w:firstLine="284"/>
        <w:jc w:val="both"/>
      </w:pPr>
      <w:r>
        <w:t xml:space="preserve">Tali recenti sviluppi della prassi internazionale assumono rilevanza anche </w:t>
      </w:r>
      <w:r w:rsidR="00224B4A">
        <w:t>i</w:t>
      </w:r>
      <w:r>
        <w:t xml:space="preserve">n relazione al problema dei fatti </w:t>
      </w:r>
      <w:r w:rsidRPr="006B4923">
        <w:rPr>
          <w:i/>
        </w:rPr>
        <w:t>ultra vires</w:t>
      </w:r>
      <w:r>
        <w:t xml:space="preserve">, soprattutto alla luce del fatto che </w:t>
      </w:r>
      <w:r w:rsidR="00345D26" w:rsidRPr="00345D26">
        <w:t xml:space="preserve">l’attribuzione allo Stato di comportamenti di individui che non godono della qualità organica in base al diritto interno ha trovato </w:t>
      </w:r>
      <w:r>
        <w:t xml:space="preserve">in alcuni casi </w:t>
      </w:r>
      <w:r w:rsidR="00345D26" w:rsidRPr="00345D26">
        <w:t xml:space="preserve">fondamento nella circostanza che la condotta illecita era stata posta in essere nell’esercizio delle funzioni in fatto assegnate a tale individuo. </w:t>
      </w:r>
      <w:r w:rsidR="003A1F17">
        <w:t>Tale riferimento induce a ritenere che</w:t>
      </w:r>
      <w:r w:rsidR="002B627D">
        <w:t>,</w:t>
      </w:r>
      <w:r w:rsidR="003A1F17">
        <w:t xml:space="preserve"> </w:t>
      </w:r>
      <w:r w:rsidR="002B627D">
        <w:t xml:space="preserve">soltanto </w:t>
      </w:r>
      <w:r w:rsidR="003A1F17">
        <w:t>nei casi in cui elementi fattuali permettano l’equiparazione di individui o enti ad organi statali</w:t>
      </w:r>
      <w:r w:rsidR="002B627D">
        <w:t xml:space="preserve">, le regole di attribuzione che si fondano sulla qualità di organo possano essere applicate anche </w:t>
      </w:r>
      <w:r w:rsidR="00224B4A">
        <w:t xml:space="preserve">rispetto </w:t>
      </w:r>
      <w:r w:rsidR="002B627D">
        <w:t>all’</w:t>
      </w:r>
      <w:r w:rsidR="00224B4A">
        <w:t xml:space="preserve">attività di </w:t>
      </w:r>
      <w:r w:rsidR="002B627D">
        <w:t xml:space="preserve"> individui legati fattualmente allo Stato.</w:t>
      </w:r>
      <w:r w:rsidR="00281936">
        <w:t xml:space="preserve"> La scelta di ricostruire </w:t>
      </w:r>
      <w:r w:rsidR="00E62911">
        <w:t xml:space="preserve">in presenza di determinate circostanze il legame fattuale tra individuo o gruppo di individui e lo Stato </w:t>
      </w:r>
      <w:r w:rsidR="00281936">
        <w:t>in termini di rapporto organico</w:t>
      </w:r>
      <w:r w:rsidR="00E62911">
        <w:t xml:space="preserve"> comporterebbe quindi una limitazione del</w:t>
      </w:r>
      <w:r w:rsidR="000E5758">
        <w:t xml:space="preserve">l’importanza assunta dal riferimento al diritto interno al fine della determinazione del contenuto e </w:t>
      </w:r>
      <w:r w:rsidR="00E62911">
        <w:t>de</w:t>
      </w:r>
      <w:r w:rsidR="000E5758">
        <w:t>i limiti delle funzioni</w:t>
      </w:r>
      <w:r w:rsidR="00E62911">
        <w:t xml:space="preserve"> dell’organo.</w:t>
      </w:r>
    </w:p>
    <w:p w:rsidR="000E6988" w:rsidRDefault="009A7897" w:rsidP="00224B4A">
      <w:pPr>
        <w:spacing w:after="0" w:line="360" w:lineRule="auto"/>
        <w:ind w:firstLine="284"/>
        <w:jc w:val="both"/>
      </w:pPr>
      <w:r>
        <w:t>N</w:t>
      </w:r>
      <w:r w:rsidR="00512479">
        <w:t xml:space="preserve">ella sentenza resa nel caso </w:t>
      </w:r>
      <w:r w:rsidR="00512479" w:rsidRPr="00512479">
        <w:rPr>
          <w:i/>
        </w:rPr>
        <w:t>Yaeger</w:t>
      </w:r>
      <w:r w:rsidR="00512479">
        <w:rPr>
          <w:rStyle w:val="Rimandonotaapidipagina"/>
        </w:rPr>
        <w:footnoteReference w:id="496"/>
      </w:r>
      <w:r>
        <w:t xml:space="preserve">, ad esempio, </w:t>
      </w:r>
      <w:r w:rsidR="00F33626">
        <w:t>i</w:t>
      </w:r>
      <w:r w:rsidR="00512479">
        <w:t xml:space="preserve">l Tribunale arbitrale Iran/Stati Uniti, dopo aver riconosciuto che le guardie rivoluzionarie non erano qualificabili </w:t>
      </w:r>
      <w:r w:rsidR="00512479" w:rsidRPr="000C6B3C">
        <w:t>come or</w:t>
      </w:r>
      <w:r w:rsidR="00512479">
        <w:t>gani statali</w:t>
      </w:r>
      <w:r w:rsidR="00F33626">
        <w:t xml:space="preserve"> alla luce dell’ordinamento interno </w:t>
      </w:r>
      <w:r w:rsidR="00512479">
        <w:t xml:space="preserve">all’epoca in cui avevano estorto del denaro ad alcuni cittadini americani, ha </w:t>
      </w:r>
      <w:r w:rsidR="00F33626">
        <w:t xml:space="preserve">riconosciuto </w:t>
      </w:r>
      <w:r w:rsidR="000E6988">
        <w:t>l’Iran responsabile</w:t>
      </w:r>
      <w:r w:rsidR="00FD0828">
        <w:t xml:space="preserve"> </w:t>
      </w:r>
      <w:r w:rsidR="00E106D2">
        <w:t xml:space="preserve">sul piano internazionale </w:t>
      </w:r>
      <w:r w:rsidR="00F33626">
        <w:t>di tali condotte alla luce dell’</w:t>
      </w:r>
      <w:r w:rsidR="00F33626" w:rsidRPr="00CE762E">
        <w:t xml:space="preserve">esistenza di un </w:t>
      </w:r>
      <w:r w:rsidR="00F33626">
        <w:t xml:space="preserve">intenso legame </w:t>
      </w:r>
      <w:r w:rsidR="00F33626" w:rsidRPr="00CE762E">
        <w:t xml:space="preserve">fattuale </w:t>
      </w:r>
      <w:r w:rsidR="00F33626">
        <w:t xml:space="preserve">con tali individui </w:t>
      </w:r>
      <w:r w:rsidR="00F33626" w:rsidRPr="00CE762E">
        <w:t>fondato sulla nat</w:t>
      </w:r>
      <w:r w:rsidR="00F33626">
        <w:t>ura delle funzioni da essi esercitate e sull’atteggiamento di tolleranza manifestato dalle autorità ufficia</w:t>
      </w:r>
      <w:r w:rsidR="00224B4A">
        <w:t xml:space="preserve">li rispetto alle loro attività. </w:t>
      </w:r>
      <w:r w:rsidR="00E106D2">
        <w:t xml:space="preserve">Dal momento che </w:t>
      </w:r>
      <w:r w:rsidR="000E6988">
        <w:t>l’attribuzione allo Stato delle</w:t>
      </w:r>
      <w:r w:rsidR="000E6988" w:rsidRPr="00CE762E">
        <w:t xml:space="preserve"> condotte </w:t>
      </w:r>
      <w:r w:rsidR="00E106D2">
        <w:t>è stata giustificata sulla base del</w:t>
      </w:r>
      <w:r w:rsidR="00805558">
        <w:t>la circostanza</w:t>
      </w:r>
      <w:r w:rsidR="000E6988" w:rsidRPr="00CE762E">
        <w:t xml:space="preserve"> </w:t>
      </w:r>
      <w:r w:rsidR="00A00B64">
        <w:t>che il fatto i</w:t>
      </w:r>
      <w:r w:rsidR="000E6988" w:rsidRPr="00CE762E">
        <w:t xml:space="preserve">llecito era stato commesso </w:t>
      </w:r>
      <w:r w:rsidR="00E106D2">
        <w:t>da</w:t>
      </w:r>
      <w:r w:rsidR="00E106D2" w:rsidRPr="00CE762E">
        <w:t xml:space="preserve"> </w:t>
      </w:r>
      <w:r w:rsidR="00E106D2">
        <w:t xml:space="preserve">tali </w:t>
      </w:r>
      <w:r w:rsidR="00E106D2" w:rsidRPr="00CE762E">
        <w:t xml:space="preserve">individui </w:t>
      </w:r>
      <w:r w:rsidR="000E6988" w:rsidRPr="00CE762E">
        <w:t>nell’esercizio di funzioni in fatto loro assegnate</w:t>
      </w:r>
      <w:r>
        <w:t xml:space="preserve">, sembra che </w:t>
      </w:r>
      <w:r w:rsidRPr="00345D26">
        <w:t xml:space="preserve">la distinzione tra comportamenti adottati nell’esercizio delle funzioni e comportamenti adottati in qualità di privato </w:t>
      </w:r>
      <w:r>
        <w:t xml:space="preserve">possa </w:t>
      </w:r>
      <w:r w:rsidRPr="00345D26">
        <w:t xml:space="preserve">in determinate circostanze </w:t>
      </w:r>
      <w:r>
        <w:t xml:space="preserve">trovare </w:t>
      </w:r>
      <w:r w:rsidRPr="00345D26">
        <w:t xml:space="preserve">applicazione anche con riferimento ad individui che, pur non godendo dello </w:t>
      </w:r>
      <w:r w:rsidRPr="00345D26">
        <w:rPr>
          <w:i/>
        </w:rPr>
        <w:t xml:space="preserve">status </w:t>
      </w:r>
      <w:r w:rsidRPr="00345D26">
        <w:t>organico in base al diritto interno, risultano fortemente integrati nella s</w:t>
      </w:r>
      <w:r w:rsidR="00224B4A">
        <w:t xml:space="preserve">truttura organizzativa statale. </w:t>
      </w:r>
      <w:r w:rsidR="00171905">
        <w:t>Sembrerebbe</w:t>
      </w:r>
      <w:r w:rsidR="00E421FD">
        <w:t xml:space="preserve"> logico pensare pertanto che </w:t>
      </w:r>
      <w:r w:rsidR="00435482" w:rsidRPr="00CE762E">
        <w:t xml:space="preserve">la determinazione delle competenze può essere effettuata anche mediante l’esame dei differenti elementi fattuali che attestano l’esistenza di uno stretto legame </w:t>
      </w:r>
      <w:r w:rsidR="00E421FD">
        <w:t>di un individuo o ente con lo Stato, rendendo logicamente possibile l’applicazione del</w:t>
      </w:r>
      <w:r w:rsidR="00435482" w:rsidRPr="00CE762E">
        <w:t xml:space="preserve">la regola in materia di attribuzione di fatti </w:t>
      </w:r>
      <w:r w:rsidR="00435482" w:rsidRPr="00CE762E">
        <w:rPr>
          <w:i/>
        </w:rPr>
        <w:t>ultra vires</w:t>
      </w:r>
      <w:r w:rsidR="00435482" w:rsidRPr="00CE762E">
        <w:t xml:space="preserve"> anche rispetto a situazioni nelle quali le competenze assegnate ad un individuo possono essere determinate sulla base di elementi di fatto.</w:t>
      </w:r>
    </w:p>
    <w:p w:rsidR="00703D50" w:rsidRDefault="00B608EF" w:rsidP="00703D50">
      <w:pPr>
        <w:spacing w:after="0" w:line="360" w:lineRule="auto"/>
        <w:ind w:firstLine="284"/>
        <w:jc w:val="both"/>
      </w:pPr>
      <w:r>
        <w:t>Anche in altre circostanze</w:t>
      </w:r>
      <w:r w:rsidR="00DD306D">
        <w:t xml:space="preserve"> elementi fattuali sono stat</w:t>
      </w:r>
      <w:r w:rsidR="003D44A8">
        <w:t xml:space="preserve">i valorizzati al fine di ritenere attribuibili in via generale allo Stato le condotte tenute da individui che non possedevano lo </w:t>
      </w:r>
      <w:r w:rsidR="003D44A8" w:rsidRPr="003D44A8">
        <w:rPr>
          <w:i/>
        </w:rPr>
        <w:t>status</w:t>
      </w:r>
      <w:r w:rsidR="003D44A8">
        <w:t xml:space="preserve"> di or</w:t>
      </w:r>
      <w:r w:rsidR="005A62CB">
        <w:t>gano in base all’</w:t>
      </w:r>
      <w:r w:rsidR="003D44A8">
        <w:t>ordinamento interno</w:t>
      </w:r>
      <w:r>
        <w:t>.</w:t>
      </w:r>
    </w:p>
    <w:p w:rsidR="00B608EF" w:rsidRDefault="00B608EF" w:rsidP="00703D50">
      <w:pPr>
        <w:spacing w:after="0" w:line="360" w:lineRule="auto"/>
        <w:ind w:firstLine="284"/>
        <w:jc w:val="both"/>
      </w:pPr>
      <w:r>
        <w:t>Si ricorda</w:t>
      </w:r>
      <w:r w:rsidR="00703D50">
        <w:t>,</w:t>
      </w:r>
      <w:r>
        <w:t xml:space="preserve"> ad esempio, il caso </w:t>
      </w:r>
      <w:r w:rsidRPr="00171905">
        <w:rPr>
          <w:i/>
        </w:rPr>
        <w:t>Ilascu</w:t>
      </w:r>
      <w:r>
        <w:t xml:space="preserve"> in cui la Corte europea dei diritti dell’uomo, </w:t>
      </w:r>
      <w:r w:rsidR="001C716D">
        <w:t>alla luce dell’e</w:t>
      </w:r>
      <w:r>
        <w:t xml:space="preserve">ffettiva </w:t>
      </w:r>
      <w:r w:rsidR="001C716D">
        <w:t>autorità esercitata dalla Federazione russa sulla regione moldava della Transdniestria, ha assimilato il regime separatista instauratosi nella regione ad un ente territoriale decentrato della Russia e ha</w:t>
      </w:r>
      <w:r>
        <w:t>,</w:t>
      </w:r>
      <w:r w:rsidR="001C716D">
        <w:t xml:space="preserve"> per tale ragione</w:t>
      </w:r>
      <w:r>
        <w:t>,</w:t>
      </w:r>
      <w:r w:rsidR="001C716D">
        <w:t xml:space="preserve"> ritenuto lo Stato responsabile in ambito internazionale di tutti i comportamenti tenuti dagli organi del regime nell’esercizio delle pr</w:t>
      </w:r>
      <w:r>
        <w:t>oprie funzioni.</w:t>
      </w:r>
    </w:p>
    <w:p w:rsidR="00D307A7" w:rsidRDefault="00B608EF" w:rsidP="00D307A7">
      <w:pPr>
        <w:spacing w:after="0" w:line="360" w:lineRule="auto"/>
        <w:ind w:firstLine="284"/>
        <w:jc w:val="both"/>
      </w:pPr>
      <w:r>
        <w:t xml:space="preserve">Egualmente nel caso </w:t>
      </w:r>
      <w:r>
        <w:rPr>
          <w:i/>
        </w:rPr>
        <w:t>Mapiripán Massacre c. Colombia</w:t>
      </w:r>
      <w:r w:rsidR="00380513" w:rsidRPr="00BE287E">
        <w:rPr>
          <w:rStyle w:val="Rimandonotaapidipagina"/>
        </w:rPr>
        <w:footnoteReference w:id="497"/>
      </w:r>
      <w:r w:rsidR="005A62CB">
        <w:t>, la Corte Interamericana dei diritti dell’uomo</w:t>
      </w:r>
      <w:r w:rsidR="00515FBF">
        <w:t>, attribuendo</w:t>
      </w:r>
      <w:r w:rsidR="00D307A7">
        <w:t xml:space="preserve"> rilevanza alla circostanza che il compimento di fatti illeciti da parte di un gruppo paramilitare era stato reso possibile soltanto grazie alla collaborazione, acquiescenza e tolleranza da parte delle forze armate regolari della Colombia,</w:t>
      </w:r>
      <w:r w:rsidR="005A62CB">
        <w:t xml:space="preserve"> ha ammesso che </w:t>
      </w:r>
      <w:r w:rsidR="00D307A7">
        <w:t>lo Stato dovesse risponderne internazionalmente. Alla luce dello stretto legame intercorrente con gli organi e l’org</w:t>
      </w:r>
      <w:r w:rsidR="00DD306D">
        <w:t xml:space="preserve">anizzazione statale in genere, </w:t>
      </w:r>
      <w:r w:rsidR="00D307A7">
        <w:t xml:space="preserve">le condotte tenute dal gruppo paramilitare </w:t>
      </w:r>
      <w:r w:rsidR="00A055CB">
        <w:t xml:space="preserve">non sono state </w:t>
      </w:r>
      <w:r w:rsidR="00D307A7">
        <w:t xml:space="preserve">assimilate a dei comportamenti di semplici privati, bensì </w:t>
      </w:r>
      <w:r w:rsidR="00A055CB">
        <w:t xml:space="preserve">sono state ritenute </w:t>
      </w:r>
      <w:r w:rsidR="00D307A7">
        <w:t>attribuibili in via generale allo Stato senza che fosse necessario accertare l’esistenza di un</w:t>
      </w:r>
      <w:r w:rsidR="001C70F0">
        <w:t xml:space="preserve"> suo</w:t>
      </w:r>
      <w:r w:rsidR="00D307A7">
        <w:t xml:space="preserve"> effettivo controllo sulle specifiche condotte</w:t>
      </w:r>
      <w:r w:rsidR="00A055CB">
        <w:t>.</w:t>
      </w:r>
    </w:p>
    <w:p w:rsidR="0042419D" w:rsidRDefault="00287676" w:rsidP="0042419D">
      <w:pPr>
        <w:spacing w:after="0" w:line="360" w:lineRule="auto"/>
        <w:ind w:firstLine="284"/>
        <w:jc w:val="both"/>
      </w:pPr>
      <w:r>
        <w:t>Si rammenta come u</w:t>
      </w:r>
      <w:r w:rsidR="0042419D" w:rsidRPr="00B103E0">
        <w:t xml:space="preserve">na implicita indicazione nel senso della possibilità di applicare il principio dell’attribuzione allo Stato delle condotte </w:t>
      </w:r>
      <w:r w:rsidR="0042419D" w:rsidRPr="00B103E0">
        <w:rPr>
          <w:i/>
        </w:rPr>
        <w:t>ultra vires</w:t>
      </w:r>
      <w:r w:rsidR="0042419D" w:rsidRPr="00B103E0">
        <w:t xml:space="preserve"> in relazione all’attività di individui fattualmente legati allo Stato è rinvenibile anche nei lavori della CDI. In seconda lettura la Commissione ha ampliato </w:t>
      </w:r>
      <w:r w:rsidR="0042419D">
        <w:t xml:space="preserve">la </w:t>
      </w:r>
      <w:r w:rsidR="0042419D" w:rsidRPr="00B103E0">
        <w:t>nozione di organo riconoscendo</w:t>
      </w:r>
      <w:r w:rsidR="0042419D">
        <w:t xml:space="preserve"> l’esistenza di tale </w:t>
      </w:r>
      <w:r w:rsidR="0042419D" w:rsidRPr="008F3285">
        <w:rPr>
          <w:i/>
        </w:rPr>
        <w:t>status</w:t>
      </w:r>
      <w:r w:rsidR="0042419D">
        <w:t xml:space="preserve"> in presenza di un’effettiva integrazione di un individuo o ente nell’organizzazione statale e ha così ammesso in maniera implicita la possibilità che in alcuni casi tale rapporto organico possa basarsi su un legame di fatto esistente tra un individuo o ente e lo Stato, piuttosto che sulle prescrizi</w:t>
      </w:r>
      <w:r w:rsidR="00B04F54">
        <w:t>oni  del diritto interno. Ciò</w:t>
      </w:r>
      <w:r w:rsidR="0042419D">
        <w:t xml:space="preserve"> ha come conseguenza che, almeno in via di principio, l’attribuzione di fatti </w:t>
      </w:r>
      <w:r w:rsidR="0042419D" w:rsidRPr="00EA068A">
        <w:rPr>
          <w:i/>
        </w:rPr>
        <w:t>ultra vires</w:t>
      </w:r>
      <w:r w:rsidR="0042419D">
        <w:t xml:space="preserve"> possa avvenire anche con riferimento a comportamenti di individui o enti che godono della qualità organica in virtù di un legame fattuale, a tal punto stretto con lo Stato, da determinarne l’integrazione nella sua struttura di governo. </w:t>
      </w:r>
      <w:r w:rsidR="0042419D" w:rsidRPr="00ED651F">
        <w:t xml:space="preserve">L’art. 7 del progetto adottato in seconda lettura riconosce difatti il principio dell’attribuzione allo Stato dei fatti </w:t>
      </w:r>
      <w:r w:rsidR="0042419D" w:rsidRPr="00ED651F">
        <w:rPr>
          <w:i/>
        </w:rPr>
        <w:t>ultra vires</w:t>
      </w:r>
      <w:r w:rsidR="0042419D" w:rsidRPr="00ED651F">
        <w:t xml:space="preserve"> dei propri organi senza però  menzionare il diritto interno come parametro in funzione del quale controllare il rispetto da parte di un organo dei limiti della propria competenza.</w:t>
      </w:r>
    </w:p>
    <w:p w:rsidR="00DC2022" w:rsidRDefault="0042419D" w:rsidP="00F753EC">
      <w:pPr>
        <w:spacing w:after="0" w:line="360" w:lineRule="auto"/>
        <w:ind w:firstLine="284"/>
        <w:jc w:val="both"/>
      </w:pPr>
      <w:r>
        <w:t xml:space="preserve">La possibilità di assimilare un individuo o ente legato allo Stato da un rapporto fattuale ad un organo </w:t>
      </w:r>
      <w:r>
        <w:rPr>
          <w:i/>
        </w:rPr>
        <w:t>de iure</w:t>
      </w:r>
      <w:r>
        <w:t xml:space="preserve"> è stata riconosciuta dalla Corte internazionale di giustizia i</w:t>
      </w:r>
      <w:r w:rsidR="008E6E8C">
        <w:t xml:space="preserve">n alcune pronunce </w:t>
      </w:r>
      <w:r w:rsidR="008E6E8C" w:rsidRPr="00647A63">
        <w:t xml:space="preserve">relative alla riferibilità allo Stato delle condotte di gruppi armati che non </w:t>
      </w:r>
      <w:r>
        <w:t xml:space="preserve">godevano dello </w:t>
      </w:r>
      <w:r w:rsidRPr="00BE287E">
        <w:rPr>
          <w:i/>
        </w:rPr>
        <w:t xml:space="preserve">status </w:t>
      </w:r>
      <w:r>
        <w:t xml:space="preserve">organico </w:t>
      </w:r>
      <w:r w:rsidR="008E6E8C" w:rsidRPr="00647A63">
        <w:t>in base all’ordinamento interno</w:t>
      </w:r>
      <w:r>
        <w:t>.</w:t>
      </w:r>
      <w:r w:rsidR="00B04F54">
        <w:t xml:space="preserve"> Secondo la </w:t>
      </w:r>
      <w:r w:rsidR="00F753EC">
        <w:t xml:space="preserve">Corte, tale eccezionale ipotesi si configurerebbe soltanto a condizione che tali persone, gruppi di persone o entità agiscano in fatto sotto la totale dipendenza dello Stato ed avrebbe come conseguenza che l’insieme dei comportamenti da esso adottati nell’esercizio delle funzioni sarebbe in via generale </w:t>
      </w:r>
      <w:r w:rsidR="00E7401D">
        <w:t>attribuibile allo Stato.</w:t>
      </w:r>
      <w:r w:rsidR="0009735A">
        <w:t xml:space="preserve"> Pur in assenza di puntuali indicazioni, la scelta di ricostruire in termini di rapporto organico il legame tra individuo o gruppo di individui e lo Stato porta a ritenere che sia applicabile anche all’ipotesi presa in esame una regola analoga a quella che attribuisce allo Stato i comportamenti adottati da organi in violazione delle competenze assegnate.</w:t>
      </w:r>
    </w:p>
    <w:p w:rsidR="008B2F45" w:rsidRDefault="00DD306D" w:rsidP="008B2F45">
      <w:pPr>
        <w:spacing w:after="0" w:line="360" w:lineRule="auto"/>
        <w:ind w:firstLine="284"/>
        <w:jc w:val="both"/>
      </w:pPr>
      <w:r>
        <w:t xml:space="preserve">Mentre nei casi appena menzionati la possibilità di attribuire allo Stato i fatti </w:t>
      </w:r>
      <w:r w:rsidRPr="00DD306D">
        <w:rPr>
          <w:i/>
        </w:rPr>
        <w:t xml:space="preserve">ultra vires </w:t>
      </w:r>
      <w:r w:rsidRPr="00345D26">
        <w:t>tenuti da individui o enti ad esso connessi da un legame fattuale</w:t>
      </w:r>
      <w:r>
        <w:t xml:space="preserve"> è soltanto implicitamente </w:t>
      </w:r>
      <w:r w:rsidR="00E24A3B">
        <w:t xml:space="preserve">deducibile </w:t>
      </w:r>
      <w:r w:rsidR="00C651F8">
        <w:t xml:space="preserve">dalla circostanza che elementi fattuali sono stati valorizzati </w:t>
      </w:r>
      <w:r w:rsidR="00467934">
        <w:t xml:space="preserve">proprio </w:t>
      </w:r>
      <w:r w:rsidR="00C651F8">
        <w:t xml:space="preserve">al fine di ritenere attribuibili in via generale allo Stato le condotte tenute da individui che non possedevano lo </w:t>
      </w:r>
      <w:r w:rsidR="00C651F8" w:rsidRPr="003D44A8">
        <w:rPr>
          <w:i/>
        </w:rPr>
        <w:t>status</w:t>
      </w:r>
      <w:r w:rsidR="00C651F8">
        <w:t xml:space="preserve"> di organo in base all’ordinamento interno, </w:t>
      </w:r>
      <w:r w:rsidR="00E24A3B">
        <w:t>u</w:t>
      </w:r>
      <w:r w:rsidR="00E7401D">
        <w:t xml:space="preserve">na concreta </w:t>
      </w:r>
      <w:r w:rsidR="00A1445D" w:rsidRPr="00A1445D">
        <w:t xml:space="preserve">applicazione del principio dell’attribuzione allo Stato dei comportamenti </w:t>
      </w:r>
      <w:r w:rsidR="00A1445D" w:rsidRPr="00A1445D">
        <w:rPr>
          <w:i/>
        </w:rPr>
        <w:t>ultra vires</w:t>
      </w:r>
      <w:r w:rsidR="00A1445D" w:rsidRPr="00A1445D">
        <w:t xml:space="preserve"> con riferimento ad individui inseriti nell’apparato statale in base </w:t>
      </w:r>
      <w:r w:rsidR="00E24A3B">
        <w:t>ad elementi fattuali si è avuta</w:t>
      </w:r>
      <w:r w:rsidR="00A1445D" w:rsidRPr="00A1445D">
        <w:t xml:space="preserve"> nella sentenza resa nel caso </w:t>
      </w:r>
      <w:r w:rsidR="00A1445D" w:rsidRPr="00A1445D">
        <w:rPr>
          <w:i/>
        </w:rPr>
        <w:t>Tadić</w:t>
      </w:r>
      <w:r w:rsidR="00B26392" w:rsidRPr="00B26392">
        <w:rPr>
          <w:rStyle w:val="Rimandonotaapidipagina"/>
        </w:rPr>
        <w:footnoteReference w:id="498"/>
      </w:r>
      <w:r w:rsidR="008B2F45" w:rsidRPr="00B26392">
        <w:t>.</w:t>
      </w:r>
    </w:p>
    <w:p w:rsidR="00A81377" w:rsidRDefault="00A81377" w:rsidP="00F1547C">
      <w:pPr>
        <w:spacing w:after="0" w:line="360" w:lineRule="auto"/>
        <w:ind w:firstLine="284"/>
        <w:jc w:val="both"/>
      </w:pPr>
      <w:r>
        <w:t xml:space="preserve">A differenza dei casi sopra menzionati, </w:t>
      </w:r>
      <w:r w:rsidR="00F1547C">
        <w:t>muovendo dal presupposto che</w:t>
      </w:r>
      <w:r w:rsidR="00F1547C" w:rsidRPr="00F1547C">
        <w:t xml:space="preserve"> </w:t>
      </w:r>
      <w:r w:rsidR="00F1547C">
        <w:t xml:space="preserve">il concetto di organo si riferisce soltanto al caso di individui che godono di tale qualità in base al diritto interno, la Camera d’appello </w:t>
      </w:r>
      <w:r w:rsidR="00F007AA">
        <w:t>ha proceduto ad individuare le differenti condizioni fattuali in presenza delle quali le condotte adottate da individui che non sono organi alla luce dell’ordinamento statale possono essere attribuite allo Stato.</w:t>
      </w:r>
    </w:p>
    <w:p w:rsidR="00904DA5" w:rsidRDefault="00904DA5" w:rsidP="00F1547C">
      <w:pPr>
        <w:spacing w:after="0" w:line="360" w:lineRule="auto"/>
        <w:ind w:firstLine="284"/>
        <w:jc w:val="both"/>
      </w:pPr>
      <w:r>
        <w:t>Con riferimento alle condotte tenute</w:t>
      </w:r>
      <w:r w:rsidRPr="00904DA5">
        <w:t xml:space="preserve"> </w:t>
      </w:r>
      <w:r w:rsidRPr="00A1445D">
        <w:t xml:space="preserve">da un gruppo </w:t>
      </w:r>
      <w:r>
        <w:t xml:space="preserve">organizzato </w:t>
      </w:r>
      <w:r w:rsidRPr="00A1445D">
        <w:t>in fa</w:t>
      </w:r>
      <w:r>
        <w:t>tto controllato dallo Stato, la C</w:t>
      </w:r>
      <w:r w:rsidR="007104C8">
        <w:t>a</w:t>
      </w:r>
      <w:r>
        <w:t xml:space="preserve">mera </w:t>
      </w:r>
      <w:r w:rsidR="00B04F54">
        <w:t xml:space="preserve">d’appello </w:t>
      </w:r>
      <w:r>
        <w:t xml:space="preserve">ha esplicitamente riconosciuto la possibilità che </w:t>
      </w:r>
      <w:r w:rsidR="007104C8">
        <w:t xml:space="preserve">lo Stato debba risponderne internazionalmente </w:t>
      </w:r>
      <w:r>
        <w:t xml:space="preserve">anche </w:t>
      </w:r>
      <w:r w:rsidRPr="00A1445D">
        <w:t xml:space="preserve">nella circostanza in cui siano state commesse </w:t>
      </w:r>
      <w:r w:rsidR="00210BC2">
        <w:t xml:space="preserve">in assenza o </w:t>
      </w:r>
      <w:r w:rsidRPr="00A1445D">
        <w:t>in violazione di istruzioni ricevut</w:t>
      </w:r>
      <w:r>
        <w:t>e da parte di organi statali</w:t>
      </w:r>
      <w:r w:rsidRPr="00A1445D">
        <w:t>.</w:t>
      </w:r>
    </w:p>
    <w:p w:rsidR="00AF5410" w:rsidRDefault="00210BC2" w:rsidP="00ED0D2D">
      <w:pPr>
        <w:spacing w:after="0" w:line="360" w:lineRule="auto"/>
        <w:ind w:firstLine="284"/>
        <w:jc w:val="both"/>
      </w:pPr>
      <w:r>
        <w:t xml:space="preserve">Al di là delle affermazioni di principio fatte dalla Camera di appello, l’affermare che in presenza di determinate condizioni di fatto, differenti rispetto all’istruzione o al controllo da parte di organi statali su ogni singola condotta, </w:t>
      </w:r>
      <w:r w:rsidR="00953A31">
        <w:t xml:space="preserve">gli atti </w:t>
      </w:r>
      <w:r>
        <w:t>di individui sono attribuibili in via generale allo Stato</w:t>
      </w:r>
      <w:r w:rsidR="00953A31">
        <w:t>,</w:t>
      </w:r>
      <w:r>
        <w:t xml:space="preserve"> </w:t>
      </w:r>
      <w:r w:rsidR="00953A31">
        <w:t>se tenuti nell’esercizio di funzioni di governo in fatto esercitate, porta alle medesime conclusioni a cui si sarebbe giunti se si fosse riconosciuta la possibilità di equiparare ad organi dello Stato individui ad esso legati da un rapporto fattuale.</w:t>
      </w:r>
      <w:r w:rsidR="00767230">
        <w:t xml:space="preserve"> Ad una attenta analisi, </w:t>
      </w:r>
      <w:r w:rsidR="00330778">
        <w:t xml:space="preserve">quindi, </w:t>
      </w:r>
      <w:r w:rsidR="00767230">
        <w:t xml:space="preserve">l’esistenza di un controllo globale da parte dello Stato su un gruppo organizzato </w:t>
      </w:r>
      <w:r w:rsidR="00D96DA7">
        <w:t xml:space="preserve">non </w:t>
      </w:r>
      <w:r w:rsidR="00767230">
        <w:t xml:space="preserve">sarebbe </w:t>
      </w:r>
      <w:r w:rsidR="00D96DA7">
        <w:t xml:space="preserve">soltanto </w:t>
      </w:r>
      <w:r w:rsidR="00767230">
        <w:t xml:space="preserve">una </w:t>
      </w:r>
      <w:r w:rsidR="00D96DA7">
        <w:t>delle condizioni fattuali</w:t>
      </w:r>
      <w:r w:rsidR="00767230">
        <w:t xml:space="preserve"> in presenza della quale le condotte di privati possono essere attribuite allo Stato, bensì costituirebbe un elemento di fatto in grado di rilevare, in presenza di deterim</w:t>
      </w:r>
      <w:r w:rsidR="00D96DA7">
        <w:t>i</w:t>
      </w:r>
      <w:r w:rsidR="00767230">
        <w:t xml:space="preserve">nate circostanze, l’esistenza di un legame </w:t>
      </w:r>
      <w:r w:rsidR="001405F5">
        <w:t xml:space="preserve"> di tipo </w:t>
      </w:r>
      <w:r w:rsidR="00767230">
        <w:t>organico</w:t>
      </w:r>
      <w:r w:rsidR="001405F5">
        <w:t xml:space="preserve"> </w:t>
      </w:r>
      <w:r w:rsidR="00767230">
        <w:t>tra lo Stato ed un gruppo di individui.</w:t>
      </w:r>
    </w:p>
    <w:p w:rsidR="005115FE" w:rsidRDefault="005115FE" w:rsidP="005115FE"/>
    <w:p w:rsidR="00D74553" w:rsidRDefault="00D74553" w:rsidP="005115FE">
      <w:pPr>
        <w:jc w:val="center"/>
        <w:rPr>
          <w:smallCaps/>
        </w:rPr>
      </w:pPr>
    </w:p>
    <w:p w:rsidR="003A2FBB" w:rsidRDefault="003A2FBB" w:rsidP="005115FE">
      <w:pPr>
        <w:jc w:val="center"/>
        <w:rPr>
          <w:smallCaps/>
        </w:rPr>
      </w:pPr>
    </w:p>
    <w:p w:rsidR="00D74553" w:rsidRDefault="00D74553" w:rsidP="005115FE">
      <w:pPr>
        <w:jc w:val="center"/>
        <w:rPr>
          <w:smallCaps/>
        </w:rPr>
      </w:pPr>
    </w:p>
    <w:p w:rsidR="00FD2370" w:rsidRDefault="00FD2370" w:rsidP="005115FE">
      <w:pPr>
        <w:jc w:val="center"/>
        <w:rPr>
          <w:smallCaps/>
        </w:rPr>
      </w:pPr>
      <w:r w:rsidRPr="00D171A6">
        <w:rPr>
          <w:smallCaps/>
        </w:rPr>
        <w:t>Conclusioni</w:t>
      </w:r>
    </w:p>
    <w:p w:rsidR="00491A92" w:rsidRDefault="00491A92" w:rsidP="00491A92">
      <w:pPr>
        <w:jc w:val="center"/>
        <w:rPr>
          <w:smallCaps/>
        </w:rPr>
      </w:pPr>
    </w:p>
    <w:p w:rsidR="00EE59DE" w:rsidRDefault="00FD2370" w:rsidP="00EE59DE">
      <w:pPr>
        <w:pStyle w:val="Paragrafoelenco"/>
        <w:numPr>
          <w:ilvl w:val="0"/>
          <w:numId w:val="19"/>
        </w:numPr>
        <w:spacing w:after="0" w:line="360" w:lineRule="auto"/>
        <w:jc w:val="both"/>
      </w:pPr>
      <w:r>
        <w:t>Riepilogo dei risultati acquisiti</w:t>
      </w:r>
    </w:p>
    <w:p w:rsidR="00EE59DE" w:rsidRDefault="00EE59DE" w:rsidP="00EE59DE">
      <w:pPr>
        <w:spacing w:after="0" w:line="360" w:lineRule="auto"/>
        <w:jc w:val="both"/>
      </w:pPr>
    </w:p>
    <w:p w:rsidR="00BA5899" w:rsidRDefault="004B4B8A" w:rsidP="00A975E3">
      <w:pPr>
        <w:spacing w:after="0" w:line="360" w:lineRule="auto"/>
        <w:ind w:firstLine="709"/>
        <w:jc w:val="both"/>
      </w:pPr>
      <w:r>
        <w:t xml:space="preserve">Alla luce dei dati ricavati dallo studio dell’abbondante prassi internazionale esistente in materia </w:t>
      </w:r>
      <w:r w:rsidR="00EE59DE">
        <w:t xml:space="preserve">di </w:t>
      </w:r>
      <w:r>
        <w:t xml:space="preserve">responsabilità internazionale dello Stato per fatti </w:t>
      </w:r>
      <w:r w:rsidR="00B74823">
        <w:t xml:space="preserve">illeciti </w:t>
      </w:r>
      <w:r w:rsidRPr="004B4B8A">
        <w:rPr>
          <w:i/>
        </w:rPr>
        <w:t>ultra vires</w:t>
      </w:r>
      <w:r>
        <w:t xml:space="preserve"> dei propri organi</w:t>
      </w:r>
      <w:r w:rsidR="00EE59DE">
        <w:t xml:space="preserve">, si può ora procedere a dare </w:t>
      </w:r>
      <w:r w:rsidR="00C63F92">
        <w:t xml:space="preserve">una risposta ai </w:t>
      </w:r>
      <w:r w:rsidR="00EE59DE">
        <w:t>quesiti posti all’inizio di tale indagine.</w:t>
      </w:r>
      <w:r w:rsidR="00883C73">
        <w:t xml:space="preserve"> </w:t>
      </w:r>
    </w:p>
    <w:p w:rsidR="00BA5899" w:rsidRDefault="00883C73" w:rsidP="00BA5899">
      <w:pPr>
        <w:spacing w:after="0" w:line="360" w:lineRule="auto"/>
        <w:ind w:firstLine="709"/>
        <w:jc w:val="both"/>
        <w:rPr>
          <w:rFonts w:cstheme="minorHAnsi"/>
        </w:rPr>
      </w:pPr>
      <w:r>
        <w:t xml:space="preserve">In primo luogo, si </w:t>
      </w:r>
      <w:r w:rsidR="00BA5899">
        <w:t xml:space="preserve">tratta di rispondere al quesito </w:t>
      </w:r>
      <w:r w:rsidR="00BA5899">
        <w:rPr>
          <w:rFonts w:cstheme="minorHAnsi"/>
        </w:rPr>
        <w:t>se trovi</w:t>
      </w:r>
      <w:r w:rsidRPr="004639A6">
        <w:rPr>
          <w:rFonts w:cstheme="minorHAnsi"/>
        </w:rPr>
        <w:t xml:space="preserve"> effettivamente riscontro nella prassi internazionale l’esistenza di un principio che riconosce la responsabilità internazionale dello Stato per i fatti illeciti </w:t>
      </w:r>
      <w:r w:rsidRPr="004639A6">
        <w:rPr>
          <w:rFonts w:cstheme="minorHAnsi"/>
          <w:i/>
        </w:rPr>
        <w:t xml:space="preserve">ultra vires </w:t>
      </w:r>
      <w:r w:rsidRPr="004639A6">
        <w:rPr>
          <w:rFonts w:cstheme="minorHAnsi"/>
        </w:rPr>
        <w:t xml:space="preserve">di individui o enti che possiedono lo </w:t>
      </w:r>
      <w:r w:rsidRPr="004639A6">
        <w:rPr>
          <w:rFonts w:cstheme="minorHAnsi"/>
          <w:i/>
        </w:rPr>
        <w:t>status</w:t>
      </w:r>
      <w:r w:rsidRPr="004639A6">
        <w:rPr>
          <w:rFonts w:cstheme="minorHAnsi"/>
        </w:rPr>
        <w:t xml:space="preserve"> organico </w:t>
      </w:r>
      <w:r>
        <w:rPr>
          <w:rFonts w:cstheme="minorHAnsi"/>
        </w:rPr>
        <w:t xml:space="preserve">in base al diritto interno </w:t>
      </w:r>
      <w:r w:rsidRPr="004639A6">
        <w:rPr>
          <w:rFonts w:cstheme="minorHAnsi"/>
        </w:rPr>
        <w:t xml:space="preserve">e, in caso positivo, </w:t>
      </w:r>
      <w:r w:rsidR="00BA5899">
        <w:rPr>
          <w:rFonts w:cstheme="minorHAnsi"/>
        </w:rPr>
        <w:t xml:space="preserve">se si tratti di un principio assoluto o di un principio che soffre eccezioni: in altri termini se e quando una condotta non autorizzata di un organo statale dia luogo alla responsabilità dello Stato al pari delle condotte tenute dagli organi competenti </w:t>
      </w:r>
      <w:r w:rsidRPr="004639A6">
        <w:rPr>
          <w:rFonts w:cstheme="minorHAnsi"/>
        </w:rPr>
        <w:t xml:space="preserve">e in quali </w:t>
      </w:r>
      <w:r w:rsidR="00BA5899">
        <w:rPr>
          <w:rFonts w:cstheme="minorHAnsi"/>
        </w:rPr>
        <w:t>circostanze, viceversa, debba</w:t>
      </w:r>
      <w:r w:rsidRPr="00F14FF9">
        <w:rPr>
          <w:rFonts w:cstheme="minorHAnsi"/>
        </w:rPr>
        <w:t xml:space="preserve"> essere assimilata ad un comportamento di un semplice privato</w:t>
      </w:r>
      <w:r>
        <w:rPr>
          <w:rFonts w:cstheme="minorHAnsi"/>
        </w:rPr>
        <w:t xml:space="preserve">. </w:t>
      </w:r>
    </w:p>
    <w:p w:rsidR="00703111" w:rsidRDefault="00BA5899" w:rsidP="00703111">
      <w:pPr>
        <w:spacing w:after="0" w:line="360" w:lineRule="auto"/>
        <w:ind w:firstLine="709"/>
        <w:jc w:val="both"/>
      </w:pPr>
      <w:r>
        <w:rPr>
          <w:rFonts w:cstheme="minorHAnsi"/>
        </w:rPr>
        <w:t xml:space="preserve">Posto che si giunga alla conclusione che lo Stato è tenuto a rispondere sul piano internazionale dei comportamenti </w:t>
      </w:r>
      <w:r w:rsidRPr="00BA5899">
        <w:rPr>
          <w:rFonts w:cstheme="minorHAnsi"/>
          <w:i/>
        </w:rPr>
        <w:t>ultra vires</w:t>
      </w:r>
      <w:r>
        <w:rPr>
          <w:rFonts w:cstheme="minorHAnsi"/>
        </w:rPr>
        <w:t xml:space="preserve"> </w:t>
      </w:r>
      <w:r w:rsidR="00703111">
        <w:rPr>
          <w:rFonts w:cstheme="minorHAnsi"/>
        </w:rPr>
        <w:t>tenuti dai propri organi (o quanto meno di alcuni di questi comportamenti), si tratta in secondo luogo di rispondere al quesito se il problema</w:t>
      </w:r>
      <w:r w:rsidR="00883C73">
        <w:rPr>
          <w:rFonts w:cstheme="minorHAnsi"/>
        </w:rPr>
        <w:t xml:space="preserve"> dei fatti illeciti </w:t>
      </w:r>
      <w:r w:rsidR="00883C73" w:rsidRPr="00287F10">
        <w:rPr>
          <w:rFonts w:cstheme="minorHAnsi"/>
          <w:i/>
        </w:rPr>
        <w:t>ultra vires</w:t>
      </w:r>
      <w:r w:rsidR="00AA7720">
        <w:rPr>
          <w:rFonts w:cstheme="minorHAnsi"/>
        </w:rPr>
        <w:t xml:space="preserve"> degli organi</w:t>
      </w:r>
      <w:r w:rsidR="00883C73">
        <w:rPr>
          <w:rFonts w:cstheme="minorHAnsi"/>
        </w:rPr>
        <w:t xml:space="preserve"> si ponga in termini di sapere se lo Stato sia tenuto a risponderne internazionalmente</w:t>
      </w:r>
      <w:r w:rsidR="00703111">
        <w:rPr>
          <w:rFonts w:cstheme="minorHAnsi"/>
        </w:rPr>
        <w:t xml:space="preserve"> anche se il comportamento non è ad esso riconducibile</w:t>
      </w:r>
      <w:r w:rsidR="00AA7720">
        <w:rPr>
          <w:rFonts w:cstheme="minorHAnsi"/>
        </w:rPr>
        <w:t xml:space="preserve">, e in tal </w:t>
      </w:r>
      <w:r w:rsidR="00703111">
        <w:rPr>
          <w:rFonts w:cstheme="minorHAnsi"/>
        </w:rPr>
        <w:t>caso sulla base di quali motivazioni, oppure se si ponga</w:t>
      </w:r>
      <w:r w:rsidR="00AA7720">
        <w:rPr>
          <w:rFonts w:cstheme="minorHAnsi"/>
        </w:rPr>
        <w:t xml:space="preserve"> in termini di attribuzione, cioè </w:t>
      </w:r>
      <w:r w:rsidR="00287F10">
        <w:rPr>
          <w:rFonts w:cstheme="minorHAnsi"/>
        </w:rPr>
        <w:t xml:space="preserve">nel senso di accertare </w:t>
      </w:r>
      <w:r w:rsidR="00287F10">
        <w:t xml:space="preserve">se </w:t>
      </w:r>
      <w:r w:rsidR="00287F10">
        <w:rPr>
          <w:rFonts w:cstheme="minorHAnsi"/>
        </w:rPr>
        <w:t xml:space="preserve">condotte tenute dagli </w:t>
      </w:r>
      <w:r w:rsidR="00287F10" w:rsidRPr="00C30B8E">
        <w:rPr>
          <w:rFonts w:cstheme="minorHAnsi"/>
        </w:rPr>
        <w:t>organi</w:t>
      </w:r>
      <w:r w:rsidR="00287F10">
        <w:rPr>
          <w:rFonts w:cstheme="minorHAnsi"/>
        </w:rPr>
        <w:t xml:space="preserve"> statali, </w:t>
      </w:r>
      <w:r w:rsidR="00287F10" w:rsidRPr="00C30B8E">
        <w:rPr>
          <w:rFonts w:cstheme="minorHAnsi"/>
        </w:rPr>
        <w:t>eccedendo i limiti della competenza oppure contravvenendo alle istruzioni</w:t>
      </w:r>
      <w:r w:rsidR="00287F10">
        <w:rPr>
          <w:rFonts w:cstheme="minorHAnsi"/>
        </w:rPr>
        <w:t xml:space="preserve"> ricevute,</w:t>
      </w:r>
      <w:r w:rsidR="00287F10">
        <w:t xml:space="preserve"> possano </w:t>
      </w:r>
      <w:r w:rsidR="00703111">
        <w:t xml:space="preserve">ugualmente </w:t>
      </w:r>
      <w:r w:rsidR="00287F10">
        <w:t>ritenersi dei fatti dello Stato quale soggetto internazionale</w:t>
      </w:r>
      <w:r w:rsidR="00703111">
        <w:t xml:space="preserve"> e a questo titolo dar luogo a responsabilità ove contrarie ad obblighi internazionali dello Stato</w:t>
      </w:r>
      <w:r w:rsidR="00FA4935">
        <w:t xml:space="preserve">. </w:t>
      </w:r>
    </w:p>
    <w:p w:rsidR="00A975E3" w:rsidRDefault="00703111" w:rsidP="00703111">
      <w:pPr>
        <w:spacing w:after="0" w:line="360" w:lineRule="auto"/>
        <w:ind w:firstLine="709"/>
        <w:jc w:val="both"/>
        <w:rPr>
          <w:rFonts w:cstheme="minorHAnsi"/>
        </w:rPr>
      </w:pPr>
      <w:r>
        <w:rPr>
          <w:rFonts w:cstheme="minorHAnsi"/>
        </w:rPr>
        <w:t>La terza</w:t>
      </w:r>
      <w:r w:rsidR="00FA4935">
        <w:rPr>
          <w:rFonts w:cstheme="minorHAnsi"/>
        </w:rPr>
        <w:t xml:space="preserve"> questione su cui</w:t>
      </w:r>
      <w:r w:rsidR="00EB562E">
        <w:rPr>
          <w:rFonts w:cstheme="minorHAnsi"/>
        </w:rPr>
        <w:t xml:space="preserve"> ci soffermeremo</w:t>
      </w:r>
      <w:r>
        <w:rPr>
          <w:rFonts w:cstheme="minorHAnsi"/>
        </w:rPr>
        <w:t xml:space="preserve"> </w:t>
      </w:r>
      <w:r w:rsidR="00FA4935">
        <w:rPr>
          <w:rFonts w:cstheme="minorHAnsi"/>
        </w:rPr>
        <w:t>riguarda</w:t>
      </w:r>
      <w:r w:rsidR="00BC00BB">
        <w:rPr>
          <w:rFonts w:cstheme="minorHAnsi"/>
        </w:rPr>
        <w:t xml:space="preserve"> invece</w:t>
      </w:r>
      <w:r w:rsidR="00FA4935">
        <w:rPr>
          <w:rFonts w:cstheme="minorHAnsi"/>
        </w:rPr>
        <w:t xml:space="preserve"> la possibilità che il </w:t>
      </w:r>
      <w:r w:rsidR="00FA4935" w:rsidRPr="00FE4D25">
        <w:rPr>
          <w:rFonts w:cstheme="minorHAnsi"/>
        </w:rPr>
        <w:t xml:space="preserve">problema </w:t>
      </w:r>
      <w:r w:rsidR="00FA4935">
        <w:rPr>
          <w:rFonts w:cstheme="minorHAnsi"/>
        </w:rPr>
        <w:t>di sapere se un</w:t>
      </w:r>
      <w:r>
        <w:rPr>
          <w:rFonts w:cstheme="minorHAnsi"/>
        </w:rPr>
        <w:t>o Stato debba</w:t>
      </w:r>
      <w:r w:rsidR="00FA4935">
        <w:rPr>
          <w:rFonts w:cstheme="minorHAnsi"/>
        </w:rPr>
        <w:t xml:space="preserve"> rispondere internazionalmente</w:t>
      </w:r>
      <w:r w:rsidR="00FA4935" w:rsidRPr="00FE4D25">
        <w:rPr>
          <w:rFonts w:cstheme="minorHAnsi"/>
        </w:rPr>
        <w:t xml:space="preserve"> dei fatti </w:t>
      </w:r>
      <w:r w:rsidR="00FA4935">
        <w:rPr>
          <w:rFonts w:cstheme="minorHAnsi"/>
        </w:rPr>
        <w:t xml:space="preserve">illeciti </w:t>
      </w:r>
      <w:r w:rsidR="00FA4935" w:rsidRPr="00FE4D25">
        <w:rPr>
          <w:rFonts w:cstheme="minorHAnsi"/>
          <w:i/>
        </w:rPr>
        <w:t>ultra vires</w:t>
      </w:r>
      <w:r w:rsidR="00FA4935" w:rsidRPr="00FE4D25">
        <w:rPr>
          <w:rFonts w:cstheme="minorHAnsi"/>
        </w:rPr>
        <w:t xml:space="preserve"> </w:t>
      </w:r>
      <w:r w:rsidR="00FA4935">
        <w:rPr>
          <w:rFonts w:cstheme="minorHAnsi"/>
        </w:rPr>
        <w:t xml:space="preserve">dei propri organi </w:t>
      </w:r>
      <w:r>
        <w:rPr>
          <w:rFonts w:cstheme="minorHAnsi"/>
        </w:rPr>
        <w:t>si ponga non</w:t>
      </w:r>
      <w:r w:rsidR="00FA4935" w:rsidRPr="00FE4D25">
        <w:rPr>
          <w:rFonts w:cstheme="minorHAnsi"/>
        </w:rPr>
        <w:t xml:space="preserve"> soltanto con riferimento ad individui o enti che godono dello </w:t>
      </w:r>
      <w:r w:rsidR="00FA4935" w:rsidRPr="00FE4D25">
        <w:rPr>
          <w:rFonts w:cstheme="minorHAnsi"/>
          <w:i/>
        </w:rPr>
        <w:t>status</w:t>
      </w:r>
      <w:r w:rsidR="00FA4935" w:rsidRPr="00FE4D25">
        <w:rPr>
          <w:rFonts w:cstheme="minorHAnsi"/>
        </w:rPr>
        <w:t xml:space="preserve"> organico in base al diritto interno </w:t>
      </w:r>
      <w:r>
        <w:rPr>
          <w:rFonts w:cstheme="minorHAnsi"/>
        </w:rPr>
        <w:t xml:space="preserve">ma </w:t>
      </w:r>
      <w:r w:rsidR="00FA4935" w:rsidRPr="00FE4D25">
        <w:rPr>
          <w:rFonts w:cstheme="minorHAnsi"/>
        </w:rPr>
        <w:t xml:space="preserve">anche </w:t>
      </w:r>
      <w:r>
        <w:rPr>
          <w:rFonts w:cstheme="minorHAnsi"/>
        </w:rPr>
        <w:t xml:space="preserve">con riferimento </w:t>
      </w:r>
      <w:r w:rsidR="00FA4935" w:rsidRPr="00FE4D25">
        <w:rPr>
          <w:rFonts w:cstheme="minorHAnsi"/>
        </w:rPr>
        <w:t>a coloro che sono integrati nell’apparato statale sulla base di elementi fattuali.</w:t>
      </w:r>
      <w:r w:rsidR="00A975E3">
        <w:rPr>
          <w:rFonts w:cstheme="minorHAnsi"/>
        </w:rPr>
        <w:t xml:space="preserve"> In particolare ci si propone di considerare se le regole di attribuzione che si fondano sulla qualità di organo dell’individuo agente si prestano ad essere applicate anche con riferimento ad individui le cui funzioni sono determinate sulla base di elementi fattuali.</w:t>
      </w:r>
      <w:r w:rsidR="00020882" w:rsidRPr="00020882">
        <w:t xml:space="preserve"> </w:t>
      </w:r>
      <w:r w:rsidR="00020882">
        <w:t>L’esame delle suddette quest</w:t>
      </w:r>
      <w:r w:rsidR="00F52398">
        <w:t>ioni</w:t>
      </w:r>
      <w:r w:rsidR="00020882">
        <w:t xml:space="preserve"> ci offre </w:t>
      </w:r>
      <w:r w:rsidR="00BC00BB">
        <w:t xml:space="preserve">anche </w:t>
      </w:r>
      <w:r w:rsidR="00020882">
        <w:t xml:space="preserve">la possibilità di </w:t>
      </w:r>
      <w:r w:rsidR="00020882">
        <w:rPr>
          <w:rFonts w:cstheme="minorHAnsi"/>
        </w:rPr>
        <w:t>approfondire</w:t>
      </w:r>
      <w:r w:rsidR="00020882">
        <w:t xml:space="preserve"> </w:t>
      </w:r>
      <w:r w:rsidR="00020882">
        <w:rPr>
          <w:rFonts w:cstheme="minorHAnsi"/>
        </w:rPr>
        <w:t>il ruolo giocato dal diritto interno con riferimento all’operazione di attribuzione di condotte allo Stato e all’accertamento della qualità organica.</w:t>
      </w:r>
    </w:p>
    <w:p w:rsidR="00BD3AEF" w:rsidRDefault="00BD3AEF" w:rsidP="00A975E3">
      <w:pPr>
        <w:spacing w:after="0" w:line="360" w:lineRule="auto"/>
        <w:ind w:firstLine="709"/>
        <w:jc w:val="both"/>
        <w:rPr>
          <w:rFonts w:cstheme="minorHAnsi"/>
        </w:rPr>
      </w:pPr>
      <w:r>
        <w:rPr>
          <w:rFonts w:cstheme="minorHAnsi"/>
        </w:rPr>
        <w:t xml:space="preserve">Prima di procedere </w:t>
      </w:r>
      <w:r w:rsidR="00B04F54">
        <w:rPr>
          <w:rFonts w:cstheme="minorHAnsi"/>
        </w:rPr>
        <w:t>all’analisi di questi</w:t>
      </w:r>
      <w:r w:rsidR="00B74823">
        <w:rPr>
          <w:rFonts w:cstheme="minorHAnsi"/>
        </w:rPr>
        <w:t xml:space="preserve"> problemi, può esse</w:t>
      </w:r>
      <w:r w:rsidR="00306C1F">
        <w:rPr>
          <w:rFonts w:cstheme="minorHAnsi"/>
        </w:rPr>
        <w:t>re utile ripercorrere rapidamente l</w:t>
      </w:r>
      <w:r w:rsidR="00B04F54">
        <w:rPr>
          <w:rFonts w:cstheme="minorHAnsi"/>
        </w:rPr>
        <w:t>e principali indicazioni</w:t>
      </w:r>
      <w:r w:rsidR="00B74823">
        <w:rPr>
          <w:rFonts w:cstheme="minorHAnsi"/>
        </w:rPr>
        <w:t xml:space="preserve"> che si è ritenuto di poter dedurre dall’</w:t>
      </w:r>
      <w:r w:rsidR="00F52398">
        <w:rPr>
          <w:rFonts w:cstheme="minorHAnsi"/>
        </w:rPr>
        <w:t xml:space="preserve">esame </w:t>
      </w:r>
      <w:r w:rsidR="00B74823">
        <w:rPr>
          <w:rFonts w:cstheme="minorHAnsi"/>
        </w:rPr>
        <w:t>della prassi rilevante.</w:t>
      </w:r>
      <w:r w:rsidR="00F52398">
        <w:rPr>
          <w:rFonts w:cstheme="minorHAnsi"/>
        </w:rPr>
        <w:t xml:space="preserve"> </w:t>
      </w:r>
    </w:p>
    <w:p w:rsidR="00BA0AB9" w:rsidRDefault="00F52398" w:rsidP="00BA0AB9">
      <w:pPr>
        <w:spacing w:after="0" w:line="360" w:lineRule="auto"/>
        <w:ind w:firstLine="709"/>
        <w:jc w:val="both"/>
      </w:pPr>
      <w:r>
        <w:rPr>
          <w:rFonts w:cstheme="minorHAnsi"/>
        </w:rPr>
        <w:t xml:space="preserve">Per quanto concerne la prassi più antica, è innanzitutto importante sottolineare come </w:t>
      </w:r>
      <w:r>
        <w:t xml:space="preserve">la questione dei fatti </w:t>
      </w:r>
      <w:r w:rsidRPr="00B74D9C">
        <w:rPr>
          <w:i/>
        </w:rPr>
        <w:t>ultra vires</w:t>
      </w:r>
      <w:r w:rsidR="00703111">
        <w:t xml:space="preserve"> degli organi statali non venisse</w:t>
      </w:r>
      <w:r>
        <w:t xml:space="preserve"> trattata in funzione della loro attribuibilità </w:t>
      </w:r>
      <w:r w:rsidR="00703111">
        <w:t xml:space="preserve">o meno </w:t>
      </w:r>
      <w:r>
        <w:t xml:space="preserve">allo Stato quale soggetto di diritto internazionale, ma soltanto nel senso di indagare se lo Stato ne dovesse rispondere internazionalmente. </w:t>
      </w:r>
      <w:r w:rsidR="00BA0AB9">
        <w:rPr>
          <w:bCs/>
        </w:rPr>
        <w:t>L</w:t>
      </w:r>
      <w:r w:rsidRPr="00E04DBB">
        <w:rPr>
          <w:bCs/>
        </w:rPr>
        <w:t xml:space="preserve">e condotte tenute da un organo nel mancato rispetto delle disposizioni di diritto interno o delle istruzioni ricevute venivano </w:t>
      </w:r>
      <w:r w:rsidR="00BA0AB9">
        <w:rPr>
          <w:bCs/>
        </w:rPr>
        <w:t xml:space="preserve">all’epoca </w:t>
      </w:r>
      <w:r w:rsidRPr="00E04DBB">
        <w:rPr>
          <w:bCs/>
        </w:rPr>
        <w:t>assimilate ai comportamenti a</w:t>
      </w:r>
      <w:r w:rsidR="00BA0AB9">
        <w:rPr>
          <w:bCs/>
        </w:rPr>
        <w:t>dottati da un semplice privato,</w:t>
      </w:r>
      <w:r w:rsidR="00BA0AB9">
        <w:t xml:space="preserve"> in occasione dei quali uno Stato poteva essere ritenuto internazionalmente responsabile esclusivamente per un suo eventuale mancato adempimento ad un obbligo di prevenzione o repressione di tali condotte, cioè per il mancato rispetto di un proprio obbligo di diligenza.</w:t>
      </w:r>
    </w:p>
    <w:p w:rsidR="00703111" w:rsidRDefault="00B04F54" w:rsidP="00703111">
      <w:pPr>
        <w:spacing w:after="0" w:line="360" w:lineRule="auto"/>
        <w:ind w:firstLine="709"/>
        <w:jc w:val="both"/>
      </w:pPr>
      <w:r>
        <w:t xml:space="preserve">A </w:t>
      </w:r>
      <w:r w:rsidR="00BA0AB9">
        <w:t xml:space="preserve">partire dall’inizio </w:t>
      </w:r>
      <w:r w:rsidR="00BA0AB9" w:rsidRPr="009305B0">
        <w:t>del ventesimo secolo la prassi degli Stati e l</w:t>
      </w:r>
      <w:r w:rsidR="00BA0AB9">
        <w:t xml:space="preserve">a giurisprudenza internazionale </w:t>
      </w:r>
      <w:r w:rsidR="00BA0AB9" w:rsidRPr="009305B0">
        <w:t>hanno progressivamente riconosciuto il principio dell</w:t>
      </w:r>
      <w:r w:rsidR="00BA0AB9">
        <w:t>a responsabilità internazionale dello Stato p</w:t>
      </w:r>
      <w:r w:rsidR="00BA0AB9" w:rsidRPr="009305B0">
        <w:t>e</w:t>
      </w:r>
      <w:r w:rsidR="00BA0AB9">
        <w:t>r gli illeciti commessi</w:t>
      </w:r>
      <w:r w:rsidR="00BA0AB9" w:rsidRPr="009305B0">
        <w:t xml:space="preserve"> dai propri organi </w:t>
      </w:r>
      <w:r>
        <w:t xml:space="preserve">nella loro qualità ufficiale, pure se </w:t>
      </w:r>
      <w:r w:rsidR="00BA0AB9" w:rsidRPr="009305B0">
        <w:t xml:space="preserve">in violazione di istruzioni ricevute, </w:t>
      </w:r>
      <w:r w:rsidR="00BA0AB9">
        <w:t xml:space="preserve"> </w:t>
      </w:r>
      <w:r w:rsidR="00BA0AB9" w:rsidRPr="009305B0">
        <w:t>della propria competenza secondo il diritto interno o comunque in violazione del diritto interno</w:t>
      </w:r>
      <w:r w:rsidR="00621783">
        <w:t xml:space="preserve">. Al di là di alcune circostanze in cui la responsabilità internazionale dello Stato è stata </w:t>
      </w:r>
      <w:r w:rsidR="00514B0D">
        <w:t xml:space="preserve">fatta </w:t>
      </w:r>
      <w:r w:rsidR="00F2608A">
        <w:t xml:space="preserve">ancora </w:t>
      </w:r>
      <w:r w:rsidR="00514B0D">
        <w:t>d</w:t>
      </w:r>
      <w:r w:rsidR="00621783">
        <w:t xml:space="preserve">ipendere dall’atteggiamento adottato da parte del Governo rispetto alla condotta illecita non autorizzata, quale ad esempio il suo mancato esplicito disconoscimento, a </w:t>
      </w:r>
      <w:r w:rsidR="00621783" w:rsidRPr="00AD18ED">
        <w:t xml:space="preserve">partire dalle decisioni rese dalle Commissioni miste dei reclami </w:t>
      </w:r>
      <w:r w:rsidR="00891189">
        <w:t>concernenti danni recati dalla</w:t>
      </w:r>
      <w:r w:rsidR="00621783" w:rsidRPr="00AD18ED">
        <w:t xml:space="preserve"> Repub</w:t>
      </w:r>
      <w:r w:rsidR="00891189">
        <w:t>blica del Venezuela</w:t>
      </w:r>
      <w:r w:rsidR="00621783" w:rsidRPr="00AD18ED">
        <w:t xml:space="preserve">, si </w:t>
      </w:r>
      <w:r w:rsidR="00621783">
        <w:t>è iniziato ad ammettere</w:t>
      </w:r>
      <w:r w:rsidR="00621783" w:rsidRPr="00AD18ED">
        <w:t xml:space="preserve"> che la responsabilità internazionale dello Stato per i fatti illeciti </w:t>
      </w:r>
      <w:r w:rsidR="00621783" w:rsidRPr="00AD18ED">
        <w:rPr>
          <w:i/>
        </w:rPr>
        <w:t>ultra vires</w:t>
      </w:r>
      <w:r w:rsidR="00621783">
        <w:t xml:space="preserve"> dei propri organi sorge</w:t>
      </w:r>
      <w:r w:rsidR="00621783" w:rsidRPr="00AD18ED">
        <w:t xml:space="preserve"> non in virtù del fatto che ulteriori organi statali hanno omesso di adottare le misure idonee a prevenire o reprimere tali comportamenti, </w:t>
      </w:r>
      <w:r w:rsidR="00703111">
        <w:t>del tutto a prescindere da quello che è stato il comportamento tenuto dagli altri organi statali.</w:t>
      </w:r>
    </w:p>
    <w:p w:rsidR="00994F54" w:rsidRPr="00891189" w:rsidRDefault="00994F54" w:rsidP="00703111">
      <w:pPr>
        <w:spacing w:after="0" w:line="360" w:lineRule="auto"/>
        <w:ind w:firstLine="709"/>
        <w:jc w:val="both"/>
      </w:pPr>
      <w:r>
        <w:t>Nella prassi internazionale l</w:t>
      </w:r>
      <w:r w:rsidR="00F2608A">
        <w:t xml:space="preserve">a circostanza che gli organi avessero agito almeno in apparenza nel rispetto delle competenze previste dal diritto interno oppure si fossero avvalsi di mezzi messi loro a disposizione in virtù della funzione </w:t>
      </w:r>
      <w:r w:rsidR="0061425A">
        <w:t>svolta era peraltro reputata un</w:t>
      </w:r>
      <w:r w:rsidR="00435399">
        <w:t>a condizione in base alla quale</w:t>
      </w:r>
      <w:r w:rsidR="00F2608A">
        <w:t xml:space="preserve"> poter attribuire allo Stato </w:t>
      </w:r>
      <w:r w:rsidR="00435399">
        <w:t xml:space="preserve">la responsabilità per </w:t>
      </w:r>
      <w:r w:rsidR="00F2608A">
        <w:t>tali fatti.</w:t>
      </w:r>
    </w:p>
    <w:p w:rsidR="00276ABA" w:rsidRDefault="00994F54" w:rsidP="00276ABA">
      <w:pPr>
        <w:spacing w:after="0" w:line="360" w:lineRule="auto"/>
        <w:ind w:firstLine="709"/>
        <w:jc w:val="both"/>
      </w:pPr>
      <w:r>
        <w:t>N</w:t>
      </w:r>
      <w:r w:rsidRPr="005311B8">
        <w:t>ell’ambito dei lavori di codificazione avvenuti sotto l’egida della Società delle Nazioni</w:t>
      </w:r>
      <w:r>
        <w:t xml:space="preserve">, la maggioranza degli Stati ha affermato il principio generale della responsabilità internazionale dello Stato per fatti illeciti </w:t>
      </w:r>
      <w:r w:rsidRPr="00E407A2">
        <w:rPr>
          <w:i/>
        </w:rPr>
        <w:t>ultra vires</w:t>
      </w:r>
      <w:r>
        <w:t xml:space="preserve"> dei propri organi</w:t>
      </w:r>
      <w:r w:rsidR="00276ABA">
        <w:t xml:space="preserve">. Partendo dal presupposto che </w:t>
      </w:r>
      <w:r>
        <w:t xml:space="preserve">il diritto internazionale impone allo Stato l’obbligo di organizzarsi in maniera adeguata e di esercitare un controllo sufficiente sull’attività dei propri organi, si arrivava a concludere che un comportamento illecito non autorizzato da essi tenuto dovesse comportare la responsabilità internazionale dello Stato in ragione </w:t>
      </w:r>
      <w:r w:rsidR="00276ABA">
        <w:t xml:space="preserve">delle </w:t>
      </w:r>
      <w:r>
        <w:t xml:space="preserve">carenze della propria organizzazione interna. </w:t>
      </w:r>
    </w:p>
    <w:p w:rsidR="00043FEA" w:rsidRDefault="00994F54" w:rsidP="00160F52">
      <w:pPr>
        <w:spacing w:after="0" w:line="360" w:lineRule="auto"/>
        <w:ind w:firstLine="709"/>
        <w:jc w:val="both"/>
      </w:pPr>
      <w:r>
        <w:t xml:space="preserve">La responsabilità internazionale dello Stato, nell’ipotesi dei fatti illeciti </w:t>
      </w:r>
      <w:r w:rsidRPr="00857851">
        <w:rPr>
          <w:i/>
        </w:rPr>
        <w:t xml:space="preserve">ultra vires </w:t>
      </w:r>
      <w:r w:rsidR="00276ABA">
        <w:t xml:space="preserve">dei propri </w:t>
      </w:r>
      <w:r>
        <w:t xml:space="preserve">organi, </w:t>
      </w:r>
      <w:r w:rsidR="00276ABA">
        <w:t xml:space="preserve">finiva </w:t>
      </w:r>
      <w:r w:rsidR="00AF4E51">
        <w:t xml:space="preserve">così </w:t>
      </w:r>
      <w:r w:rsidR="00276ABA">
        <w:t xml:space="preserve">per fondarsi </w:t>
      </w:r>
      <w:r>
        <w:t xml:space="preserve">su una garanzia che esso prestava agli altri soggetti internazionali per i fatti dannosi causati dall’attività della propria organizzazione interna, in modo </w:t>
      </w:r>
      <w:r w:rsidR="00C7423B">
        <w:t xml:space="preserve">da poter </w:t>
      </w:r>
      <w:r>
        <w:t>assicurare la sicurezza delle relazioni internazionali.</w:t>
      </w:r>
      <w:r w:rsidR="00C87F33" w:rsidRPr="00C87F33">
        <w:t xml:space="preserve"> </w:t>
      </w:r>
    </w:p>
    <w:p w:rsidR="00F85638" w:rsidRDefault="00F85638" w:rsidP="00160F52">
      <w:pPr>
        <w:spacing w:after="0" w:line="360" w:lineRule="auto"/>
        <w:ind w:firstLine="709"/>
        <w:jc w:val="both"/>
      </w:pPr>
      <w:r>
        <w:t xml:space="preserve">Va anche ricordato che nel corso dei lavori della Società delle Nazioni il problema della responsabilità dello Stato per i fatti illeciti compiuti da organi </w:t>
      </w:r>
      <w:r w:rsidRPr="00EB562E">
        <w:rPr>
          <w:i/>
        </w:rPr>
        <w:t>ultra vires</w:t>
      </w:r>
      <w:r>
        <w:t xml:space="preserve"> inizia ad essere presentato in termini di attribuibilità o meno allo Stato di detti fatti.</w:t>
      </w:r>
    </w:p>
    <w:p w:rsidR="0026677A" w:rsidRPr="00197B38" w:rsidRDefault="00CB0A91" w:rsidP="00160F52">
      <w:pPr>
        <w:spacing w:after="0" w:line="360" w:lineRule="auto"/>
        <w:ind w:firstLine="709"/>
        <w:jc w:val="both"/>
      </w:pPr>
      <w:r>
        <w:t>Il fatto che l</w:t>
      </w:r>
      <w:r w:rsidR="00514B0D">
        <w:t>a logica dettata dall’esigenza di garantire la sicurezza delle relazioni internazionali</w:t>
      </w:r>
      <w:r w:rsidR="009759A1">
        <w:t xml:space="preserve"> </w:t>
      </w:r>
      <w:r>
        <w:t xml:space="preserve">imponga </w:t>
      </w:r>
      <w:r w:rsidR="0061425A">
        <w:t xml:space="preserve">di attribuire </w:t>
      </w:r>
      <w:r>
        <w:t xml:space="preserve">allo Stato </w:t>
      </w:r>
      <w:r w:rsidR="0061425A">
        <w:t xml:space="preserve">le condotte di un </w:t>
      </w:r>
      <w:r>
        <w:t>individuo o ente a cui ha conferito lo</w:t>
      </w:r>
      <w:r w:rsidRPr="001D24B7">
        <w:rPr>
          <w:i/>
        </w:rPr>
        <w:t xml:space="preserve"> status</w:t>
      </w:r>
      <w:r>
        <w:rPr>
          <w:i/>
        </w:rPr>
        <w:t xml:space="preserve"> </w:t>
      </w:r>
      <w:r w:rsidRPr="001D24B7">
        <w:t>organico</w:t>
      </w:r>
      <w:r w:rsidR="0061425A">
        <w:t xml:space="preserve"> quando egli o esso</w:t>
      </w:r>
      <w:r>
        <w:t xml:space="preserve"> appare effettivamente agire per suo conto, indipendentemente dal rispetto delle disposizioni del diritto interno o delle istruzioni impartite, è stato ribadito anche nell’am</w:t>
      </w:r>
      <w:r w:rsidR="00043FEA">
        <w:t>bito dei lavori di codificazione</w:t>
      </w:r>
      <w:r>
        <w:t xml:space="preserve"> avvenuti sotto l’</w:t>
      </w:r>
      <w:r w:rsidR="00197B38">
        <w:t xml:space="preserve">egida della Commissione del diritto internazionale delle Nazioni Unite. </w:t>
      </w:r>
      <w:r w:rsidR="00197B38" w:rsidRPr="005C17AE">
        <w:t>L’aver agito in qualità ufficiale o nell’esercizio delle pr</w:t>
      </w:r>
      <w:r w:rsidR="00197B38">
        <w:t xml:space="preserve">oprie funzioni è stato ritenuto </w:t>
      </w:r>
      <w:r w:rsidR="006966CF">
        <w:t>da</w:t>
      </w:r>
      <w:r w:rsidR="00197B38" w:rsidRPr="005C17AE">
        <w:t>lla Commissio</w:t>
      </w:r>
      <w:r w:rsidR="00197B38">
        <w:t>ne</w:t>
      </w:r>
      <w:r w:rsidR="00197B38" w:rsidRPr="00716747">
        <w:t xml:space="preserve"> </w:t>
      </w:r>
      <w:r w:rsidR="005F699F">
        <w:t xml:space="preserve">il criterio sufficiente a </w:t>
      </w:r>
      <w:r w:rsidR="00197B38" w:rsidRPr="00716747">
        <w:t>distinguere</w:t>
      </w:r>
      <w:r w:rsidR="00197B38">
        <w:t>,</w:t>
      </w:r>
      <w:r w:rsidR="00197B38" w:rsidRPr="00716747">
        <w:t xml:space="preserve"> </w:t>
      </w:r>
      <w:r w:rsidR="00197B38">
        <w:t xml:space="preserve">tra i vari comportamenti adottati da un individuo o ente che gode dello </w:t>
      </w:r>
      <w:r w:rsidR="00197B38" w:rsidRPr="00716747">
        <w:rPr>
          <w:i/>
        </w:rPr>
        <w:t xml:space="preserve">status </w:t>
      </w:r>
      <w:r w:rsidR="00197B38">
        <w:t xml:space="preserve">organico, quali devono essere considerati fatti attribuibili allo Stato e quali possono invece essere assimilati a fatti di semplici privati. La limitazione della manifesta incompetenza, che trovava principalmente riscontro nei dati offerti dalla prassi internazionale in tema di trattamento degli stranieri, </w:t>
      </w:r>
      <w:r w:rsidR="005F699F">
        <w:t xml:space="preserve">dopo qualche iniziale incertezza non è stata accolta dalla Commissione: </w:t>
      </w:r>
      <w:r w:rsidR="006966CF">
        <w:t xml:space="preserve">ciò </w:t>
      </w:r>
      <w:r w:rsidR="00197B38">
        <w:t>al fine di evitare che uno Stato potesse invocare scappatoie per sfuggire alla propria responsabilità internazionale.</w:t>
      </w:r>
    </w:p>
    <w:p w:rsidR="004379C0" w:rsidRDefault="00D95633" w:rsidP="0026677A">
      <w:pPr>
        <w:spacing w:after="0" w:line="360" w:lineRule="auto"/>
        <w:ind w:firstLine="284"/>
        <w:jc w:val="both"/>
      </w:pPr>
      <w:r>
        <w:t xml:space="preserve">L’analisi </w:t>
      </w:r>
      <w:r w:rsidR="0026677A" w:rsidRPr="006E5CB2">
        <w:t xml:space="preserve">della prassi internazionale recente, </w:t>
      </w:r>
      <w:r>
        <w:t>contemporanea o successiva ai lavori della Commissione del diritto internazinale, ci ha consentito di</w:t>
      </w:r>
      <w:r w:rsidR="0026677A">
        <w:t xml:space="preserve"> constatare come </w:t>
      </w:r>
      <w:r w:rsidR="0026677A" w:rsidRPr="006E5CB2">
        <w:t xml:space="preserve">il principio secondo cui lo Stato </w:t>
      </w:r>
      <w:r w:rsidR="0026677A">
        <w:t xml:space="preserve">deve </w:t>
      </w:r>
      <w:r w:rsidR="0026677A" w:rsidRPr="006E5CB2">
        <w:t xml:space="preserve">rispondere internazionalmente dei fatti illeciti </w:t>
      </w:r>
      <w:r w:rsidR="0026677A" w:rsidRPr="0026677A">
        <w:rPr>
          <w:i/>
        </w:rPr>
        <w:t>ultra vires</w:t>
      </w:r>
      <w:r w:rsidR="0026677A">
        <w:t xml:space="preserve"> tenuti dai propri organi </w:t>
      </w:r>
      <w:r>
        <w:t xml:space="preserve">nell’esercizio delle funzioni </w:t>
      </w:r>
      <w:r w:rsidR="0026677A" w:rsidRPr="006E5CB2">
        <w:t>a</w:t>
      </w:r>
      <w:r>
        <w:t>bbia</w:t>
      </w:r>
      <w:r w:rsidR="0026677A" w:rsidRPr="006E5CB2">
        <w:t xml:space="preserve"> </w:t>
      </w:r>
      <w:r w:rsidR="0026677A">
        <w:t xml:space="preserve">ormai </w:t>
      </w:r>
      <w:r w:rsidR="0026677A" w:rsidRPr="006E5CB2">
        <w:t>acquisito una natura consuetudinaria</w:t>
      </w:r>
      <w:r w:rsidR="0026677A">
        <w:t>.</w:t>
      </w:r>
    </w:p>
    <w:p w:rsidR="00360946" w:rsidRDefault="000C5154" w:rsidP="00360946">
      <w:pPr>
        <w:spacing w:after="0" w:line="360" w:lineRule="auto"/>
        <w:ind w:firstLine="284"/>
        <w:jc w:val="both"/>
      </w:pPr>
      <w:r>
        <w:t xml:space="preserve">Il riconoscimento in termini assoluti del suddetto principio costituisce indubbiamente un elemento di novità. La limitazione della manifesta incompetenza dell’organo, in base alla quale lo Stato non è tenuto a rispondere sul piano internazionale delle condotte </w:t>
      </w:r>
      <w:r w:rsidRPr="00AF0608">
        <w:rPr>
          <w:i/>
        </w:rPr>
        <w:t xml:space="preserve">ultra vires </w:t>
      </w:r>
      <w:r>
        <w:t xml:space="preserve">dei propri organi nel caso in cui la loro incompetenza è a tal punto manifesta da risultare incontrovertibile agli occhi del terzo, non trova </w:t>
      </w:r>
      <w:r w:rsidR="00160F52">
        <w:t>di</w:t>
      </w:r>
      <w:r>
        <w:t>fatti più alcun riscon</w:t>
      </w:r>
      <w:r w:rsidR="00043FEA">
        <w:t>tro nella prassi internazionale recente.</w:t>
      </w:r>
    </w:p>
    <w:p w:rsidR="009E079F" w:rsidRDefault="000C5154" w:rsidP="006966CF">
      <w:pPr>
        <w:spacing w:after="0" w:line="360" w:lineRule="auto"/>
        <w:ind w:firstLine="284"/>
        <w:jc w:val="both"/>
      </w:pPr>
      <w:r>
        <w:t>Ulteriore elemento di novità è poi costituito dal</w:t>
      </w:r>
      <w:r w:rsidR="00F6383D">
        <w:t>la possibilità che</w:t>
      </w:r>
      <w:r w:rsidR="00F6383D" w:rsidRPr="00F6383D">
        <w:t xml:space="preserve"> </w:t>
      </w:r>
      <w:r>
        <w:t>il principio della responsabilità internazionale dello Stato per i fatti</w:t>
      </w:r>
      <w:r w:rsidRPr="000C5154">
        <w:rPr>
          <w:i/>
        </w:rPr>
        <w:t xml:space="preserve"> </w:t>
      </w:r>
      <w:r w:rsidRPr="005A0A54">
        <w:t xml:space="preserve">illeciti </w:t>
      </w:r>
      <w:r w:rsidRPr="005A0A54">
        <w:rPr>
          <w:i/>
        </w:rPr>
        <w:t>ultra vires</w:t>
      </w:r>
      <w:r w:rsidR="00160F52">
        <w:t xml:space="preserve">, </w:t>
      </w:r>
      <w:r w:rsidR="00413B2B">
        <w:t>in presenza di determinate circostanze</w:t>
      </w:r>
      <w:r w:rsidR="00160F52">
        <w:t>,</w:t>
      </w:r>
      <w:r w:rsidR="00413B2B">
        <w:t xml:space="preserve"> </w:t>
      </w:r>
      <w:r w:rsidR="00F6383D">
        <w:t>possa trovare applicazione anche rispetto all’attività di individui che</w:t>
      </w:r>
      <w:r w:rsidR="0002727E">
        <w:t xml:space="preserve">, pur non possedendo </w:t>
      </w:r>
      <w:r w:rsidR="00F6383D">
        <w:t xml:space="preserve">lo </w:t>
      </w:r>
      <w:r w:rsidR="00F6383D" w:rsidRPr="0002727E">
        <w:rPr>
          <w:i/>
        </w:rPr>
        <w:t>status</w:t>
      </w:r>
      <w:r w:rsidR="00F6383D">
        <w:t xml:space="preserve"> organico alla</w:t>
      </w:r>
      <w:r w:rsidR="0002727E">
        <w:t xml:space="preserve"> luce dell’ordinamento interno, sono </w:t>
      </w:r>
      <w:r w:rsidR="00360946">
        <w:t xml:space="preserve">fattualmente </w:t>
      </w:r>
      <w:r w:rsidR="0002727E">
        <w:t>integrati nell’</w:t>
      </w:r>
      <w:r w:rsidR="00360946">
        <w:t>apparato di governo dello Stato.</w:t>
      </w:r>
      <w:r w:rsidR="00413B2B">
        <w:t xml:space="preserve"> Seppur in maniera non d</w:t>
      </w:r>
      <w:r w:rsidR="00160F52">
        <w:t>e</w:t>
      </w:r>
      <w:r w:rsidR="00413B2B">
        <w:t>l tutto uniforme, la giurisprudenza recente sembra difatti ammettere che</w:t>
      </w:r>
      <w:r w:rsidR="006966CF">
        <w:t>,</w:t>
      </w:r>
      <w:r w:rsidR="00413B2B" w:rsidRPr="00413B2B">
        <w:t xml:space="preserve"> </w:t>
      </w:r>
      <w:r w:rsidR="00413B2B">
        <w:t>nei casi in cui elementi fattuali permettano l’equiparazione di individui o enti ad organi statali, le regole di attribuzione che si fondano sulla qualità di organo possano essere applicate anche rispetto all’attività di individui legati fattualmente allo Stato.</w:t>
      </w:r>
      <w:r w:rsidR="00160F52">
        <w:t xml:space="preserve"> </w:t>
      </w:r>
      <w:r w:rsidR="00043FEA">
        <w:t>Rimane indubbiamente ancora da chiarire, o</w:t>
      </w:r>
      <w:r w:rsidR="005539BF">
        <w:t xml:space="preserve">ve si affermi la responsabilità dello Stato per i comportamenti di persone che non sono suoi organi ma che operano per suo conto anche nel caso in cui abbiano agito senza o contrariamente alle istruzioni ricevute, se veramente possa parlarsi di organi di fatto che agiscono al di fuori della competenza o contrariamente alle istruzioni ricevute </w:t>
      </w:r>
      <w:r w:rsidR="006966CF">
        <w:t xml:space="preserve">e quale sia la ragione </w:t>
      </w:r>
      <w:r w:rsidR="005539BF">
        <w:t>perché lo Stato sia chiamato a rispondere i</w:t>
      </w:r>
      <w:r w:rsidR="001A7151">
        <w:t>nternazionalmente di tali fatti.</w:t>
      </w:r>
    </w:p>
    <w:p w:rsidR="009E079F" w:rsidRDefault="009E079F" w:rsidP="009E079F">
      <w:pPr>
        <w:spacing w:after="0" w:line="360" w:lineRule="auto"/>
        <w:ind w:firstLine="284"/>
        <w:jc w:val="both"/>
      </w:pPr>
    </w:p>
    <w:p w:rsidR="009E079F" w:rsidRPr="00BF227E" w:rsidRDefault="009E079F" w:rsidP="009E079F">
      <w:pPr>
        <w:pStyle w:val="Paragrafoelenco"/>
        <w:numPr>
          <w:ilvl w:val="0"/>
          <w:numId w:val="23"/>
        </w:numPr>
        <w:spacing w:after="0" w:line="360" w:lineRule="auto"/>
        <w:jc w:val="both"/>
      </w:pPr>
      <w:r>
        <w:t>Il principio della respons</w:t>
      </w:r>
      <w:r w:rsidR="00567DDD">
        <w:t xml:space="preserve">abilità internazionale </w:t>
      </w:r>
      <w:r>
        <w:t xml:space="preserve">dello Stato per i fatti illeciti </w:t>
      </w:r>
      <w:r w:rsidRPr="009E079F">
        <w:rPr>
          <w:i/>
        </w:rPr>
        <w:t>ultra vires</w:t>
      </w:r>
      <w:r>
        <w:t xml:space="preserve"> dei propri organi </w:t>
      </w:r>
      <w:r w:rsidR="005343D6">
        <w:rPr>
          <w:i/>
        </w:rPr>
        <w:t>de i</w:t>
      </w:r>
      <w:r w:rsidRPr="009E079F">
        <w:rPr>
          <w:i/>
        </w:rPr>
        <w:t>ure</w:t>
      </w:r>
      <w:r w:rsidR="006028E3">
        <w:t>: responsabilità per fatto proprio o responsabilità oggettiva?</w:t>
      </w:r>
    </w:p>
    <w:p w:rsidR="00BF227E" w:rsidRPr="00BF227E" w:rsidRDefault="00BF227E" w:rsidP="00BF227E">
      <w:pPr>
        <w:spacing w:after="0" w:line="360" w:lineRule="auto"/>
        <w:jc w:val="both"/>
      </w:pPr>
      <w:r>
        <w:t xml:space="preserve"> </w:t>
      </w:r>
    </w:p>
    <w:p w:rsidR="00B94812" w:rsidRDefault="00BF227E" w:rsidP="00004A78">
      <w:pPr>
        <w:spacing w:after="0" w:line="360" w:lineRule="auto"/>
        <w:jc w:val="both"/>
      </w:pPr>
      <w:r>
        <w:t>All’inizio di questo lavoro si è rilevato come</w:t>
      </w:r>
      <w:r w:rsidR="00356309">
        <w:t xml:space="preserve"> </w:t>
      </w:r>
      <w:r>
        <w:t xml:space="preserve">il problema della responsabilità internazionale dello Stato per i fatti illeciti </w:t>
      </w:r>
      <w:r w:rsidRPr="00BF227E">
        <w:rPr>
          <w:i/>
        </w:rPr>
        <w:t>ultra vires</w:t>
      </w:r>
      <w:r w:rsidR="00B94812">
        <w:t xml:space="preserve"> sia</w:t>
      </w:r>
      <w:r>
        <w:t xml:space="preserve"> s</w:t>
      </w:r>
      <w:r w:rsidR="00004A78">
        <w:t>tato in passato impostato</w:t>
      </w:r>
      <w:r w:rsidR="00356309">
        <w:t xml:space="preserve"> essenzialmente</w:t>
      </w:r>
      <w:r w:rsidR="00004A78">
        <w:t xml:space="preserve"> in due</w:t>
      </w:r>
      <w:r>
        <w:t xml:space="preserve"> differenti modi. In base alla prima concezione, </w:t>
      </w:r>
      <w:r w:rsidR="000D2CF8">
        <w:t xml:space="preserve">la </w:t>
      </w:r>
      <w:r w:rsidR="000D2CF8" w:rsidRPr="00522ABC">
        <w:t xml:space="preserve">rilevanza esclusiva </w:t>
      </w:r>
      <w:r w:rsidR="000D2CF8">
        <w:t xml:space="preserve">riconosciuta </w:t>
      </w:r>
      <w:r w:rsidR="000D2CF8" w:rsidRPr="00522ABC">
        <w:t>al diritto interno in materia di organizzazione dello Stato e di acce</w:t>
      </w:r>
      <w:r w:rsidR="000D2CF8">
        <w:t>rtamento della qualità organica</w:t>
      </w:r>
      <w:r w:rsidR="00356309">
        <w:t xml:space="preserve"> </w:t>
      </w:r>
      <w:r w:rsidR="003E4FD2">
        <w:t>comporta</w:t>
      </w:r>
      <w:r w:rsidR="00A83C39">
        <w:t>va</w:t>
      </w:r>
      <w:r w:rsidR="003E4FD2">
        <w:t xml:space="preserve"> </w:t>
      </w:r>
      <w:r w:rsidR="000D2CF8">
        <w:t xml:space="preserve">l’impossibilità di ammettere che </w:t>
      </w:r>
      <w:r w:rsidR="000D2CF8" w:rsidRPr="00522ABC">
        <w:t xml:space="preserve">le condotte tenute </w:t>
      </w:r>
      <w:r w:rsidR="00C32CCC">
        <w:t>da individui che possiedono</w:t>
      </w:r>
      <w:r w:rsidR="000D2CF8" w:rsidRPr="00522ABC">
        <w:t xml:space="preserve"> </w:t>
      </w:r>
      <w:r w:rsidR="000D2CF8">
        <w:t xml:space="preserve">lo </w:t>
      </w:r>
      <w:r w:rsidR="000D2CF8" w:rsidRPr="00522ABC">
        <w:rPr>
          <w:i/>
        </w:rPr>
        <w:t>status</w:t>
      </w:r>
      <w:r w:rsidR="000D2CF8" w:rsidRPr="00522ABC">
        <w:t xml:space="preserve"> </w:t>
      </w:r>
      <w:r w:rsidR="000D2CF8">
        <w:t xml:space="preserve">di organi in </w:t>
      </w:r>
      <w:r w:rsidR="000D2CF8" w:rsidRPr="00522ABC">
        <w:t>virtù del diritto statale</w:t>
      </w:r>
      <w:r w:rsidR="00356309">
        <w:t xml:space="preserve"> siano considerate fatti statali allorché </w:t>
      </w:r>
      <w:r w:rsidR="00B94812">
        <w:t xml:space="preserve">siano state tenute in violazione delle </w:t>
      </w:r>
      <w:r w:rsidR="000D2CF8" w:rsidRPr="00522ABC">
        <w:t xml:space="preserve">disposizioni </w:t>
      </w:r>
      <w:r w:rsidR="00B94812">
        <w:t xml:space="preserve">del diritto interno </w:t>
      </w:r>
      <w:r w:rsidR="000D2CF8" w:rsidRPr="00522ABC">
        <w:t>in tema di competenza</w:t>
      </w:r>
      <w:r w:rsidR="000D2CF8">
        <w:t xml:space="preserve">. In caso di commissione da parte di un organo di un fatto illecito </w:t>
      </w:r>
      <w:r w:rsidR="000D2CF8" w:rsidRPr="00791E5C">
        <w:rPr>
          <w:i/>
        </w:rPr>
        <w:t>ultra vires</w:t>
      </w:r>
      <w:r w:rsidR="000D2CF8">
        <w:t xml:space="preserve">, la responsabilità statale sul </w:t>
      </w:r>
      <w:r w:rsidR="00A83C39">
        <w:t>piano internazionale poteva</w:t>
      </w:r>
      <w:r w:rsidR="000D2CF8">
        <w:t xml:space="preserve"> </w:t>
      </w:r>
      <w:r w:rsidR="00791E5C">
        <w:t xml:space="preserve">venire in </w:t>
      </w:r>
      <w:r w:rsidR="000D2CF8">
        <w:t>essere esclusivamente in caso di complicità o di diniego di giustizia da parte di altri organi dello Stato.</w:t>
      </w:r>
      <w:r w:rsidR="00791E5C">
        <w:t xml:space="preserve"> </w:t>
      </w:r>
    </w:p>
    <w:p w:rsidR="00F51FC2" w:rsidRDefault="00B94812" w:rsidP="00004A78">
      <w:pPr>
        <w:spacing w:after="0" w:line="360" w:lineRule="auto"/>
        <w:jc w:val="both"/>
      </w:pPr>
      <w:r>
        <w:t>La seconda</w:t>
      </w:r>
      <w:r w:rsidR="00791E5C">
        <w:t xml:space="preserve"> concezione, invece, </w:t>
      </w:r>
      <w:r w:rsidR="00004A78">
        <w:t>ammette</w:t>
      </w:r>
      <w:r w:rsidR="00A83C39">
        <w:t>va</w:t>
      </w:r>
      <w:r w:rsidR="00004A78">
        <w:t xml:space="preserve"> che lo Stato</w:t>
      </w:r>
      <w:r w:rsidR="00004A78" w:rsidRPr="00004A78">
        <w:t xml:space="preserve"> </w:t>
      </w:r>
      <w:r w:rsidR="00A83C39">
        <w:t>dovesse</w:t>
      </w:r>
      <w:r w:rsidR="00004A78" w:rsidRPr="00004A78">
        <w:t xml:space="preserve"> </w:t>
      </w:r>
      <w:r w:rsidR="00004A78">
        <w:t>rispondere internazionalmente dei</w:t>
      </w:r>
      <w:r w:rsidR="00004A78" w:rsidRPr="00004A78">
        <w:t xml:space="preserve"> </w:t>
      </w:r>
      <w:r w:rsidR="00004A78">
        <w:t xml:space="preserve">fatti illeciti </w:t>
      </w:r>
      <w:r w:rsidR="00004A78" w:rsidRPr="00DD6131">
        <w:rPr>
          <w:i/>
        </w:rPr>
        <w:t>ultra vires</w:t>
      </w:r>
      <w:r w:rsidR="00004A78">
        <w:t xml:space="preserve"> dei propri organi </w:t>
      </w:r>
      <w:r w:rsidR="0004563A">
        <w:t xml:space="preserve">in quanto, </w:t>
      </w:r>
      <w:r w:rsidR="00781012">
        <w:t xml:space="preserve">avendo </w:t>
      </w:r>
      <w:r>
        <w:t xml:space="preserve">conferito ad alcuni individui o enti lo </w:t>
      </w:r>
      <w:r w:rsidRPr="00B94812">
        <w:rPr>
          <w:i/>
        </w:rPr>
        <w:t>status</w:t>
      </w:r>
      <w:r>
        <w:t xml:space="preserve"> organico </w:t>
      </w:r>
      <w:r w:rsidR="00781012">
        <w:t>e avendo fornito loro gli strumenti necessari all’esecuzione della propria funzione,</w:t>
      </w:r>
      <w:r w:rsidR="00A83C39">
        <w:t xml:space="preserve"> era</w:t>
      </w:r>
      <w:r w:rsidR="00781012">
        <w:t xml:space="preserve"> tenuto ad assicurare </w:t>
      </w:r>
      <w:r w:rsidR="00791E5C">
        <w:t>gli altri soggetti di diritto internazionale per i fat</w:t>
      </w:r>
      <w:r w:rsidR="00C32CCC">
        <w:t>ti dannosi che deri</w:t>
      </w:r>
      <w:r w:rsidR="00791E5C">
        <w:t xml:space="preserve">vano dalla propria organizzazione interna. </w:t>
      </w:r>
    </w:p>
    <w:p w:rsidR="00B94812" w:rsidRPr="00356309" w:rsidRDefault="00B94812" w:rsidP="00004A78">
      <w:pPr>
        <w:spacing w:after="0" w:line="360" w:lineRule="auto"/>
        <w:jc w:val="both"/>
      </w:pPr>
      <w:r>
        <w:t>Per alcuni autori questi fatti, pur non essendo attribuibili allo Stato sul piano internazionale in quanto non conformi al diritto interno, farebbero in ogni modo sorgere la responsabilità internazionale dello Stato in ragione del fatto che possiedono le caratteristiche tipiche del fatto statale e all’esterno sembrano rappresentarne la volontà.</w:t>
      </w:r>
      <w:r w:rsidR="005E59C2">
        <w:t xml:space="preserve"> Si tratterebbe di una sorta di responsabilità oggettiva. Per altri, invece, nulla vieterebbe che anche i fatti degli organi agentti </w:t>
      </w:r>
      <w:r w:rsidR="005E59C2" w:rsidRPr="005E59C2">
        <w:rPr>
          <w:i/>
        </w:rPr>
        <w:t>ultra vires</w:t>
      </w:r>
      <w:r w:rsidR="005E59C2">
        <w:rPr>
          <w:i/>
        </w:rPr>
        <w:t xml:space="preserve"> </w:t>
      </w:r>
      <w:r w:rsidR="005E59C2">
        <w:t>in base al diritto interno siano attribuiti allo Stato sul piano internazionale</w:t>
      </w:r>
      <w:r w:rsidR="004C2593">
        <w:t>. In questo senso, come si è visto, è orientata la quasi totalità della dottrina contemporanea e la stessa Commissione del diritto internazionale.</w:t>
      </w:r>
    </w:p>
    <w:p w:rsidR="002A2970" w:rsidRDefault="00531C02" w:rsidP="00F16684">
      <w:pPr>
        <w:spacing w:after="0" w:line="360" w:lineRule="auto"/>
        <w:ind w:firstLine="284"/>
        <w:jc w:val="both"/>
      </w:pPr>
      <w:r w:rsidRPr="002A2970">
        <w:rPr>
          <w:rFonts w:cstheme="minorHAnsi"/>
        </w:rPr>
        <w:t xml:space="preserve">In una prospettiva più ampia, il problema che sottende la contrapposizione tra questi differenti orientamenti è stabilire in quale </w:t>
      </w:r>
      <w:r w:rsidR="00942942">
        <w:rPr>
          <w:rFonts w:cstheme="minorHAnsi"/>
        </w:rPr>
        <w:t>modo</w:t>
      </w:r>
      <w:r w:rsidR="00356309">
        <w:rPr>
          <w:rFonts w:cstheme="minorHAnsi"/>
        </w:rPr>
        <w:t xml:space="preserve"> il fenomeno attributivo sia</w:t>
      </w:r>
      <w:r w:rsidR="00942942">
        <w:rPr>
          <w:rFonts w:cstheme="minorHAnsi"/>
        </w:rPr>
        <w:t xml:space="preserve"> regolato</w:t>
      </w:r>
      <w:r w:rsidRPr="002A2970">
        <w:rPr>
          <w:rFonts w:cstheme="minorHAnsi"/>
        </w:rPr>
        <w:t>.</w:t>
      </w:r>
      <w:r w:rsidR="002A2970" w:rsidRPr="002A2970">
        <w:rPr>
          <w:rFonts w:cstheme="minorHAnsi"/>
        </w:rPr>
        <w:t xml:space="preserve"> </w:t>
      </w:r>
      <w:r w:rsidR="002A2970" w:rsidRPr="002A2970">
        <w:t xml:space="preserve">Con riferimento al problema dell’attribuzione allo Stato dei fatti </w:t>
      </w:r>
      <w:r w:rsidR="002A2970" w:rsidRPr="002A2970">
        <w:rPr>
          <w:i/>
        </w:rPr>
        <w:t>ultra vires</w:t>
      </w:r>
      <w:r w:rsidR="002A2970" w:rsidRPr="002A2970">
        <w:t xml:space="preserve">, le soluzioni ipotizzabili in funzione dell’impostazione seguita sono da ricondurre ad una semplice alternativa: </w:t>
      </w:r>
      <w:r w:rsidR="0075713D">
        <w:t xml:space="preserve">cioè </w:t>
      </w:r>
      <w:r w:rsidR="002A2970" w:rsidRPr="002A2970">
        <w:t xml:space="preserve">se </w:t>
      </w:r>
      <w:r w:rsidR="0075713D">
        <w:t xml:space="preserve">il diritto internazionale </w:t>
      </w:r>
      <w:r w:rsidR="00356309">
        <w:t>provveda</w:t>
      </w:r>
      <w:r w:rsidR="00F16684">
        <w:t>, autonomamente oppure mediante r</w:t>
      </w:r>
      <w:r w:rsidR="00942942">
        <w:t>invio al diritto statale</w:t>
      </w:r>
      <w:r w:rsidR="00F16684">
        <w:t xml:space="preserve">, a determinare i presupposti dell’attribuzione di </w:t>
      </w:r>
      <w:r w:rsidR="0075713D" w:rsidRPr="002A2970">
        <w:t xml:space="preserve">un comportamento </w:t>
      </w:r>
      <w:r w:rsidR="00F16684">
        <w:rPr>
          <w:i/>
        </w:rPr>
        <w:t xml:space="preserve">ultra vires </w:t>
      </w:r>
      <w:r w:rsidR="00F16684">
        <w:t xml:space="preserve">allo Stato </w:t>
      </w:r>
      <w:r w:rsidR="0075713D" w:rsidRPr="002A2970">
        <w:t xml:space="preserve">di un individuo che gode della qualità organica </w:t>
      </w:r>
      <w:r w:rsidR="0075713D">
        <w:t>oppure se in materia opera</w:t>
      </w:r>
      <w:r w:rsidR="002A2970" w:rsidRPr="002A2970">
        <w:t xml:space="preserve"> soltanto un criterio generale ispirato al principio di effettività.</w:t>
      </w:r>
      <w:r w:rsidR="002A2970">
        <w:t xml:space="preserve"> </w:t>
      </w:r>
    </w:p>
    <w:p w:rsidR="00833C65" w:rsidRDefault="00B844FE" w:rsidP="00FF06C9">
      <w:pPr>
        <w:spacing w:after="0" w:line="360" w:lineRule="auto"/>
        <w:ind w:firstLine="284"/>
        <w:jc w:val="both"/>
      </w:pPr>
      <w:r>
        <w:t xml:space="preserve">I risultati raggiunti nel corso della presente </w:t>
      </w:r>
      <w:r w:rsidRPr="007E485E">
        <w:t xml:space="preserve">indagine </w:t>
      </w:r>
      <w:r w:rsidR="00DC0119" w:rsidRPr="007E485E">
        <w:t>evidenziano come l’esigenza di certezza nelle relazioni internazionali è il principio al quale si ispira la regola che impone di considerare come attribuibile allo Stato la condotta dei propri organi anche nel caso in cui violino le competenze loro assegnate</w:t>
      </w:r>
      <w:r w:rsidR="003E4FD2" w:rsidRPr="007E485E">
        <w:rPr>
          <w:rStyle w:val="Rimandonotaapidipagina"/>
        </w:rPr>
        <w:footnoteReference w:id="499"/>
      </w:r>
      <w:r w:rsidR="00DC0119" w:rsidRPr="007E485E">
        <w:t>.</w:t>
      </w:r>
      <w:r w:rsidR="007E485E" w:rsidRPr="007E485E">
        <w:t xml:space="preserve"> Tale regola ripo</w:t>
      </w:r>
      <w:r w:rsidR="0014133F">
        <w:t>sa sulla considerazione che uno Stato deve</w:t>
      </w:r>
      <w:r w:rsidR="007E485E" w:rsidRPr="007E485E">
        <w:t xml:space="preserve"> poter fare affidam</w:t>
      </w:r>
      <w:r w:rsidR="0014133F">
        <w:t>ento sulle scelte operate da un altro</w:t>
      </w:r>
      <w:r w:rsidR="007E485E" w:rsidRPr="007E485E">
        <w:t xml:space="preserve"> Stato in quanto al modo di essere della propria organizzazione.</w:t>
      </w:r>
      <w:r w:rsidR="007E485E">
        <w:t xml:space="preserve"> </w:t>
      </w:r>
      <w:r w:rsidR="001D5EBE" w:rsidRPr="003E4FD2">
        <w:t xml:space="preserve">Ragioni di sicurezza e stabilità delle relazioni internazionali impongono </w:t>
      </w:r>
      <w:r w:rsidR="007E485E">
        <w:t xml:space="preserve">difatti </w:t>
      </w:r>
      <w:r w:rsidR="001D5EBE" w:rsidRPr="003E4FD2">
        <w:t xml:space="preserve">di considerare come fatti statali </w:t>
      </w:r>
      <w:r w:rsidR="001D5EBE" w:rsidRPr="007E485E">
        <w:t xml:space="preserve">tutti i comportamenti adottati dagli organi nella loro qualità </w:t>
      </w:r>
      <w:r w:rsidR="001D5EBE" w:rsidRPr="00FF06C9">
        <w:t xml:space="preserve">ufficiale, indipendentemente dal rispetto dei limiti della competenza o delle istruzioni ricevute. </w:t>
      </w:r>
      <w:r w:rsidR="00FF06C9" w:rsidRPr="00FF06C9">
        <w:t xml:space="preserve">Lo Stato non può eccepire il mancato rispetto di disposizioni dell’ordinamento interno per sfuggire alla propria responsabilità internazionale, in quanto l’irregolarità di una condotta dal punto di vista interno risulta irrilevante ai fini </w:t>
      </w:r>
      <w:r w:rsidR="00942942">
        <w:t xml:space="preserve">del sorgere della sua responsabilità </w:t>
      </w:r>
      <w:r w:rsidR="00FF06C9" w:rsidRPr="00FF06C9">
        <w:t>nell’ordinamento internazionale</w:t>
      </w:r>
      <w:r w:rsidR="00FF06C9" w:rsidRPr="00FF06C9">
        <w:rPr>
          <w:rStyle w:val="Rimandonotaapidipagina"/>
        </w:rPr>
        <w:footnoteReference w:id="500"/>
      </w:r>
      <w:r w:rsidR="00FF06C9" w:rsidRPr="00FF06C9">
        <w:t>.</w:t>
      </w:r>
      <w:r w:rsidR="00FF06C9">
        <w:t xml:space="preserve"> </w:t>
      </w:r>
    </w:p>
    <w:p w:rsidR="005B4286" w:rsidRDefault="00FF06C9" w:rsidP="003D54BB">
      <w:pPr>
        <w:spacing w:after="0" w:line="360" w:lineRule="auto"/>
        <w:ind w:firstLine="284"/>
        <w:jc w:val="both"/>
      </w:pPr>
      <w:r w:rsidRPr="00FF06C9">
        <w:t xml:space="preserve">Non trovano </w:t>
      </w:r>
      <w:r>
        <w:t xml:space="preserve">alcuna </w:t>
      </w:r>
      <w:r w:rsidRPr="00FF06C9">
        <w:t>conferma nei dati della prassi più recente le tesi che attribuiscono rilevanza esclusiva al diritto interno ai fini della determinazione dei presupposti per riferire un’attività allo Stato</w:t>
      </w:r>
      <w:r w:rsidR="006C39C5">
        <w:t>,</w:t>
      </w:r>
      <w:r w:rsidRPr="00FF06C9">
        <w:t xml:space="preserve"> </w:t>
      </w:r>
      <w:r w:rsidR="0014133F">
        <w:t xml:space="preserve">nel senso che sia </w:t>
      </w:r>
      <w:r w:rsidR="006C39C5">
        <w:t>possibile</w:t>
      </w:r>
      <w:r w:rsidR="0014133F">
        <w:t xml:space="preserve"> considerare</w:t>
      </w:r>
      <w:r w:rsidR="006C39C5">
        <w:t xml:space="preserve"> </w:t>
      </w:r>
      <w:r w:rsidRPr="00FF06C9">
        <w:t>fatti di</w:t>
      </w:r>
      <w:r w:rsidR="0014133F">
        <w:t xml:space="preserve"> quest’ultimo</w:t>
      </w:r>
      <w:r>
        <w:t xml:space="preserve"> solo le condotte tenute da individui o enti che possiedono</w:t>
      </w:r>
      <w:r w:rsidRPr="00BE78C2">
        <w:t xml:space="preserve"> la qualità di organi in base a</w:t>
      </w:r>
      <w:r>
        <w:t>l diritto interno e che agiscono</w:t>
      </w:r>
      <w:r w:rsidR="00DE562F">
        <w:t xml:space="preserve"> </w:t>
      </w:r>
      <w:r w:rsidRPr="00BE78C2">
        <w:t>rispettando le competenze loro conferite dal medesimo ordinamento</w:t>
      </w:r>
      <w:r>
        <w:t>.</w:t>
      </w:r>
      <w:r w:rsidR="006B20B7">
        <w:t xml:space="preserve"> </w:t>
      </w:r>
      <w:r w:rsidR="005B4286">
        <w:t>Se è vero che nelle numerose sentenze recenti in cui si dichiara lo Stato responsabile per fatti compiuti da organi incompetenti non si precisa in genere esplicitamente che ciò avviene perché si considerano tali fatti a</w:t>
      </w:r>
      <w:r w:rsidR="004D6629">
        <w:t>t</w:t>
      </w:r>
      <w:r w:rsidR="005B4286">
        <w:t>tribuibili allo Stato (anche se pare implicito), ci sono anche alcune sentenze in cui lo si indica espressamente.</w:t>
      </w:r>
      <w:r w:rsidR="00566EFF">
        <w:t xml:space="preserve"> Inoltre, </w:t>
      </w:r>
      <w:r w:rsidR="008E671D">
        <w:t xml:space="preserve">quanto alla prese di posizione degli Stati, pare opportuo rilevare come nei commenti da essi </w:t>
      </w:r>
      <w:r w:rsidR="000E7B71">
        <w:t xml:space="preserve">formulati </w:t>
      </w:r>
      <w:r w:rsidR="008E671D">
        <w:t>al progetto di articoli della Commissione del diritto internazionale vi è accordo sulla possibilità di attribuire allo Stato sul piano internazionale fatti tenuti dai suoi organi in violazione del diritto interno.</w:t>
      </w:r>
    </w:p>
    <w:p w:rsidR="00833C65" w:rsidRPr="003E4FD2" w:rsidRDefault="00833C65" w:rsidP="006B20B7">
      <w:pPr>
        <w:spacing w:after="0" w:line="360" w:lineRule="auto"/>
        <w:ind w:firstLine="284"/>
        <w:jc w:val="both"/>
      </w:pPr>
      <w:r>
        <w:t>I dati offerti dalla prassi internazionale</w:t>
      </w:r>
      <w:r w:rsidR="0014133F">
        <w:t xml:space="preserve"> non confortano nemmeno </w:t>
      </w:r>
      <w:r>
        <w:t>la tesi, sostenuta in passato da alcuni autori</w:t>
      </w:r>
      <w:r>
        <w:rPr>
          <w:rStyle w:val="Rimandonotaapidipagina"/>
        </w:rPr>
        <w:footnoteReference w:id="501"/>
      </w:r>
      <w:r>
        <w:t xml:space="preserve">, secondo cui il fondamento della regola che impone di riconoscere come attribuibili allo Stato i fatti </w:t>
      </w:r>
      <w:r w:rsidRPr="007C0525">
        <w:rPr>
          <w:i/>
        </w:rPr>
        <w:t>ultra vires</w:t>
      </w:r>
      <w:r>
        <w:t xml:space="preserve"> dei propri organi risiede nel principio del rinvio all’organizzazione effettiva dello Stato. Alla luce di tale orientamento, l’attribuzione allo Stato dei fatti </w:t>
      </w:r>
      <w:r w:rsidRPr="00D054BC">
        <w:rPr>
          <w:i/>
        </w:rPr>
        <w:t>ultra vires</w:t>
      </w:r>
      <w:r>
        <w:t xml:space="preserve"> dei propri organi doveva essere subordinata alla condizione che questi, pur violando le competenze loro assegnate dal diritto interno, avessero comunque agito in conformità alla ripartizione di competenze che risultava affermarsi in fatto in un dato momento. In base a tale soluzione l’attribuzione di condotte era </w:t>
      </w:r>
      <w:r w:rsidR="008C61E5">
        <w:t xml:space="preserve">inoltre </w:t>
      </w:r>
      <w:r>
        <w:t>condizionata dall’accertare se gli altri organi dello Stato avessero reagito a fronte del mancato rispetto delle competenze da parte dell’organo. I dati della prassi dimostrano invece come lo Stato sia chiamato a rispondere nell’ordinamento internazionale delle condotte degli organi senza che rilevi l’eventuale atteggiamento degli altri organi statali e senza che sia necessario accertare se ci sia stata una modifica fattuale delle competenze dell’organo.</w:t>
      </w:r>
    </w:p>
    <w:p w:rsidR="006B20B7" w:rsidRPr="006B20B7" w:rsidRDefault="008C61E5" w:rsidP="007C0370">
      <w:pPr>
        <w:spacing w:after="0" w:line="360" w:lineRule="auto"/>
        <w:ind w:firstLine="284"/>
        <w:jc w:val="both"/>
      </w:pPr>
      <w:r>
        <w:t>L’esame della prassi ha messo</w:t>
      </w:r>
      <w:r w:rsidR="00A83C39">
        <w:t xml:space="preserve"> quindi </w:t>
      </w:r>
      <w:r>
        <w:t xml:space="preserve">in luce come la regola di attribuzione </w:t>
      </w:r>
      <w:r w:rsidR="0080642A">
        <w:t xml:space="preserve">allo Stato </w:t>
      </w:r>
      <w:r>
        <w:t xml:space="preserve">dei fatti </w:t>
      </w:r>
      <w:r w:rsidRPr="003C505B">
        <w:rPr>
          <w:i/>
        </w:rPr>
        <w:t>ultra vires</w:t>
      </w:r>
      <w:r w:rsidR="009571B3">
        <w:t xml:space="preserve">, lungi dall’ispirarsi </w:t>
      </w:r>
      <w:r>
        <w:t xml:space="preserve">al principio di effettività, </w:t>
      </w:r>
      <w:r w:rsidR="009571B3">
        <w:t xml:space="preserve">risponde invece ad </w:t>
      </w:r>
      <w:r>
        <w:t>esigenze proprie dell’ordinamento internazionale</w:t>
      </w:r>
      <w:r w:rsidR="003C505B">
        <w:t xml:space="preserve"> quali </w:t>
      </w:r>
      <w:r w:rsidR="009571B3">
        <w:t xml:space="preserve">la necessità di garantire </w:t>
      </w:r>
      <w:r w:rsidR="003C505B">
        <w:t>la certezza e la stabilità delle relazioni internazionali</w:t>
      </w:r>
      <w:r w:rsidR="009571B3">
        <w:t>.</w:t>
      </w:r>
      <w:r w:rsidR="007C0370">
        <w:t xml:space="preserve"> </w:t>
      </w:r>
      <w:r w:rsidR="001D5EBE" w:rsidRPr="007E485E">
        <w:t>Nel momento in cui uno Stato, in virtù del proprio ordinamento interno, attribuisce delle funzioni di governo ad un individuo o ente e provvede</w:t>
      </w:r>
      <w:r w:rsidR="0014133F">
        <w:t xml:space="preserve"> ad inserirne le </w:t>
      </w:r>
      <w:r w:rsidR="007C0370">
        <w:t xml:space="preserve">attività nella sua </w:t>
      </w:r>
      <w:r w:rsidR="001D5EBE" w:rsidRPr="007E485E">
        <w:t xml:space="preserve">organizzazione complessiva, crea una situazione tale da indurre gli altri soggetti internazionali a ritenere tale individuo o ente come agente </w:t>
      </w:r>
      <w:r w:rsidR="001D5EBE" w:rsidRPr="006B20B7">
        <w:t xml:space="preserve">per conto dello Stato. </w:t>
      </w:r>
      <w:r w:rsidR="006B20B7" w:rsidRPr="006B20B7">
        <w:t>L’apparenza c</w:t>
      </w:r>
      <w:r w:rsidR="00507B7F">
        <w:t xml:space="preserve">reata dallo Stato attraverso l’attribuzione </w:t>
      </w:r>
      <w:r w:rsidR="006B20B7" w:rsidRPr="006B20B7">
        <w:t xml:space="preserve">della qualità organica prevale sul fatto che la condotta effettivamente tenuta </w:t>
      </w:r>
      <w:r w:rsidR="00170455">
        <w:t xml:space="preserve">dall’organo non rifletta </w:t>
      </w:r>
      <w:r w:rsidR="006B20B7" w:rsidRPr="006B20B7">
        <w:t>delle scelte statali.</w:t>
      </w:r>
    </w:p>
    <w:p w:rsidR="00FF06C9" w:rsidRDefault="007E485E" w:rsidP="00FF06C9">
      <w:pPr>
        <w:spacing w:after="0" w:line="360" w:lineRule="auto"/>
        <w:ind w:firstLine="284"/>
        <w:jc w:val="both"/>
      </w:pPr>
      <w:r w:rsidRPr="007E485E">
        <w:t>A prescindere dalla coincidenza fra l’organizzazione dello Stato quale risulta dal diritto interno e quella effettivamente esistente, l’esigenza di garantire la certezza delle relazioni internazionali impone di tutelare la</w:t>
      </w:r>
      <w:r w:rsidR="00507B7F">
        <w:t xml:space="preserve"> situazione</w:t>
      </w:r>
      <w:r w:rsidRPr="007E485E">
        <w:t xml:space="preserve"> degli Stati che fanno affidamento sui dati ricavabili dall’ordinamento interno</w:t>
      </w:r>
      <w:r>
        <w:t xml:space="preserve"> che,</w:t>
      </w:r>
      <w:r w:rsidR="00150A19" w:rsidRPr="007E485E">
        <w:t xml:space="preserve"> oltre a svolgere un ruolo cruciale nell’indicare il modo di essere dell’organizzazione di governo dello Stato, crea un’apparenza da cui derivano per lo Stato delle consegue</w:t>
      </w:r>
      <w:r w:rsidR="003F137A">
        <w:t>nze</w:t>
      </w:r>
      <w:r w:rsidR="003E4FD2" w:rsidRPr="00150A19">
        <w:t>.</w:t>
      </w:r>
    </w:p>
    <w:p w:rsidR="00B475CB" w:rsidRDefault="00B475CB" w:rsidP="00FF06C9">
      <w:pPr>
        <w:spacing w:after="0" w:line="360" w:lineRule="auto"/>
        <w:ind w:firstLine="284"/>
        <w:jc w:val="both"/>
      </w:pPr>
    </w:p>
    <w:p w:rsidR="00B475CB" w:rsidRDefault="00B475CB" w:rsidP="00B475CB">
      <w:pPr>
        <w:pStyle w:val="Paragrafoelenco"/>
        <w:numPr>
          <w:ilvl w:val="0"/>
          <w:numId w:val="25"/>
        </w:numPr>
        <w:spacing w:after="0" w:line="360" w:lineRule="auto"/>
        <w:jc w:val="both"/>
      </w:pPr>
      <w:r w:rsidRPr="00B475CB">
        <w:t xml:space="preserve">Prospettive </w:t>
      </w:r>
      <w:r w:rsidRPr="00B475CB">
        <w:rPr>
          <w:i/>
        </w:rPr>
        <w:t>de iure condito</w:t>
      </w:r>
      <w:r w:rsidRPr="00B475CB">
        <w:t xml:space="preserve"> e </w:t>
      </w:r>
      <w:r w:rsidRPr="00B475CB">
        <w:rPr>
          <w:i/>
        </w:rPr>
        <w:t>de iure condendo</w:t>
      </w:r>
      <w:r w:rsidRPr="00B475CB">
        <w:t xml:space="preserve">: i limiti della regola che impone di attribuire allo Stato i fatti </w:t>
      </w:r>
      <w:r w:rsidRPr="00A332CF">
        <w:rPr>
          <w:i/>
        </w:rPr>
        <w:t>ultra vires</w:t>
      </w:r>
      <w:r w:rsidRPr="00B475CB">
        <w:t xml:space="preserve"> dei propri organi</w:t>
      </w:r>
      <w:r>
        <w:t xml:space="preserve"> </w:t>
      </w:r>
    </w:p>
    <w:p w:rsidR="00B474D1" w:rsidRDefault="00B474D1" w:rsidP="00B474D1">
      <w:pPr>
        <w:pStyle w:val="Paragrafoelenco"/>
        <w:spacing w:after="0" w:line="360" w:lineRule="auto"/>
        <w:jc w:val="both"/>
      </w:pPr>
    </w:p>
    <w:p w:rsidR="003E2371" w:rsidRPr="00EC65CD" w:rsidRDefault="007A6B01" w:rsidP="001066F4">
      <w:pPr>
        <w:spacing w:after="0" w:line="360" w:lineRule="auto"/>
        <w:ind w:firstLine="709"/>
        <w:jc w:val="both"/>
        <w:rPr>
          <w:i/>
        </w:rPr>
      </w:pPr>
      <w:r>
        <w:t xml:space="preserve">Nonostante </w:t>
      </w:r>
      <w:r w:rsidR="007D509E">
        <w:t xml:space="preserve">esista </w:t>
      </w:r>
      <w:r w:rsidR="001066F4">
        <w:t xml:space="preserve">ormai una vastissima prassi a conferma del fatto </w:t>
      </w:r>
      <w:r>
        <w:rPr>
          <w:rFonts w:cstheme="minorHAnsi"/>
        </w:rPr>
        <w:t>che lo Stato sia tenuto a risponde</w:t>
      </w:r>
      <w:r w:rsidR="001066F4">
        <w:rPr>
          <w:rFonts w:cstheme="minorHAnsi"/>
        </w:rPr>
        <w:t>re in diritto internazionale anche d</w:t>
      </w:r>
      <w:r w:rsidR="006C72CB">
        <w:rPr>
          <w:rFonts w:cstheme="minorHAnsi"/>
        </w:rPr>
        <w:t xml:space="preserve">i </w:t>
      </w:r>
      <w:r>
        <w:rPr>
          <w:rFonts w:cstheme="minorHAnsi"/>
        </w:rPr>
        <w:t xml:space="preserve">comportamenti </w:t>
      </w:r>
      <w:r w:rsidR="008479D4" w:rsidRPr="008479D4">
        <w:rPr>
          <w:rFonts w:cstheme="minorHAnsi"/>
          <w:i/>
        </w:rPr>
        <w:t>ultra vires</w:t>
      </w:r>
      <w:r w:rsidR="008479D4">
        <w:rPr>
          <w:rFonts w:cstheme="minorHAnsi"/>
        </w:rPr>
        <w:t xml:space="preserve"> </w:t>
      </w:r>
      <w:r>
        <w:rPr>
          <w:rFonts w:cstheme="minorHAnsi"/>
        </w:rPr>
        <w:t xml:space="preserve">adottati dai propri organi </w:t>
      </w:r>
      <w:r w:rsidR="008479D4">
        <w:rPr>
          <w:rFonts w:cstheme="minorHAnsi"/>
        </w:rPr>
        <w:t xml:space="preserve">purché </w:t>
      </w:r>
      <w:r>
        <w:rPr>
          <w:rFonts w:cstheme="minorHAnsi"/>
        </w:rPr>
        <w:t xml:space="preserve">abbiano agito </w:t>
      </w:r>
      <w:r w:rsidRPr="00DB19E8">
        <w:rPr>
          <w:rFonts w:cstheme="minorHAnsi"/>
          <w:i/>
        </w:rPr>
        <w:t>ex qualitate</w:t>
      </w:r>
      <w:r>
        <w:rPr>
          <w:rFonts w:cstheme="minorHAnsi"/>
        </w:rPr>
        <w:t>, sembra opportuno chiarire</w:t>
      </w:r>
      <w:r>
        <w:t xml:space="preserve"> </w:t>
      </w:r>
      <w:r w:rsidR="00767933">
        <w:rPr>
          <w:rFonts w:cstheme="minorHAnsi"/>
        </w:rPr>
        <w:t>le precise circostanze in cui sono da attribuire</w:t>
      </w:r>
      <w:r>
        <w:rPr>
          <w:rFonts w:cstheme="minorHAnsi"/>
        </w:rPr>
        <w:t xml:space="preserve"> ad esso</w:t>
      </w:r>
      <w:r w:rsidR="00767933">
        <w:rPr>
          <w:rFonts w:cstheme="minorHAnsi"/>
        </w:rPr>
        <w:t xml:space="preserve"> i fatti </w:t>
      </w:r>
      <w:r w:rsidR="00767933" w:rsidRPr="00AB6E91">
        <w:rPr>
          <w:rFonts w:cstheme="minorHAnsi"/>
          <w:i/>
        </w:rPr>
        <w:t>ultra vires</w:t>
      </w:r>
      <w:r>
        <w:rPr>
          <w:rFonts w:cstheme="minorHAnsi"/>
        </w:rPr>
        <w:t>.</w:t>
      </w:r>
      <w:r w:rsidR="006C72CB">
        <w:t xml:space="preserve"> </w:t>
      </w:r>
      <w:r w:rsidR="008479D4">
        <w:t xml:space="preserve">In altri termini, accertare </w:t>
      </w:r>
      <w:r w:rsidR="00B474D1" w:rsidRPr="00E126EC">
        <w:t>se lo Stato è tenuto a rispondere nell’ordinamento internazionale di tutti i comportamenti tenuti da individui-organi nell’esercizio delle proprie funzioni, ad esclusione naturalmente dei comportamenti adottati da individui-organi nella propria qualità privata, oppure se l’attribuzione ad esso di fatti</w:t>
      </w:r>
      <w:r w:rsidR="00A0580B">
        <w:t xml:space="preserve"> tenuti nella qualità di organi ma</w:t>
      </w:r>
      <w:r w:rsidR="00B474D1" w:rsidRPr="00E126EC">
        <w:t xml:space="preserve"> </w:t>
      </w:r>
      <w:r w:rsidR="00B474D1" w:rsidRPr="00B474D1">
        <w:rPr>
          <w:i/>
        </w:rPr>
        <w:t>ultra vires</w:t>
      </w:r>
      <w:r w:rsidR="00B474D1" w:rsidRPr="00E126EC">
        <w:t xml:space="preserve"> può in alcune circostanze essere esclusa.</w:t>
      </w:r>
      <w:r w:rsidR="003E2371">
        <w:t xml:space="preserve"> </w:t>
      </w:r>
      <w:r w:rsidR="00EC65CD">
        <w:t xml:space="preserve">Come si è visto, infatti, è solo negli ultimi anni che si è venuta affermando la tesi secondo cui la responsabilità dello Stato per i fatti degli organi agenti </w:t>
      </w:r>
      <w:r w:rsidR="00EC65CD" w:rsidRPr="00EC65CD">
        <w:rPr>
          <w:i/>
        </w:rPr>
        <w:t>ex officio</w:t>
      </w:r>
      <w:r w:rsidR="00EC65CD">
        <w:t xml:space="preserve">, anche se </w:t>
      </w:r>
      <w:r w:rsidR="00EC65CD" w:rsidRPr="00EC65CD">
        <w:rPr>
          <w:i/>
        </w:rPr>
        <w:t>ultra vires</w:t>
      </w:r>
      <w:r w:rsidR="00EC65CD">
        <w:t xml:space="preserve">, non subirebbe eccezioni. Anche in una prospettiva </w:t>
      </w:r>
      <w:r w:rsidR="00EC65CD" w:rsidRPr="00EC65CD">
        <w:rPr>
          <w:i/>
        </w:rPr>
        <w:t>de jure condendo</w:t>
      </w:r>
      <w:r w:rsidR="00EC65CD">
        <w:t xml:space="preserve"> appare dunque utile soffermarsi sul punto.</w:t>
      </w:r>
      <w:r w:rsidR="00EC65CD" w:rsidRPr="00EC65CD">
        <w:rPr>
          <w:i/>
        </w:rPr>
        <w:t xml:space="preserve"> </w:t>
      </w:r>
    </w:p>
    <w:p w:rsidR="0072729A" w:rsidRDefault="003E2371" w:rsidP="001854BA">
      <w:pPr>
        <w:spacing w:after="0" w:line="360" w:lineRule="auto"/>
        <w:ind w:firstLine="709"/>
        <w:jc w:val="both"/>
      </w:pPr>
      <w:r w:rsidRPr="00E126EC">
        <w:t>In alcuni casi della prassi</w:t>
      </w:r>
      <w:r w:rsidR="009F4A42">
        <w:t xml:space="preserve"> analizzati</w:t>
      </w:r>
      <w:r w:rsidR="00A04C6C">
        <w:rPr>
          <w:rStyle w:val="Rimandonotaapidipagina"/>
        </w:rPr>
        <w:footnoteReference w:id="502"/>
      </w:r>
      <w:r w:rsidRPr="00E126EC">
        <w:t xml:space="preserve">, il criterio che è stato ritenuto utile al fine di operare una distinzione tra comportamenti </w:t>
      </w:r>
      <w:r w:rsidRPr="00B474D1">
        <w:rPr>
          <w:i/>
        </w:rPr>
        <w:t>ultra vires</w:t>
      </w:r>
      <w:r w:rsidRPr="00E126EC">
        <w:t xml:space="preserve"> attribuibili allo Stato e comportamenti che, al contrario, devono essere assimilati a quelli di semplici privati è la circostanza che la condotta rientri nella competenza generale dell’organo. Secondo tale condizione, lo Stato deve rispondere nell’ordinamento internazionale di tutte le condotte dei propri organi che, pur non avendo nello specifico la competenza ad adottare il comportamento generatore dell’illecito, god</w:t>
      </w:r>
      <w:r w:rsidR="00286DCF">
        <w:t>ono comunque della competenza a tenere</w:t>
      </w:r>
      <w:r w:rsidRPr="00E126EC">
        <w:t xml:space="preserve"> comportamenti dello stesso genere o </w:t>
      </w:r>
      <w:r w:rsidR="00CE3489">
        <w:t xml:space="preserve">della stessa </w:t>
      </w:r>
      <w:r w:rsidRPr="00E126EC">
        <w:t>tipologia</w:t>
      </w:r>
      <w:r w:rsidRPr="00E126EC">
        <w:rPr>
          <w:rStyle w:val="Rimandonotaapidipagina"/>
        </w:rPr>
        <w:footnoteReference w:id="503"/>
      </w:r>
      <w:r>
        <w:t xml:space="preserve">. </w:t>
      </w:r>
      <w:r w:rsidRPr="00E126EC">
        <w:t>La condizione dell</w:t>
      </w:r>
      <w:r>
        <w:t xml:space="preserve">a competenza generale è </w:t>
      </w:r>
      <w:r w:rsidRPr="00E126EC">
        <w:t xml:space="preserve">criticabile </w:t>
      </w:r>
      <w:r w:rsidR="006806E7">
        <w:t xml:space="preserve">a nostro avviso </w:t>
      </w:r>
      <w:r w:rsidRPr="00E126EC">
        <w:t>in quanto eccessivamente imprecisa</w:t>
      </w:r>
      <w:r w:rsidRPr="00E126EC">
        <w:rPr>
          <w:rStyle w:val="Rimandonotaapidipagina"/>
        </w:rPr>
        <w:footnoteReference w:id="504"/>
      </w:r>
      <w:r w:rsidRPr="00E126EC">
        <w:t>. Nella pratica risulta difatti spesso difficile determinare se un organo, nel commettere un fatto illecito, è rimasto nel quadro generale del</w:t>
      </w:r>
      <w:r w:rsidR="006806E7">
        <w:t>le competenze ad esso spettanti. Ad esempio, m</w:t>
      </w:r>
      <w:r w:rsidRPr="00E126EC">
        <w:t xml:space="preserve">entre pare plausibile ritenere che l’attribuzione allo Stato dell’arresto illegale di uno straniero da parte di </w:t>
      </w:r>
      <w:r w:rsidR="00286DCF">
        <w:t>un organo statale</w:t>
      </w:r>
      <w:r w:rsidRPr="00E126EC">
        <w:t xml:space="preserve"> possa avvenire sulla base della circostanza che tale comportamento rientri nel quadro generale delle competenze</w:t>
      </w:r>
      <w:r w:rsidR="00286DCF">
        <w:t xml:space="preserve"> dell’organo</w:t>
      </w:r>
      <w:r w:rsidRPr="00E126EC">
        <w:t xml:space="preserve">, come desumibile dai dati offerti dalla prassi internazionale, sembra invece difficile che la medesima condizione attributiva possa operare nel caso di </w:t>
      </w:r>
      <w:r w:rsidR="000F3E9D">
        <w:t xml:space="preserve">uso di armi da fuoco </w:t>
      </w:r>
      <w:r w:rsidRPr="00E126EC">
        <w:t>da parte delle forze dell’ordine.</w:t>
      </w:r>
    </w:p>
    <w:p w:rsidR="0072729A" w:rsidRPr="00E126EC" w:rsidRDefault="0072729A" w:rsidP="001854BA">
      <w:pPr>
        <w:spacing w:after="0" w:line="360" w:lineRule="auto"/>
        <w:ind w:firstLine="709"/>
        <w:jc w:val="both"/>
      </w:pPr>
      <w:r w:rsidRPr="00E126EC">
        <w:t>In numerosi casi della prassi internazionale</w:t>
      </w:r>
      <w:r w:rsidR="00F94D97">
        <w:rPr>
          <w:rStyle w:val="Rimandonotaapidipagina"/>
        </w:rPr>
        <w:footnoteReference w:id="505"/>
      </w:r>
      <w:r w:rsidRPr="00E126EC">
        <w:t xml:space="preserve">, in cui i fatti </w:t>
      </w:r>
      <w:r w:rsidRPr="00B474D1">
        <w:rPr>
          <w:i/>
        </w:rPr>
        <w:t>ultra vires</w:t>
      </w:r>
      <w:r w:rsidRPr="00E126EC">
        <w:t xml:space="preserve"> adottati dagli organi statali </w:t>
      </w:r>
      <w:r w:rsidR="00420FA2">
        <w:t xml:space="preserve">non </w:t>
      </w:r>
      <w:r w:rsidRPr="00E126EC">
        <w:t xml:space="preserve">potevano sembrare rientrare nel quadro </w:t>
      </w:r>
      <w:r w:rsidR="00420FA2">
        <w:t xml:space="preserve">generale </w:t>
      </w:r>
      <w:r w:rsidRPr="00E126EC">
        <w:t xml:space="preserve">della loro competenza, l’attribuzione dei comportamenti allo Stato è stata fatta dipendere dalla circostanza che il loro compimento era stato reso possibile da un uso abusivo dei mezzi messi loro a disposizione da parte dello Stato per l’esercizio regolare delle funzioni. L’attribuzione allo Stato del fatto illecito </w:t>
      </w:r>
      <w:r w:rsidRPr="00B474D1">
        <w:rPr>
          <w:i/>
        </w:rPr>
        <w:t>ultra vires</w:t>
      </w:r>
      <w:r w:rsidRPr="00E126EC">
        <w:t xml:space="preserve"> veniva infatti giustificata sulla base dell’esistenza di un rapporto tra il comportamento generatore dell’illecito adottato dall’organo e gli strumenti messi lui a disposizione in ragione della funzione svolta</w:t>
      </w:r>
      <w:r w:rsidRPr="00E126EC">
        <w:rPr>
          <w:rStyle w:val="Rimandonotaapidipagina"/>
        </w:rPr>
        <w:footnoteReference w:id="506"/>
      </w:r>
      <w:r w:rsidR="001854BA">
        <w:t xml:space="preserve">. </w:t>
      </w:r>
      <w:r w:rsidRPr="00E126EC">
        <w:t xml:space="preserve">In realtà, nonostante il criterio </w:t>
      </w:r>
      <w:r w:rsidR="00E21524">
        <w:t xml:space="preserve">dell’uso </w:t>
      </w:r>
      <w:r w:rsidRPr="00E126EC">
        <w:t xml:space="preserve">dei mezzi messi a disposizione degli organi </w:t>
      </w:r>
      <w:r w:rsidR="00E21524">
        <w:t xml:space="preserve">per lo svolgimento della funzione ufficiale </w:t>
      </w:r>
      <w:r w:rsidRPr="00E126EC">
        <w:t>sia stato spesso utilizzato nella prassi, esso</w:t>
      </w:r>
      <w:r w:rsidR="00E21524">
        <w:t xml:space="preserve"> non pare convincente</w:t>
      </w:r>
      <w:r w:rsidRPr="00E126EC">
        <w:t xml:space="preserve">. La circostanza che un organo statale abbia commesso un </w:t>
      </w:r>
      <w:r w:rsidR="00286DCF">
        <w:t xml:space="preserve">fatto </w:t>
      </w:r>
      <w:r w:rsidRPr="00B474D1">
        <w:rPr>
          <w:i/>
        </w:rPr>
        <w:t>ultra vires</w:t>
      </w:r>
      <w:r w:rsidRPr="00E126EC">
        <w:t xml:space="preserve"> utili</w:t>
      </w:r>
      <w:r w:rsidR="00286DCF">
        <w:t>zzando dei mezzi messi</w:t>
      </w:r>
      <w:r w:rsidRPr="00E126EC">
        <w:t xml:space="preserve"> a </w:t>
      </w:r>
      <w:r w:rsidR="00286DCF">
        <w:t xml:space="preserve">sua </w:t>
      </w:r>
      <w:r w:rsidRPr="00E126EC">
        <w:t>disposizione dallo Stato per lo svolgimento delle pr</w:t>
      </w:r>
      <w:r w:rsidR="00911867">
        <w:t xml:space="preserve">oprie funzioni non è difatti sufficiente ad </w:t>
      </w:r>
      <w:r w:rsidR="00286DCF">
        <w:t xml:space="preserve">indicare </w:t>
      </w:r>
      <w:r w:rsidRPr="00E126EC">
        <w:t xml:space="preserve">che abbia agito nella propria qualità ufficiale. </w:t>
      </w:r>
      <w:r w:rsidR="009F77D8">
        <w:t>A</w:t>
      </w:r>
      <w:r w:rsidRPr="00E126EC">
        <w:t xml:space="preserve">d esempio, il fatto che un agente di polizia in un attimo di follia spari con l’arma di servizio ad un diplomatico straniero </w:t>
      </w:r>
      <w:r w:rsidR="00911867">
        <w:t xml:space="preserve">in ragione di motivazioni prettamente personali </w:t>
      </w:r>
      <w:r w:rsidRPr="00E126EC">
        <w:t>non può considerarsi un fatto statale compiuto da un organo nell’esercizio delle proprie funzioni, indipendentemente dal fatto che l’omicidio sia avvenuto mediante l’utilizzo di strumenti messi a disposizione dell’organo per lo svolgimento delle sue funzioni.</w:t>
      </w:r>
      <w:r w:rsidR="001854BA">
        <w:t xml:space="preserve"> </w:t>
      </w:r>
      <w:r w:rsidRPr="00E126EC">
        <w:t xml:space="preserve">Un’ulteriore critica che è possibile muovere nei confronti della condizione dei mezzi messi a disposizione dell’organo </w:t>
      </w:r>
      <w:r w:rsidR="00911867">
        <w:t xml:space="preserve">per lo svolgimento della </w:t>
      </w:r>
      <w:r w:rsidRPr="00E126EC">
        <w:t xml:space="preserve">funzione </w:t>
      </w:r>
      <w:r w:rsidR="00911867">
        <w:t xml:space="preserve">ufficiale </w:t>
      </w:r>
      <w:r w:rsidRPr="00E126EC">
        <w:t xml:space="preserve">si basa sulla constatazione che esso trova applicazione esclusivamente rispetto agli illeciti commissivi. Nel caso in cui un poliziotto contravvenga alle istruzioni ricevute omettendo di proteggere un diplomatico, non può certamente dirsi che questo abbia commesso un </w:t>
      </w:r>
      <w:r w:rsidR="00A00B64">
        <w:t xml:space="preserve">fatto </w:t>
      </w:r>
      <w:r w:rsidRPr="00E126EC">
        <w:t>illecito abusando di mezzi messigli a disposizione per lo svolgimento della sua funzione, con la conseguenza che lo Stato non sarebbe tenuto a risponderne nell’ordinamento internazionale.</w:t>
      </w:r>
    </w:p>
    <w:p w:rsidR="00767933" w:rsidRPr="00E126EC" w:rsidRDefault="0072729A" w:rsidP="00E32E37">
      <w:pPr>
        <w:tabs>
          <w:tab w:val="left" w:pos="3165"/>
        </w:tabs>
        <w:spacing w:after="0" w:line="360" w:lineRule="auto"/>
        <w:ind w:firstLine="709"/>
        <w:jc w:val="both"/>
      </w:pPr>
      <w:r w:rsidRPr="00E126EC">
        <w:t xml:space="preserve">Nonostante le imperfezioni derivanti da una rigida applicazione di tale condizione, dalla prassi si desume però che essa può rivestire una qualche rilevanza nei casi in cui gli strumenti della funzione sono la </w:t>
      </w:r>
      <w:r w:rsidRPr="00B474D1">
        <w:rPr>
          <w:i/>
        </w:rPr>
        <w:t>condicio sine qua non</w:t>
      </w:r>
      <w:r w:rsidRPr="00E126EC">
        <w:t xml:space="preserve"> per la rea</w:t>
      </w:r>
      <w:r w:rsidR="009F77D8">
        <w:t xml:space="preserve">lizzazione del fatto illecito. </w:t>
      </w:r>
      <w:r w:rsidRPr="00E126EC">
        <w:t>Se, ad esempio, un pilota militare abbatte un velivolo civile straniero sul territorio del proprio Stato</w:t>
      </w:r>
      <w:r w:rsidR="009704CC">
        <w:rPr>
          <w:rStyle w:val="Rimandonotaapidipagina"/>
        </w:rPr>
        <w:footnoteReference w:id="507"/>
      </w:r>
      <w:r w:rsidRPr="00E126EC">
        <w:t xml:space="preserve"> oppure bombarda il territorio di uno dei paesi limitrofi</w:t>
      </w:r>
      <w:r w:rsidR="00AD0EE2">
        <w:rPr>
          <w:rStyle w:val="Rimandonotaapidipagina"/>
        </w:rPr>
        <w:footnoteReference w:id="508"/>
      </w:r>
      <w:r w:rsidRPr="00E126EC">
        <w:t xml:space="preserve">, sembra ragionevole ritenere che lo Stato di cui l’organo è parte non potrà negare la propria responsabilità internazionale, neanche nell’ipotesi in cui </w:t>
      </w:r>
      <w:r w:rsidR="0020190D">
        <w:t xml:space="preserve">il pilota </w:t>
      </w:r>
      <w:r w:rsidRPr="00E126EC">
        <w:t>abbia disatteso le istruzioni ricevute oppure dei regolamenti interni.</w:t>
      </w:r>
      <w:r w:rsidR="009F77D8">
        <w:t xml:space="preserve"> </w:t>
      </w:r>
      <w:r w:rsidR="00F07B21">
        <w:t>I dati della prassi dimostra</w:t>
      </w:r>
      <w:r w:rsidR="00491BA5">
        <w:t>n</w:t>
      </w:r>
      <w:r w:rsidR="00F07B21">
        <w:t>o come l</w:t>
      </w:r>
      <w:r w:rsidRPr="00E126EC">
        <w:t xml:space="preserve">a necessità di garantire la sicurezza delle relazioni internazionali impone allo Stato in tali circostanze di rispondere sul piano internazionale di tali fatti illeciti </w:t>
      </w:r>
      <w:r w:rsidRPr="00B474D1">
        <w:rPr>
          <w:i/>
        </w:rPr>
        <w:t>ultra vires</w:t>
      </w:r>
      <w:r w:rsidRPr="00E126EC">
        <w:t>, in quanto la loro realizzazione è stata possibile soltanto in virtù della scelta degli organi da esso operata e dell’aver loro fornito i mezzi necessari per lo svolgimento delle proprie funzioni.</w:t>
      </w:r>
    </w:p>
    <w:p w:rsidR="00B474D1" w:rsidRPr="00E126EC" w:rsidRDefault="00B474D1" w:rsidP="00BB3714">
      <w:pPr>
        <w:spacing w:after="0" w:line="360" w:lineRule="auto"/>
        <w:ind w:firstLine="709"/>
        <w:jc w:val="both"/>
      </w:pPr>
      <w:r w:rsidRPr="00E126EC">
        <w:t xml:space="preserve">Nella prassi internazionale la condizione maggiormente citata dagli interpreti al fine di giustificare la riferibilità allo Stato di condotte </w:t>
      </w:r>
      <w:r w:rsidRPr="00B474D1">
        <w:rPr>
          <w:i/>
        </w:rPr>
        <w:t>ultra vires</w:t>
      </w:r>
      <w:r w:rsidRPr="00E126EC">
        <w:t xml:space="preserve"> dei propri organi è</w:t>
      </w:r>
      <w:r w:rsidR="00E32E37">
        <w:t xml:space="preserve"> indubbiamente</w:t>
      </w:r>
      <w:r w:rsidRPr="00E126EC">
        <w:t xml:space="preserve"> il criterio dell’apparenza della funzione</w:t>
      </w:r>
      <w:r w:rsidR="00286DCF">
        <w:t>,</w:t>
      </w:r>
      <w:r w:rsidRPr="00E126EC">
        <w:t xml:space="preserve"> secondo cui possono essere considerati fatti dello Stato quale soggetto internazionale i comportamenti di un organo che appaiono</w:t>
      </w:r>
      <w:r w:rsidR="009932EB">
        <w:t xml:space="preserve"> </w:t>
      </w:r>
      <w:r w:rsidRPr="00E126EC">
        <w:t>come tenuti nella propria qualità ufficiale</w:t>
      </w:r>
      <w:r w:rsidR="009932EB">
        <w:rPr>
          <w:rStyle w:val="Rimandonotaapidipagina"/>
        </w:rPr>
        <w:footnoteReference w:id="509"/>
      </w:r>
      <w:r w:rsidRPr="00E126EC">
        <w:t>. Si tratta cioè di quelle condotte che, nonostante il reale superamento dei limiti della funzione, appaiono come tenuti dall’organo nel rispetto della competenza</w:t>
      </w:r>
      <w:r w:rsidRPr="00E126EC">
        <w:rPr>
          <w:rStyle w:val="Rimandonotaapidipagina"/>
        </w:rPr>
        <w:footnoteReference w:id="510"/>
      </w:r>
      <w:r w:rsidR="001854BA">
        <w:t xml:space="preserve">. </w:t>
      </w:r>
      <w:r w:rsidR="007A37DA">
        <w:t>Nella prassi meno recente l</w:t>
      </w:r>
      <w:r w:rsidRPr="00E126EC">
        <w:t>a condizione attributiva dell’apparenza della f</w:t>
      </w:r>
      <w:r w:rsidR="005F289E">
        <w:t>unzione si caratterizza però</w:t>
      </w:r>
      <w:r w:rsidRPr="00E126EC">
        <w:t xml:space="preserve"> nel dare particolare rilievo al punto di vista della vitti</w:t>
      </w:r>
      <w:r w:rsidR="0020190D">
        <w:t xml:space="preserve">ma </w:t>
      </w:r>
      <w:r w:rsidRPr="00E126EC">
        <w:t xml:space="preserve">al momento del compimento del fatto illecito, </w:t>
      </w:r>
      <w:r w:rsidR="0020190D">
        <w:t xml:space="preserve">nel senso che lo Stato dovrebbe rispondere dei comportamenti </w:t>
      </w:r>
      <w:r w:rsidR="0020190D" w:rsidRPr="0020190D">
        <w:rPr>
          <w:i/>
        </w:rPr>
        <w:t>ultra vires</w:t>
      </w:r>
      <w:r w:rsidR="0020190D">
        <w:t xml:space="preserve"> tenuti dai suoi organi se la vittima, al momento del compimento del fatto illecito, poteva in buona fede ritenere che l’organo agisse nell’</w:t>
      </w:r>
      <w:r w:rsidR="00BB3714">
        <w:t>ambito della su</w:t>
      </w:r>
      <w:r w:rsidR="007251C1">
        <w:t>a</w:t>
      </w:r>
      <w:r w:rsidR="00BB3714">
        <w:t xml:space="preserve"> competenza</w:t>
      </w:r>
      <w:r w:rsidRPr="00E126EC">
        <w:rPr>
          <w:rStyle w:val="Rimandonotaapidipagina"/>
        </w:rPr>
        <w:footnoteReference w:id="511"/>
      </w:r>
      <w:r w:rsidRPr="00E126EC">
        <w:t xml:space="preserve">. </w:t>
      </w:r>
    </w:p>
    <w:p w:rsidR="00A07689" w:rsidRDefault="00B474D1" w:rsidP="003D54BB">
      <w:pPr>
        <w:spacing w:after="0" w:line="360" w:lineRule="auto"/>
        <w:ind w:firstLine="709"/>
        <w:jc w:val="both"/>
      </w:pPr>
      <w:r w:rsidRPr="00E126EC">
        <w:t xml:space="preserve">Il logico corollario della condizione attributiva dell’apparenza della funzione prevede che lo Stato non debba rispondere sul piano internazionale delle condotte </w:t>
      </w:r>
      <w:r w:rsidRPr="00B474D1">
        <w:rPr>
          <w:i/>
        </w:rPr>
        <w:t>ultra vires</w:t>
      </w:r>
      <w:r w:rsidRPr="00E126EC">
        <w:t xml:space="preserve"> dei propri organi nel caso in cui la loro incompetenza è a tal punto manifesta da risultare incont</w:t>
      </w:r>
      <w:r w:rsidR="003D54BB">
        <w:t>rovertibile agli occhi del privato vittima</w:t>
      </w:r>
      <w:r w:rsidRPr="00E126EC">
        <w:rPr>
          <w:rStyle w:val="Rimandonotaapidipagina"/>
        </w:rPr>
        <w:footnoteReference w:id="512"/>
      </w:r>
      <w:r w:rsidR="009932EB">
        <w:t xml:space="preserve">. </w:t>
      </w:r>
    </w:p>
    <w:p w:rsidR="00B474D1" w:rsidRPr="00E126EC" w:rsidRDefault="00B474D1" w:rsidP="009932EB">
      <w:pPr>
        <w:spacing w:after="0" w:line="360" w:lineRule="auto"/>
        <w:ind w:firstLine="709"/>
        <w:jc w:val="both"/>
      </w:pPr>
      <w:r w:rsidRPr="00E126EC">
        <w:t>Secondo tale schema concettuale, la responsabilità dello Stato per i fatti dei propri organi sarebbe esclusa sia nel</w:t>
      </w:r>
      <w:r w:rsidR="009932EB">
        <w:t xml:space="preserve"> caso in cui un organo adotti</w:t>
      </w:r>
      <w:r w:rsidRPr="00E126EC">
        <w:t xml:space="preserve"> un comportamento totalmente privo di legame con le funzioni lui assegnate, va</w:t>
      </w:r>
      <w:r w:rsidR="009932EB">
        <w:t>le a dire nel caso in cui agisca</w:t>
      </w:r>
      <w:r w:rsidRPr="00E126EC">
        <w:t xml:space="preserve"> nella propria capacità privata, </w:t>
      </w:r>
      <w:r w:rsidR="009932EB">
        <w:t>sia nel caso in cui esso tenga</w:t>
      </w:r>
      <w:r w:rsidRPr="00E126EC">
        <w:t xml:space="preserve"> una condotta completamente estranea alla propria competenza, pur agendo nell’esercizio delle funzioni</w:t>
      </w:r>
      <w:r w:rsidRPr="00E126EC">
        <w:rPr>
          <w:rStyle w:val="Rimandonotaapidipagina"/>
        </w:rPr>
        <w:footnoteReference w:id="513"/>
      </w:r>
      <w:r w:rsidRPr="00E126EC">
        <w:t>.</w:t>
      </w:r>
    </w:p>
    <w:p w:rsidR="00B474D1" w:rsidRPr="00E126EC" w:rsidRDefault="00B474D1" w:rsidP="009932EB">
      <w:pPr>
        <w:spacing w:after="0" w:line="360" w:lineRule="auto"/>
        <w:ind w:firstLine="709"/>
        <w:jc w:val="both"/>
      </w:pPr>
      <w:r w:rsidRPr="00E126EC">
        <w:t>Fondandosi su considerazioni prettamente soggettive, in quanto l’attribuzione di una determinata condotta allo Stato viene fatta unicamente dipendere dalla circostanza che un terzo non poteva plausibilmente rendersi conto del mancato rispetto della competenza, tali criteri</w:t>
      </w:r>
      <w:r w:rsidR="009932EB">
        <w:t xml:space="preserve"> paiono ampiamente criticabili. </w:t>
      </w:r>
      <w:r w:rsidRPr="00E126EC">
        <w:t>Risulta difatti assai difficoltoso stabilire se un determinato comportamento poteva apparire o meno alla vittima come effettivamente tenuto da un organo nell’ambito delle sue reali funzioni</w:t>
      </w:r>
      <w:r w:rsidRPr="00E126EC">
        <w:rPr>
          <w:rStyle w:val="Rimandonotaapidipagina"/>
        </w:rPr>
        <w:footnoteReference w:id="514"/>
      </w:r>
      <w:r w:rsidRPr="00E126EC">
        <w:t xml:space="preserve">. L’applicazione delle suddette condizioni attributive risulta difatti legata alla determinazione delle circostanze del singolo caso di specie e della conoscenza delle reali competenze dell’individuo-organo agente da parte </w:t>
      </w:r>
      <w:r w:rsidRPr="003D54BB">
        <w:t>del</w:t>
      </w:r>
      <w:r w:rsidR="007251C1">
        <w:t xml:space="preserve"> privato vittima</w:t>
      </w:r>
      <w:r w:rsidRPr="003D54BB">
        <w:t>. Nella pratica sarebbe quindi necessario basarsi su un elemento soggettivo, quale la valutazione del livello di conoscenza dei limiti della competenza degli organi statali da parte del terzo leso, al fine di determinare se una condotta può essere riferita allo Stato sul piano internazionale</w:t>
      </w:r>
      <w:r w:rsidRPr="00E126EC">
        <w:t>.</w:t>
      </w:r>
    </w:p>
    <w:p w:rsidR="00B474D1" w:rsidRDefault="00B474D1" w:rsidP="001854BA">
      <w:pPr>
        <w:spacing w:after="0" w:line="360" w:lineRule="auto"/>
        <w:ind w:firstLine="709"/>
        <w:jc w:val="both"/>
      </w:pPr>
      <w:r w:rsidRPr="00E126EC">
        <w:t xml:space="preserve">Nonostante sia stata citata più volte nella prassi, una tale limitazione al principio dell’attribuzione allo Stato dei fatti </w:t>
      </w:r>
      <w:r w:rsidRPr="00B474D1">
        <w:rPr>
          <w:i/>
        </w:rPr>
        <w:t>ultra vires</w:t>
      </w:r>
      <w:r w:rsidRPr="00E126EC">
        <w:t xml:space="preserve"> dei propri organi comporterebbe il rischio che gli Stati se ne avvalgano al fine di sfuggire alla propria responsabilità internazionale. Essi potrebbero difatti negare che un fatto sia loro riferibile sul piano internazionale in ragione della circostanza che nel caso di specie l’organo aveva ecceduto la propria competenza in maniera manifesta ed evidente. Una tale limitazione al principio dell’attribuzione allo Stato dei fatti </w:t>
      </w:r>
      <w:r w:rsidRPr="00B474D1">
        <w:rPr>
          <w:i/>
        </w:rPr>
        <w:t>ultra vires</w:t>
      </w:r>
      <w:r w:rsidRPr="00E126EC">
        <w:t xml:space="preserve"> dei propri organi finirebbe difatti per fornire agli Stati una scappatoia con riferimento alla violazione di obblighi </w:t>
      </w:r>
      <w:r w:rsidR="001854BA">
        <w:t>int</w:t>
      </w:r>
      <w:r w:rsidR="00286DCF">
        <w:t>ernazionali</w:t>
      </w:r>
      <w:r w:rsidR="001854BA">
        <w:t xml:space="preserve">. </w:t>
      </w:r>
      <w:r w:rsidRPr="00E126EC">
        <w:t>Esigenze di sicurezza delle relazioni internazionali imporrebbero invece di riconoscere che uno Stato ha agito sul piano internazionale ogniqualvolta persone o enti incaricati di agire per suo conto adottano dei comportamenti in suo nome, senza che abbia alcuna importanza il fatto che non abbiano rispettato i limiti formali della propria competenza, abbiano violato disposizioni del diritto interno oppure abbiano contravvenuto alle istruzion</w:t>
      </w:r>
      <w:r w:rsidR="009932EB">
        <w:t>i loro impartite dai superiori.</w:t>
      </w:r>
      <w:r w:rsidR="00491BA5">
        <w:t xml:space="preserve"> </w:t>
      </w:r>
      <w:r w:rsidRPr="00E126EC">
        <w:t xml:space="preserve">Far dipendere l’attribuzione allo Stato di un comportamento </w:t>
      </w:r>
      <w:r w:rsidRPr="00B474D1">
        <w:rPr>
          <w:i/>
        </w:rPr>
        <w:t>ultra vires</w:t>
      </w:r>
      <w:r w:rsidRPr="00E126EC">
        <w:t xml:space="preserve"> di un proprio </w:t>
      </w:r>
      <w:r w:rsidR="007251C1">
        <w:t xml:space="preserve">organo dalla circostanza che la vittima </w:t>
      </w:r>
      <w:r w:rsidRPr="00E126EC">
        <w:t xml:space="preserve">avrebbe ragionevolmente potuto rendersi conto della sua incompetenza, fa pervenire inoltre ad un risultato contrario all’equità in quanto il terzo, pur rendendosi conto della natura </w:t>
      </w:r>
      <w:r w:rsidRPr="00B474D1">
        <w:rPr>
          <w:i/>
        </w:rPr>
        <w:t>ultra vires</w:t>
      </w:r>
      <w:r w:rsidRPr="00E126EC">
        <w:t xml:space="preserve"> di un dato comportamento, poteva in una data circostanza non avere </w:t>
      </w:r>
      <w:r w:rsidR="00A00B64">
        <w:t xml:space="preserve">la possibilità di sottrarsi al fatto </w:t>
      </w:r>
      <w:r w:rsidRPr="00E126EC">
        <w:t>illecito a causa dell’uso dei mezzi messi a disposizione dell’organo in virtù della funzione svolta.</w:t>
      </w:r>
    </w:p>
    <w:p w:rsidR="003D54BB" w:rsidRDefault="00360BAA" w:rsidP="003D54BB">
      <w:pPr>
        <w:spacing w:after="0" w:line="360" w:lineRule="auto"/>
        <w:ind w:firstLine="284"/>
        <w:jc w:val="both"/>
      </w:pPr>
      <w:r>
        <w:t xml:space="preserve">Pur trovando riscontro </w:t>
      </w:r>
      <w:r w:rsidRPr="00084967">
        <w:t>esclusivamente nella prassi in tema di danni provocati alla per</w:t>
      </w:r>
      <w:r>
        <w:t>sona o ai beni degli stranieri, l</w:t>
      </w:r>
      <w:r w:rsidR="00E804D2">
        <w:t>’</w:t>
      </w:r>
      <w:r w:rsidR="00BC46BA">
        <w:t xml:space="preserve">incompetenza manifesta </w:t>
      </w:r>
      <w:r w:rsidR="00E804D2">
        <w:t xml:space="preserve">era stata individuata come limitazione </w:t>
      </w:r>
      <w:r w:rsidR="0053322C">
        <w:t>al principio generale</w:t>
      </w:r>
      <w:r w:rsidR="00BC46BA">
        <w:t xml:space="preserve"> di attribuzione allo Stato dei fatti </w:t>
      </w:r>
      <w:r w:rsidR="00BC46BA" w:rsidRPr="00BC46BA">
        <w:rPr>
          <w:i/>
        </w:rPr>
        <w:t>ultra vires</w:t>
      </w:r>
      <w:r w:rsidR="0053322C">
        <w:t xml:space="preserve"> </w:t>
      </w:r>
      <w:r w:rsidR="00E804D2">
        <w:t>anche da Ago, in qualità di relatore speciale per il tema della responsabilità internazionale dello Stato</w:t>
      </w:r>
      <w:r w:rsidR="008327F8">
        <w:t xml:space="preserve"> in seno alla CDI</w:t>
      </w:r>
      <w:r w:rsidR="00E804D2">
        <w:rPr>
          <w:rStyle w:val="Rimandonotaapidipagina"/>
        </w:rPr>
        <w:footnoteReference w:id="515"/>
      </w:r>
      <w:r w:rsidR="00752227">
        <w:t>,</w:t>
      </w:r>
      <w:r w:rsidR="00824D6F">
        <w:t xml:space="preserve"> avuto rigurdo </w:t>
      </w:r>
      <w:r w:rsidR="00752227">
        <w:t xml:space="preserve">però </w:t>
      </w:r>
      <w:r w:rsidR="00824D6F">
        <w:t>non ad una incompetenza</w:t>
      </w:r>
      <w:r w:rsidR="00752227">
        <w:t xml:space="preserve"> che sia manifesta alla vittima, bensì </w:t>
      </w:r>
      <w:r w:rsidR="00824D6F">
        <w:t xml:space="preserve">a chi è chiamato sul piano internazionale a decidere se vi sia responsabilità dello Stato. </w:t>
      </w:r>
      <w:r>
        <w:t>A</w:t>
      </w:r>
      <w:r w:rsidR="00E804D2">
        <w:t xml:space="preserve"> </w:t>
      </w:r>
      <w:r w:rsidR="00E804D2" w:rsidRPr="002C5A1B">
        <w:t xml:space="preserve">seguito delle numerose critiche mosse da alcuni membri della Commissione </w:t>
      </w:r>
      <w:r w:rsidR="00D84BFA">
        <w:t xml:space="preserve">circa la l’opportunità di codificare </w:t>
      </w:r>
      <w:r>
        <w:t xml:space="preserve">tale </w:t>
      </w:r>
      <w:r w:rsidR="00E804D2" w:rsidRPr="002C5A1B">
        <w:t xml:space="preserve">limite </w:t>
      </w:r>
      <w:r w:rsidR="00D84BFA">
        <w:t>e per</w:t>
      </w:r>
      <w:r w:rsidR="00E804D2">
        <w:t xml:space="preserve"> </w:t>
      </w:r>
      <w:r w:rsidR="00E804D2" w:rsidRPr="002C5A1B">
        <w:t>dare voce a “</w:t>
      </w:r>
      <w:r w:rsidR="00E804D2" w:rsidRPr="002C5A1B">
        <w:rPr>
          <w:i/>
        </w:rPr>
        <w:t>l’aboutissement du long effort qui a marqué l’évolution progressive du droit international en la matière</w:t>
      </w:r>
      <w:r w:rsidR="00E804D2" w:rsidRPr="002C5A1B">
        <w:t>”</w:t>
      </w:r>
      <w:r w:rsidR="00E804D2" w:rsidRPr="002C5A1B">
        <w:rPr>
          <w:rStyle w:val="Rimandonotaapidipagina"/>
        </w:rPr>
        <w:footnoteReference w:id="516"/>
      </w:r>
      <w:r w:rsidR="00E804D2" w:rsidRPr="002C5A1B">
        <w:t xml:space="preserve">, </w:t>
      </w:r>
      <w:r w:rsidR="001854BA">
        <w:t xml:space="preserve">il relatore </w:t>
      </w:r>
      <w:r w:rsidR="00D84BFA">
        <w:t>ha deciso di</w:t>
      </w:r>
      <w:r w:rsidR="00E804D2" w:rsidRPr="002C5A1B">
        <w:t xml:space="preserve"> </w:t>
      </w:r>
      <w:r w:rsidR="00D84BFA">
        <w:t>ri</w:t>
      </w:r>
      <w:r w:rsidR="00A04F2D">
        <w:t xml:space="preserve">formulare </w:t>
      </w:r>
      <w:r w:rsidR="00D84BFA">
        <w:t>l’articolo in termini di attribuzione allo Stato senza eccezioni del fatto compiuto da un organo dello Stato agente nella sua qualità di organo ed è con tale formulazione che l’</w:t>
      </w:r>
      <w:r w:rsidR="00752227">
        <w:t>articolo è stato</w:t>
      </w:r>
      <w:r w:rsidR="00D84BFA">
        <w:t xml:space="preserve"> adottato in prima lettura dalla Commissione del diritto internazionale nel 1975.</w:t>
      </w:r>
    </w:p>
    <w:p w:rsidR="00E804D2" w:rsidRDefault="00360BAA" w:rsidP="003D54BB">
      <w:pPr>
        <w:spacing w:after="0" w:line="360" w:lineRule="auto"/>
        <w:ind w:firstLine="284"/>
        <w:jc w:val="both"/>
      </w:pPr>
      <w:r>
        <w:t>Parimenti, n</w:t>
      </w:r>
      <w:r w:rsidR="00E804D2" w:rsidRPr="002C5A1B">
        <w:t xml:space="preserve">el progetto di articoli adottato in seconda lettura dalla Commissione del diritto internazionale, l’art. 7 riconosce in termini assoluti il principio dell’attribuzione allo Stato dei comportamenti </w:t>
      </w:r>
      <w:r w:rsidR="00E804D2" w:rsidRPr="002C5A1B">
        <w:rPr>
          <w:i/>
        </w:rPr>
        <w:t>ultra vires</w:t>
      </w:r>
      <w:r w:rsidR="001854BA">
        <w:t xml:space="preserve"> dei propri organi, a patto </w:t>
      </w:r>
      <w:r w:rsidR="00E804D2" w:rsidRPr="002C5A1B">
        <w:t xml:space="preserve">che </w:t>
      </w:r>
      <w:r w:rsidR="001854BA">
        <w:t xml:space="preserve">però </w:t>
      </w:r>
      <w:r w:rsidR="00E804D2" w:rsidRPr="002C5A1B">
        <w:t>questi abbiano agito nella loro qualità ufficiale</w:t>
      </w:r>
      <w:r w:rsidR="00E804D2" w:rsidRPr="002C5A1B">
        <w:rPr>
          <w:rStyle w:val="Rimandonotaapidipagina"/>
        </w:rPr>
        <w:footnoteReference w:id="517"/>
      </w:r>
      <w:r w:rsidR="00E804D2" w:rsidRPr="002C5A1B">
        <w:t>.</w:t>
      </w:r>
    </w:p>
    <w:p w:rsidR="006630BB" w:rsidRDefault="006630BB" w:rsidP="006630BB">
      <w:pPr>
        <w:spacing w:after="0" w:line="360" w:lineRule="auto"/>
        <w:ind w:firstLine="709"/>
        <w:jc w:val="both"/>
      </w:pPr>
      <w:r>
        <w:t xml:space="preserve">Nella prassi e nella giurisprudenza internazionali recenti si è assistito ad un allineamento con il progetto di articoli adottato dalla Commissione del diritto internazionale alla luce del riconoscimento in termini assoluti del principio dell’attribuzione allo Stato dei fatti </w:t>
      </w:r>
      <w:r w:rsidRPr="006630BB">
        <w:rPr>
          <w:i/>
        </w:rPr>
        <w:t>ultra vires</w:t>
      </w:r>
      <w:r>
        <w:t>. I</w:t>
      </w:r>
      <w:r w:rsidRPr="00E126EC">
        <w:t xml:space="preserve"> dati forniti dalla prassi internazionale dimostrano</w:t>
      </w:r>
      <w:r>
        <w:t xml:space="preserve"> infatti</w:t>
      </w:r>
      <w:r w:rsidRPr="00E126EC">
        <w:t xml:space="preserve"> l</w:t>
      </w:r>
      <w:r>
        <w:t>’esistenza</w:t>
      </w:r>
      <w:r w:rsidRPr="00E126EC">
        <w:t xml:space="preserve"> di </w:t>
      </w:r>
      <w:r>
        <w:t xml:space="preserve">un principio di natura consuetudinaria </w:t>
      </w:r>
      <w:r w:rsidRPr="00E126EC">
        <w:t>che riconosce la responsabilità internazionale dello Stato per i fatti illeciti tenuti nel mancato rispetto della propria competenza o delle istruzioni ricevute da parte di individui o enti integrati nel suo apparato statale, sulla base del presupposto che si tratti di comportamenti ad esso attribuibili nell’ordinamento internazionale.</w:t>
      </w:r>
      <w:r>
        <w:t xml:space="preserve"> </w:t>
      </w:r>
    </w:p>
    <w:p w:rsidR="006630BB" w:rsidRDefault="006630BB" w:rsidP="00F521B9">
      <w:pPr>
        <w:spacing w:after="0" w:line="360" w:lineRule="auto"/>
        <w:ind w:firstLine="709"/>
        <w:jc w:val="both"/>
      </w:pPr>
      <w:r w:rsidRPr="005C17AE">
        <w:t>L’aver agito in qualità ufficiale o nell’esercizio delle pr</w:t>
      </w:r>
      <w:r>
        <w:t xml:space="preserve">oprie funzioni </w:t>
      </w:r>
      <w:r w:rsidR="00FE1801">
        <w:t xml:space="preserve">viene reputato </w:t>
      </w:r>
      <w:r w:rsidRPr="00716747">
        <w:t>l’unico criterio in grado di distinguere</w:t>
      </w:r>
      <w:r>
        <w:t>,</w:t>
      </w:r>
      <w:r w:rsidRPr="00716747">
        <w:t xml:space="preserve"> </w:t>
      </w:r>
      <w:r>
        <w:t xml:space="preserve">tra i vari comportamenti adottati da un individuo o ente che gode dello </w:t>
      </w:r>
      <w:r w:rsidRPr="00716747">
        <w:rPr>
          <w:i/>
        </w:rPr>
        <w:t xml:space="preserve">status </w:t>
      </w:r>
      <w:r>
        <w:t>organico, quali devono essere considerati fatti attribuibili allo Stato e quali possono invece essere assimilati a fatti di semplici privati.</w:t>
      </w:r>
      <w:r w:rsidR="00FE1801">
        <w:t xml:space="preserve"> </w:t>
      </w:r>
      <w:r w:rsidR="00752227">
        <w:t xml:space="preserve">Lo Stato non è </w:t>
      </w:r>
      <w:r w:rsidRPr="00E126EC">
        <w:t xml:space="preserve">tenuto a rispondere in ambito internazionale dei comportamenti </w:t>
      </w:r>
      <w:r w:rsidR="00FE1801">
        <w:t xml:space="preserve">di </w:t>
      </w:r>
      <w:r w:rsidRPr="00E126EC">
        <w:t xml:space="preserve">un organo </w:t>
      </w:r>
      <w:r w:rsidR="00FE1801">
        <w:t xml:space="preserve">solo se tenuti </w:t>
      </w:r>
      <w:r w:rsidRPr="00E126EC">
        <w:t>nella sua qualità privata, non esistendo alcun tipo di legame tra la condotta e la funzione ufficiale da esso svolta. In tale circostanza la sua responsabilità internazionale può sorgere esclusivamente in caso di un eventuale mancato adempimento ad un obbligo di prevenzione o repressione del fatto</w:t>
      </w:r>
      <w:r w:rsidR="00752227">
        <w:t xml:space="preserve"> dell’organo incompetente</w:t>
      </w:r>
      <w:r w:rsidRPr="00E126EC">
        <w:t xml:space="preserve"> da parte di ulteriori organi, cioè per il mancato rispetto di un proprio obbligo di diligenza.</w:t>
      </w:r>
      <w:r w:rsidR="00C62B9C">
        <w:t xml:space="preserve"> </w:t>
      </w:r>
      <w:r w:rsidR="00A04F2D">
        <w:t>L</w:t>
      </w:r>
      <w:r w:rsidR="00C62B9C">
        <w:rPr>
          <w:rFonts w:cstheme="minorHAnsi"/>
        </w:rPr>
        <w:t xml:space="preserve">a condizione attributiva dell’apparenza </w:t>
      </w:r>
      <w:r w:rsidR="00A04F2D">
        <w:rPr>
          <w:rFonts w:cstheme="minorHAnsi"/>
        </w:rPr>
        <w:t xml:space="preserve">della funzione sembra </w:t>
      </w:r>
      <w:r w:rsidR="00C62B9C">
        <w:rPr>
          <w:rFonts w:cstheme="minorHAnsi"/>
        </w:rPr>
        <w:t xml:space="preserve">assumere una nuova connotazione: non più intesa come possibilità per il terzo </w:t>
      </w:r>
      <w:r w:rsidR="00752227">
        <w:rPr>
          <w:rFonts w:cstheme="minorHAnsi"/>
        </w:rPr>
        <w:t xml:space="preserve">vittima </w:t>
      </w:r>
      <w:r w:rsidR="00C62B9C">
        <w:rPr>
          <w:rFonts w:cstheme="minorHAnsi"/>
        </w:rPr>
        <w:t>di rendersi plausibilmente conto dell’incompetenza con cui un organo agisce,</w:t>
      </w:r>
      <w:r w:rsidR="00A04F2D">
        <w:rPr>
          <w:rFonts w:cstheme="minorHAnsi"/>
        </w:rPr>
        <w:t xml:space="preserve"> essa</w:t>
      </w:r>
      <w:r w:rsidR="00C62B9C">
        <w:rPr>
          <w:rFonts w:cstheme="minorHAnsi"/>
        </w:rPr>
        <w:t xml:space="preserve"> deve essere piuttosto interpretata come la necessaria esistenza di un collegamento fra la condotta tenuta e l’attività ufficiale normalmente svolta ai fini di considerare un fatto di un organo attribuibile allo Stato.</w:t>
      </w:r>
    </w:p>
    <w:p w:rsidR="00F521B9" w:rsidRDefault="00F521B9" w:rsidP="008327F8">
      <w:pPr>
        <w:spacing w:after="0" w:line="360" w:lineRule="auto"/>
        <w:ind w:firstLine="284"/>
        <w:jc w:val="both"/>
      </w:pPr>
      <w:r>
        <w:t>Innegabilmente i</w:t>
      </w:r>
      <w:r w:rsidR="00E804D2" w:rsidRPr="002C5A1B">
        <w:t xml:space="preserve">l principale inconveniente della formulazione </w:t>
      </w:r>
      <w:r>
        <w:t xml:space="preserve">in termini assoluti del principio dell’attribuzione allo Stato dei fatti </w:t>
      </w:r>
      <w:r w:rsidRPr="006630BB">
        <w:rPr>
          <w:i/>
        </w:rPr>
        <w:t>ultra vires</w:t>
      </w:r>
      <w:r w:rsidRPr="002C5A1B">
        <w:t xml:space="preserve"> </w:t>
      </w:r>
      <w:r w:rsidR="007251C1">
        <w:t>risiede nel</w:t>
      </w:r>
      <w:r w:rsidR="00752227">
        <w:t xml:space="preserve"> non indicare con precisione </w:t>
      </w:r>
      <w:r w:rsidR="00E804D2">
        <w:t>gli elementi in base ai quali</w:t>
      </w:r>
      <w:r w:rsidR="00E804D2" w:rsidRPr="002C5A1B">
        <w:t xml:space="preserve"> determinare quando un comportamento adottato da un organo deve essere considerato un fatto statale sul piano internazionale e quando invece esso è assimilabile alla condotta di un privato.</w:t>
      </w:r>
      <w:r w:rsidR="00E804D2">
        <w:t xml:space="preserve"> </w:t>
      </w:r>
      <w:r w:rsidR="00E804D2" w:rsidRPr="002C5A1B">
        <w:t xml:space="preserve">Nell’utilizzare una formulazione così generica, </w:t>
      </w:r>
      <w:r>
        <w:t xml:space="preserve">si finisce </w:t>
      </w:r>
      <w:r w:rsidR="008327F8">
        <w:t xml:space="preserve">infatti </w:t>
      </w:r>
      <w:r>
        <w:t xml:space="preserve">per non </w:t>
      </w:r>
      <w:r w:rsidR="00E804D2" w:rsidRPr="002C5A1B">
        <w:t xml:space="preserve">determinare </w:t>
      </w:r>
      <w:r w:rsidR="00E804D2" w:rsidRPr="002C5A1B">
        <w:rPr>
          <w:i/>
        </w:rPr>
        <w:t>a priori</w:t>
      </w:r>
      <w:r w:rsidR="00E804D2" w:rsidRPr="002C5A1B">
        <w:t xml:space="preserve"> con precisione il limite al di là del quale i comportamenti degli individui-organi devono essere assimilati a quelli di semplici privati. </w:t>
      </w:r>
      <w:r w:rsidR="00E804D2">
        <w:t xml:space="preserve">Una volta individuato nel criterio che si fonda sulla nozione generale di organo la regola secondo cui possono essere attribuiti allo Stato sul piano internazionale anche i comportamenti non autorizzati da esso adottati, rimane </w:t>
      </w:r>
      <w:r w:rsidR="00752227">
        <w:t xml:space="preserve">infatti </w:t>
      </w:r>
      <w:r w:rsidR="00E804D2">
        <w:t xml:space="preserve">il problema di stabilire in quali circostanze un organo agisce nella sua qualità ufficiale. Per rispondere a tale quesito, occorre muovere dalla varietà di elementi che possono servire ad accertare la qualità ufficiale con cui un organo agisce e dalla difficoltà di fornire una classificazione tassativa di tali elementi </w:t>
      </w:r>
      <w:r w:rsidR="007402D6">
        <w:t xml:space="preserve">senza ricorrere </w:t>
      </w:r>
      <w:r w:rsidR="00E804D2">
        <w:t>a nozioni generiche suscettibili di differenti interpretazioni.</w:t>
      </w:r>
    </w:p>
    <w:p w:rsidR="00753A97" w:rsidRDefault="008327F8" w:rsidP="007402D6">
      <w:pPr>
        <w:spacing w:after="0" w:line="360" w:lineRule="auto"/>
        <w:ind w:firstLine="284"/>
        <w:jc w:val="both"/>
      </w:pPr>
      <w:r w:rsidRPr="002C5A1B">
        <w:t xml:space="preserve">Allo stesso tempo </w:t>
      </w:r>
      <w:r w:rsidR="00752227">
        <w:t>è necessario</w:t>
      </w:r>
      <w:r>
        <w:t xml:space="preserve"> riconoscere a </w:t>
      </w:r>
      <w:r w:rsidRPr="002C5A1B">
        <w:t xml:space="preserve">tale criterio generale di attribuzione il vantaggio </w:t>
      </w:r>
      <w:r>
        <w:t xml:space="preserve">di non fornire </w:t>
      </w:r>
      <w:r w:rsidR="00CF0415">
        <w:t xml:space="preserve">scappatoie </w:t>
      </w:r>
      <w:r w:rsidRPr="002C5A1B">
        <w:t xml:space="preserve">allo Stato </w:t>
      </w:r>
      <w:r>
        <w:t xml:space="preserve">per poter </w:t>
      </w:r>
      <w:r w:rsidRPr="002C5A1B">
        <w:t>sfuggire alla propri</w:t>
      </w:r>
      <w:r>
        <w:t>a responsabilità internazionale</w:t>
      </w:r>
      <w:r w:rsidRPr="002C5A1B">
        <w:rPr>
          <w:rStyle w:val="Rimandonotaapidipagina"/>
        </w:rPr>
        <w:footnoteReference w:id="518"/>
      </w:r>
      <w:r w:rsidRPr="002C5A1B">
        <w:t>.</w:t>
      </w:r>
      <w:r>
        <w:t xml:space="preserve"> </w:t>
      </w:r>
      <w:r w:rsidR="00D850F6">
        <w:t xml:space="preserve">Evitando di </w:t>
      </w:r>
      <w:r w:rsidR="002177BF">
        <w:t xml:space="preserve">individuare </w:t>
      </w:r>
      <w:r w:rsidR="00D850F6">
        <w:t xml:space="preserve">delle tassative condizioni in base a cui poter determinare quando si possa ammettere che un individuo-organo abbia agito </w:t>
      </w:r>
      <w:r w:rsidR="00D850F6" w:rsidRPr="00021A4C">
        <w:rPr>
          <w:i/>
        </w:rPr>
        <w:t>ex qualitate</w:t>
      </w:r>
      <w:r w:rsidR="00D850F6">
        <w:t xml:space="preserve">, si finisce per </w:t>
      </w:r>
      <w:r w:rsidR="00DD1C91">
        <w:t>dare un s</w:t>
      </w:r>
      <w:r w:rsidR="007402D6">
        <w:t xml:space="preserve">ignificato obiettivo all’accertamento </w:t>
      </w:r>
      <w:r w:rsidR="00D850F6">
        <w:t>nel singolo caso</w:t>
      </w:r>
      <w:r w:rsidR="00D850F6" w:rsidRPr="002C5A1B">
        <w:t xml:space="preserve"> </w:t>
      </w:r>
      <w:r w:rsidR="007402D6">
        <w:t>di specie se l’organo</w:t>
      </w:r>
      <w:r w:rsidR="00D850F6">
        <w:t xml:space="preserve"> abbia</w:t>
      </w:r>
      <w:r w:rsidR="00D850F6" w:rsidRPr="002C5A1B">
        <w:t xml:space="preserve"> agito nella sua qualità ufficiale oppure a titolo privato.</w:t>
      </w:r>
      <w:r w:rsidR="00D850F6">
        <w:t xml:space="preserve"> </w:t>
      </w:r>
      <w:r w:rsidR="009A4EAD">
        <w:t>La soluzione prospettata sembra quindi ispirarsi al</w:t>
      </w:r>
      <w:r w:rsidR="006F6027">
        <w:t>l’esigenza che il si</w:t>
      </w:r>
      <w:r w:rsidR="007402D6">
        <w:t>s</w:t>
      </w:r>
      <w:r w:rsidR="006F6027">
        <w:t>tema di regole in materia di attribuzione sia in grado di ovviare alla possibilità che uno Stato</w:t>
      </w:r>
      <w:r w:rsidR="002177BF">
        <w:t>,</w:t>
      </w:r>
      <w:r w:rsidR="006F6027">
        <w:t xml:space="preserve"> </w:t>
      </w:r>
      <w:r w:rsidR="002177BF">
        <w:t xml:space="preserve">ogniqualvolta un proprio organo agisce nell’esercizio delle funzioni, </w:t>
      </w:r>
      <w:r w:rsidR="006F6027">
        <w:t>possa sottrarsi alla propria responsabilità internazio</w:t>
      </w:r>
      <w:r w:rsidR="00CF0415">
        <w:t>nale</w:t>
      </w:r>
      <w:r w:rsidR="009A4EAD">
        <w:t xml:space="preserve">. </w:t>
      </w:r>
    </w:p>
    <w:p w:rsidR="00885E23" w:rsidRDefault="00885E23" w:rsidP="00885E23">
      <w:pPr>
        <w:spacing w:after="0" w:line="360" w:lineRule="auto"/>
        <w:ind w:firstLine="284"/>
        <w:jc w:val="both"/>
      </w:pPr>
    </w:p>
    <w:p w:rsidR="003D54BB" w:rsidRDefault="003D54BB" w:rsidP="00885E23">
      <w:pPr>
        <w:spacing w:after="0" w:line="360" w:lineRule="auto"/>
        <w:ind w:firstLine="284"/>
        <w:jc w:val="both"/>
      </w:pPr>
    </w:p>
    <w:p w:rsidR="003D54BB" w:rsidRDefault="003D54BB" w:rsidP="00885E23">
      <w:pPr>
        <w:spacing w:after="0" w:line="360" w:lineRule="auto"/>
        <w:ind w:firstLine="284"/>
        <w:jc w:val="both"/>
      </w:pPr>
    </w:p>
    <w:p w:rsidR="00753A97" w:rsidRDefault="00753A97" w:rsidP="00753A97">
      <w:pPr>
        <w:pStyle w:val="Paragrafoelenco"/>
        <w:numPr>
          <w:ilvl w:val="0"/>
          <w:numId w:val="26"/>
        </w:numPr>
        <w:spacing w:after="0" w:line="240" w:lineRule="auto"/>
        <w:jc w:val="both"/>
      </w:pPr>
      <w:r>
        <w:t xml:space="preserve">La responsabilità internazionale dello Stato per i fatti illeciti </w:t>
      </w:r>
      <w:r w:rsidRPr="00345B7F">
        <w:rPr>
          <w:i/>
        </w:rPr>
        <w:t>ultra vires</w:t>
      </w:r>
      <w:r>
        <w:t xml:space="preserve"> dei propri organi di fatto</w:t>
      </w:r>
    </w:p>
    <w:p w:rsidR="00042213" w:rsidRDefault="00042213" w:rsidP="00042213">
      <w:pPr>
        <w:spacing w:after="0" w:line="240" w:lineRule="auto"/>
        <w:jc w:val="both"/>
      </w:pPr>
    </w:p>
    <w:p w:rsidR="00B45E87" w:rsidRDefault="00B45E87" w:rsidP="00B45E87">
      <w:pPr>
        <w:spacing w:after="0" w:line="360" w:lineRule="auto"/>
        <w:ind w:firstLine="709"/>
        <w:jc w:val="both"/>
      </w:pPr>
      <w:r>
        <w:t xml:space="preserve">Come si è visto, la regola </w:t>
      </w:r>
      <w:r w:rsidRPr="00B475CB">
        <w:t xml:space="preserve">che impone di attribuire allo Stato i fatti </w:t>
      </w:r>
      <w:r w:rsidRPr="00326347">
        <w:rPr>
          <w:i/>
        </w:rPr>
        <w:t>ultra vires</w:t>
      </w:r>
      <w:r w:rsidRPr="00B475CB">
        <w:t xml:space="preserve"> </w:t>
      </w:r>
      <w:r>
        <w:t>tenuti da individui formalmente integrati nell’apparato statale nel caso in cui agiscono nell’</w:t>
      </w:r>
      <w:r w:rsidRPr="006E5CB2">
        <w:t xml:space="preserve">esercizio delle funzioni </w:t>
      </w:r>
      <w:r>
        <w:t xml:space="preserve">trova pieno riscontro nella prassi internazionale. L’esigenza di garantire la certezza e la stabilità delle relazioni internazionali impone </w:t>
      </w:r>
      <w:r w:rsidR="00752227">
        <w:t>di tutelare l’aspettativa</w:t>
      </w:r>
      <w:r w:rsidRPr="007E485E">
        <w:t xml:space="preserve"> degli Stati che fanno affidamento sui dati ricavabili dall’ordinamento interno</w:t>
      </w:r>
      <w:r>
        <w:t xml:space="preserve">, idoneo a </w:t>
      </w:r>
      <w:r w:rsidRPr="007E485E">
        <w:t>crea</w:t>
      </w:r>
      <w:r>
        <w:t>re</w:t>
      </w:r>
      <w:r w:rsidRPr="007E485E">
        <w:t xml:space="preserve"> un’apparenza da cui derivano per lo Stato delle conseguenze. La possibilità di considerare lo Stato internazionalmente responsabile per le condotte </w:t>
      </w:r>
      <w:r w:rsidRPr="007E485E">
        <w:rPr>
          <w:i/>
        </w:rPr>
        <w:t>ultra vires</w:t>
      </w:r>
      <w:r>
        <w:t xml:space="preserve"> dei propri organi </w:t>
      </w:r>
      <w:r w:rsidRPr="00326347">
        <w:rPr>
          <w:i/>
        </w:rPr>
        <w:t>de jure</w:t>
      </w:r>
      <w:r>
        <w:t xml:space="preserve"> sembra trovare </w:t>
      </w:r>
      <w:r w:rsidRPr="003E4FD2">
        <w:t xml:space="preserve">fondamento nel principio che impone allo Stato di rispondere delle conseguenze derivanti dalle scelte operate in ordine alla determinazione </w:t>
      </w:r>
      <w:r w:rsidRPr="00150A19">
        <w:t>della propria organizzazione.</w:t>
      </w:r>
    </w:p>
    <w:p w:rsidR="00B45E87" w:rsidRDefault="00B45E87" w:rsidP="00B45E87">
      <w:pPr>
        <w:spacing w:after="0" w:line="360" w:lineRule="auto"/>
        <w:ind w:firstLine="709"/>
        <w:jc w:val="both"/>
      </w:pPr>
      <w:r>
        <w:t>Alla luce di quanto</w:t>
      </w:r>
      <w:r w:rsidR="00DD1C91">
        <w:t xml:space="preserve"> </w:t>
      </w:r>
      <w:r w:rsidR="00C2324E">
        <w:t>accertato</w:t>
      </w:r>
      <w:r>
        <w:t xml:space="preserve">, </w:t>
      </w:r>
      <w:r w:rsidR="00C2324E">
        <w:t>appare più controversa</w:t>
      </w:r>
      <w:r>
        <w:t xml:space="preserve"> la possibilità che la regola che impone allo Stato di rispondere internazionalmente dei fatti illeciti </w:t>
      </w:r>
      <w:r w:rsidRPr="00291D33">
        <w:rPr>
          <w:i/>
        </w:rPr>
        <w:t>ultra vires</w:t>
      </w:r>
      <w:r>
        <w:t xml:space="preserve"> trovi applicazione anche rispetto all’ipotesi di individui o enti legati allo Stato da un rapporto di fatto. In ragione di alcuni recenti sviluppi della giurisprudenza internazionale, la dottrina si è recentemente confrontata su tale questione e le soluzioni da essa accolte possono essere sostanzialmente ricondotte a due orientamenti di fondo.</w:t>
      </w:r>
    </w:p>
    <w:p w:rsidR="00B45E87" w:rsidRDefault="00B45E87" w:rsidP="00B45E87">
      <w:pPr>
        <w:spacing w:after="0" w:line="360" w:lineRule="auto"/>
        <w:ind w:firstLine="709"/>
        <w:jc w:val="both"/>
      </w:pPr>
      <w:r>
        <w:t xml:space="preserve">Da una parte vi è la posizione secondo cui tale regola attributiva si applica esclusivamente a coloro che godono dello </w:t>
      </w:r>
      <w:r w:rsidRPr="006C6A7C">
        <w:rPr>
          <w:i/>
        </w:rPr>
        <w:t>status</w:t>
      </w:r>
      <w:r>
        <w:t xml:space="preserve"> formale di organo in quanto la possibilità di accertare che un individuo o ente abbia agito nell’esercizio delle proprie funzioni presuppone un necessario rinvio al diritto interno al fine di determinare quali effettivamente siano le sue funzioni</w:t>
      </w:r>
      <w:r>
        <w:rPr>
          <w:rStyle w:val="Rimandonotaapidipagina"/>
        </w:rPr>
        <w:footnoteReference w:id="519"/>
      </w:r>
      <w:r>
        <w:t xml:space="preserve">. Dall’altra vi è invece la posizione di coloro che, reputando il diritto interno solo uno degli elementi idonei a determinare </w:t>
      </w:r>
      <w:r w:rsidR="00752227">
        <w:t xml:space="preserve">quali siano le funzioni attribuite </w:t>
      </w:r>
      <w:r>
        <w:t xml:space="preserve">a un individuo o ente all’interno dell’organizzazione dello Stato, ammettono in via di principio che la regola che impone allo Stato di rispondere internazionalmente dei fatti illeciti </w:t>
      </w:r>
      <w:r w:rsidRPr="00291D33">
        <w:rPr>
          <w:i/>
        </w:rPr>
        <w:t>ultra vires</w:t>
      </w:r>
      <w:r>
        <w:t xml:space="preserve"> possa trovare applicazione anche rispetto all’ipotesi di individui fattualmente legati allo Stato</w:t>
      </w:r>
      <w:r>
        <w:rPr>
          <w:rStyle w:val="Rimandonotaapidipagina"/>
        </w:rPr>
        <w:footnoteReference w:id="520"/>
      </w:r>
      <w:r>
        <w:t>.</w:t>
      </w:r>
    </w:p>
    <w:p w:rsidR="002F6FAC" w:rsidRDefault="00752227" w:rsidP="002F6FAC">
      <w:pPr>
        <w:spacing w:after="0" w:line="360" w:lineRule="auto"/>
        <w:ind w:firstLine="709"/>
        <w:jc w:val="both"/>
      </w:pPr>
      <w:r>
        <w:t xml:space="preserve">Al riguardo </w:t>
      </w:r>
      <w:r w:rsidR="00103EEB">
        <w:t xml:space="preserve">sembra </w:t>
      </w:r>
      <w:r w:rsidR="00C2324E">
        <w:t xml:space="preserve">invece </w:t>
      </w:r>
      <w:r w:rsidR="00103EEB">
        <w:t xml:space="preserve">potersi </w:t>
      </w:r>
      <w:r w:rsidR="00C2324E">
        <w:t xml:space="preserve">senz’altro </w:t>
      </w:r>
      <w:r w:rsidR="00103EEB">
        <w:t xml:space="preserve">escludere </w:t>
      </w:r>
      <w:r w:rsidR="00B45E87">
        <w:t xml:space="preserve">che la regola attributiva in questione si presti ad essere applicata ad individui o enti che agiscono dietro istruzione o sotto il controllo effettivo di organi statali. </w:t>
      </w:r>
      <w:r w:rsidR="00AB1C19">
        <w:t>Oltre a non trovare alcun tipo di riscontro nella prassi esaminata, a</w:t>
      </w:r>
      <w:r w:rsidR="00B45E87">
        <w:t xml:space="preserve"> differenza di quanto acca</w:t>
      </w:r>
      <w:r w:rsidR="00AB1C19">
        <w:t xml:space="preserve">de con riferimento agli organi </w:t>
      </w:r>
      <w:r w:rsidRPr="00752227">
        <w:rPr>
          <w:i/>
        </w:rPr>
        <w:t>de iure</w:t>
      </w:r>
      <w:r>
        <w:t xml:space="preserve">, </w:t>
      </w:r>
      <w:r w:rsidR="00B45E87">
        <w:t>nell’ipotesi qui presa in esame l’attribuzione di condotte allo Stato non è condizionata dalla eventualità che l’individuo o ente abbia agito nell’esercizio delle sue funzioni, bensì dalla circostanza che sia stato lo stesso Stato a incaricarlo dello svolgimento di attività</w:t>
      </w:r>
      <w:r w:rsidR="00ED2E01">
        <w:t xml:space="preserve"> che sono</w:t>
      </w:r>
      <w:r w:rsidR="00B45E87">
        <w:t xml:space="preserve"> espressione dei suoi poteri sovrani. </w:t>
      </w:r>
      <w:r w:rsidR="00415438">
        <w:t xml:space="preserve">Risulta decisivo l’impulso ricevuto dallo Stato ad agire. </w:t>
      </w:r>
      <w:r w:rsidR="00B45E87">
        <w:t>In altri termini, ment</w:t>
      </w:r>
      <w:r>
        <w:t>re il criterio attributivo della qualità organica</w:t>
      </w:r>
      <w:r w:rsidR="00B45E87">
        <w:t xml:space="preserve"> si basa su una integrazione a livello organizzativo di chi agisce nella struttura di governo dello Stato a tal punto intensa da giustificare la riferibilità in via generale ad esso delle sue condotte, anche nel caso in cui siano state adottate al di fuori della propria competenza, nell’ipotesi </w:t>
      </w:r>
      <w:r>
        <w:t>di individui che non siano permanentemente integrati neppure in fatto nell’apparato statale ma che abbiano agito su istruzioni dello Stato,</w:t>
      </w:r>
      <w:r w:rsidR="00B45E87">
        <w:t xml:space="preserve"> ciò che viene in rilievo ai fini attributivi è il singolo comportamento tenuto, che potrà ritenersi fatto statale a livello internazionale solo se si accerta l’esistenza di un rapporto puntuale tra lo Stato e colui che agisce venutosi a costituire grazie all’istruzione e al rispetto dei suoi limiti</w:t>
      </w:r>
      <w:r w:rsidR="00B45E87">
        <w:rPr>
          <w:rStyle w:val="Rimandonotaapidipagina"/>
        </w:rPr>
        <w:footnoteReference w:id="521"/>
      </w:r>
      <w:r w:rsidR="00B45E87">
        <w:t>.</w:t>
      </w:r>
      <w:r w:rsidR="00415438" w:rsidRPr="00415438">
        <w:t xml:space="preserve"> </w:t>
      </w:r>
    </w:p>
    <w:p w:rsidR="00DD21EF" w:rsidRDefault="002F6FAC" w:rsidP="002F6FAC">
      <w:pPr>
        <w:spacing w:after="0" w:line="360" w:lineRule="auto"/>
        <w:ind w:firstLine="709"/>
        <w:jc w:val="both"/>
      </w:pPr>
      <w:r>
        <w:t xml:space="preserve">Più complesso il caso di individui pur non formalmente organi dello Stato, ma stabilmente integrati nell’apparato statale. </w:t>
      </w:r>
      <w:r w:rsidR="00DD21EF">
        <w:t xml:space="preserve">Ai fini della presente indagine </w:t>
      </w:r>
      <w:r w:rsidR="00ED2E01">
        <w:t xml:space="preserve">è </w:t>
      </w:r>
      <w:r w:rsidR="00DD21EF">
        <w:t>rilevante evidenziare come</w:t>
      </w:r>
      <w:r w:rsidR="00ED2E01">
        <w:t xml:space="preserve"> </w:t>
      </w:r>
      <w:r w:rsidR="00DD21EF">
        <w:t xml:space="preserve">nella giurisprudenza internazionale recente si è fatto ricorso a criteri di attribuzione che si fondano su elementi fattuali differenti, alla luce dei quali risulta possibile una equiparazione di tali individui ad organi statali </w:t>
      </w:r>
      <w:r w:rsidR="00DD21EF" w:rsidRPr="00103EEB">
        <w:rPr>
          <w:i/>
        </w:rPr>
        <w:t>de iure</w:t>
      </w:r>
      <w:r w:rsidR="00DD21EF">
        <w:t>. Quanto appena esposto trova riscontr</w:t>
      </w:r>
      <w:r w:rsidR="005F4EA9">
        <w:t xml:space="preserve">o nella prassi esaminata nella quale </w:t>
      </w:r>
      <w:r w:rsidR="00DD21EF">
        <w:t xml:space="preserve">in differenti occasioni sono stati ritenuti fatti attribuibili in via generale allo Stato le condotte di individui o enti che, pur non godendo dello </w:t>
      </w:r>
      <w:r w:rsidR="00DD21EF" w:rsidRPr="00103EEB">
        <w:rPr>
          <w:i/>
        </w:rPr>
        <w:t>status</w:t>
      </w:r>
      <w:r w:rsidR="00DD21EF">
        <w:t xml:space="preserve"> di organi in base all’ordinamento interno, erano ad essi assimilabili alla luce della loro forte integrazione nell’apparato di governo dello Stato e del tipo di funzione svolta.</w:t>
      </w:r>
    </w:p>
    <w:p w:rsidR="00F60868" w:rsidRDefault="00DD21EF" w:rsidP="00F60868">
      <w:pPr>
        <w:spacing w:after="0" w:line="360" w:lineRule="auto"/>
        <w:ind w:firstLine="709"/>
        <w:jc w:val="both"/>
      </w:pPr>
      <w:r>
        <w:t xml:space="preserve">Pur ammettendo che la scelta di ricostruire in termini di rapporto organico il legame tra individuo o gruppo di individui e lo Stato comporti la riferibilità in via generale allo Stato di tutti i comportamenti tenuti da individui inseriti nell’apparato statale in base ad elementi fattuali, resta da </w:t>
      </w:r>
      <w:r w:rsidR="00103EEB">
        <w:t xml:space="preserve">chiarire </w:t>
      </w:r>
      <w:r>
        <w:t xml:space="preserve">se </w:t>
      </w:r>
      <w:r w:rsidR="00103EEB">
        <w:t xml:space="preserve">in tale circostanza </w:t>
      </w:r>
      <w:r>
        <w:t>possa realmente parlarsi di organi di fatto che agiscono al di fuori della competenza o contrariamente alle istruzioni ricevute o se la spiegazione del perché lo Stato sia chiamato a rispondere internazionalmente di tali fatti sia di natura differente.</w:t>
      </w:r>
      <w:r w:rsidR="00F60868" w:rsidRPr="00F60868">
        <w:t xml:space="preserve"> </w:t>
      </w:r>
    </w:p>
    <w:p w:rsidR="00F60868" w:rsidRDefault="00F60868" w:rsidP="00F60868">
      <w:pPr>
        <w:spacing w:after="0" w:line="360" w:lineRule="auto"/>
        <w:ind w:firstLine="709"/>
        <w:jc w:val="both"/>
      </w:pPr>
      <w:r>
        <w:t xml:space="preserve">A nostro avviso, la logica sottostante la riferibilità in via generale allo Stato di tutti i </w:t>
      </w:r>
      <w:r w:rsidRPr="00A1445D">
        <w:t xml:space="preserve">comportamenti </w:t>
      </w:r>
      <w:r w:rsidRPr="008D1E90">
        <w:t>tenuti</w:t>
      </w:r>
      <w:r>
        <w:rPr>
          <w:i/>
        </w:rPr>
        <w:t xml:space="preserve"> </w:t>
      </w:r>
      <w:r>
        <w:t xml:space="preserve">da </w:t>
      </w:r>
      <w:r w:rsidRPr="00A1445D">
        <w:t xml:space="preserve">individui inseriti nell’apparato statale in base </w:t>
      </w:r>
      <w:r>
        <w:t>ad elementi fattuali è d</w:t>
      </w:r>
      <w:r w:rsidR="002F6FAC">
        <w:t>iversa da</w:t>
      </w:r>
      <w:r>
        <w:t xml:space="preserve"> quella  che regola l’attribuzione allo Stato di fatti </w:t>
      </w:r>
      <w:r w:rsidRPr="00453942">
        <w:rPr>
          <w:i/>
        </w:rPr>
        <w:t>ultra vires</w:t>
      </w:r>
      <w:r>
        <w:t xml:space="preserve"> dei propri organi </w:t>
      </w:r>
      <w:r w:rsidRPr="00453942">
        <w:rPr>
          <w:i/>
        </w:rPr>
        <w:t>de jure</w:t>
      </w:r>
      <w:r>
        <w:t xml:space="preserve">. L’ipotesi di riferire allo Stato le condotte di individui fattualmente integrati nella sua organizzazione non risponde come nel caso degli organi </w:t>
      </w:r>
      <w:r w:rsidRPr="00657FBA">
        <w:rPr>
          <w:i/>
        </w:rPr>
        <w:t>de jure</w:t>
      </w:r>
      <w:r>
        <w:t xml:space="preserve"> ad esigenze proprie dell’ordinamento internazionale quali la necessità di garantire la certezza e la stabilità delle relazioni internazionali, bensì si fonda sulla necessità di non trascurare ai fini attributivi il modo in cui si atteggia in concreto l’organizzazione dello Stato. Con  riferimento agli </w:t>
      </w:r>
      <w:r w:rsidRPr="007E485E">
        <w:t>individui o enti a cui</w:t>
      </w:r>
      <w:r w:rsidRPr="003E4FD2">
        <w:t xml:space="preserve"> </w:t>
      </w:r>
      <w:r>
        <w:t xml:space="preserve">lo Stato </w:t>
      </w:r>
      <w:r w:rsidRPr="003E4FD2">
        <w:t>ha attribuito la qualità organica in base al diritto interno</w:t>
      </w:r>
      <w:r>
        <w:t xml:space="preserve">, il diritto internazionale provvede a </w:t>
      </w:r>
      <w:r w:rsidRPr="007E485E">
        <w:t xml:space="preserve">tutelare la </w:t>
      </w:r>
      <w:r w:rsidR="00A15F64">
        <w:t xml:space="preserve">situazione </w:t>
      </w:r>
      <w:r w:rsidRPr="007E485E">
        <w:t>degli Stati che fanno affid</w:t>
      </w:r>
      <w:r>
        <w:t>amento sui dati ricavabili da tale ordinamento. Ne consegue che l</w:t>
      </w:r>
      <w:r w:rsidRPr="006B20B7">
        <w:t xml:space="preserve">’apparenza creata dallo Stato attraverso il </w:t>
      </w:r>
      <w:r w:rsidR="00A15F64">
        <w:t xml:space="preserve">conferimento </w:t>
      </w:r>
      <w:r>
        <w:t xml:space="preserve">formale </w:t>
      </w:r>
      <w:r w:rsidRPr="006B20B7">
        <w:t>della qualità organica prevale sul fatto che la condotta effettivamente tenuta dall’organo non rifletta scelte statali.</w:t>
      </w:r>
      <w:r>
        <w:t xml:space="preserve"> Nell’ipotesi </w:t>
      </w:r>
      <w:r w:rsidR="00A15F64">
        <w:t xml:space="preserve">invece </w:t>
      </w:r>
      <w:r>
        <w:t xml:space="preserve">di </w:t>
      </w:r>
      <w:r w:rsidRPr="00A1445D">
        <w:t xml:space="preserve">individui inseriti nell’apparato statale in base </w:t>
      </w:r>
      <w:r>
        <w:t xml:space="preserve">ad elementi fattuali la responsabilità internazionale dello Stato per </w:t>
      </w:r>
      <w:r w:rsidR="00A15F64">
        <w:t xml:space="preserve">fatti </w:t>
      </w:r>
      <w:r w:rsidR="00DD1C91">
        <w:t xml:space="preserve">commessi in assenza o </w:t>
      </w:r>
      <w:r>
        <w:t xml:space="preserve">contrariamente alle istruzioni ricevute deve intendersi come il corollario del controllo generale esercitato su </w:t>
      </w:r>
      <w:r w:rsidR="00A15F64">
        <w:t xml:space="preserve">tali individui </w:t>
      </w:r>
      <w:r>
        <w:t>dallo Stato</w:t>
      </w:r>
      <w:r>
        <w:rPr>
          <w:rStyle w:val="Rimandonotaapidipagina"/>
        </w:rPr>
        <w:footnoteReference w:id="522"/>
      </w:r>
      <w:r>
        <w:t>.</w:t>
      </w:r>
    </w:p>
    <w:p w:rsidR="004A02BD" w:rsidRDefault="00F60868" w:rsidP="004A02BD">
      <w:pPr>
        <w:spacing w:after="0" w:line="360" w:lineRule="auto"/>
        <w:ind w:firstLine="709"/>
        <w:jc w:val="both"/>
      </w:pPr>
      <w:r>
        <w:t>Si intende mettere in evidenza come, nel caso delle attività di individui fattualmente inseriti nella struttura statale, il problema di sapere se nell’agire siano state rispettate o meno le competenze assegnate assume un’importanza marginale in quanto inglobato nella prioritaria questione di accertare se il grado di controllo esercitato dallo Stato sia sufficiente ai fini dell’accertamento di un legame di tipo organico.</w:t>
      </w:r>
    </w:p>
    <w:p w:rsidR="0053322C" w:rsidRDefault="00FC1B30" w:rsidP="00D019AC">
      <w:pPr>
        <w:spacing w:after="0" w:line="360" w:lineRule="auto"/>
        <w:ind w:firstLine="709"/>
        <w:jc w:val="both"/>
      </w:pPr>
      <w:r>
        <w:t>Alla luce dell’indagine svolta</w:t>
      </w:r>
      <w:r w:rsidR="003F0DF9">
        <w:t>,</w:t>
      </w:r>
      <w:r>
        <w:t xml:space="preserve"> quindi</w:t>
      </w:r>
      <w:r w:rsidR="003F0DF9">
        <w:t>,</w:t>
      </w:r>
      <w:r>
        <w:t xml:space="preserve"> nei limitati casi in cui sia possibile accertare la qualità organica di individui o enti sulla base della rilevazione di un rapporto di fatto, la riferibilità in via generale allo Stato di tutti i comportamenti da essi tenuti</w:t>
      </w:r>
      <w:r w:rsidR="003F0DF9">
        <w:t xml:space="preserve"> non permette </w:t>
      </w:r>
      <w:r w:rsidR="004A02BD">
        <w:t xml:space="preserve">di parlare di organi di fatto che agiscono al di fuori della competenza o contrariamente alle istruzioni ricevute nel medesimo senso valevole per gli organi </w:t>
      </w:r>
      <w:r w:rsidR="004A02BD" w:rsidRPr="004A02BD">
        <w:rPr>
          <w:i/>
        </w:rPr>
        <w:t>de jure</w:t>
      </w:r>
      <w:r w:rsidR="004A02BD">
        <w:t xml:space="preserve">. </w:t>
      </w:r>
      <w:r w:rsidR="003F0DF9">
        <w:t xml:space="preserve">Se si attribuisce </w:t>
      </w:r>
      <w:r w:rsidR="004A02BD">
        <w:t>piuttosto</w:t>
      </w:r>
      <w:r w:rsidR="003F0DF9">
        <w:t xml:space="preserve"> un</w:t>
      </w:r>
      <w:r w:rsidR="008C610F">
        <w:t xml:space="preserve"> rilievo al modo in cui si atteggia in concreto l’organizzazione dello Stato</w:t>
      </w:r>
      <w:r w:rsidR="00DB7F82">
        <w:t xml:space="preserve">, </w:t>
      </w:r>
      <w:r w:rsidR="004A02BD">
        <w:t xml:space="preserve">ammettere che tutte le condotte </w:t>
      </w:r>
      <w:r w:rsidR="00907B4B">
        <w:t xml:space="preserve">da essi </w:t>
      </w:r>
      <w:r w:rsidR="004A02BD">
        <w:t>adottate devono essere ritenute fatti statali sul piano internazionale</w:t>
      </w:r>
      <w:r w:rsidR="00DB7F82">
        <w:t xml:space="preserve"> evita che lo Stato possa sottrarsi alla propria responsabilità internazionale assegnando determinate funzioni ad individui o enti che non sono formalmente inseriti nella </w:t>
      </w:r>
      <w:r w:rsidR="004A02BD">
        <w:t xml:space="preserve">sua </w:t>
      </w:r>
      <w:r w:rsidR="00DB7F82">
        <w:t xml:space="preserve">struttura </w:t>
      </w:r>
      <w:r w:rsidR="004A02BD">
        <w:t>di governo.</w:t>
      </w:r>
    </w:p>
    <w:p w:rsidR="00D019AC" w:rsidRDefault="00D019AC" w:rsidP="00D019AC">
      <w:pPr>
        <w:spacing w:after="0" w:line="360" w:lineRule="auto"/>
        <w:ind w:firstLine="709"/>
        <w:jc w:val="both"/>
      </w:pPr>
    </w:p>
    <w:p w:rsidR="00BC209D" w:rsidRDefault="00BC209D" w:rsidP="00D72BD5">
      <w:pPr>
        <w:spacing w:after="0" w:line="240" w:lineRule="auto"/>
        <w:jc w:val="center"/>
        <w:rPr>
          <w:smallCaps/>
          <w:sz w:val="28"/>
          <w:szCs w:val="28"/>
        </w:rPr>
      </w:pPr>
    </w:p>
    <w:p w:rsidR="00BC209D" w:rsidRDefault="00BC209D" w:rsidP="00D72BD5">
      <w:pPr>
        <w:spacing w:after="0" w:line="240" w:lineRule="auto"/>
        <w:jc w:val="center"/>
        <w:rPr>
          <w:smallCaps/>
          <w:sz w:val="28"/>
          <w:szCs w:val="28"/>
        </w:rPr>
      </w:pPr>
    </w:p>
    <w:p w:rsidR="003F0DF9" w:rsidRDefault="003F0DF9" w:rsidP="001610E3">
      <w:pPr>
        <w:spacing w:after="0" w:line="240" w:lineRule="auto"/>
        <w:rPr>
          <w:smallCaps/>
          <w:sz w:val="28"/>
          <w:szCs w:val="28"/>
        </w:rPr>
      </w:pPr>
    </w:p>
    <w:p w:rsidR="00D72BD5" w:rsidRDefault="00D72BD5" w:rsidP="00D72BD5">
      <w:pPr>
        <w:spacing w:after="0" w:line="240" w:lineRule="auto"/>
        <w:jc w:val="center"/>
        <w:rPr>
          <w:smallCaps/>
          <w:sz w:val="28"/>
          <w:szCs w:val="28"/>
        </w:rPr>
      </w:pPr>
      <w:r w:rsidRPr="004F1563">
        <w:rPr>
          <w:smallCaps/>
          <w:sz w:val="28"/>
          <w:szCs w:val="28"/>
        </w:rPr>
        <w:t>Indice dei casi citati</w:t>
      </w:r>
    </w:p>
    <w:p w:rsidR="00D72BD5" w:rsidRDefault="00D72BD5" w:rsidP="00D72BD5">
      <w:pPr>
        <w:spacing w:after="0" w:line="240" w:lineRule="auto"/>
        <w:jc w:val="center"/>
        <w:rPr>
          <w:smallCaps/>
          <w:sz w:val="28"/>
          <w:szCs w:val="28"/>
        </w:rPr>
      </w:pPr>
    </w:p>
    <w:p w:rsidR="00D72BD5" w:rsidRDefault="00D72BD5" w:rsidP="00D72BD5">
      <w:pPr>
        <w:spacing w:after="0" w:line="240" w:lineRule="auto"/>
        <w:jc w:val="center"/>
        <w:rPr>
          <w:smallCaps/>
          <w:sz w:val="28"/>
          <w:szCs w:val="28"/>
        </w:rPr>
      </w:pPr>
    </w:p>
    <w:p w:rsidR="00D72BD5" w:rsidRPr="00DD6040" w:rsidRDefault="00D72BD5" w:rsidP="00D72BD5">
      <w:pPr>
        <w:spacing w:after="0" w:line="360" w:lineRule="auto"/>
        <w:jc w:val="both"/>
        <w:rPr>
          <w:smallCaps/>
          <w:sz w:val="28"/>
          <w:szCs w:val="28"/>
        </w:rPr>
        <w:sectPr w:rsidR="00D72BD5" w:rsidRPr="00DD6040" w:rsidSect="009126A0">
          <w:headerReference w:type="even" r:id="rId11"/>
          <w:headerReference w:type="default" r:id="rId12"/>
          <w:footerReference w:type="even" r:id="rId13"/>
          <w:footerReference w:type="default" r:id="rId14"/>
          <w:headerReference w:type="first" r:id="rId15"/>
          <w:footerReference w:type="first" r:id="rId16"/>
          <w:pgSz w:w="11906" w:h="16838"/>
          <w:pgMar w:top="1531" w:right="1531" w:bottom="1531" w:left="1531" w:header="709" w:footer="709" w:gutter="567"/>
          <w:cols w:space="708"/>
          <w:titlePg/>
          <w:docGrid w:linePitch="360"/>
        </w:sectPr>
      </w:pPr>
    </w:p>
    <w:p w:rsidR="00D72BD5" w:rsidRPr="00C33919" w:rsidRDefault="00D72BD5" w:rsidP="00D72BD5">
      <w:pPr>
        <w:spacing w:after="0" w:line="360" w:lineRule="auto"/>
        <w:rPr>
          <w:sz w:val="24"/>
          <w:szCs w:val="24"/>
        </w:rPr>
      </w:pPr>
      <w:r w:rsidRPr="00C33919">
        <w:rPr>
          <w:sz w:val="24"/>
          <w:szCs w:val="24"/>
        </w:rPr>
        <w:t>La prassi degli Stati</w:t>
      </w:r>
    </w:p>
    <w:p w:rsidR="00D72BD5" w:rsidRPr="00DD6040" w:rsidRDefault="00D72BD5" w:rsidP="00D72BD5">
      <w:pPr>
        <w:spacing w:after="0" w:line="240" w:lineRule="auto"/>
        <w:rPr>
          <w:smallCaps/>
          <w:sz w:val="28"/>
          <w:szCs w:val="28"/>
        </w:rPr>
      </w:pPr>
    </w:p>
    <w:p w:rsidR="00D72BD5" w:rsidRPr="00AF5932" w:rsidRDefault="00D72BD5" w:rsidP="00D72BD5">
      <w:pPr>
        <w:pStyle w:val="Paragrafoelenco"/>
        <w:numPr>
          <w:ilvl w:val="0"/>
          <w:numId w:val="28"/>
        </w:numPr>
        <w:spacing w:after="0" w:line="240" w:lineRule="auto"/>
        <w:jc w:val="both"/>
        <w:rPr>
          <w:i/>
        </w:rPr>
      </w:pPr>
      <w:r>
        <w:t xml:space="preserve">Caso </w:t>
      </w:r>
      <w:r w:rsidRPr="001B1420">
        <w:t>dell’</w:t>
      </w:r>
      <w:r w:rsidRPr="001B1420">
        <w:rPr>
          <w:i/>
        </w:rPr>
        <w:t>abbattimento dell’aereo di linea libico B-727</w:t>
      </w:r>
      <w:r>
        <w:t>, 1973: p</w:t>
      </w:r>
      <w:r w:rsidR="00B73FA2">
        <w:t>. 138</w:t>
      </w:r>
    </w:p>
    <w:p w:rsidR="00D72BD5" w:rsidRPr="00AF5932" w:rsidRDefault="00D72BD5" w:rsidP="00D72BD5">
      <w:pPr>
        <w:spacing w:after="0" w:line="240" w:lineRule="auto"/>
        <w:ind w:left="360"/>
        <w:jc w:val="both"/>
        <w:rPr>
          <w:i/>
        </w:rPr>
      </w:pPr>
    </w:p>
    <w:p w:rsidR="00D72BD5" w:rsidRPr="00AF5932" w:rsidRDefault="00D72BD5" w:rsidP="00D72BD5">
      <w:pPr>
        <w:pStyle w:val="Paragrafoelenco"/>
        <w:numPr>
          <w:ilvl w:val="0"/>
          <w:numId w:val="28"/>
        </w:numPr>
        <w:spacing w:after="0" w:line="240" w:lineRule="auto"/>
        <w:jc w:val="both"/>
        <w:rPr>
          <w:smallCaps/>
          <w:sz w:val="28"/>
          <w:szCs w:val="28"/>
          <w:lang w:val="en-US"/>
        </w:rPr>
      </w:pPr>
      <w:r>
        <w:t xml:space="preserve">Caso </w:t>
      </w:r>
      <w:r w:rsidRPr="009A469C">
        <w:rPr>
          <w:i/>
        </w:rPr>
        <w:t>American Bible Society</w:t>
      </w:r>
      <w:r>
        <w:rPr>
          <w:i/>
        </w:rPr>
        <w:t xml:space="preserve">, </w:t>
      </w:r>
      <w:r w:rsidRPr="009A469C">
        <w:t>17 agosto 1885:</w:t>
      </w:r>
      <w:r w:rsidR="00B73FA2">
        <w:t xml:space="preserve"> p. 48</w:t>
      </w:r>
    </w:p>
    <w:p w:rsidR="00D72BD5" w:rsidRPr="00AF5932" w:rsidRDefault="00D72BD5" w:rsidP="00D72BD5">
      <w:pPr>
        <w:spacing w:after="0" w:line="240" w:lineRule="auto"/>
        <w:jc w:val="both"/>
        <w:rPr>
          <w:smallCaps/>
          <w:sz w:val="28"/>
          <w:szCs w:val="28"/>
          <w:lang w:val="en-US"/>
        </w:rPr>
      </w:pPr>
    </w:p>
    <w:p w:rsidR="00D72BD5" w:rsidRPr="00AF5932" w:rsidRDefault="00D72BD5" w:rsidP="00D72BD5">
      <w:pPr>
        <w:pStyle w:val="Paragrafoelenco"/>
        <w:numPr>
          <w:ilvl w:val="0"/>
          <w:numId w:val="28"/>
        </w:numPr>
        <w:spacing w:after="0" w:line="240" w:lineRule="auto"/>
        <w:jc w:val="both"/>
        <w:rPr>
          <w:i/>
        </w:rPr>
      </w:pPr>
      <w:r>
        <w:t xml:space="preserve">Caso </w:t>
      </w:r>
      <w:r w:rsidRPr="00675660">
        <w:rPr>
          <w:i/>
        </w:rPr>
        <w:t>Borchgrave</w:t>
      </w:r>
      <w:r w:rsidR="00B73FA2">
        <w:t>, 1936-1937: pp. 69-69</w:t>
      </w:r>
    </w:p>
    <w:p w:rsidR="00D72BD5" w:rsidRPr="00AF5932" w:rsidRDefault="00D72BD5" w:rsidP="00D72BD5">
      <w:pPr>
        <w:spacing w:after="0" w:line="240" w:lineRule="auto"/>
        <w:jc w:val="both"/>
        <w:rPr>
          <w:i/>
        </w:rPr>
      </w:pPr>
    </w:p>
    <w:p w:rsidR="00D72BD5" w:rsidRPr="00AF5932" w:rsidRDefault="00D72BD5" w:rsidP="00D72BD5">
      <w:pPr>
        <w:pStyle w:val="Paragrafoelenco"/>
        <w:numPr>
          <w:ilvl w:val="0"/>
          <w:numId w:val="28"/>
        </w:numPr>
        <w:spacing w:after="0" w:line="240" w:lineRule="auto"/>
        <w:jc w:val="both"/>
        <w:rPr>
          <w:i/>
        </w:rPr>
      </w:pPr>
      <w:r>
        <w:t xml:space="preserve">Caso </w:t>
      </w:r>
      <w:r w:rsidRPr="002041D1">
        <w:rPr>
          <w:i/>
        </w:rPr>
        <w:t>Buyanga</w:t>
      </w:r>
      <w:r w:rsidR="00B73FA2">
        <w:t>, 4 gennaio 1984: p. 142</w:t>
      </w:r>
    </w:p>
    <w:p w:rsidR="00D72BD5" w:rsidRPr="00AF5932" w:rsidRDefault="00D72BD5" w:rsidP="00D72BD5">
      <w:pPr>
        <w:spacing w:after="0" w:line="240" w:lineRule="auto"/>
        <w:jc w:val="both"/>
        <w:rPr>
          <w:i/>
        </w:rPr>
      </w:pPr>
    </w:p>
    <w:p w:rsidR="00D72BD5" w:rsidRPr="00AF5932" w:rsidRDefault="00D72BD5" w:rsidP="00D72BD5">
      <w:pPr>
        <w:pStyle w:val="Paragrafoelenco"/>
        <w:numPr>
          <w:ilvl w:val="0"/>
          <w:numId w:val="28"/>
        </w:numPr>
        <w:spacing w:after="0" w:line="240" w:lineRule="auto"/>
        <w:jc w:val="both"/>
        <w:rPr>
          <w:i/>
        </w:rPr>
      </w:pPr>
      <w:r w:rsidRPr="00675660">
        <w:t xml:space="preserve">Caso </w:t>
      </w:r>
      <w:r w:rsidRPr="00675660">
        <w:rPr>
          <w:i/>
        </w:rPr>
        <w:t xml:space="preserve">Colom y Piris, </w:t>
      </w:r>
      <w:r w:rsidRPr="00675660">
        <w:t xml:space="preserve">1933: </w:t>
      </w:r>
      <w:r w:rsidR="003A6E56">
        <w:t>pp. 63-63</w:t>
      </w:r>
    </w:p>
    <w:p w:rsidR="00D72BD5" w:rsidRPr="00AF5932" w:rsidRDefault="00D72BD5" w:rsidP="00D72BD5">
      <w:pPr>
        <w:spacing w:after="0" w:line="240" w:lineRule="auto"/>
        <w:jc w:val="both"/>
        <w:rPr>
          <w:i/>
        </w:rPr>
      </w:pPr>
    </w:p>
    <w:p w:rsidR="00D72BD5" w:rsidRPr="00AF5932" w:rsidRDefault="00D72BD5" w:rsidP="00D72BD5">
      <w:pPr>
        <w:pStyle w:val="Paragrafoelenco"/>
        <w:numPr>
          <w:ilvl w:val="0"/>
          <w:numId w:val="28"/>
        </w:numPr>
        <w:spacing w:after="0" w:line="240" w:lineRule="auto"/>
        <w:jc w:val="both"/>
        <w:rPr>
          <w:i/>
        </w:rPr>
      </w:pPr>
      <w:r>
        <w:t xml:space="preserve">Caso </w:t>
      </w:r>
      <w:r w:rsidRPr="00675660">
        <w:rPr>
          <w:i/>
        </w:rPr>
        <w:t>Columbia e Buffalo</w:t>
      </w:r>
      <w:r w:rsidR="003A6E56">
        <w:t>, 10 luglio 1909: p. 65</w:t>
      </w:r>
    </w:p>
    <w:p w:rsidR="00D72BD5" w:rsidRPr="00AF5932" w:rsidRDefault="00D72BD5" w:rsidP="00D72BD5">
      <w:pPr>
        <w:spacing w:after="0" w:line="240" w:lineRule="auto"/>
        <w:jc w:val="both"/>
        <w:rPr>
          <w:i/>
        </w:rPr>
      </w:pPr>
    </w:p>
    <w:p w:rsidR="00D72BD5" w:rsidRPr="00AF5932" w:rsidRDefault="00D72BD5" w:rsidP="00D72BD5">
      <w:pPr>
        <w:pStyle w:val="Paragrafoelenco"/>
        <w:numPr>
          <w:ilvl w:val="0"/>
          <w:numId w:val="28"/>
        </w:numPr>
        <w:spacing w:after="0" w:line="240" w:lineRule="auto"/>
        <w:jc w:val="both"/>
        <w:rPr>
          <w:smallCaps/>
          <w:sz w:val="28"/>
          <w:szCs w:val="28"/>
        </w:rPr>
      </w:pPr>
      <w:r w:rsidRPr="00EC5F62">
        <w:t xml:space="preserve">Caso </w:t>
      </w:r>
      <w:r>
        <w:t xml:space="preserve">della </w:t>
      </w:r>
      <w:r w:rsidRPr="00EC5F62">
        <w:rPr>
          <w:i/>
        </w:rPr>
        <w:t>controversia sorta tra Italia e Perù per il risarcimento dei danni subiti da alcuni cittadini italiani durante la guerra civile peruviana del 1894-1895</w:t>
      </w:r>
      <w:r>
        <w:rPr>
          <w:i/>
        </w:rPr>
        <w:t xml:space="preserve">, </w:t>
      </w:r>
      <w:r w:rsidR="003A6E56">
        <w:t xml:space="preserve">1897-1899: pp. 52-55 </w:t>
      </w:r>
      <w:r>
        <w:t xml:space="preserve">e pp. </w:t>
      </w:r>
      <w:r w:rsidR="003A6E56">
        <w:t>66-67</w:t>
      </w:r>
    </w:p>
    <w:p w:rsidR="00D72BD5" w:rsidRPr="00AF5932" w:rsidRDefault="00D72BD5" w:rsidP="00D72BD5">
      <w:pPr>
        <w:spacing w:after="0" w:line="240" w:lineRule="auto"/>
        <w:jc w:val="both"/>
        <w:rPr>
          <w:smallCaps/>
          <w:sz w:val="28"/>
          <w:szCs w:val="28"/>
        </w:rPr>
      </w:pPr>
    </w:p>
    <w:p w:rsidR="00D72BD5" w:rsidRPr="00AF5932" w:rsidRDefault="00D72BD5" w:rsidP="00D72BD5">
      <w:pPr>
        <w:pStyle w:val="Paragrafoelenco"/>
        <w:numPr>
          <w:ilvl w:val="0"/>
          <w:numId w:val="28"/>
        </w:numPr>
        <w:spacing w:after="0" w:line="240" w:lineRule="auto"/>
        <w:jc w:val="both"/>
        <w:rPr>
          <w:i/>
        </w:rPr>
      </w:pPr>
      <w:r>
        <w:t xml:space="preserve">Caso </w:t>
      </w:r>
      <w:r w:rsidRPr="002041D1">
        <w:rPr>
          <w:i/>
        </w:rPr>
        <w:t>Corghi</w:t>
      </w:r>
      <w:r w:rsidR="003A6E56">
        <w:t>, 1976: p. 143</w:t>
      </w:r>
    </w:p>
    <w:p w:rsidR="00D72BD5" w:rsidRPr="00AF5932" w:rsidRDefault="00D72BD5" w:rsidP="00D72BD5">
      <w:pPr>
        <w:spacing w:after="0" w:line="240" w:lineRule="auto"/>
        <w:jc w:val="both"/>
        <w:rPr>
          <w:i/>
        </w:rPr>
      </w:pPr>
    </w:p>
    <w:p w:rsidR="00D72BD5" w:rsidRPr="00AF5932" w:rsidRDefault="00D72BD5" w:rsidP="00D72BD5">
      <w:pPr>
        <w:pStyle w:val="Paragrafoelenco"/>
        <w:numPr>
          <w:ilvl w:val="0"/>
          <w:numId w:val="28"/>
        </w:numPr>
        <w:spacing w:after="0" w:line="240" w:lineRule="auto"/>
        <w:jc w:val="both"/>
        <w:rPr>
          <w:i/>
        </w:rPr>
      </w:pPr>
      <w:r>
        <w:t xml:space="preserve">Caso </w:t>
      </w:r>
      <w:r w:rsidRPr="002041D1">
        <w:rPr>
          <w:i/>
        </w:rPr>
        <w:t>Drew</w:t>
      </w:r>
      <w:r w:rsidR="003A6E56">
        <w:t>, 1978: p. 141</w:t>
      </w:r>
    </w:p>
    <w:p w:rsidR="00D72BD5" w:rsidRPr="00AF5932" w:rsidRDefault="00D72BD5" w:rsidP="00D72BD5">
      <w:pPr>
        <w:spacing w:after="0" w:line="240" w:lineRule="auto"/>
        <w:jc w:val="both"/>
        <w:rPr>
          <w:i/>
        </w:rPr>
      </w:pPr>
    </w:p>
    <w:p w:rsidR="00D72BD5" w:rsidRPr="00AF5932" w:rsidRDefault="00D72BD5" w:rsidP="00D72BD5">
      <w:pPr>
        <w:pStyle w:val="Paragrafoelenco"/>
        <w:numPr>
          <w:ilvl w:val="0"/>
          <w:numId w:val="28"/>
        </w:numPr>
        <w:spacing w:after="0" w:line="240" w:lineRule="auto"/>
        <w:jc w:val="both"/>
        <w:rPr>
          <w:i/>
        </w:rPr>
      </w:pPr>
      <w:r>
        <w:t xml:space="preserve">Caso </w:t>
      </w:r>
      <w:r w:rsidRPr="002041D1">
        <w:rPr>
          <w:i/>
        </w:rPr>
        <w:t>Guerrero</w:t>
      </w:r>
      <w:r w:rsidR="003A6E56">
        <w:t>, 1971: p. 140</w:t>
      </w:r>
    </w:p>
    <w:p w:rsidR="00D72BD5" w:rsidRDefault="00D72BD5" w:rsidP="00D72BD5">
      <w:pPr>
        <w:pStyle w:val="Paragrafoelenco"/>
      </w:pPr>
    </w:p>
    <w:p w:rsidR="00D72BD5" w:rsidRPr="00AF5932" w:rsidRDefault="00D72BD5" w:rsidP="00D72BD5">
      <w:pPr>
        <w:pStyle w:val="Paragrafoelenco"/>
        <w:numPr>
          <w:ilvl w:val="0"/>
          <w:numId w:val="28"/>
        </w:numPr>
        <w:spacing w:after="0" w:line="240" w:lineRule="auto"/>
        <w:jc w:val="both"/>
        <w:rPr>
          <w:i/>
        </w:rPr>
      </w:pPr>
      <w:r>
        <w:t>Caso dell’</w:t>
      </w:r>
      <w:r w:rsidRPr="00AF5932">
        <w:rPr>
          <w:i/>
        </w:rPr>
        <w:t>incidente aereo del 27 luglio 1955</w:t>
      </w:r>
      <w:r w:rsidR="003A6E56">
        <w:t>, 1955-1959: p. 69</w:t>
      </w:r>
    </w:p>
    <w:p w:rsidR="00D72BD5" w:rsidRPr="00AF5932" w:rsidRDefault="00D72BD5" w:rsidP="00D72BD5">
      <w:pPr>
        <w:spacing w:after="0" w:line="240" w:lineRule="auto"/>
        <w:jc w:val="both"/>
        <w:rPr>
          <w:i/>
        </w:rPr>
      </w:pPr>
    </w:p>
    <w:p w:rsidR="00D72BD5" w:rsidRPr="00AF5932" w:rsidRDefault="00D72BD5" w:rsidP="00D72BD5">
      <w:pPr>
        <w:pStyle w:val="Paragrafoelenco"/>
        <w:numPr>
          <w:ilvl w:val="0"/>
          <w:numId w:val="28"/>
        </w:numPr>
        <w:spacing w:after="0" w:line="240" w:lineRule="auto"/>
        <w:jc w:val="both"/>
        <w:rPr>
          <w:i/>
        </w:rPr>
      </w:pPr>
      <w:r>
        <w:t>Caso dell’</w:t>
      </w:r>
      <w:r>
        <w:rPr>
          <w:i/>
        </w:rPr>
        <w:t xml:space="preserve">incidente aereo del 1° settembre 1983, </w:t>
      </w:r>
      <w:r w:rsidR="0008563E">
        <w:t>1983: pp. 138-139</w:t>
      </w:r>
    </w:p>
    <w:p w:rsidR="00D72BD5" w:rsidRPr="001B1420" w:rsidRDefault="00D72BD5" w:rsidP="00D72BD5">
      <w:pPr>
        <w:pStyle w:val="Paragrafoelenco"/>
        <w:spacing w:after="0" w:line="240" w:lineRule="auto"/>
        <w:jc w:val="both"/>
        <w:rPr>
          <w:i/>
        </w:rPr>
      </w:pPr>
    </w:p>
    <w:p w:rsidR="00D72BD5" w:rsidRPr="00AF5932" w:rsidRDefault="00D72BD5" w:rsidP="00D72BD5">
      <w:pPr>
        <w:pStyle w:val="Paragrafoelenco"/>
        <w:numPr>
          <w:ilvl w:val="0"/>
          <w:numId w:val="28"/>
        </w:numPr>
        <w:spacing w:after="0" w:line="240" w:lineRule="auto"/>
        <w:jc w:val="both"/>
        <w:rPr>
          <w:i/>
        </w:rPr>
      </w:pPr>
      <w:r>
        <w:t xml:space="preserve">Caso </w:t>
      </w:r>
      <w:r w:rsidRPr="000779F2">
        <w:rPr>
          <w:i/>
        </w:rPr>
        <w:t>Lazo Vracaritch</w:t>
      </w:r>
      <w:r w:rsidR="0008563E">
        <w:t>, 1961: pp. 140-141</w:t>
      </w:r>
    </w:p>
    <w:p w:rsidR="00D72BD5" w:rsidRDefault="00D72BD5" w:rsidP="00D72BD5">
      <w:pPr>
        <w:spacing w:after="0" w:line="240" w:lineRule="auto"/>
        <w:jc w:val="both"/>
      </w:pPr>
    </w:p>
    <w:p w:rsidR="00D72BD5" w:rsidRDefault="00D72BD5" w:rsidP="00D72BD5">
      <w:pPr>
        <w:pStyle w:val="Paragrafoelenco"/>
      </w:pPr>
    </w:p>
    <w:p w:rsidR="00D72BD5" w:rsidRDefault="00D72BD5" w:rsidP="00D72BD5">
      <w:pPr>
        <w:pStyle w:val="Paragrafoelenco"/>
        <w:spacing w:after="0" w:line="240" w:lineRule="auto"/>
        <w:jc w:val="both"/>
      </w:pPr>
    </w:p>
    <w:p w:rsidR="00D72BD5" w:rsidRDefault="00D72BD5" w:rsidP="00D72BD5">
      <w:pPr>
        <w:pStyle w:val="Paragrafoelenco"/>
        <w:spacing w:after="0" w:line="240" w:lineRule="auto"/>
        <w:jc w:val="both"/>
      </w:pPr>
    </w:p>
    <w:p w:rsidR="006B7EA3" w:rsidRDefault="006B7EA3" w:rsidP="006B7EA3">
      <w:pPr>
        <w:spacing w:after="0" w:line="240" w:lineRule="auto"/>
        <w:jc w:val="both"/>
      </w:pPr>
    </w:p>
    <w:p w:rsidR="006B7EA3" w:rsidRDefault="006B7EA3" w:rsidP="006B7EA3">
      <w:pPr>
        <w:spacing w:after="0" w:line="240" w:lineRule="auto"/>
        <w:jc w:val="both"/>
      </w:pPr>
    </w:p>
    <w:p w:rsidR="00D72BD5" w:rsidRPr="004552A0" w:rsidRDefault="00D72BD5" w:rsidP="00D72BD5">
      <w:pPr>
        <w:pStyle w:val="Paragrafoelenco"/>
        <w:numPr>
          <w:ilvl w:val="0"/>
          <w:numId w:val="28"/>
        </w:numPr>
        <w:spacing w:after="0" w:line="240" w:lineRule="auto"/>
        <w:jc w:val="both"/>
        <w:rPr>
          <w:lang w:val="en-US"/>
        </w:rPr>
      </w:pPr>
      <w:r w:rsidRPr="004552A0">
        <w:rPr>
          <w:lang w:val="en-US"/>
        </w:rPr>
        <w:t xml:space="preserve">Caso </w:t>
      </w:r>
      <w:r w:rsidRPr="004552A0">
        <w:rPr>
          <w:i/>
          <w:lang w:val="en-US"/>
        </w:rPr>
        <w:t>Miller</w:t>
      </w:r>
      <w:r w:rsidR="004552A0" w:rsidRPr="004552A0">
        <w:rPr>
          <w:lang w:val="en-US"/>
        </w:rPr>
        <w:t>, 1910: p. 6</w:t>
      </w:r>
      <w:r w:rsidR="004552A0">
        <w:rPr>
          <w:lang w:val="en-US"/>
        </w:rPr>
        <w:t>2</w:t>
      </w:r>
    </w:p>
    <w:p w:rsidR="00D72BD5" w:rsidRPr="004552A0" w:rsidRDefault="00D72BD5" w:rsidP="00D72BD5">
      <w:pPr>
        <w:spacing w:after="0" w:line="240" w:lineRule="auto"/>
        <w:jc w:val="both"/>
        <w:rPr>
          <w:lang w:val="en-US"/>
        </w:rPr>
      </w:pPr>
    </w:p>
    <w:p w:rsidR="00D72BD5" w:rsidRPr="00AF5932" w:rsidRDefault="00D72BD5" w:rsidP="00D72BD5">
      <w:pPr>
        <w:pStyle w:val="Paragrafoelenco"/>
        <w:numPr>
          <w:ilvl w:val="0"/>
          <w:numId w:val="28"/>
        </w:numPr>
        <w:spacing w:after="0" w:line="240" w:lineRule="auto"/>
        <w:jc w:val="both"/>
        <w:rPr>
          <w:smallCaps/>
          <w:sz w:val="28"/>
          <w:szCs w:val="28"/>
          <w:lang w:val="en-US"/>
        </w:rPr>
      </w:pPr>
      <w:r w:rsidRPr="00DD6040">
        <w:rPr>
          <w:lang w:val="en-US"/>
        </w:rPr>
        <w:t xml:space="preserve">Caso </w:t>
      </w:r>
      <w:r w:rsidRPr="00DD6040">
        <w:rPr>
          <w:i/>
          <w:lang w:val="en-US"/>
        </w:rPr>
        <w:t>Only Son</w:t>
      </w:r>
      <w:r w:rsidR="004552A0">
        <w:rPr>
          <w:lang w:val="en-US"/>
        </w:rPr>
        <w:t>, 1853: p. 42, nota 122</w:t>
      </w:r>
    </w:p>
    <w:p w:rsidR="00D72BD5" w:rsidRPr="00AF5932" w:rsidRDefault="00D72BD5" w:rsidP="00D72BD5">
      <w:pPr>
        <w:spacing w:after="0" w:line="240" w:lineRule="auto"/>
        <w:jc w:val="both"/>
        <w:rPr>
          <w:smallCaps/>
          <w:sz w:val="28"/>
          <w:szCs w:val="28"/>
          <w:lang w:val="en-US"/>
        </w:rPr>
      </w:pPr>
    </w:p>
    <w:p w:rsidR="00D72BD5" w:rsidRPr="004552A0" w:rsidRDefault="003932A4" w:rsidP="00D72BD5">
      <w:pPr>
        <w:pStyle w:val="Paragrafoelenco"/>
        <w:numPr>
          <w:ilvl w:val="0"/>
          <w:numId w:val="28"/>
        </w:numPr>
        <w:spacing w:after="0" w:line="240" w:lineRule="auto"/>
        <w:jc w:val="both"/>
        <w:rPr>
          <w:i/>
          <w:lang w:val="en-US"/>
        </w:rPr>
      </w:pPr>
      <w:r w:rsidRPr="004552A0">
        <w:rPr>
          <w:lang w:val="en-US"/>
        </w:rPr>
        <w:t xml:space="preserve">Caso </w:t>
      </w:r>
      <w:r w:rsidR="00D72BD5" w:rsidRPr="004552A0">
        <w:rPr>
          <w:i/>
          <w:lang w:val="en-US"/>
        </w:rPr>
        <w:t>Panther</w:t>
      </w:r>
      <w:r w:rsidR="00D72BD5" w:rsidRPr="004552A0">
        <w:rPr>
          <w:lang w:val="en-US"/>
        </w:rPr>
        <w:t>, 1905</w:t>
      </w:r>
      <w:r w:rsidR="004552A0">
        <w:rPr>
          <w:lang w:val="en-US"/>
        </w:rPr>
        <w:t>-1906: p. 68</w:t>
      </w:r>
    </w:p>
    <w:p w:rsidR="00D72BD5" w:rsidRPr="004552A0" w:rsidRDefault="00D72BD5" w:rsidP="00D72BD5">
      <w:pPr>
        <w:spacing w:after="0" w:line="240" w:lineRule="auto"/>
        <w:jc w:val="both"/>
        <w:rPr>
          <w:i/>
          <w:lang w:val="en-US"/>
        </w:rPr>
      </w:pPr>
    </w:p>
    <w:p w:rsidR="00D72BD5" w:rsidRDefault="00D72BD5" w:rsidP="00D72BD5">
      <w:pPr>
        <w:pStyle w:val="Paragrafoelenco"/>
        <w:numPr>
          <w:ilvl w:val="0"/>
          <w:numId w:val="28"/>
        </w:numPr>
        <w:spacing w:after="0" w:line="240" w:lineRule="auto"/>
        <w:jc w:val="both"/>
        <w:rPr>
          <w:lang w:val="en-US"/>
        </w:rPr>
      </w:pPr>
      <w:r w:rsidRPr="00950229">
        <w:rPr>
          <w:lang w:val="en-US"/>
        </w:rPr>
        <w:t xml:space="preserve">Caso </w:t>
      </w:r>
      <w:r w:rsidRPr="00950229">
        <w:rPr>
          <w:i/>
          <w:lang w:val="en-US"/>
        </w:rPr>
        <w:t>Royal Holland Llyod, A Corporation v. The United States</w:t>
      </w:r>
      <w:r w:rsidRPr="00950229">
        <w:rPr>
          <w:lang w:val="en-US"/>
        </w:rPr>
        <w:t xml:space="preserve">, 1932: </w:t>
      </w:r>
      <w:r w:rsidR="004552A0">
        <w:rPr>
          <w:lang w:val="en-US"/>
        </w:rPr>
        <w:t>pp. 62-63</w:t>
      </w:r>
    </w:p>
    <w:p w:rsidR="00D72BD5" w:rsidRPr="00AF5932" w:rsidRDefault="00D72BD5" w:rsidP="00D72BD5">
      <w:pPr>
        <w:spacing w:after="0" w:line="240" w:lineRule="auto"/>
        <w:jc w:val="both"/>
        <w:rPr>
          <w:lang w:val="en-US"/>
        </w:rPr>
      </w:pPr>
    </w:p>
    <w:p w:rsidR="00D72BD5" w:rsidRPr="004552A0" w:rsidRDefault="00D72BD5" w:rsidP="00D72BD5">
      <w:pPr>
        <w:pStyle w:val="Paragrafoelenco"/>
        <w:numPr>
          <w:ilvl w:val="0"/>
          <w:numId w:val="28"/>
        </w:numPr>
        <w:spacing w:after="0" w:line="240" w:lineRule="auto"/>
        <w:jc w:val="both"/>
        <w:rPr>
          <w:i/>
          <w:lang w:val="en-US"/>
        </w:rPr>
      </w:pPr>
      <w:r w:rsidRPr="004552A0">
        <w:rPr>
          <w:lang w:val="en-US"/>
        </w:rPr>
        <w:t xml:space="preserve">Caso </w:t>
      </w:r>
      <w:r w:rsidRPr="004552A0">
        <w:rPr>
          <w:i/>
          <w:lang w:val="en-US"/>
        </w:rPr>
        <w:t>Scott</w:t>
      </w:r>
      <w:r w:rsidR="004552A0">
        <w:rPr>
          <w:lang w:val="en-US"/>
        </w:rPr>
        <w:t>, 1922: p. 65</w:t>
      </w:r>
    </w:p>
    <w:p w:rsidR="00D72BD5" w:rsidRPr="004552A0" w:rsidRDefault="00D72BD5" w:rsidP="00D72BD5">
      <w:pPr>
        <w:spacing w:after="0" w:line="240" w:lineRule="auto"/>
        <w:jc w:val="both"/>
        <w:rPr>
          <w:i/>
          <w:lang w:val="en-US"/>
        </w:rPr>
      </w:pPr>
    </w:p>
    <w:p w:rsidR="00D72BD5" w:rsidRPr="00AF5932" w:rsidRDefault="00D72BD5" w:rsidP="00D72BD5">
      <w:pPr>
        <w:pStyle w:val="Paragrafoelenco"/>
        <w:numPr>
          <w:ilvl w:val="0"/>
          <w:numId w:val="28"/>
        </w:numPr>
        <w:spacing w:after="0" w:line="240" w:lineRule="auto"/>
        <w:jc w:val="both"/>
        <w:rPr>
          <w:smallCaps/>
          <w:sz w:val="28"/>
          <w:szCs w:val="28"/>
          <w:lang w:val="en-US"/>
        </w:rPr>
      </w:pPr>
      <w:r w:rsidRPr="009A469C">
        <w:rPr>
          <w:lang w:val="en-US"/>
        </w:rPr>
        <w:t xml:space="preserve">Caso </w:t>
      </w:r>
      <w:r w:rsidRPr="009A469C">
        <w:rPr>
          <w:i/>
          <w:lang w:val="en-US"/>
        </w:rPr>
        <w:t>Seal Fisheries Behring Sea</w:t>
      </w:r>
      <w:r w:rsidR="004552A0">
        <w:rPr>
          <w:lang w:val="en-US"/>
        </w:rPr>
        <w:t>, 1900: pp. 49-50</w:t>
      </w:r>
    </w:p>
    <w:p w:rsidR="00D72BD5" w:rsidRPr="00AF5932" w:rsidRDefault="00D72BD5" w:rsidP="00D72BD5">
      <w:pPr>
        <w:spacing w:after="0" w:line="240" w:lineRule="auto"/>
        <w:jc w:val="both"/>
        <w:rPr>
          <w:smallCaps/>
          <w:sz w:val="28"/>
          <w:szCs w:val="28"/>
          <w:lang w:val="en-US"/>
        </w:rPr>
      </w:pPr>
    </w:p>
    <w:p w:rsidR="00D72BD5" w:rsidRPr="004552A0" w:rsidRDefault="00D72BD5" w:rsidP="00D72BD5">
      <w:pPr>
        <w:pStyle w:val="Paragrafoelenco"/>
        <w:numPr>
          <w:ilvl w:val="0"/>
          <w:numId w:val="28"/>
        </w:numPr>
        <w:spacing w:after="0" w:line="240" w:lineRule="auto"/>
        <w:jc w:val="both"/>
        <w:rPr>
          <w:i/>
        </w:rPr>
      </w:pPr>
      <w:r w:rsidRPr="004552A0">
        <w:t xml:space="preserve">Caso </w:t>
      </w:r>
      <w:r w:rsidRPr="004552A0">
        <w:rPr>
          <w:i/>
        </w:rPr>
        <w:t>Shine e Milligen</w:t>
      </w:r>
      <w:r w:rsidR="004552A0" w:rsidRPr="004552A0">
        <w:t>, 1907: p. 6</w:t>
      </w:r>
      <w:r w:rsidR="004552A0">
        <w:t>5</w:t>
      </w:r>
    </w:p>
    <w:p w:rsidR="00D72BD5" w:rsidRPr="004552A0" w:rsidRDefault="00D72BD5" w:rsidP="00D72BD5">
      <w:pPr>
        <w:spacing w:after="0" w:line="240" w:lineRule="auto"/>
        <w:jc w:val="both"/>
        <w:rPr>
          <w:i/>
        </w:rPr>
      </w:pPr>
    </w:p>
    <w:p w:rsidR="00D72BD5" w:rsidRPr="004552A0" w:rsidRDefault="00D72BD5" w:rsidP="00D72BD5">
      <w:pPr>
        <w:pStyle w:val="Paragrafoelenco"/>
        <w:numPr>
          <w:ilvl w:val="0"/>
          <w:numId w:val="28"/>
        </w:numPr>
        <w:spacing w:after="0" w:line="240" w:lineRule="auto"/>
        <w:jc w:val="both"/>
        <w:rPr>
          <w:smallCaps/>
          <w:sz w:val="28"/>
          <w:szCs w:val="28"/>
        </w:rPr>
      </w:pPr>
      <w:r w:rsidRPr="004552A0">
        <w:t xml:space="preserve">Caso </w:t>
      </w:r>
      <w:r w:rsidRPr="004552A0">
        <w:rPr>
          <w:i/>
        </w:rPr>
        <w:t>Star and Herald</w:t>
      </w:r>
      <w:r w:rsidRPr="004552A0">
        <w:t xml:space="preserve">, 1885-1899: pp. </w:t>
      </w:r>
      <w:r w:rsidR="004552A0" w:rsidRPr="004552A0">
        <w:t>49-50 e pp. 6</w:t>
      </w:r>
      <w:r w:rsidR="004552A0">
        <w:t>0</w:t>
      </w:r>
      <w:r w:rsidRPr="004552A0">
        <w:t>-</w:t>
      </w:r>
      <w:r w:rsidR="004552A0">
        <w:t>61</w:t>
      </w:r>
    </w:p>
    <w:p w:rsidR="00D72BD5" w:rsidRPr="004552A0" w:rsidRDefault="00D72BD5" w:rsidP="00D72BD5">
      <w:pPr>
        <w:spacing w:after="0" w:line="240" w:lineRule="auto"/>
        <w:jc w:val="both"/>
        <w:rPr>
          <w:smallCaps/>
          <w:sz w:val="28"/>
          <w:szCs w:val="28"/>
        </w:rPr>
      </w:pPr>
    </w:p>
    <w:p w:rsidR="00D72BD5" w:rsidRPr="004552A0" w:rsidRDefault="00D72BD5" w:rsidP="00D72BD5">
      <w:pPr>
        <w:pStyle w:val="Paragrafoelenco"/>
        <w:numPr>
          <w:ilvl w:val="0"/>
          <w:numId w:val="28"/>
        </w:numPr>
        <w:spacing w:after="0" w:line="240" w:lineRule="auto"/>
        <w:jc w:val="both"/>
        <w:rPr>
          <w:i/>
        </w:rPr>
      </w:pPr>
      <w:r w:rsidRPr="004552A0">
        <w:t xml:space="preserve">Caso </w:t>
      </w:r>
      <w:r w:rsidRPr="004552A0">
        <w:rPr>
          <w:i/>
        </w:rPr>
        <w:t>Talamas</w:t>
      </w:r>
      <w:r w:rsidR="004552A0">
        <w:t>, 1957-1958: p. 64</w:t>
      </w:r>
    </w:p>
    <w:p w:rsidR="00D72BD5" w:rsidRPr="004552A0" w:rsidRDefault="00D72BD5" w:rsidP="00D72BD5">
      <w:pPr>
        <w:spacing w:after="0" w:line="240" w:lineRule="auto"/>
        <w:jc w:val="both"/>
        <w:rPr>
          <w:i/>
        </w:rPr>
      </w:pPr>
    </w:p>
    <w:p w:rsidR="00D72BD5" w:rsidRPr="004552A0" w:rsidRDefault="00D72BD5" w:rsidP="00D72BD5">
      <w:pPr>
        <w:pStyle w:val="Paragrafoelenco"/>
        <w:numPr>
          <w:ilvl w:val="0"/>
          <w:numId w:val="28"/>
        </w:numPr>
        <w:spacing w:after="0" w:line="240" w:lineRule="auto"/>
        <w:jc w:val="both"/>
        <w:rPr>
          <w:smallCaps/>
          <w:sz w:val="28"/>
          <w:szCs w:val="28"/>
        </w:rPr>
      </w:pPr>
      <w:r w:rsidRPr="004552A0">
        <w:t>Ca</w:t>
      </w:r>
      <w:r w:rsidRPr="00DC3A35">
        <w:t xml:space="preserve">so </w:t>
      </w:r>
      <w:r w:rsidRPr="00DC3A35">
        <w:rPr>
          <w:i/>
        </w:rPr>
        <w:t>Tunstall</w:t>
      </w:r>
      <w:r w:rsidR="004552A0">
        <w:t>, 1885: pp. 47-48</w:t>
      </w:r>
    </w:p>
    <w:p w:rsidR="00D72BD5" w:rsidRPr="004552A0" w:rsidRDefault="00D72BD5" w:rsidP="00D72BD5">
      <w:pPr>
        <w:spacing w:after="0" w:line="240" w:lineRule="auto"/>
        <w:jc w:val="both"/>
        <w:rPr>
          <w:smallCaps/>
          <w:sz w:val="28"/>
          <w:szCs w:val="28"/>
        </w:rPr>
      </w:pPr>
    </w:p>
    <w:p w:rsidR="00D72BD5" w:rsidRPr="00AF5932" w:rsidRDefault="00D72BD5" w:rsidP="00D72BD5">
      <w:pPr>
        <w:pStyle w:val="Paragrafoelenco"/>
        <w:numPr>
          <w:ilvl w:val="0"/>
          <w:numId w:val="28"/>
        </w:numPr>
        <w:spacing w:after="0" w:line="240" w:lineRule="auto"/>
        <w:jc w:val="both"/>
        <w:rPr>
          <w:i/>
        </w:rPr>
      </w:pPr>
      <w:r>
        <w:t xml:space="preserve">Caso </w:t>
      </w:r>
      <w:r w:rsidRPr="002041D1">
        <w:rPr>
          <w:i/>
        </w:rPr>
        <w:t>U.S.S. Stark</w:t>
      </w:r>
      <w:r w:rsidR="004552A0">
        <w:t>, 1987: pp. 139-140</w:t>
      </w:r>
    </w:p>
    <w:p w:rsidR="00D72BD5" w:rsidRPr="00AF5932" w:rsidRDefault="00D72BD5" w:rsidP="00D72BD5">
      <w:pPr>
        <w:spacing w:after="0" w:line="240" w:lineRule="auto"/>
        <w:jc w:val="both"/>
        <w:rPr>
          <w:i/>
        </w:rPr>
      </w:pPr>
    </w:p>
    <w:p w:rsidR="00D72BD5" w:rsidRPr="00AF5932" w:rsidRDefault="00D72BD5" w:rsidP="00D72BD5">
      <w:pPr>
        <w:pStyle w:val="Paragrafoelenco"/>
        <w:numPr>
          <w:ilvl w:val="0"/>
          <w:numId w:val="28"/>
        </w:numPr>
        <w:spacing w:after="0" w:line="240" w:lineRule="auto"/>
        <w:jc w:val="both"/>
        <w:rPr>
          <w:i/>
        </w:rPr>
      </w:pPr>
      <w:r>
        <w:t xml:space="preserve">Caso </w:t>
      </w:r>
      <w:r w:rsidRPr="00675660">
        <w:rPr>
          <w:i/>
        </w:rPr>
        <w:t>Vexaincourt</w:t>
      </w:r>
      <w:r w:rsidR="004552A0">
        <w:t>, 1887: p. 66</w:t>
      </w:r>
    </w:p>
    <w:p w:rsidR="00D72BD5" w:rsidRPr="00AF5932" w:rsidRDefault="00D72BD5" w:rsidP="00D72BD5">
      <w:pPr>
        <w:spacing w:after="0" w:line="240" w:lineRule="auto"/>
        <w:jc w:val="both"/>
        <w:rPr>
          <w:i/>
        </w:rPr>
      </w:pPr>
    </w:p>
    <w:p w:rsidR="00D72BD5" w:rsidRPr="00AF5932" w:rsidRDefault="00D72BD5" w:rsidP="00D72BD5">
      <w:pPr>
        <w:pStyle w:val="Paragrafoelenco"/>
        <w:numPr>
          <w:ilvl w:val="0"/>
          <w:numId w:val="28"/>
        </w:numPr>
        <w:spacing w:after="0" w:line="240" w:lineRule="auto"/>
        <w:jc w:val="both"/>
        <w:rPr>
          <w:i/>
        </w:rPr>
      </w:pPr>
      <w:r>
        <w:t xml:space="preserve">Caso della </w:t>
      </w:r>
      <w:r w:rsidRPr="002041D1">
        <w:rPr>
          <w:i/>
        </w:rPr>
        <w:t>violazione della frontiera del Marocco</w:t>
      </w:r>
      <w:r w:rsidR="004552A0">
        <w:t>, 1962: pp. 142-143</w:t>
      </w:r>
    </w:p>
    <w:p w:rsidR="00D72BD5" w:rsidRPr="00AF5932" w:rsidRDefault="00D72BD5" w:rsidP="00D72BD5">
      <w:pPr>
        <w:spacing w:after="0" w:line="240" w:lineRule="auto"/>
        <w:jc w:val="both"/>
        <w:rPr>
          <w:i/>
        </w:rPr>
      </w:pPr>
    </w:p>
    <w:p w:rsidR="00D72BD5" w:rsidRPr="00AF5932" w:rsidRDefault="00D72BD5" w:rsidP="00D72BD5">
      <w:pPr>
        <w:pStyle w:val="Paragrafoelenco"/>
        <w:numPr>
          <w:ilvl w:val="0"/>
          <w:numId w:val="28"/>
        </w:numPr>
        <w:spacing w:after="0" w:line="240" w:lineRule="auto"/>
        <w:jc w:val="both"/>
        <w:rPr>
          <w:i/>
        </w:rPr>
      </w:pPr>
      <w:r>
        <w:t xml:space="preserve">Caso della </w:t>
      </w:r>
      <w:r w:rsidRPr="002041D1">
        <w:rPr>
          <w:i/>
        </w:rPr>
        <w:t>violazione della frontiera irlandese</w:t>
      </w:r>
      <w:r>
        <w:t xml:space="preserve">, </w:t>
      </w:r>
      <w:r w:rsidR="00456E0A">
        <w:t>1984: p. 144</w:t>
      </w:r>
    </w:p>
    <w:p w:rsidR="00D72BD5" w:rsidRPr="00AF5932" w:rsidRDefault="00D72BD5" w:rsidP="00D72BD5">
      <w:pPr>
        <w:spacing w:after="0" w:line="240" w:lineRule="auto"/>
        <w:jc w:val="both"/>
        <w:rPr>
          <w:i/>
        </w:rPr>
      </w:pPr>
    </w:p>
    <w:p w:rsidR="00D72BD5" w:rsidRPr="00EC5F62" w:rsidRDefault="00D72BD5" w:rsidP="00D72BD5">
      <w:pPr>
        <w:pStyle w:val="Paragrafoelenco"/>
        <w:numPr>
          <w:ilvl w:val="0"/>
          <w:numId w:val="28"/>
        </w:numPr>
        <w:spacing w:after="0" w:line="240" w:lineRule="auto"/>
        <w:jc w:val="both"/>
        <w:rPr>
          <w:smallCaps/>
          <w:sz w:val="28"/>
          <w:szCs w:val="28"/>
        </w:rPr>
      </w:pPr>
      <w:r>
        <w:t xml:space="preserve">Caso </w:t>
      </w:r>
      <w:r w:rsidRPr="00EC5F62">
        <w:rPr>
          <w:i/>
        </w:rPr>
        <w:t>Young</w:t>
      </w:r>
      <w:r w:rsidR="00456E0A">
        <w:t>, 1884-1886: p. 61</w:t>
      </w:r>
    </w:p>
    <w:p w:rsidR="00915A55" w:rsidRDefault="00915A55">
      <w:pPr>
        <w:rPr>
          <w:i/>
        </w:rPr>
      </w:pPr>
      <w:r>
        <w:rPr>
          <w:i/>
        </w:rPr>
        <w:br w:type="page"/>
      </w:r>
    </w:p>
    <w:p w:rsidR="00D72BD5" w:rsidRPr="00AD0495" w:rsidRDefault="00D72BD5" w:rsidP="00D72BD5">
      <w:pPr>
        <w:spacing w:after="0" w:line="240" w:lineRule="auto"/>
        <w:jc w:val="both"/>
        <w:rPr>
          <w:sz w:val="24"/>
          <w:szCs w:val="24"/>
        </w:rPr>
      </w:pPr>
      <w:r w:rsidRPr="00AD0495">
        <w:rPr>
          <w:sz w:val="24"/>
          <w:szCs w:val="24"/>
        </w:rPr>
        <w:t>La giurisprudenza internazionale</w:t>
      </w:r>
    </w:p>
    <w:p w:rsidR="00D72BD5" w:rsidRPr="00AD0495" w:rsidRDefault="00D72BD5" w:rsidP="00D72BD5">
      <w:pPr>
        <w:spacing w:after="0" w:line="240" w:lineRule="auto"/>
        <w:jc w:val="both"/>
        <w:rPr>
          <w:sz w:val="24"/>
          <w:szCs w:val="24"/>
        </w:rPr>
      </w:pPr>
    </w:p>
    <w:p w:rsidR="00D72BD5" w:rsidRDefault="00D72BD5" w:rsidP="00D72BD5">
      <w:pPr>
        <w:spacing w:after="0" w:line="240" w:lineRule="auto"/>
        <w:jc w:val="both"/>
        <w:rPr>
          <w:smallCaps/>
        </w:rPr>
      </w:pPr>
      <w:r w:rsidRPr="00AD0495">
        <w:rPr>
          <w:smallCaps/>
        </w:rPr>
        <w:t>Corte internazionale di giustizia</w:t>
      </w:r>
    </w:p>
    <w:p w:rsidR="00D72BD5" w:rsidRDefault="00D72BD5" w:rsidP="00D72BD5">
      <w:pPr>
        <w:spacing w:after="0" w:line="240" w:lineRule="auto"/>
        <w:jc w:val="both"/>
        <w:rPr>
          <w:smallCaps/>
        </w:rPr>
      </w:pPr>
    </w:p>
    <w:p w:rsidR="00D72BD5" w:rsidRPr="00BC6E21" w:rsidRDefault="00D72BD5" w:rsidP="00D72BD5">
      <w:pPr>
        <w:pStyle w:val="Paragrafoelenco"/>
        <w:numPr>
          <w:ilvl w:val="0"/>
          <w:numId w:val="28"/>
        </w:numPr>
        <w:spacing w:after="0" w:line="240" w:lineRule="auto"/>
        <w:jc w:val="both"/>
        <w:rPr>
          <w:lang w:val="fr-FR"/>
        </w:rPr>
      </w:pPr>
      <w:r w:rsidRPr="00BC6E21">
        <w:rPr>
          <w:lang w:val="fr-FR"/>
        </w:rPr>
        <w:t xml:space="preserve">parere consultivo 20 luglio 1962, caso </w:t>
      </w:r>
      <w:r w:rsidRPr="00BC6E21">
        <w:rPr>
          <w:i/>
          <w:lang w:val="fr-FR"/>
        </w:rPr>
        <w:t xml:space="preserve">Certaines dépenses des Nations Unies: </w:t>
      </w:r>
      <w:r w:rsidR="00BC6E21" w:rsidRPr="00BC6E21">
        <w:rPr>
          <w:lang w:val="fr-FR"/>
        </w:rPr>
        <w:t>pp. 87-88</w:t>
      </w:r>
    </w:p>
    <w:p w:rsidR="00D72BD5" w:rsidRPr="00BC6E21" w:rsidRDefault="00D72BD5" w:rsidP="00D72BD5">
      <w:pPr>
        <w:pStyle w:val="Paragrafoelenco"/>
        <w:spacing w:after="0" w:line="240" w:lineRule="auto"/>
        <w:jc w:val="both"/>
        <w:rPr>
          <w:lang w:val="fr-FR"/>
        </w:rPr>
      </w:pPr>
    </w:p>
    <w:p w:rsidR="00D72BD5" w:rsidRDefault="00D72BD5" w:rsidP="00D72BD5">
      <w:pPr>
        <w:pStyle w:val="Paragrafoelenco"/>
        <w:numPr>
          <w:ilvl w:val="0"/>
          <w:numId w:val="28"/>
        </w:numPr>
        <w:spacing w:after="0" w:line="240" w:lineRule="auto"/>
        <w:jc w:val="both"/>
      </w:pPr>
      <w:r w:rsidRPr="00972E2C">
        <w:t xml:space="preserve">sentenza del 27 giugno 1986, caso </w:t>
      </w:r>
      <w:r w:rsidRPr="00972E2C">
        <w:rPr>
          <w:i/>
        </w:rPr>
        <w:t>Attività militari in e contro il Nicaragua</w:t>
      </w:r>
      <w:r w:rsidR="00BC6E21">
        <w:t>: pp. 185-18</w:t>
      </w:r>
      <w:r>
        <w:t>8</w:t>
      </w:r>
    </w:p>
    <w:p w:rsidR="00D72BD5" w:rsidRDefault="00D72BD5" w:rsidP="00D72BD5">
      <w:pPr>
        <w:pStyle w:val="Paragrafoelenco"/>
      </w:pPr>
    </w:p>
    <w:p w:rsidR="00D72BD5" w:rsidRDefault="00D72BD5" w:rsidP="00D72BD5">
      <w:pPr>
        <w:pStyle w:val="Paragrafoelenco"/>
        <w:numPr>
          <w:ilvl w:val="0"/>
          <w:numId w:val="28"/>
        </w:numPr>
        <w:spacing w:after="0" w:line="240" w:lineRule="auto"/>
        <w:jc w:val="both"/>
      </w:pPr>
      <w:r>
        <w:t xml:space="preserve">sentenza del 19 dicembre 2005, caso </w:t>
      </w:r>
      <w:r>
        <w:rPr>
          <w:i/>
        </w:rPr>
        <w:t>attività militari sul territorio del Congo</w:t>
      </w:r>
      <w:r w:rsidR="00A249EB">
        <w:t>: pp. 188-189</w:t>
      </w:r>
    </w:p>
    <w:p w:rsidR="00D72BD5" w:rsidRDefault="00D72BD5" w:rsidP="00D72BD5">
      <w:pPr>
        <w:pStyle w:val="Paragrafoelenco"/>
      </w:pPr>
    </w:p>
    <w:p w:rsidR="00D72BD5" w:rsidRDefault="00D72BD5" w:rsidP="00D72BD5">
      <w:pPr>
        <w:pStyle w:val="Paragrafoelenco"/>
        <w:numPr>
          <w:ilvl w:val="0"/>
          <w:numId w:val="28"/>
        </w:numPr>
        <w:spacing w:after="0" w:line="240" w:lineRule="auto"/>
        <w:jc w:val="both"/>
      </w:pPr>
      <w:r>
        <w:t xml:space="preserve">sentenza del 26 febbraio 2007, caso </w:t>
      </w:r>
      <w:r>
        <w:rPr>
          <w:i/>
        </w:rPr>
        <w:t>applicazione della Convenzione sul genocidio</w:t>
      </w:r>
      <w:r w:rsidR="001B5798">
        <w:t>: pp. 190-19</w:t>
      </w:r>
      <w:r>
        <w:t>4</w:t>
      </w:r>
    </w:p>
    <w:p w:rsidR="009602DB" w:rsidRDefault="009602DB" w:rsidP="009602DB">
      <w:pPr>
        <w:spacing w:after="0" w:line="240" w:lineRule="auto"/>
        <w:jc w:val="both"/>
      </w:pPr>
    </w:p>
    <w:p w:rsidR="00D72BD5" w:rsidRPr="00972E2C" w:rsidRDefault="00D72BD5" w:rsidP="00D72BD5">
      <w:pPr>
        <w:spacing w:after="0" w:line="240" w:lineRule="auto"/>
        <w:jc w:val="both"/>
        <w:rPr>
          <w:smallCaps/>
        </w:rPr>
      </w:pPr>
    </w:p>
    <w:p w:rsidR="00D72BD5" w:rsidRDefault="00A67D40" w:rsidP="00D72BD5">
      <w:pPr>
        <w:spacing w:after="0" w:line="240" w:lineRule="auto"/>
        <w:jc w:val="both"/>
        <w:rPr>
          <w:smallCaps/>
        </w:rPr>
      </w:pPr>
      <w:r>
        <w:rPr>
          <w:smallCaps/>
        </w:rPr>
        <w:t xml:space="preserve">corte </w:t>
      </w:r>
      <w:r w:rsidR="00D72BD5" w:rsidRPr="00211B75">
        <w:rPr>
          <w:smallCaps/>
        </w:rPr>
        <w:t>europea dei diritti dell’uomo</w:t>
      </w:r>
    </w:p>
    <w:p w:rsidR="00D72BD5" w:rsidRDefault="00D72BD5" w:rsidP="00D72BD5">
      <w:pPr>
        <w:spacing w:after="0" w:line="240" w:lineRule="auto"/>
        <w:jc w:val="both"/>
        <w:rPr>
          <w:smallCaps/>
        </w:rPr>
      </w:pPr>
    </w:p>
    <w:p w:rsidR="00D72BD5" w:rsidRDefault="00D72BD5" w:rsidP="00D72BD5">
      <w:pPr>
        <w:pStyle w:val="Paragrafoelenco"/>
        <w:spacing w:after="0" w:line="240" w:lineRule="auto"/>
        <w:jc w:val="both"/>
      </w:pPr>
    </w:p>
    <w:p w:rsidR="00D72BD5" w:rsidRDefault="00D72BD5" w:rsidP="00D72BD5">
      <w:pPr>
        <w:pStyle w:val="Paragrafoelenco"/>
        <w:numPr>
          <w:ilvl w:val="0"/>
          <w:numId w:val="28"/>
        </w:numPr>
        <w:spacing w:after="0" w:line="240" w:lineRule="auto"/>
        <w:jc w:val="both"/>
      </w:pPr>
      <w:r>
        <w:t xml:space="preserve">sentenza 18 gennaio 1978, caso </w:t>
      </w:r>
      <w:r w:rsidRPr="00211B75">
        <w:rPr>
          <w:i/>
        </w:rPr>
        <w:t xml:space="preserve">Irlanda </w:t>
      </w:r>
      <w:r w:rsidRPr="00211B75">
        <w:t>c.</w:t>
      </w:r>
      <w:r w:rsidRPr="00211B75">
        <w:rPr>
          <w:i/>
        </w:rPr>
        <w:t xml:space="preserve"> Regno Unito</w:t>
      </w:r>
      <w:r w:rsidR="00E916A7">
        <w:t>: pp. 161-165</w:t>
      </w:r>
    </w:p>
    <w:p w:rsidR="00D72BD5" w:rsidRDefault="00D72BD5" w:rsidP="00D72BD5">
      <w:pPr>
        <w:spacing w:after="0" w:line="240" w:lineRule="auto"/>
        <w:jc w:val="both"/>
      </w:pPr>
    </w:p>
    <w:p w:rsidR="00D72BD5" w:rsidRDefault="00D72BD5" w:rsidP="00D72BD5">
      <w:pPr>
        <w:pStyle w:val="Paragrafoelenco"/>
        <w:numPr>
          <w:ilvl w:val="0"/>
          <w:numId w:val="28"/>
        </w:numPr>
        <w:spacing w:after="0" w:line="240" w:lineRule="auto"/>
        <w:jc w:val="both"/>
      </w:pPr>
      <w:r>
        <w:t xml:space="preserve">sentenza dell’8 aprile 2004, caso </w:t>
      </w:r>
      <w:r w:rsidRPr="008D7B08">
        <w:rPr>
          <w:i/>
        </w:rPr>
        <w:t>Assanidze c. Georgia</w:t>
      </w:r>
      <w:r w:rsidR="00E916A7">
        <w:t>: pp. 1</w:t>
      </w:r>
      <w:r>
        <w:t>6</w:t>
      </w:r>
      <w:r w:rsidR="00E916A7">
        <w:t>5-166</w:t>
      </w:r>
    </w:p>
    <w:p w:rsidR="00D72BD5" w:rsidRDefault="00D72BD5" w:rsidP="00D72BD5">
      <w:pPr>
        <w:spacing w:after="0" w:line="240" w:lineRule="auto"/>
        <w:jc w:val="both"/>
      </w:pPr>
    </w:p>
    <w:p w:rsidR="00D72BD5" w:rsidRPr="00211B75" w:rsidRDefault="00D72BD5" w:rsidP="00D72BD5">
      <w:pPr>
        <w:pStyle w:val="Paragrafoelenco"/>
        <w:numPr>
          <w:ilvl w:val="0"/>
          <w:numId w:val="28"/>
        </w:numPr>
        <w:spacing w:after="0" w:line="240" w:lineRule="auto"/>
        <w:jc w:val="both"/>
      </w:pPr>
      <w:r>
        <w:t xml:space="preserve">sentenza dell’8 luglio 2004, caso  </w:t>
      </w:r>
      <w:r>
        <w:rPr>
          <w:i/>
        </w:rPr>
        <w:t>Ilascu e altri c. Moldova e Russia</w:t>
      </w:r>
      <w:r w:rsidR="00E916A7">
        <w:t>: pp. 166-169</w:t>
      </w:r>
    </w:p>
    <w:p w:rsidR="00D72BD5" w:rsidRPr="00211B75" w:rsidRDefault="00D72BD5" w:rsidP="00D72BD5">
      <w:pPr>
        <w:spacing w:after="0" w:line="240" w:lineRule="auto"/>
        <w:jc w:val="both"/>
        <w:rPr>
          <w:smallCaps/>
        </w:rPr>
      </w:pPr>
    </w:p>
    <w:p w:rsidR="00D72BD5" w:rsidRPr="00A84BCE" w:rsidRDefault="00D72BD5" w:rsidP="00D72BD5">
      <w:pPr>
        <w:spacing w:after="0" w:line="240" w:lineRule="auto"/>
        <w:jc w:val="both"/>
        <w:rPr>
          <w:smallCaps/>
        </w:rPr>
      </w:pPr>
    </w:p>
    <w:p w:rsidR="00D72BD5" w:rsidRPr="00AD0495" w:rsidRDefault="00D72BD5" w:rsidP="00D72BD5">
      <w:pPr>
        <w:spacing w:after="0" w:line="240" w:lineRule="auto"/>
        <w:jc w:val="both"/>
        <w:rPr>
          <w:smallCaps/>
        </w:rPr>
      </w:pPr>
      <w:r w:rsidRPr="00AD0495">
        <w:rPr>
          <w:smallCaps/>
        </w:rPr>
        <w:t>Corte interamericana dei diritti dell’uomo</w:t>
      </w:r>
    </w:p>
    <w:p w:rsidR="00D72BD5" w:rsidRDefault="00D72BD5" w:rsidP="00D72BD5">
      <w:pPr>
        <w:spacing w:after="0" w:line="240" w:lineRule="auto"/>
        <w:jc w:val="both"/>
        <w:rPr>
          <w:smallCaps/>
        </w:rPr>
      </w:pPr>
    </w:p>
    <w:p w:rsidR="00340BD4" w:rsidRDefault="00D72BD5" w:rsidP="009602DB">
      <w:pPr>
        <w:pStyle w:val="Paragrafoelenco"/>
        <w:numPr>
          <w:ilvl w:val="0"/>
          <w:numId w:val="28"/>
        </w:numPr>
        <w:spacing w:after="0" w:line="240" w:lineRule="auto"/>
        <w:jc w:val="both"/>
      </w:pPr>
      <w:r w:rsidRPr="007F3759">
        <w:t xml:space="preserve">sentenza del 29 luglio 1988, </w:t>
      </w:r>
      <w:r>
        <w:t xml:space="preserve">caso </w:t>
      </w:r>
      <w:r>
        <w:rPr>
          <w:i/>
        </w:rPr>
        <w:t>Velásquez Rodríguez c. Honduras</w:t>
      </w:r>
      <w:r w:rsidR="00E916A7">
        <w:t>: pp. 169-171</w:t>
      </w:r>
    </w:p>
    <w:p w:rsidR="00340BD4" w:rsidRDefault="00340BD4" w:rsidP="00340BD4">
      <w:pPr>
        <w:pStyle w:val="Paragrafoelenco"/>
        <w:spacing w:after="0" w:line="240" w:lineRule="auto"/>
        <w:jc w:val="both"/>
      </w:pPr>
    </w:p>
    <w:p w:rsidR="00D72BD5" w:rsidRDefault="00D72BD5" w:rsidP="00D72BD5">
      <w:pPr>
        <w:pStyle w:val="Paragrafoelenco"/>
        <w:numPr>
          <w:ilvl w:val="0"/>
          <w:numId w:val="28"/>
        </w:numPr>
        <w:spacing w:after="0" w:line="240" w:lineRule="auto"/>
        <w:jc w:val="both"/>
      </w:pPr>
      <w:r>
        <w:t xml:space="preserve">sentenza del 15 settembre 2005, caso </w:t>
      </w:r>
      <w:r>
        <w:rPr>
          <w:i/>
        </w:rPr>
        <w:t>Mapiripán Massacre c. Colombia</w:t>
      </w:r>
      <w:r w:rsidR="00E916A7">
        <w:t>: pp. 172-175</w:t>
      </w:r>
    </w:p>
    <w:p w:rsidR="00D72BD5" w:rsidRDefault="00D72BD5" w:rsidP="00D72BD5">
      <w:pPr>
        <w:pStyle w:val="Paragrafoelenco"/>
      </w:pPr>
    </w:p>
    <w:p w:rsidR="00D72BD5" w:rsidRDefault="00D72BD5" w:rsidP="00D72BD5">
      <w:pPr>
        <w:pStyle w:val="Paragrafoelenco"/>
        <w:numPr>
          <w:ilvl w:val="0"/>
          <w:numId w:val="28"/>
        </w:numPr>
        <w:spacing w:after="0" w:line="240" w:lineRule="auto"/>
        <w:jc w:val="both"/>
      </w:pPr>
      <w:r>
        <w:t xml:space="preserve">sentenza del 31 gennaio 2006, caso </w:t>
      </w:r>
      <w:r>
        <w:rPr>
          <w:i/>
        </w:rPr>
        <w:t>Pueblo Bello Massacre c. Colombia</w:t>
      </w:r>
      <w:r w:rsidR="00E916A7">
        <w:t>: pp. 176-177</w:t>
      </w:r>
    </w:p>
    <w:p w:rsidR="0004352C" w:rsidRDefault="0004352C" w:rsidP="0004352C">
      <w:pPr>
        <w:pStyle w:val="Paragrafoelenco"/>
        <w:spacing w:after="0" w:line="240" w:lineRule="auto"/>
        <w:jc w:val="both"/>
      </w:pPr>
    </w:p>
    <w:p w:rsidR="0004352C" w:rsidRDefault="0004352C" w:rsidP="0004352C">
      <w:pPr>
        <w:pStyle w:val="Paragrafoelenco"/>
        <w:spacing w:after="0" w:line="240" w:lineRule="auto"/>
        <w:jc w:val="both"/>
      </w:pPr>
    </w:p>
    <w:p w:rsidR="0004352C" w:rsidRDefault="0004352C" w:rsidP="0004352C">
      <w:pPr>
        <w:pStyle w:val="Paragrafoelenco"/>
        <w:spacing w:after="0" w:line="240" w:lineRule="auto"/>
        <w:jc w:val="both"/>
      </w:pPr>
    </w:p>
    <w:p w:rsidR="0004352C" w:rsidRDefault="0004352C" w:rsidP="0004352C">
      <w:pPr>
        <w:pStyle w:val="Paragrafoelenco"/>
        <w:spacing w:after="0" w:line="240" w:lineRule="auto"/>
        <w:jc w:val="both"/>
      </w:pPr>
    </w:p>
    <w:p w:rsidR="00D72BD5" w:rsidRPr="002C420A" w:rsidRDefault="00D72BD5" w:rsidP="00D72BD5">
      <w:pPr>
        <w:pStyle w:val="Paragrafoelenco"/>
        <w:numPr>
          <w:ilvl w:val="0"/>
          <w:numId w:val="28"/>
        </w:numPr>
        <w:spacing w:after="0" w:line="240" w:lineRule="auto"/>
        <w:jc w:val="both"/>
      </w:pPr>
      <w:r>
        <w:t xml:space="preserve">sentenza del 6 maggio 2008, caso </w:t>
      </w:r>
      <w:r>
        <w:rPr>
          <w:i/>
        </w:rPr>
        <w:t>Yvon Neptune c. Haiti</w:t>
      </w:r>
      <w:r w:rsidR="00E916A7">
        <w:t>: pp. 177-178</w:t>
      </w:r>
    </w:p>
    <w:p w:rsidR="00D72BD5" w:rsidRDefault="00D72BD5" w:rsidP="00D72BD5">
      <w:pPr>
        <w:spacing w:after="0" w:line="240" w:lineRule="auto"/>
        <w:jc w:val="both"/>
        <w:rPr>
          <w:smallCaps/>
        </w:rPr>
      </w:pPr>
    </w:p>
    <w:p w:rsidR="009602DB" w:rsidRDefault="009602DB" w:rsidP="00D72BD5">
      <w:pPr>
        <w:spacing w:after="0" w:line="240" w:lineRule="auto"/>
        <w:jc w:val="both"/>
        <w:rPr>
          <w:smallCaps/>
        </w:rPr>
      </w:pPr>
    </w:p>
    <w:p w:rsidR="00D72BD5" w:rsidRDefault="00D72BD5" w:rsidP="00D72BD5">
      <w:pPr>
        <w:spacing w:after="0" w:line="240" w:lineRule="auto"/>
        <w:jc w:val="both"/>
        <w:rPr>
          <w:smallCaps/>
        </w:rPr>
      </w:pPr>
      <w:r w:rsidRPr="00A84BCE">
        <w:rPr>
          <w:smallCaps/>
        </w:rPr>
        <w:t xml:space="preserve">Tribunale penale internazionale per la </w:t>
      </w:r>
      <w:r w:rsidRPr="00A84BCE">
        <w:rPr>
          <w:i/>
          <w:smallCaps/>
        </w:rPr>
        <w:t>ex</w:t>
      </w:r>
      <w:r w:rsidRPr="00A84BCE">
        <w:rPr>
          <w:smallCaps/>
        </w:rPr>
        <w:t>-Iugoslavia</w:t>
      </w:r>
    </w:p>
    <w:p w:rsidR="00D72BD5" w:rsidRDefault="00D72BD5" w:rsidP="00D72BD5">
      <w:pPr>
        <w:spacing w:after="0" w:line="240" w:lineRule="auto"/>
        <w:jc w:val="both"/>
        <w:rPr>
          <w:smallCaps/>
        </w:rPr>
      </w:pPr>
    </w:p>
    <w:p w:rsidR="00D72BD5" w:rsidRPr="009602DB" w:rsidRDefault="00D72BD5" w:rsidP="00D72BD5">
      <w:pPr>
        <w:pStyle w:val="Paragrafoelenco"/>
        <w:numPr>
          <w:ilvl w:val="0"/>
          <w:numId w:val="28"/>
        </w:numPr>
        <w:spacing w:after="0" w:line="240" w:lineRule="auto"/>
        <w:jc w:val="both"/>
      </w:pPr>
      <w:r w:rsidRPr="0008310F">
        <w:t>sentenza del 15 luglio 1999</w:t>
      </w:r>
      <w:r>
        <w:t xml:space="preserve">, caso </w:t>
      </w:r>
      <w:r>
        <w:rPr>
          <w:i/>
        </w:rPr>
        <w:t>Prosecutor v. Dusko Tad</w:t>
      </w:r>
      <w:r>
        <w:rPr>
          <w:rFonts w:cstheme="minorHAnsi"/>
          <w:i/>
        </w:rPr>
        <w:t>ić</w:t>
      </w:r>
      <w:r w:rsidR="00E916A7">
        <w:rPr>
          <w:rFonts w:cstheme="minorHAnsi"/>
        </w:rPr>
        <w:t>: pp. 180-185</w:t>
      </w:r>
    </w:p>
    <w:p w:rsidR="009602DB" w:rsidRPr="0008310F" w:rsidRDefault="009602DB" w:rsidP="009602DB">
      <w:pPr>
        <w:spacing w:after="0" w:line="240" w:lineRule="auto"/>
        <w:ind w:left="360"/>
        <w:jc w:val="both"/>
      </w:pPr>
    </w:p>
    <w:p w:rsidR="00D72BD5" w:rsidRPr="00A84BCE" w:rsidRDefault="00D72BD5" w:rsidP="00D72BD5">
      <w:pPr>
        <w:spacing w:after="0" w:line="240" w:lineRule="auto"/>
        <w:jc w:val="both"/>
        <w:rPr>
          <w:smallCaps/>
        </w:rPr>
      </w:pPr>
    </w:p>
    <w:p w:rsidR="00A67D40" w:rsidRDefault="00A67D40" w:rsidP="00D72BD5">
      <w:pPr>
        <w:spacing w:after="0" w:line="240" w:lineRule="auto"/>
        <w:jc w:val="both"/>
        <w:rPr>
          <w:smallCaps/>
        </w:rPr>
      </w:pPr>
      <w:r>
        <w:rPr>
          <w:smallCaps/>
        </w:rPr>
        <w:t>tribunale dei reclami iran/stati uniti</w:t>
      </w:r>
    </w:p>
    <w:p w:rsidR="00A67D40" w:rsidRDefault="00A67D40" w:rsidP="00D72BD5">
      <w:pPr>
        <w:spacing w:after="0" w:line="240" w:lineRule="auto"/>
        <w:jc w:val="both"/>
        <w:rPr>
          <w:smallCaps/>
        </w:rPr>
      </w:pPr>
    </w:p>
    <w:p w:rsidR="00A67D40" w:rsidRPr="00A67D40" w:rsidRDefault="00A67D40" w:rsidP="00A67D40">
      <w:pPr>
        <w:pStyle w:val="Paragrafoelenco"/>
        <w:numPr>
          <w:ilvl w:val="0"/>
          <w:numId w:val="28"/>
        </w:numPr>
        <w:spacing w:after="0" w:line="240" w:lineRule="auto"/>
        <w:jc w:val="both"/>
        <w:rPr>
          <w:lang w:val="en-US"/>
        </w:rPr>
      </w:pPr>
      <w:r>
        <w:rPr>
          <w:lang w:val="en-US"/>
        </w:rPr>
        <w:t xml:space="preserve">sentenza del </w:t>
      </w:r>
      <w:r w:rsidRPr="00A67D40">
        <w:rPr>
          <w:lang w:val="en-US"/>
        </w:rPr>
        <w:t xml:space="preserve">2 novembre 1987, caso </w:t>
      </w:r>
      <w:r w:rsidRPr="00A67D40">
        <w:rPr>
          <w:i/>
          <w:lang w:val="en-US"/>
        </w:rPr>
        <w:t>Kenneth P. Yaeger v. the Islamic Republic of Iran</w:t>
      </w:r>
      <w:r w:rsidR="00E916A7">
        <w:rPr>
          <w:lang w:val="en-US"/>
        </w:rPr>
        <w:t>, pp. 145-148</w:t>
      </w:r>
    </w:p>
    <w:p w:rsidR="00A67D40" w:rsidRPr="00A67D40" w:rsidRDefault="00A67D40" w:rsidP="00A67D40">
      <w:pPr>
        <w:spacing w:after="0" w:line="240" w:lineRule="auto"/>
        <w:ind w:left="360"/>
        <w:jc w:val="both"/>
        <w:rPr>
          <w:lang w:val="en-US"/>
        </w:rPr>
      </w:pPr>
    </w:p>
    <w:p w:rsidR="00A67D40" w:rsidRDefault="00A67D40" w:rsidP="00A67D40">
      <w:pPr>
        <w:pStyle w:val="Paragrafoelenco"/>
        <w:numPr>
          <w:ilvl w:val="0"/>
          <w:numId w:val="28"/>
        </w:numPr>
        <w:spacing w:after="0" w:line="240" w:lineRule="auto"/>
        <w:jc w:val="both"/>
      </w:pPr>
      <w:r>
        <w:t xml:space="preserve">sentenza del 22 giugno 1984, </w:t>
      </w:r>
      <w:r>
        <w:rPr>
          <w:i/>
        </w:rPr>
        <w:t>Sea-Land Service, Inc. v</w:t>
      </w:r>
      <w:r w:rsidRPr="00D446D2">
        <w:rPr>
          <w:i/>
        </w:rPr>
        <w:t>. Iran</w:t>
      </w:r>
      <w:r w:rsidRPr="00B7718A">
        <w:t xml:space="preserve">: </w:t>
      </w:r>
      <w:r w:rsidR="00E916A7">
        <w:t>p. 149</w:t>
      </w:r>
    </w:p>
    <w:p w:rsidR="009602DB" w:rsidRDefault="009602DB" w:rsidP="009602DB">
      <w:pPr>
        <w:spacing w:after="0" w:line="240" w:lineRule="auto"/>
        <w:jc w:val="both"/>
      </w:pPr>
    </w:p>
    <w:p w:rsidR="00A67D40" w:rsidRDefault="00A67D40" w:rsidP="00D72BD5">
      <w:pPr>
        <w:spacing w:after="0" w:line="240" w:lineRule="auto"/>
        <w:jc w:val="both"/>
        <w:rPr>
          <w:smallCaps/>
        </w:rPr>
      </w:pPr>
    </w:p>
    <w:p w:rsidR="00D72BD5" w:rsidRDefault="00D72BD5" w:rsidP="00D72BD5">
      <w:pPr>
        <w:spacing w:after="0" w:line="240" w:lineRule="auto"/>
        <w:jc w:val="both"/>
        <w:rPr>
          <w:smallCaps/>
        </w:rPr>
      </w:pPr>
      <w:r w:rsidRPr="00AD0495">
        <w:rPr>
          <w:smallCaps/>
        </w:rPr>
        <w:t>Tribunali arbitrali</w:t>
      </w:r>
    </w:p>
    <w:p w:rsidR="00D72BD5" w:rsidRDefault="00D72BD5" w:rsidP="00D72BD5">
      <w:pPr>
        <w:spacing w:after="0" w:line="240" w:lineRule="auto"/>
        <w:jc w:val="both"/>
        <w:rPr>
          <w:smallCaps/>
        </w:rPr>
      </w:pPr>
    </w:p>
    <w:p w:rsidR="00D72BD5" w:rsidRDefault="00D72BD5" w:rsidP="00D72BD5">
      <w:pPr>
        <w:pStyle w:val="Paragrafoelenco"/>
        <w:numPr>
          <w:ilvl w:val="0"/>
          <w:numId w:val="28"/>
        </w:numPr>
        <w:spacing w:after="0" w:line="240" w:lineRule="auto"/>
        <w:jc w:val="both"/>
      </w:pPr>
      <w:r w:rsidRPr="004376DA">
        <w:t>Co</w:t>
      </w:r>
      <w:r>
        <w:t>mmissione arbitrale istituita tra</w:t>
      </w:r>
      <w:r w:rsidRPr="004376DA">
        <w:t xml:space="preserve"> Francia e Argentina</w:t>
      </w:r>
      <w:r>
        <w:t xml:space="preserve">, decisione del 19 marzo 1864, caso </w:t>
      </w:r>
      <w:r>
        <w:rPr>
          <w:i/>
        </w:rPr>
        <w:t>Lacaze</w:t>
      </w:r>
      <w:r w:rsidR="00E916A7">
        <w:t>: p. 53</w:t>
      </w:r>
    </w:p>
    <w:p w:rsidR="00D72BD5" w:rsidRDefault="00D72BD5" w:rsidP="00D72BD5"/>
    <w:p w:rsidR="00D72BD5" w:rsidRDefault="00D72BD5" w:rsidP="00D72BD5">
      <w:pPr>
        <w:pStyle w:val="Paragrafoelenco"/>
        <w:numPr>
          <w:ilvl w:val="0"/>
          <w:numId w:val="28"/>
        </w:numPr>
        <w:spacing w:after="0" w:line="240" w:lineRule="auto"/>
        <w:jc w:val="both"/>
      </w:pPr>
      <w:r>
        <w:t xml:space="preserve">Commissione arbitrale istituita tra Stati Uniti e Messico, sentenza non datata ma resa in virtù della Convenzione del 4 luglio 1868, caso </w:t>
      </w:r>
      <w:r w:rsidRPr="008F2DF6">
        <w:rPr>
          <w:i/>
        </w:rPr>
        <w:t>Speyers</w:t>
      </w:r>
      <w:r w:rsidR="00E916A7">
        <w:t>: pp. 57</w:t>
      </w:r>
    </w:p>
    <w:p w:rsidR="00D72BD5" w:rsidRDefault="00D72BD5" w:rsidP="00D72BD5">
      <w:pPr>
        <w:spacing w:after="0" w:line="240" w:lineRule="auto"/>
        <w:jc w:val="both"/>
      </w:pPr>
    </w:p>
    <w:p w:rsidR="00D72BD5" w:rsidRDefault="00D72BD5" w:rsidP="00D72BD5">
      <w:pPr>
        <w:pStyle w:val="Paragrafoelenco"/>
        <w:numPr>
          <w:ilvl w:val="0"/>
          <w:numId w:val="28"/>
        </w:numPr>
        <w:spacing w:after="0" w:line="240" w:lineRule="auto"/>
        <w:jc w:val="both"/>
      </w:pPr>
      <w:r>
        <w:t xml:space="preserve">Tribunale arbitrale istituita tra Brasile e Stati Uniti, 11 luglio 1870, caso </w:t>
      </w:r>
      <w:r w:rsidRPr="008F2DF6">
        <w:rPr>
          <w:i/>
        </w:rPr>
        <w:t>Canada</w:t>
      </w:r>
      <w:r w:rsidR="00E916A7">
        <w:t>: p. 155</w:t>
      </w:r>
    </w:p>
    <w:p w:rsidR="00D72BD5" w:rsidRDefault="00D72BD5" w:rsidP="00D72BD5">
      <w:pPr>
        <w:spacing w:after="0" w:line="240" w:lineRule="auto"/>
        <w:jc w:val="both"/>
      </w:pPr>
    </w:p>
    <w:p w:rsidR="00D72BD5" w:rsidRDefault="00D72BD5" w:rsidP="00D72BD5">
      <w:pPr>
        <w:pStyle w:val="Paragrafoelenco"/>
        <w:numPr>
          <w:ilvl w:val="0"/>
          <w:numId w:val="28"/>
        </w:numPr>
        <w:spacing w:after="0" w:line="240" w:lineRule="auto"/>
        <w:jc w:val="both"/>
      </w:pPr>
      <w:r w:rsidRPr="00925656">
        <w:t>Commissione arbitrale istituita tra Stati Uniti e Venezuela</w:t>
      </w:r>
      <w:r>
        <w:t xml:space="preserve">, decisione del 9 maggio 1874, </w:t>
      </w:r>
      <w:r>
        <w:rPr>
          <w:i/>
        </w:rPr>
        <w:t xml:space="preserve">Joseph Forrest v. </w:t>
      </w:r>
      <w:r w:rsidRPr="00925656">
        <w:rPr>
          <w:i/>
        </w:rPr>
        <w:t>The United States of Venezuela</w:t>
      </w:r>
      <w:r w:rsidR="00E916A7">
        <w:t>: p. 54</w:t>
      </w:r>
    </w:p>
    <w:p w:rsidR="00D72BD5" w:rsidRDefault="00D72BD5" w:rsidP="00D72BD5">
      <w:pPr>
        <w:pStyle w:val="Paragrafoelenco"/>
      </w:pPr>
    </w:p>
    <w:p w:rsidR="00D72BD5" w:rsidRDefault="00D72BD5" w:rsidP="00D72BD5">
      <w:pPr>
        <w:pStyle w:val="Paragrafoelenco"/>
        <w:numPr>
          <w:ilvl w:val="0"/>
          <w:numId w:val="28"/>
        </w:numPr>
        <w:spacing w:after="0" w:line="240" w:lineRule="auto"/>
        <w:jc w:val="both"/>
      </w:pPr>
      <w:r>
        <w:t xml:space="preserve">Tribunale arbitrale istituito tra Italia e Perù, </w:t>
      </w:r>
      <w:r w:rsidRPr="00962808">
        <w:t xml:space="preserve">30 settembre 1901, </w:t>
      </w:r>
      <w:r>
        <w:t xml:space="preserve">caso </w:t>
      </w:r>
      <w:r w:rsidRPr="008F2DF6">
        <w:rPr>
          <w:i/>
        </w:rPr>
        <w:t>Gadino</w:t>
      </w:r>
      <w:r w:rsidR="00E916A7">
        <w:t>: p. 55</w:t>
      </w:r>
    </w:p>
    <w:p w:rsidR="00D72BD5" w:rsidRDefault="00D72BD5" w:rsidP="00D72BD5">
      <w:pPr>
        <w:pStyle w:val="Paragrafoelenco"/>
      </w:pPr>
    </w:p>
    <w:p w:rsidR="00D72BD5" w:rsidRDefault="00D72BD5" w:rsidP="00D72BD5">
      <w:pPr>
        <w:pStyle w:val="Paragrafoelenco"/>
        <w:numPr>
          <w:ilvl w:val="0"/>
          <w:numId w:val="28"/>
        </w:numPr>
        <w:spacing w:after="0" w:line="240" w:lineRule="auto"/>
        <w:jc w:val="both"/>
      </w:pPr>
      <w:r>
        <w:t xml:space="preserve">Commissione mista istituita fra Paesi Bassi e Venezuela, sentenza non datata, caso </w:t>
      </w:r>
      <w:r w:rsidRPr="00AC16E5">
        <w:rPr>
          <w:i/>
        </w:rPr>
        <w:t>Maal</w:t>
      </w:r>
      <w:r w:rsidR="00E916A7">
        <w:t>: p. 72</w:t>
      </w:r>
    </w:p>
    <w:p w:rsidR="00D72BD5" w:rsidRDefault="00D72BD5" w:rsidP="00D72BD5">
      <w:pPr>
        <w:pStyle w:val="Paragrafoelenco"/>
      </w:pPr>
    </w:p>
    <w:p w:rsidR="00D72BD5" w:rsidRDefault="00D72BD5" w:rsidP="00D72BD5">
      <w:pPr>
        <w:pStyle w:val="Paragrafoelenco"/>
        <w:numPr>
          <w:ilvl w:val="0"/>
          <w:numId w:val="28"/>
        </w:numPr>
        <w:spacing w:after="0" w:line="240" w:lineRule="auto"/>
        <w:jc w:val="both"/>
      </w:pPr>
      <w:r>
        <w:t xml:space="preserve">Commissione mista istituita fra Gran Bretagna e Venezuela, sentenza non datata, caso </w:t>
      </w:r>
      <w:r w:rsidRPr="00D56F34">
        <w:rPr>
          <w:i/>
        </w:rPr>
        <w:t>Compagnie Générale des Asphaltes de France</w:t>
      </w:r>
      <w:r w:rsidRPr="00AC16E5">
        <w:t>:</w:t>
      </w:r>
      <w:r w:rsidR="00E916A7">
        <w:t xml:space="preserve"> p. 71</w:t>
      </w:r>
    </w:p>
    <w:p w:rsidR="00D72BD5" w:rsidRDefault="00D72BD5" w:rsidP="00D72BD5">
      <w:pPr>
        <w:pStyle w:val="Paragrafoelenco"/>
      </w:pPr>
    </w:p>
    <w:p w:rsidR="00D72BD5" w:rsidRDefault="00D72BD5" w:rsidP="00D72BD5">
      <w:pPr>
        <w:pStyle w:val="Paragrafoelenco"/>
        <w:numPr>
          <w:ilvl w:val="0"/>
          <w:numId w:val="28"/>
        </w:numPr>
        <w:spacing w:after="0" w:line="240" w:lineRule="auto"/>
        <w:jc w:val="both"/>
      </w:pPr>
      <w:r>
        <w:t xml:space="preserve">Commissione mista istituita fra Germania e Venezuela, sentenza non datata, caso </w:t>
      </w:r>
      <w:r w:rsidRPr="00B12F8D">
        <w:rPr>
          <w:i/>
        </w:rPr>
        <w:t>Metzger</w:t>
      </w:r>
      <w:r w:rsidR="00E916A7">
        <w:t>: p. 72-73</w:t>
      </w:r>
    </w:p>
    <w:p w:rsidR="00D72BD5" w:rsidRDefault="00D72BD5" w:rsidP="00D72BD5">
      <w:pPr>
        <w:pStyle w:val="Paragrafoelenco"/>
      </w:pPr>
    </w:p>
    <w:p w:rsidR="00D72BD5" w:rsidRDefault="00D72BD5" w:rsidP="00D72BD5">
      <w:pPr>
        <w:pStyle w:val="Paragrafoelenco"/>
        <w:numPr>
          <w:ilvl w:val="0"/>
          <w:numId w:val="28"/>
        </w:numPr>
        <w:spacing w:after="0" w:line="240" w:lineRule="auto"/>
        <w:jc w:val="both"/>
      </w:pPr>
      <w:r>
        <w:t xml:space="preserve">Arbitro re di Spagna Alfonso XIII, 7 dicembre 1916, caso </w:t>
      </w:r>
      <w:r w:rsidRPr="00AC16E5">
        <w:rPr>
          <w:i/>
        </w:rPr>
        <w:t>La Masica</w:t>
      </w:r>
      <w:r w:rsidR="007A3503">
        <w:t>: p. 73</w:t>
      </w:r>
    </w:p>
    <w:p w:rsidR="00D72BD5" w:rsidRDefault="00D72BD5" w:rsidP="00D72BD5">
      <w:pPr>
        <w:pStyle w:val="Paragrafoelenco"/>
      </w:pPr>
    </w:p>
    <w:p w:rsidR="00D72BD5" w:rsidRPr="00134368" w:rsidRDefault="00D72BD5" w:rsidP="00D72BD5">
      <w:pPr>
        <w:pStyle w:val="Paragrafoelenco"/>
        <w:numPr>
          <w:ilvl w:val="0"/>
          <w:numId w:val="28"/>
        </w:numPr>
        <w:spacing w:after="0" w:line="240" w:lineRule="auto"/>
        <w:jc w:val="both"/>
        <w:rPr>
          <w:i/>
        </w:rPr>
      </w:pPr>
      <w:r>
        <w:t xml:space="preserve">Tribunale arbitrale istituito fra Gran Bretagna e Stati Uniti, 18 dicembre 1920, caso </w:t>
      </w:r>
      <w:r w:rsidRPr="00134368">
        <w:rPr>
          <w:i/>
        </w:rPr>
        <w:t>Owners of the Cargo of the Coquitlam (Great Britain) v. United States</w:t>
      </w:r>
      <w:r w:rsidR="007A3503">
        <w:t>: p. 73</w:t>
      </w:r>
    </w:p>
    <w:p w:rsidR="00D72BD5" w:rsidRPr="00134368" w:rsidRDefault="00D72BD5" w:rsidP="00D72BD5">
      <w:pPr>
        <w:pStyle w:val="Paragrafoelenco"/>
        <w:rPr>
          <w:i/>
        </w:rPr>
      </w:pPr>
    </w:p>
    <w:p w:rsidR="00D72BD5" w:rsidRPr="00134368" w:rsidRDefault="00D72BD5" w:rsidP="00D72BD5">
      <w:pPr>
        <w:pStyle w:val="Paragrafoelenco"/>
        <w:numPr>
          <w:ilvl w:val="0"/>
          <w:numId w:val="28"/>
        </w:numPr>
        <w:spacing w:after="0" w:line="240" w:lineRule="auto"/>
        <w:jc w:val="both"/>
        <w:rPr>
          <w:i/>
        </w:rPr>
      </w:pPr>
      <w:r>
        <w:t xml:space="preserve">Commissione generale dei reclami istituita fra Stati Uniti e Messico, 23 dicembre 1926, caso </w:t>
      </w:r>
      <w:r w:rsidRPr="00134368">
        <w:rPr>
          <w:i/>
        </w:rPr>
        <w:t>Thomas H. Youmans (USA) v. United Mexican States</w:t>
      </w:r>
      <w:r w:rsidRPr="00134368">
        <w:t>:</w:t>
      </w:r>
      <w:r w:rsidR="007A3503">
        <w:t xml:space="preserve"> pp. 74</w:t>
      </w:r>
      <w:r>
        <w:t>-</w:t>
      </w:r>
      <w:r w:rsidR="007A3503">
        <w:t>76</w:t>
      </w:r>
    </w:p>
    <w:p w:rsidR="00D72BD5" w:rsidRPr="00134368" w:rsidRDefault="00D72BD5" w:rsidP="00D72BD5">
      <w:pPr>
        <w:pStyle w:val="Paragrafoelenco"/>
        <w:rPr>
          <w:i/>
        </w:rPr>
      </w:pPr>
    </w:p>
    <w:p w:rsidR="00D72BD5" w:rsidRPr="00EA0AB7" w:rsidRDefault="00D72BD5" w:rsidP="00D72BD5">
      <w:pPr>
        <w:pStyle w:val="Paragrafoelenco"/>
        <w:numPr>
          <w:ilvl w:val="0"/>
          <w:numId w:val="28"/>
        </w:numPr>
        <w:spacing w:after="0" w:line="240" w:lineRule="auto"/>
        <w:jc w:val="both"/>
        <w:rPr>
          <w:i/>
        </w:rPr>
      </w:pPr>
      <w:r>
        <w:t xml:space="preserve">Commissione dei reclami istituita tra Stati Uniti e Messico, </w:t>
      </w:r>
      <w:r w:rsidRPr="00134368">
        <w:t>16 November 1926</w:t>
      </w:r>
      <w:r>
        <w:t xml:space="preserve">, caso </w:t>
      </w:r>
      <w:r w:rsidRPr="00134368">
        <w:rPr>
          <w:i/>
        </w:rPr>
        <w:t>D. Guerrero v. De Falcón (United Mexican States v. United States of America)</w:t>
      </w:r>
      <w:r w:rsidR="007A3503">
        <w:t>: p. 79</w:t>
      </w:r>
    </w:p>
    <w:p w:rsidR="00D72BD5" w:rsidRPr="00EA0AB7" w:rsidRDefault="00D72BD5" w:rsidP="00D72BD5">
      <w:pPr>
        <w:spacing w:after="0" w:line="240" w:lineRule="auto"/>
        <w:jc w:val="both"/>
        <w:rPr>
          <w:i/>
        </w:rPr>
      </w:pPr>
    </w:p>
    <w:p w:rsidR="00D72BD5" w:rsidRDefault="00D72BD5" w:rsidP="00D72BD5">
      <w:pPr>
        <w:pStyle w:val="Paragrafoelenco"/>
        <w:numPr>
          <w:ilvl w:val="0"/>
          <w:numId w:val="28"/>
        </w:numPr>
        <w:spacing w:after="0" w:line="240" w:lineRule="auto"/>
        <w:jc w:val="both"/>
      </w:pPr>
      <w:r>
        <w:t xml:space="preserve">Commissione dei reclami istituita tra Stati Uniti e Messico, 3 dicembre 1926, caso </w:t>
      </w:r>
      <w:r w:rsidRPr="00134368">
        <w:rPr>
          <w:i/>
        </w:rPr>
        <w:t>Teodoro García and M. A. Garza (United Mexican States) v. United States of America</w:t>
      </w:r>
      <w:r w:rsidR="007A3503">
        <w:t>: p. 79</w:t>
      </w:r>
    </w:p>
    <w:p w:rsidR="00D72BD5" w:rsidRDefault="00D72BD5" w:rsidP="00D72BD5">
      <w:pPr>
        <w:spacing w:after="0" w:line="240" w:lineRule="auto"/>
        <w:jc w:val="both"/>
      </w:pPr>
    </w:p>
    <w:p w:rsidR="00D72BD5" w:rsidRDefault="00D72BD5" w:rsidP="00D72BD5">
      <w:pPr>
        <w:pStyle w:val="Paragrafoelenco"/>
        <w:numPr>
          <w:ilvl w:val="0"/>
          <w:numId w:val="28"/>
        </w:numPr>
        <w:spacing w:after="0" w:line="240" w:lineRule="auto"/>
        <w:jc w:val="both"/>
      </w:pPr>
      <w:r>
        <w:t xml:space="preserve">Commissione dei reclami istituita tra Stati Uniti e Messico, 16 novembre 1926, caso </w:t>
      </w:r>
      <w:r w:rsidRPr="009F3D0C">
        <w:rPr>
          <w:i/>
        </w:rPr>
        <w:t>Francisco Quintanilla (United Mexican States) v. United States of America</w:t>
      </w:r>
      <w:r>
        <w:rPr>
          <w:i/>
        </w:rPr>
        <w:t xml:space="preserve">: </w:t>
      </w:r>
      <w:r w:rsidR="0010330E">
        <w:t>p. 79</w:t>
      </w:r>
    </w:p>
    <w:p w:rsidR="0004352C" w:rsidRDefault="0004352C" w:rsidP="0004352C">
      <w:pPr>
        <w:spacing w:after="0" w:line="240" w:lineRule="auto"/>
        <w:jc w:val="both"/>
      </w:pPr>
    </w:p>
    <w:p w:rsidR="00D72BD5" w:rsidRDefault="00D72BD5" w:rsidP="00D72BD5">
      <w:pPr>
        <w:pStyle w:val="Paragrafoelenco"/>
        <w:numPr>
          <w:ilvl w:val="0"/>
          <w:numId w:val="28"/>
        </w:numPr>
        <w:spacing w:after="0" w:line="240" w:lineRule="auto"/>
        <w:jc w:val="both"/>
      </w:pPr>
      <w:r>
        <w:t xml:space="preserve">Commissione dei reclami istituita tra Stati Uniti e Messico, 27 aprile 1927, caso </w:t>
      </w:r>
      <w:r w:rsidRPr="009F3D0C">
        <w:rPr>
          <w:i/>
        </w:rPr>
        <w:t>Francisco Mallén (United Mexican States) v. United States of America</w:t>
      </w:r>
      <w:r w:rsidR="0010330E">
        <w:t>: pp. 79-82</w:t>
      </w:r>
    </w:p>
    <w:p w:rsidR="00D72BD5" w:rsidRDefault="00D72BD5" w:rsidP="00D72BD5">
      <w:pPr>
        <w:spacing w:after="0" w:line="240" w:lineRule="auto"/>
        <w:jc w:val="both"/>
      </w:pPr>
    </w:p>
    <w:p w:rsidR="00D72BD5" w:rsidRDefault="00D72BD5" w:rsidP="00D72BD5">
      <w:pPr>
        <w:pStyle w:val="Paragrafoelenco"/>
        <w:numPr>
          <w:ilvl w:val="0"/>
          <w:numId w:val="28"/>
        </w:numPr>
        <w:spacing w:after="0" w:line="240" w:lineRule="auto"/>
        <w:jc w:val="both"/>
      </w:pPr>
      <w:r w:rsidRPr="009F3D0C">
        <w:t>Commissione dei reclami istituita tra Stati Uniti e Messico</w:t>
      </w:r>
      <w:r>
        <w:t xml:space="preserve">, 18 ottobre 1928, caso </w:t>
      </w:r>
      <w:r w:rsidRPr="009F3D0C">
        <w:rPr>
          <w:i/>
        </w:rPr>
        <w:t>William T. Way (USA) v. United Mexican States</w:t>
      </w:r>
      <w:r w:rsidR="0010330E">
        <w:t>: pp. 81-82</w:t>
      </w:r>
    </w:p>
    <w:p w:rsidR="00D72BD5" w:rsidRDefault="00D72BD5" w:rsidP="00D72BD5">
      <w:pPr>
        <w:spacing w:after="0" w:line="240" w:lineRule="auto"/>
        <w:jc w:val="both"/>
      </w:pPr>
    </w:p>
    <w:p w:rsidR="00D72BD5" w:rsidRDefault="00D72BD5" w:rsidP="00D72BD5">
      <w:pPr>
        <w:pStyle w:val="Paragrafoelenco"/>
        <w:numPr>
          <w:ilvl w:val="0"/>
          <w:numId w:val="28"/>
        </w:numPr>
        <w:spacing w:after="0" w:line="240" w:lineRule="auto"/>
        <w:jc w:val="both"/>
      </w:pPr>
      <w:r w:rsidRPr="009F3D0C">
        <w:t>Commissione dei reclami istituita tra Stati Uniti e Messico</w:t>
      </w:r>
      <w:r>
        <w:t xml:space="preserve">, 15 luglio 1927, caso </w:t>
      </w:r>
      <w:r w:rsidRPr="000211BA">
        <w:rPr>
          <w:i/>
        </w:rPr>
        <w:t>Charles S. Stephens and Bowman Stephens (U.S.A.) v. United Mexican States</w:t>
      </w:r>
      <w:r w:rsidR="0010330E">
        <w:t>: pp. 83-84</w:t>
      </w:r>
    </w:p>
    <w:p w:rsidR="00D72BD5" w:rsidRDefault="00D72BD5" w:rsidP="00D72BD5">
      <w:pPr>
        <w:spacing w:after="0" w:line="240" w:lineRule="auto"/>
        <w:jc w:val="both"/>
      </w:pPr>
    </w:p>
    <w:p w:rsidR="00D72BD5" w:rsidRPr="00EA0AB7" w:rsidRDefault="00D72BD5" w:rsidP="00D72BD5">
      <w:pPr>
        <w:pStyle w:val="Paragrafoelenco"/>
        <w:numPr>
          <w:ilvl w:val="0"/>
          <w:numId w:val="28"/>
        </w:numPr>
        <w:spacing w:after="0" w:line="240" w:lineRule="auto"/>
        <w:jc w:val="both"/>
        <w:rPr>
          <w:i/>
        </w:rPr>
      </w:pPr>
      <w:r>
        <w:t xml:space="preserve">Commissione arbitrale istituita fra Francia e Messico, 7 giugno 1929, caso </w:t>
      </w:r>
      <w:r w:rsidRPr="00134368">
        <w:rPr>
          <w:i/>
        </w:rPr>
        <w:t>Estate of Jean-Baptiste Caire (France) v. United Mexican States</w:t>
      </w:r>
      <w:r w:rsidR="0010330E">
        <w:t>: pp. 76-79</w:t>
      </w:r>
    </w:p>
    <w:p w:rsidR="00D72BD5" w:rsidRDefault="00D72BD5" w:rsidP="00D72BD5">
      <w:pPr>
        <w:pStyle w:val="Paragrafoelenco"/>
      </w:pPr>
    </w:p>
    <w:p w:rsidR="00D72BD5" w:rsidRDefault="00D72BD5" w:rsidP="00D72BD5">
      <w:pPr>
        <w:pStyle w:val="Paragrafoelenco"/>
        <w:numPr>
          <w:ilvl w:val="0"/>
          <w:numId w:val="28"/>
        </w:numPr>
        <w:spacing w:after="0" w:line="240" w:lineRule="auto"/>
        <w:jc w:val="both"/>
      </w:pPr>
      <w:r w:rsidRPr="009F3D0C">
        <w:t>Commissione dei reclami istituita tra Stati Uniti e Messico</w:t>
      </w:r>
      <w:r>
        <w:t xml:space="preserve">, 8 ottobre 1930, caso </w:t>
      </w:r>
      <w:r w:rsidRPr="009F3D0C">
        <w:rPr>
          <w:i/>
        </w:rPr>
        <w:t>Lillie S. Kling v. United Mexican States</w:t>
      </w:r>
      <w:r>
        <w:t>:</w:t>
      </w:r>
      <w:r w:rsidR="0010330E">
        <w:t xml:space="preserve"> p. 82</w:t>
      </w:r>
    </w:p>
    <w:p w:rsidR="00D72BD5" w:rsidRDefault="00D72BD5" w:rsidP="00D72BD5">
      <w:pPr>
        <w:pStyle w:val="Paragrafoelenco"/>
      </w:pPr>
    </w:p>
    <w:p w:rsidR="00D72BD5" w:rsidRDefault="00D72BD5" w:rsidP="00D72BD5">
      <w:pPr>
        <w:pStyle w:val="Paragrafoelenco"/>
        <w:numPr>
          <w:ilvl w:val="0"/>
          <w:numId w:val="28"/>
        </w:numPr>
        <w:spacing w:after="0" w:line="240" w:lineRule="auto"/>
        <w:jc w:val="both"/>
      </w:pPr>
      <w:r>
        <w:t xml:space="preserve">Commissione generale dei reclami istituita fra Stati Uniti e Panama, 27 giugno 1933, caso </w:t>
      </w:r>
      <w:r w:rsidRPr="000211BA">
        <w:rPr>
          <w:i/>
        </w:rPr>
        <w:t>Guillermo Colunje (Panama) v. United States</w:t>
      </w:r>
      <w:r w:rsidR="0010330E">
        <w:t>: pp. 85</w:t>
      </w:r>
      <w:r>
        <w:t>-72</w:t>
      </w:r>
    </w:p>
    <w:p w:rsidR="00D72BD5" w:rsidRDefault="00D72BD5" w:rsidP="00D72BD5">
      <w:pPr>
        <w:pStyle w:val="Paragrafoelenco"/>
      </w:pPr>
    </w:p>
    <w:p w:rsidR="00D72BD5" w:rsidRDefault="00D72BD5" w:rsidP="00D72BD5">
      <w:pPr>
        <w:pStyle w:val="Paragrafoelenco"/>
        <w:numPr>
          <w:ilvl w:val="0"/>
          <w:numId w:val="28"/>
        </w:numPr>
        <w:spacing w:after="0" w:line="240" w:lineRule="auto"/>
        <w:jc w:val="both"/>
      </w:pPr>
      <w:r>
        <w:t xml:space="preserve">Commissione di conciliazione franco–italiana, 17 gennaio 1953, caso </w:t>
      </w:r>
      <w:r w:rsidRPr="00BA41A0">
        <w:rPr>
          <w:i/>
        </w:rPr>
        <w:t>Différend Dame Mossé</w:t>
      </w:r>
      <w:r w:rsidR="002D06F3">
        <w:t>: pp. 85-86</w:t>
      </w:r>
    </w:p>
    <w:p w:rsidR="00D72BD5" w:rsidRDefault="00D72BD5" w:rsidP="00D72BD5">
      <w:pPr>
        <w:pStyle w:val="Paragrafoelenco"/>
      </w:pPr>
    </w:p>
    <w:p w:rsidR="00D72BD5" w:rsidRDefault="00D72BD5" w:rsidP="002D06F3">
      <w:pPr>
        <w:pStyle w:val="Paragrafoelenco"/>
        <w:numPr>
          <w:ilvl w:val="0"/>
          <w:numId w:val="28"/>
        </w:numPr>
        <w:spacing w:after="0" w:line="240" w:lineRule="auto"/>
        <w:jc w:val="both"/>
      </w:pPr>
      <w:r>
        <w:t xml:space="preserve">Commissione di conciliazione franco–italiana, 5 luglio 1954, caso </w:t>
      </w:r>
      <w:r w:rsidRPr="00147B3C">
        <w:rPr>
          <w:i/>
        </w:rPr>
        <w:t>Différend  Joseph Ousset</w:t>
      </w:r>
      <w:r>
        <w:t xml:space="preserve">: </w:t>
      </w:r>
      <w:r w:rsidR="002D06F3">
        <w:t>p. 87</w:t>
      </w:r>
    </w:p>
    <w:p w:rsidR="002D06F3" w:rsidRDefault="002D06F3" w:rsidP="002D06F3">
      <w:pPr>
        <w:spacing w:after="0" w:line="240" w:lineRule="auto"/>
        <w:jc w:val="both"/>
      </w:pPr>
    </w:p>
    <w:p w:rsidR="00D72BD5" w:rsidRDefault="00D72BD5" w:rsidP="00D72BD5">
      <w:pPr>
        <w:pStyle w:val="Paragrafoelenco"/>
        <w:numPr>
          <w:ilvl w:val="0"/>
          <w:numId w:val="28"/>
        </w:numPr>
        <w:spacing w:after="0" w:line="240" w:lineRule="auto"/>
        <w:jc w:val="both"/>
      </w:pPr>
      <w:r>
        <w:t xml:space="preserve">Arbitrato ICSID, 20 novembre 1984, caso </w:t>
      </w:r>
      <w:r>
        <w:rPr>
          <w:i/>
        </w:rPr>
        <w:t>Amco Asia Corporation et  Al. v. Indonesia</w:t>
      </w:r>
      <w:r w:rsidR="002D06F3">
        <w:t>, pp.149-151</w:t>
      </w:r>
    </w:p>
    <w:p w:rsidR="00D72BD5" w:rsidRDefault="00D72BD5" w:rsidP="00D72BD5">
      <w:pPr>
        <w:spacing w:after="0" w:line="240" w:lineRule="auto"/>
        <w:jc w:val="both"/>
      </w:pPr>
    </w:p>
    <w:p w:rsidR="00D72BD5" w:rsidRDefault="00D72BD5" w:rsidP="00D72BD5">
      <w:pPr>
        <w:pStyle w:val="Paragrafoelenco"/>
        <w:numPr>
          <w:ilvl w:val="0"/>
          <w:numId w:val="28"/>
        </w:numPr>
        <w:spacing w:after="0" w:line="240" w:lineRule="auto"/>
        <w:jc w:val="both"/>
        <w:rPr>
          <w:lang w:val="en-US"/>
        </w:rPr>
      </w:pPr>
      <w:r w:rsidRPr="0039104E">
        <w:rPr>
          <w:lang w:val="en-US"/>
        </w:rPr>
        <w:t xml:space="preserve">Arbitrato ICSID, 20 maggio 1992, </w:t>
      </w:r>
      <w:r>
        <w:rPr>
          <w:lang w:val="en-US"/>
        </w:rPr>
        <w:t xml:space="preserve">caso </w:t>
      </w:r>
      <w:r w:rsidRPr="00A60593">
        <w:rPr>
          <w:i/>
          <w:lang w:val="en-US"/>
        </w:rPr>
        <w:t xml:space="preserve">Southern Pacific Properties (Middle East) Limited </w:t>
      </w:r>
      <w:r>
        <w:rPr>
          <w:lang w:val="en-US"/>
        </w:rPr>
        <w:t xml:space="preserve"> </w:t>
      </w:r>
      <w:r w:rsidRPr="00A60593">
        <w:rPr>
          <w:i/>
          <w:lang w:val="en-US"/>
        </w:rPr>
        <w:t>v. Arab Republic of Egypt</w:t>
      </w:r>
      <w:r w:rsidR="002D06F3">
        <w:rPr>
          <w:lang w:val="en-US"/>
        </w:rPr>
        <w:t>: pp. 151-153</w:t>
      </w:r>
    </w:p>
    <w:p w:rsidR="00D72BD5" w:rsidRPr="0039104E" w:rsidRDefault="00D72BD5" w:rsidP="00D72BD5">
      <w:pPr>
        <w:pStyle w:val="Paragrafoelenco"/>
        <w:rPr>
          <w:lang w:val="en-US"/>
        </w:rPr>
      </w:pPr>
    </w:p>
    <w:p w:rsidR="00D72BD5" w:rsidRDefault="00D72BD5" w:rsidP="00D72BD5">
      <w:pPr>
        <w:pStyle w:val="Paragrafoelenco"/>
        <w:numPr>
          <w:ilvl w:val="0"/>
          <w:numId w:val="28"/>
        </w:numPr>
        <w:spacing w:after="0" w:line="240" w:lineRule="auto"/>
        <w:jc w:val="both"/>
        <w:rPr>
          <w:lang w:val="en-US"/>
        </w:rPr>
      </w:pPr>
      <w:r>
        <w:rPr>
          <w:lang w:val="en-US"/>
        </w:rPr>
        <w:t xml:space="preserve">Arbitrato ICSID, 30 agosto 2000, caso </w:t>
      </w:r>
      <w:r w:rsidRPr="00561C4D">
        <w:rPr>
          <w:i/>
          <w:lang w:val="en-US"/>
        </w:rPr>
        <w:t>Metalclad Corporation v. United Mexican States</w:t>
      </w:r>
      <w:r w:rsidR="002D06F3">
        <w:rPr>
          <w:lang w:val="en-US"/>
        </w:rPr>
        <w:t>: p. 1</w:t>
      </w:r>
      <w:r>
        <w:rPr>
          <w:lang w:val="en-US"/>
        </w:rPr>
        <w:t>5</w:t>
      </w:r>
      <w:r w:rsidR="002D06F3">
        <w:rPr>
          <w:lang w:val="en-US"/>
        </w:rPr>
        <w:t>3-154</w:t>
      </w:r>
    </w:p>
    <w:p w:rsidR="00D72BD5" w:rsidRPr="004906A2" w:rsidRDefault="00D72BD5" w:rsidP="00D72BD5">
      <w:pPr>
        <w:pStyle w:val="Paragrafoelenco"/>
        <w:rPr>
          <w:lang w:val="en-US"/>
        </w:rPr>
      </w:pPr>
    </w:p>
    <w:p w:rsidR="00D72BD5" w:rsidRDefault="00D72BD5" w:rsidP="00B113B3">
      <w:pPr>
        <w:pStyle w:val="Paragrafoelenco"/>
        <w:numPr>
          <w:ilvl w:val="0"/>
          <w:numId w:val="28"/>
        </w:numPr>
        <w:spacing w:after="0" w:line="240" w:lineRule="auto"/>
        <w:jc w:val="both"/>
        <w:rPr>
          <w:lang w:val="en-US"/>
        </w:rPr>
      </w:pPr>
      <w:r>
        <w:rPr>
          <w:lang w:val="en-US"/>
        </w:rPr>
        <w:t xml:space="preserve">Arbitrato ICSID, 9 gennaio 2003, caso </w:t>
      </w:r>
      <w:r w:rsidRPr="004906A2">
        <w:rPr>
          <w:i/>
          <w:lang w:val="en-US"/>
        </w:rPr>
        <w:t>ADF Group Inc. v. United States of America</w:t>
      </w:r>
      <w:r w:rsidR="00867F37">
        <w:rPr>
          <w:lang w:val="en-US"/>
        </w:rPr>
        <w:t>: pp. 155-156</w:t>
      </w:r>
    </w:p>
    <w:p w:rsidR="00DD4C5A" w:rsidRPr="00DD4C5A" w:rsidRDefault="00DD4C5A" w:rsidP="00DD4C5A">
      <w:pPr>
        <w:spacing w:after="0" w:line="240" w:lineRule="auto"/>
        <w:jc w:val="both"/>
        <w:rPr>
          <w:lang w:val="en-US"/>
        </w:rPr>
      </w:pPr>
    </w:p>
    <w:p w:rsidR="00D72BD5" w:rsidRDefault="00D72BD5" w:rsidP="0004352C">
      <w:pPr>
        <w:pStyle w:val="Paragrafoelenco"/>
        <w:numPr>
          <w:ilvl w:val="0"/>
          <w:numId w:val="28"/>
        </w:numPr>
        <w:spacing w:after="0" w:line="240" w:lineRule="auto"/>
        <w:jc w:val="both"/>
      </w:pPr>
      <w:r w:rsidRPr="007F3759">
        <w:t xml:space="preserve">Arbitrato ICSID, 12 ottobre 2005, caso </w:t>
      </w:r>
      <w:r w:rsidRPr="007F3759">
        <w:rPr>
          <w:i/>
        </w:rPr>
        <w:t>Noble Ventures, Inc. v. Romania</w:t>
      </w:r>
      <w:r w:rsidR="00B44899">
        <w:t>: pp. 156-157</w:t>
      </w:r>
    </w:p>
    <w:p w:rsidR="00B44899" w:rsidRPr="007F3759" w:rsidRDefault="00B44899" w:rsidP="00B44899">
      <w:pPr>
        <w:spacing w:after="0" w:line="240" w:lineRule="auto"/>
        <w:jc w:val="both"/>
      </w:pPr>
    </w:p>
    <w:p w:rsidR="00D72BD5" w:rsidRPr="00DD4C5A" w:rsidRDefault="00D72BD5" w:rsidP="00D72BD5">
      <w:pPr>
        <w:pStyle w:val="Paragrafoelenco"/>
        <w:numPr>
          <w:ilvl w:val="0"/>
          <w:numId w:val="28"/>
        </w:numPr>
        <w:spacing w:after="0" w:line="240" w:lineRule="auto"/>
        <w:jc w:val="both"/>
      </w:pPr>
      <w:r w:rsidRPr="007F3759">
        <w:t xml:space="preserve">Arbitrato ICSID, 6 luglio 2007, caso </w:t>
      </w:r>
      <w:r w:rsidRPr="007F3759">
        <w:rPr>
          <w:rFonts w:cstheme="minorHAnsi"/>
          <w:i/>
        </w:rPr>
        <w:t>Kardassopoulos v. Georgia</w:t>
      </w:r>
      <w:r w:rsidR="00B44899">
        <w:rPr>
          <w:rFonts w:cstheme="minorHAnsi"/>
        </w:rPr>
        <w:t>: pp. 158-159</w:t>
      </w:r>
    </w:p>
    <w:p w:rsidR="00DD4C5A" w:rsidRDefault="00DD4C5A" w:rsidP="00DD4C5A">
      <w:pPr>
        <w:pStyle w:val="Paragrafoelenco"/>
      </w:pPr>
    </w:p>
    <w:p w:rsidR="009602DB" w:rsidRPr="009602DB" w:rsidRDefault="00D72BD5" w:rsidP="009602DB">
      <w:pPr>
        <w:pStyle w:val="Paragrafoelenco"/>
        <w:numPr>
          <w:ilvl w:val="0"/>
          <w:numId w:val="28"/>
        </w:numPr>
        <w:spacing w:after="0" w:line="240" w:lineRule="auto"/>
        <w:jc w:val="both"/>
      </w:pPr>
      <w:r w:rsidRPr="004906A2">
        <w:t xml:space="preserve">Arbitrato ICSID, 11 maggio 2209, </w:t>
      </w:r>
      <w:r>
        <w:t xml:space="preserve">caso </w:t>
      </w:r>
      <w:r w:rsidRPr="00DD4C5A">
        <w:rPr>
          <w:rFonts w:cstheme="minorHAnsi"/>
          <w:i/>
        </w:rPr>
        <w:t>Siag and Vecchi v. Egitto</w:t>
      </w:r>
      <w:r w:rsidR="00B44899">
        <w:rPr>
          <w:rFonts w:cstheme="minorHAnsi"/>
        </w:rPr>
        <w:t>: pp. 159-160</w:t>
      </w:r>
    </w:p>
    <w:p w:rsidR="009602DB" w:rsidRDefault="009602DB" w:rsidP="00B113B3">
      <w:pPr>
        <w:spacing w:after="0" w:line="240" w:lineRule="auto"/>
        <w:jc w:val="both"/>
        <w:rPr>
          <w:rFonts w:cstheme="minorHAnsi"/>
        </w:rPr>
      </w:pPr>
    </w:p>
    <w:p w:rsidR="00B113B3" w:rsidRDefault="00B113B3" w:rsidP="00B113B3">
      <w:pPr>
        <w:spacing w:after="0" w:line="240" w:lineRule="auto"/>
        <w:jc w:val="both"/>
        <w:rPr>
          <w:smallCaps/>
        </w:rPr>
      </w:pPr>
      <w:r w:rsidRPr="00A84BCE">
        <w:rPr>
          <w:smallCaps/>
        </w:rPr>
        <w:t>Comitato dei diritti umani</w:t>
      </w:r>
    </w:p>
    <w:p w:rsidR="00B113B3" w:rsidRDefault="00B113B3" w:rsidP="00B113B3">
      <w:pPr>
        <w:spacing w:after="0" w:line="240" w:lineRule="auto"/>
        <w:jc w:val="both"/>
        <w:rPr>
          <w:smallCaps/>
        </w:rPr>
      </w:pPr>
    </w:p>
    <w:p w:rsidR="00B113B3" w:rsidRDefault="00DD4C5A" w:rsidP="00B113B3">
      <w:pPr>
        <w:pStyle w:val="Paragrafoelenco"/>
        <w:numPr>
          <w:ilvl w:val="0"/>
          <w:numId w:val="28"/>
        </w:numPr>
        <w:spacing w:after="0" w:line="240" w:lineRule="auto"/>
        <w:jc w:val="both"/>
      </w:pPr>
      <w:r>
        <w:t xml:space="preserve">osservazioni </w:t>
      </w:r>
      <w:r w:rsidR="00B44899">
        <w:t>del 31 luglio 2003: pp. 178-180</w:t>
      </w:r>
    </w:p>
    <w:p w:rsidR="00DD4C5A" w:rsidRDefault="00DD4C5A" w:rsidP="00DD4C5A">
      <w:pPr>
        <w:pStyle w:val="Paragrafoelenco"/>
        <w:spacing w:after="0" w:line="240" w:lineRule="auto"/>
        <w:jc w:val="both"/>
      </w:pPr>
    </w:p>
    <w:p w:rsidR="00DD4C5A" w:rsidRDefault="00DD4C5A" w:rsidP="00DD4C5A">
      <w:pPr>
        <w:pStyle w:val="Paragrafoelenco"/>
        <w:spacing w:after="0" w:line="240" w:lineRule="auto"/>
        <w:jc w:val="both"/>
      </w:pPr>
    </w:p>
    <w:p w:rsidR="00DD4C5A" w:rsidRPr="00DD4C5A" w:rsidRDefault="00DD4C5A" w:rsidP="00DD4C5A">
      <w:pPr>
        <w:spacing w:after="0" w:line="240" w:lineRule="auto"/>
        <w:jc w:val="both"/>
        <w:rPr>
          <w:smallCaps/>
        </w:rPr>
      </w:pPr>
      <w:r w:rsidRPr="00DD4C5A">
        <w:rPr>
          <w:smallCaps/>
        </w:rPr>
        <w:t>commissione europea dei diritti dell’uomo</w:t>
      </w:r>
    </w:p>
    <w:p w:rsidR="00DD4C5A" w:rsidRPr="002C420A" w:rsidRDefault="00DD4C5A" w:rsidP="00DD4C5A">
      <w:pPr>
        <w:pStyle w:val="Paragrafoelenco"/>
        <w:spacing w:after="0" w:line="240" w:lineRule="auto"/>
        <w:jc w:val="both"/>
      </w:pPr>
    </w:p>
    <w:p w:rsidR="00DD4C5A" w:rsidRDefault="00DD4C5A" w:rsidP="00DD4C5A">
      <w:pPr>
        <w:pStyle w:val="Paragrafoelenco"/>
        <w:numPr>
          <w:ilvl w:val="0"/>
          <w:numId w:val="28"/>
        </w:numPr>
        <w:spacing w:after="0" w:line="240" w:lineRule="auto"/>
        <w:jc w:val="both"/>
      </w:pPr>
      <w:r>
        <w:t>rapporto</w:t>
      </w:r>
      <w:r w:rsidRPr="00211B75">
        <w:t xml:space="preserve"> </w:t>
      </w:r>
      <w:r w:rsidR="00A14339">
        <w:t xml:space="preserve">del </w:t>
      </w:r>
      <w:r w:rsidRPr="00211B75">
        <w:t xml:space="preserve">25 marzo 1976, </w:t>
      </w:r>
      <w:r>
        <w:t xml:space="preserve">caso </w:t>
      </w:r>
      <w:r w:rsidRPr="00211B75">
        <w:rPr>
          <w:i/>
        </w:rPr>
        <w:t xml:space="preserve">Irlanda </w:t>
      </w:r>
      <w:r w:rsidRPr="00211B75">
        <w:t>c.</w:t>
      </w:r>
      <w:r w:rsidRPr="00211B75">
        <w:rPr>
          <w:i/>
        </w:rPr>
        <w:t xml:space="preserve"> Regno Unito</w:t>
      </w:r>
      <w:r>
        <w:t xml:space="preserve">: </w:t>
      </w:r>
      <w:r w:rsidRPr="00211B75">
        <w:t>pp.</w:t>
      </w:r>
      <w:r w:rsidR="00B44899">
        <w:t xml:space="preserve"> 162-163</w:t>
      </w:r>
    </w:p>
    <w:p w:rsidR="00D72BD5" w:rsidRPr="004F1563" w:rsidRDefault="00D72BD5" w:rsidP="00C15642">
      <w:pPr>
        <w:spacing w:after="0" w:line="240" w:lineRule="auto"/>
        <w:jc w:val="both"/>
        <w:sectPr w:rsidR="00D72BD5" w:rsidRPr="004F1563" w:rsidSect="00847AB8">
          <w:type w:val="continuous"/>
          <w:pgSz w:w="11906" w:h="16838"/>
          <w:pgMar w:top="1531" w:right="1531" w:bottom="1531" w:left="1531" w:header="709" w:footer="709" w:gutter="567"/>
          <w:cols w:num="2" w:space="708"/>
          <w:titlePg/>
          <w:docGrid w:linePitch="360"/>
        </w:sectPr>
      </w:pPr>
    </w:p>
    <w:p w:rsidR="00D72BD5" w:rsidRPr="000211BA" w:rsidRDefault="00D72BD5" w:rsidP="00D72BD5">
      <w:pPr>
        <w:spacing w:after="0" w:line="240" w:lineRule="auto"/>
        <w:jc w:val="both"/>
        <w:rPr>
          <w:i/>
          <w:sz w:val="24"/>
          <w:szCs w:val="24"/>
        </w:rPr>
        <w:sectPr w:rsidR="00D72BD5" w:rsidRPr="000211BA" w:rsidSect="00C15642">
          <w:type w:val="continuous"/>
          <w:pgSz w:w="11906" w:h="16838"/>
          <w:pgMar w:top="1417" w:right="1134" w:bottom="1134" w:left="1134" w:header="708" w:footer="708" w:gutter="567"/>
          <w:pgNumType w:start="0"/>
          <w:cols w:num="2" w:space="708"/>
          <w:titlePg/>
          <w:docGrid w:linePitch="360"/>
        </w:sectPr>
      </w:pPr>
    </w:p>
    <w:p w:rsidR="008B14EE" w:rsidRPr="008B14EE" w:rsidRDefault="008B14EE" w:rsidP="00C15642">
      <w:pPr>
        <w:spacing w:after="0" w:line="240" w:lineRule="auto"/>
        <w:jc w:val="center"/>
        <w:rPr>
          <w:smallCaps/>
          <w:sz w:val="28"/>
          <w:szCs w:val="28"/>
          <w:lang w:val="fr-FR"/>
        </w:rPr>
      </w:pPr>
      <w:r w:rsidRPr="008B14EE">
        <w:rPr>
          <w:smallCaps/>
          <w:sz w:val="28"/>
          <w:szCs w:val="28"/>
          <w:lang w:val="fr-FR"/>
        </w:rPr>
        <w:t>BIBLIOGRAFIA</w:t>
      </w:r>
    </w:p>
    <w:p w:rsidR="008B14EE" w:rsidRPr="008B14EE" w:rsidRDefault="008B14EE" w:rsidP="008B14EE">
      <w:pPr>
        <w:spacing w:after="0" w:line="240" w:lineRule="auto"/>
        <w:rPr>
          <w:smallCaps/>
          <w:lang w:val="fr-FR"/>
        </w:rPr>
      </w:pPr>
    </w:p>
    <w:p w:rsidR="008B14EE" w:rsidRPr="008B14EE" w:rsidRDefault="008B14EE" w:rsidP="008B14EE">
      <w:pPr>
        <w:spacing w:after="0" w:line="240" w:lineRule="auto"/>
        <w:jc w:val="both"/>
        <w:rPr>
          <w:lang w:val="fr-FR"/>
        </w:rPr>
      </w:pPr>
    </w:p>
    <w:p w:rsidR="008B14EE" w:rsidRPr="00174640" w:rsidRDefault="008B14EE" w:rsidP="008B14EE">
      <w:pPr>
        <w:spacing w:after="0" w:line="240" w:lineRule="auto"/>
        <w:jc w:val="both"/>
        <w:rPr>
          <w:sz w:val="24"/>
          <w:szCs w:val="24"/>
          <w:u w:val="single"/>
          <w:lang w:val="fr-FR"/>
        </w:rPr>
      </w:pPr>
      <w:r w:rsidRPr="00174640">
        <w:rPr>
          <w:sz w:val="24"/>
          <w:szCs w:val="24"/>
          <w:u w:val="single"/>
          <w:lang w:val="fr-FR"/>
        </w:rPr>
        <w:t>Trattazioni generali e monografie</w:t>
      </w:r>
    </w:p>
    <w:p w:rsidR="008B14EE" w:rsidRPr="00027BE6" w:rsidRDefault="008B14EE" w:rsidP="008B14EE">
      <w:pPr>
        <w:spacing w:after="0" w:line="240" w:lineRule="auto"/>
        <w:jc w:val="both"/>
        <w:rPr>
          <w:sz w:val="24"/>
          <w:szCs w:val="24"/>
          <w:lang w:val="fr-FR"/>
        </w:rPr>
      </w:pPr>
    </w:p>
    <w:p w:rsidR="008B14EE" w:rsidRDefault="008B14EE" w:rsidP="008B14EE">
      <w:pPr>
        <w:spacing w:after="0" w:line="240" w:lineRule="auto"/>
        <w:jc w:val="both"/>
        <w:rPr>
          <w:lang w:val="fr-FR"/>
        </w:rPr>
      </w:pPr>
    </w:p>
    <w:p w:rsidR="008B14EE" w:rsidRDefault="008B14EE" w:rsidP="005465DD">
      <w:pPr>
        <w:spacing w:after="0" w:line="360" w:lineRule="auto"/>
        <w:jc w:val="both"/>
        <w:rPr>
          <w:lang w:val="fr-FR"/>
        </w:rPr>
      </w:pPr>
      <w:r w:rsidRPr="00CD5352">
        <w:rPr>
          <w:lang w:val="fr-FR"/>
        </w:rPr>
        <w:t xml:space="preserve">AGO, </w:t>
      </w:r>
      <w:r w:rsidRPr="00CD5352">
        <w:rPr>
          <w:i/>
          <w:lang w:val="fr-FR"/>
        </w:rPr>
        <w:t>Le délit international</w:t>
      </w:r>
      <w:r w:rsidRPr="00CD5352">
        <w:rPr>
          <w:lang w:val="fr-FR"/>
        </w:rPr>
        <w:t xml:space="preserve">, in </w:t>
      </w:r>
      <w:r w:rsidRPr="00CD5352">
        <w:rPr>
          <w:i/>
          <w:lang w:val="fr-FR"/>
        </w:rPr>
        <w:t xml:space="preserve">Recueil </w:t>
      </w:r>
      <w:r w:rsidRPr="004C0C35">
        <w:rPr>
          <w:lang w:val="fr-FR"/>
        </w:rPr>
        <w:t>des cours</w:t>
      </w:r>
      <w:r w:rsidRPr="00CD5352">
        <w:rPr>
          <w:lang w:val="fr-FR"/>
        </w:rPr>
        <w:t xml:space="preserve"> </w:t>
      </w:r>
      <w:r>
        <w:rPr>
          <w:i/>
          <w:lang w:val="fr-FR"/>
        </w:rPr>
        <w:t>de l’Académie de droit international de la Haye</w:t>
      </w:r>
      <w:r w:rsidRPr="00CD5352">
        <w:rPr>
          <w:lang w:val="fr-FR"/>
        </w:rPr>
        <w:t xml:space="preserve">, </w:t>
      </w:r>
      <w:r>
        <w:rPr>
          <w:lang w:val="fr-FR"/>
        </w:rPr>
        <w:t>1939–II, p. 415 ss.</w:t>
      </w:r>
    </w:p>
    <w:p w:rsidR="008B14EE" w:rsidRPr="008B14EE" w:rsidRDefault="008B14EE" w:rsidP="005465DD">
      <w:pPr>
        <w:spacing w:after="0" w:line="360" w:lineRule="auto"/>
        <w:jc w:val="both"/>
        <w:rPr>
          <w:sz w:val="18"/>
          <w:szCs w:val="18"/>
          <w:lang w:val="fr-FR"/>
        </w:rPr>
      </w:pPr>
    </w:p>
    <w:p w:rsidR="008B14EE" w:rsidRDefault="008B14EE" w:rsidP="005465DD">
      <w:pPr>
        <w:spacing w:after="0" w:line="360" w:lineRule="auto"/>
        <w:jc w:val="both"/>
        <w:rPr>
          <w:lang w:val="en-US"/>
        </w:rPr>
      </w:pPr>
      <w:r w:rsidRPr="00872788">
        <w:rPr>
          <w:lang w:val="en-US"/>
        </w:rPr>
        <w:t xml:space="preserve">AMERASINGHE, </w:t>
      </w:r>
      <w:r w:rsidRPr="00872788">
        <w:rPr>
          <w:i/>
          <w:lang w:val="en-US"/>
        </w:rPr>
        <w:t>State Responsibility for Injuries to Aliens</w:t>
      </w:r>
      <w:r w:rsidRPr="00872788">
        <w:rPr>
          <w:lang w:val="en-US"/>
        </w:rPr>
        <w:t>, Oxford, 1967.</w:t>
      </w:r>
    </w:p>
    <w:p w:rsidR="008B14EE" w:rsidRPr="008B14EE" w:rsidRDefault="008B14EE" w:rsidP="005465DD">
      <w:pPr>
        <w:spacing w:after="0" w:line="360" w:lineRule="auto"/>
        <w:jc w:val="both"/>
        <w:rPr>
          <w:lang w:val="en-US"/>
        </w:rPr>
      </w:pPr>
    </w:p>
    <w:p w:rsidR="008B14EE" w:rsidRDefault="008B14EE" w:rsidP="005465DD">
      <w:pPr>
        <w:spacing w:after="0" w:line="360" w:lineRule="auto"/>
        <w:jc w:val="both"/>
      </w:pPr>
      <w:r w:rsidRPr="000C0108">
        <w:t xml:space="preserve">ANZILOTTI, </w:t>
      </w:r>
      <w:r w:rsidRPr="00F3552F">
        <w:rPr>
          <w:i/>
        </w:rPr>
        <w:t>Teoria generale della responsabilità dello Stato nel diritto</w:t>
      </w:r>
      <w:r w:rsidRPr="000C0108">
        <w:rPr>
          <w:i/>
        </w:rPr>
        <w:t xml:space="preserve"> internazionale</w:t>
      </w:r>
      <w:r>
        <w:t xml:space="preserve">, Firenze, 1902, </w:t>
      </w:r>
      <w:r w:rsidRPr="000C0108">
        <w:t>ristampato a cura della SIOI in “</w:t>
      </w:r>
      <w:r w:rsidRPr="000C0108">
        <w:rPr>
          <w:i/>
        </w:rPr>
        <w:t>Opere di D. Anzilotti</w:t>
      </w:r>
      <w:r w:rsidRPr="000C0108">
        <w:t xml:space="preserve">”, vol. </w:t>
      </w:r>
      <w:r>
        <w:t>II, tomo 1, Padova, 1956.</w:t>
      </w:r>
    </w:p>
    <w:p w:rsidR="008B14EE" w:rsidRPr="008B037C" w:rsidRDefault="008B14EE" w:rsidP="005465DD">
      <w:pPr>
        <w:spacing w:after="0" w:line="360" w:lineRule="auto"/>
        <w:jc w:val="both"/>
      </w:pPr>
    </w:p>
    <w:p w:rsidR="008B14EE" w:rsidRPr="004334EE" w:rsidRDefault="008B14EE" w:rsidP="005465DD">
      <w:pPr>
        <w:pStyle w:val="Testonotaapidipagina"/>
        <w:spacing w:line="360" w:lineRule="auto"/>
        <w:jc w:val="both"/>
        <w:rPr>
          <w:sz w:val="22"/>
          <w:szCs w:val="22"/>
        </w:rPr>
      </w:pPr>
      <w:r w:rsidRPr="004334EE">
        <w:rPr>
          <w:sz w:val="22"/>
          <w:szCs w:val="22"/>
        </w:rPr>
        <w:t xml:space="preserve">ANZILOTTI, </w:t>
      </w:r>
      <w:r w:rsidRPr="004334EE">
        <w:rPr>
          <w:i/>
          <w:sz w:val="22"/>
          <w:szCs w:val="22"/>
        </w:rPr>
        <w:t>Corso di diritto internazionale</w:t>
      </w:r>
      <w:r w:rsidRPr="004334EE">
        <w:rPr>
          <w:sz w:val="22"/>
          <w:szCs w:val="22"/>
        </w:rPr>
        <w:t>, 4</w:t>
      </w:r>
      <w:r w:rsidRPr="00AF6C8C">
        <w:rPr>
          <w:sz w:val="22"/>
          <w:szCs w:val="22"/>
          <w:lang w:val="fr-FR"/>
        </w:rPr>
        <w:t>ᵃ</w:t>
      </w:r>
      <w:r w:rsidRPr="004334EE">
        <w:rPr>
          <w:sz w:val="22"/>
          <w:szCs w:val="22"/>
        </w:rPr>
        <w:t xml:space="preserve"> ed., Padova, 1955, p. 224 ss.</w:t>
      </w:r>
    </w:p>
    <w:p w:rsidR="008B14EE" w:rsidRPr="00AF6C8C" w:rsidRDefault="008B14EE" w:rsidP="005465DD">
      <w:pPr>
        <w:spacing w:after="0" w:line="360" w:lineRule="auto"/>
        <w:jc w:val="both"/>
      </w:pPr>
    </w:p>
    <w:p w:rsidR="008B14EE" w:rsidRDefault="008B14EE" w:rsidP="005465DD">
      <w:pPr>
        <w:pStyle w:val="Testonotaapidipagina"/>
        <w:spacing w:line="360" w:lineRule="auto"/>
        <w:jc w:val="both"/>
      </w:pPr>
      <w:r w:rsidRPr="008B037C">
        <w:rPr>
          <w:sz w:val="22"/>
          <w:szCs w:val="22"/>
        </w:rPr>
        <w:t xml:space="preserve">ARANGIO-RUIZ, </w:t>
      </w:r>
      <w:r w:rsidRPr="008B037C">
        <w:rPr>
          <w:i/>
          <w:sz w:val="22"/>
          <w:szCs w:val="22"/>
        </w:rPr>
        <w:t>Gli enti soggetti dell’ordinamento internazionale</w:t>
      </w:r>
      <w:r w:rsidRPr="008B037C">
        <w:rPr>
          <w:sz w:val="22"/>
          <w:szCs w:val="22"/>
        </w:rPr>
        <w:t>, Milano, 1951</w:t>
      </w:r>
      <w:r>
        <w:t>.</w:t>
      </w:r>
    </w:p>
    <w:p w:rsidR="008B14EE" w:rsidRDefault="008B14EE" w:rsidP="005465DD">
      <w:pPr>
        <w:pStyle w:val="Testonotaapidipagina"/>
        <w:spacing w:line="360" w:lineRule="auto"/>
        <w:jc w:val="both"/>
      </w:pPr>
    </w:p>
    <w:p w:rsidR="008B14EE" w:rsidRPr="007A5071" w:rsidRDefault="008B14EE" w:rsidP="005465DD">
      <w:pPr>
        <w:pStyle w:val="Testonotaapidipagina"/>
        <w:spacing w:line="360" w:lineRule="auto"/>
        <w:jc w:val="both"/>
        <w:rPr>
          <w:sz w:val="22"/>
          <w:szCs w:val="22"/>
          <w:lang w:val="fr-FR"/>
        </w:rPr>
      </w:pPr>
      <w:r w:rsidRPr="007A5071">
        <w:rPr>
          <w:sz w:val="22"/>
          <w:szCs w:val="22"/>
          <w:lang w:val="fr-FR"/>
        </w:rPr>
        <w:t xml:space="preserve">BRIERLY, </w:t>
      </w:r>
      <w:r w:rsidRPr="007A5071">
        <w:rPr>
          <w:i/>
          <w:sz w:val="22"/>
          <w:szCs w:val="22"/>
          <w:lang w:val="fr-FR"/>
        </w:rPr>
        <w:t>Règles générales du droit de la paix</w:t>
      </w:r>
      <w:r>
        <w:rPr>
          <w:i/>
          <w:sz w:val="22"/>
          <w:szCs w:val="22"/>
          <w:lang w:val="fr-FR"/>
        </w:rPr>
        <w:t xml:space="preserve">, </w:t>
      </w:r>
      <w:r>
        <w:rPr>
          <w:sz w:val="22"/>
          <w:szCs w:val="22"/>
          <w:lang w:val="fr-FR"/>
        </w:rPr>
        <w:t xml:space="preserve">in </w:t>
      </w:r>
      <w:r w:rsidRPr="007A5071">
        <w:rPr>
          <w:i/>
          <w:sz w:val="22"/>
          <w:szCs w:val="22"/>
          <w:lang w:val="fr-FR"/>
        </w:rPr>
        <w:t>Recueil des cours de la Académie de droit international</w:t>
      </w:r>
      <w:r>
        <w:rPr>
          <w:sz w:val="22"/>
          <w:szCs w:val="22"/>
          <w:lang w:val="fr-FR"/>
        </w:rPr>
        <w:t xml:space="preserve">, 1936, p. 1 ss. </w:t>
      </w:r>
    </w:p>
    <w:p w:rsidR="008B14EE" w:rsidRPr="007A5071" w:rsidRDefault="008B14EE" w:rsidP="005465DD">
      <w:pPr>
        <w:pStyle w:val="Testonotaapidipagina"/>
        <w:spacing w:line="360" w:lineRule="auto"/>
        <w:jc w:val="both"/>
        <w:rPr>
          <w:lang w:val="fr-FR"/>
        </w:rPr>
      </w:pPr>
    </w:p>
    <w:p w:rsidR="008B14EE" w:rsidRDefault="008B14EE" w:rsidP="005465DD">
      <w:pPr>
        <w:pStyle w:val="Testonotaapidipagina"/>
        <w:spacing w:line="360" w:lineRule="auto"/>
        <w:jc w:val="both"/>
        <w:rPr>
          <w:sz w:val="22"/>
          <w:szCs w:val="22"/>
          <w:lang w:val="en-US"/>
        </w:rPr>
      </w:pPr>
      <w:r w:rsidRPr="006E1EC7">
        <w:rPr>
          <w:sz w:val="22"/>
          <w:szCs w:val="22"/>
          <w:lang w:val="en-US"/>
        </w:rPr>
        <w:t xml:space="preserve">BORCHARD, </w:t>
      </w:r>
      <w:r w:rsidRPr="006E1EC7">
        <w:rPr>
          <w:i/>
          <w:sz w:val="22"/>
          <w:szCs w:val="22"/>
          <w:lang w:val="en-US"/>
        </w:rPr>
        <w:t>The Diplomatic Protection of Citizens Abroad or the Law of International Claims</w:t>
      </w:r>
      <w:r w:rsidRPr="006E1EC7">
        <w:rPr>
          <w:sz w:val="22"/>
          <w:szCs w:val="22"/>
          <w:lang w:val="en-US"/>
        </w:rPr>
        <w:t>, New York, 1916, p. 185</w:t>
      </w:r>
      <w:r>
        <w:rPr>
          <w:sz w:val="22"/>
          <w:szCs w:val="22"/>
          <w:lang w:val="en-US"/>
        </w:rPr>
        <w:t xml:space="preserve"> ss.</w:t>
      </w:r>
    </w:p>
    <w:p w:rsidR="008B14EE" w:rsidRDefault="008B14EE" w:rsidP="005465DD">
      <w:pPr>
        <w:pStyle w:val="Testonotaapidipagina"/>
        <w:spacing w:line="360" w:lineRule="auto"/>
        <w:jc w:val="both"/>
        <w:rPr>
          <w:sz w:val="22"/>
          <w:szCs w:val="22"/>
          <w:lang w:val="en-US"/>
        </w:rPr>
      </w:pPr>
    </w:p>
    <w:p w:rsidR="008B14EE" w:rsidRPr="006E1EC7" w:rsidRDefault="008B14EE" w:rsidP="005465DD">
      <w:pPr>
        <w:pStyle w:val="Testonotaapidipagina"/>
        <w:spacing w:line="360" w:lineRule="auto"/>
        <w:jc w:val="both"/>
        <w:rPr>
          <w:sz w:val="22"/>
          <w:szCs w:val="22"/>
          <w:lang w:val="en-US"/>
        </w:rPr>
      </w:pPr>
      <w:r w:rsidRPr="00A35455">
        <w:rPr>
          <w:sz w:val="22"/>
          <w:szCs w:val="22"/>
          <w:lang w:val="en-US"/>
        </w:rPr>
        <w:t xml:space="preserve">BORCHARD, </w:t>
      </w:r>
      <w:r w:rsidRPr="00A35455">
        <w:rPr>
          <w:i/>
          <w:sz w:val="22"/>
          <w:szCs w:val="22"/>
          <w:lang w:val="en-US"/>
        </w:rPr>
        <w:t>Theoretical Aspects of the International Responsibility of States, Zeitschrift für ausländisches öffentliches Recht und Völkerrecht</w:t>
      </w:r>
      <w:r>
        <w:rPr>
          <w:sz w:val="22"/>
          <w:szCs w:val="22"/>
          <w:lang w:val="en-US"/>
        </w:rPr>
        <w:t>, 1929, p</w:t>
      </w:r>
      <w:r w:rsidRPr="00A35455">
        <w:rPr>
          <w:sz w:val="22"/>
          <w:szCs w:val="22"/>
          <w:lang w:val="en-US"/>
        </w:rPr>
        <w:t>. 223</w:t>
      </w:r>
      <w:r>
        <w:rPr>
          <w:sz w:val="22"/>
          <w:szCs w:val="22"/>
          <w:lang w:val="en-US"/>
        </w:rPr>
        <w:t xml:space="preserve"> ss.</w:t>
      </w:r>
    </w:p>
    <w:p w:rsidR="008B14EE" w:rsidRPr="006E1EC7" w:rsidRDefault="008B14EE" w:rsidP="005465DD">
      <w:pPr>
        <w:pStyle w:val="Testonotaapidipagina"/>
        <w:spacing w:line="360" w:lineRule="auto"/>
        <w:jc w:val="both"/>
        <w:rPr>
          <w:sz w:val="22"/>
          <w:szCs w:val="22"/>
          <w:lang w:val="en-US"/>
        </w:rPr>
      </w:pPr>
    </w:p>
    <w:p w:rsidR="008B14EE" w:rsidRDefault="008B14EE" w:rsidP="005465DD">
      <w:pPr>
        <w:pStyle w:val="Testonotaapidipagina"/>
        <w:spacing w:line="360" w:lineRule="auto"/>
        <w:jc w:val="both"/>
        <w:rPr>
          <w:sz w:val="22"/>
          <w:szCs w:val="22"/>
          <w:lang w:val="fr-FR"/>
        </w:rPr>
      </w:pPr>
      <w:r w:rsidRPr="008539B4">
        <w:rPr>
          <w:sz w:val="22"/>
          <w:szCs w:val="22"/>
          <w:lang w:val="fr-FR"/>
        </w:rPr>
        <w:t>BLUNTSCHLI</w:t>
      </w:r>
      <w:r>
        <w:rPr>
          <w:sz w:val="22"/>
          <w:szCs w:val="22"/>
          <w:lang w:val="fr-FR"/>
        </w:rPr>
        <w:t xml:space="preserve">, </w:t>
      </w:r>
      <w:r w:rsidRPr="008539B4">
        <w:rPr>
          <w:i/>
          <w:sz w:val="22"/>
          <w:szCs w:val="22"/>
          <w:lang w:val="fr-FR"/>
        </w:rPr>
        <w:t>Le droit international codifié</w:t>
      </w:r>
      <w:r w:rsidRPr="008539B4">
        <w:rPr>
          <w:sz w:val="22"/>
          <w:szCs w:val="22"/>
          <w:lang w:val="fr-FR"/>
        </w:rPr>
        <w:t>, 4ᵃ edizione, Paris, 1886. p. 273</w:t>
      </w:r>
      <w:r>
        <w:rPr>
          <w:sz w:val="22"/>
          <w:szCs w:val="22"/>
          <w:lang w:val="fr-FR"/>
        </w:rPr>
        <w:t xml:space="preserve"> ss.</w:t>
      </w:r>
    </w:p>
    <w:p w:rsidR="008B14EE" w:rsidRDefault="008B14EE" w:rsidP="005465DD">
      <w:pPr>
        <w:pStyle w:val="Testonotaapidipagina"/>
        <w:spacing w:line="360" w:lineRule="auto"/>
        <w:jc w:val="both"/>
        <w:rPr>
          <w:sz w:val="22"/>
          <w:szCs w:val="22"/>
          <w:lang w:val="fr-FR"/>
        </w:rPr>
      </w:pPr>
    </w:p>
    <w:p w:rsidR="008B14EE" w:rsidRDefault="008B14EE" w:rsidP="005465DD">
      <w:pPr>
        <w:pStyle w:val="Testonotaapidipagina"/>
        <w:spacing w:line="360" w:lineRule="auto"/>
        <w:jc w:val="both"/>
        <w:rPr>
          <w:sz w:val="22"/>
          <w:szCs w:val="22"/>
          <w:lang w:val="fr-FR"/>
        </w:rPr>
      </w:pPr>
      <w:r w:rsidRPr="008539B4">
        <w:rPr>
          <w:sz w:val="22"/>
          <w:szCs w:val="22"/>
          <w:lang w:val="fr-FR"/>
        </w:rPr>
        <w:t>BLUNTSCHLI</w:t>
      </w:r>
      <w:r>
        <w:rPr>
          <w:i/>
          <w:sz w:val="22"/>
          <w:szCs w:val="22"/>
          <w:lang w:val="fr-FR"/>
        </w:rPr>
        <w:t xml:space="preserve">, </w:t>
      </w:r>
      <w:r w:rsidRPr="006A7846">
        <w:rPr>
          <w:i/>
          <w:sz w:val="22"/>
          <w:szCs w:val="22"/>
          <w:lang w:val="fr-FR"/>
        </w:rPr>
        <w:t xml:space="preserve">Das moderne Völkerrecht der civilisirten Staten als Rechtbuch dargestellt, </w:t>
      </w:r>
      <w:r w:rsidRPr="006A7846">
        <w:rPr>
          <w:sz w:val="22"/>
          <w:szCs w:val="22"/>
          <w:lang w:val="fr-FR"/>
        </w:rPr>
        <w:t>3ᵃ edizione, Nördling, 1878, pp. 261 ss.</w:t>
      </w:r>
    </w:p>
    <w:p w:rsidR="008B14EE" w:rsidRDefault="008B14EE" w:rsidP="005465DD">
      <w:pPr>
        <w:pStyle w:val="Testonotaapidipagina"/>
        <w:spacing w:line="360" w:lineRule="auto"/>
        <w:jc w:val="both"/>
        <w:rPr>
          <w:sz w:val="22"/>
          <w:szCs w:val="22"/>
          <w:lang w:val="fr-FR"/>
        </w:rPr>
      </w:pPr>
    </w:p>
    <w:p w:rsidR="008B14EE" w:rsidRPr="009D2F19" w:rsidRDefault="008B14EE" w:rsidP="005465DD">
      <w:pPr>
        <w:pStyle w:val="Testonotaapidipagina"/>
        <w:spacing w:line="360" w:lineRule="auto"/>
        <w:jc w:val="both"/>
        <w:rPr>
          <w:sz w:val="22"/>
          <w:szCs w:val="22"/>
          <w:lang w:val="en-US"/>
        </w:rPr>
      </w:pPr>
      <w:r w:rsidRPr="009D2F19">
        <w:rPr>
          <w:sz w:val="22"/>
          <w:szCs w:val="22"/>
          <w:lang w:val="en-US"/>
        </w:rPr>
        <w:t xml:space="preserve">BRIERLY, </w:t>
      </w:r>
      <w:r w:rsidRPr="009D2F19">
        <w:rPr>
          <w:i/>
          <w:sz w:val="22"/>
          <w:szCs w:val="22"/>
          <w:lang w:val="en-US"/>
        </w:rPr>
        <w:t>The Law of Nations: an Introduction to the International Law of Peace</w:t>
      </w:r>
      <w:r w:rsidRPr="009D2F19">
        <w:rPr>
          <w:sz w:val="22"/>
          <w:szCs w:val="22"/>
          <w:lang w:val="en-US"/>
        </w:rPr>
        <w:t>, 6ᵃ</w:t>
      </w:r>
      <w:r>
        <w:rPr>
          <w:sz w:val="22"/>
          <w:szCs w:val="22"/>
          <w:lang w:val="en-US"/>
        </w:rPr>
        <w:t xml:space="preserve"> ed., Oxford, 1963, </w:t>
      </w:r>
      <w:r w:rsidRPr="009D2F19">
        <w:rPr>
          <w:sz w:val="22"/>
          <w:szCs w:val="22"/>
          <w:lang w:val="en-US"/>
        </w:rPr>
        <w:t>p. 285</w:t>
      </w:r>
      <w:r>
        <w:rPr>
          <w:sz w:val="22"/>
          <w:szCs w:val="22"/>
          <w:lang w:val="en-US"/>
        </w:rPr>
        <w:t xml:space="preserve"> ss.</w:t>
      </w:r>
    </w:p>
    <w:p w:rsidR="008B14EE" w:rsidRPr="009D2F19" w:rsidRDefault="008B14EE" w:rsidP="005465DD">
      <w:pPr>
        <w:spacing w:after="0" w:line="360" w:lineRule="auto"/>
        <w:jc w:val="both"/>
        <w:rPr>
          <w:lang w:val="en-US"/>
        </w:rPr>
      </w:pPr>
    </w:p>
    <w:p w:rsidR="008B14EE" w:rsidRDefault="008B14EE" w:rsidP="005465DD">
      <w:pPr>
        <w:spacing w:after="0" w:line="360" w:lineRule="auto"/>
        <w:jc w:val="both"/>
        <w:rPr>
          <w:lang w:val="en-US"/>
        </w:rPr>
      </w:pPr>
      <w:r w:rsidRPr="00677F39">
        <w:rPr>
          <w:lang w:val="en-US"/>
        </w:rPr>
        <w:t xml:space="preserve">BROWNLIE, </w:t>
      </w:r>
      <w:r w:rsidRPr="00677F39">
        <w:rPr>
          <w:i/>
          <w:lang w:val="en-US"/>
        </w:rPr>
        <w:t>State Responsibility</w:t>
      </w:r>
      <w:r>
        <w:rPr>
          <w:lang w:val="en-US"/>
        </w:rPr>
        <w:t>, I, Oxford, 1983.</w:t>
      </w:r>
    </w:p>
    <w:p w:rsidR="008B14EE" w:rsidRDefault="008B14EE" w:rsidP="005465DD">
      <w:pPr>
        <w:spacing w:after="0" w:line="360" w:lineRule="auto"/>
        <w:jc w:val="both"/>
        <w:rPr>
          <w:lang w:val="en-US"/>
        </w:rPr>
      </w:pPr>
    </w:p>
    <w:p w:rsidR="008B14EE" w:rsidRDefault="008B14EE" w:rsidP="005465DD">
      <w:pPr>
        <w:spacing w:after="0" w:line="360" w:lineRule="auto"/>
        <w:jc w:val="both"/>
        <w:rPr>
          <w:lang w:val="en-US"/>
        </w:rPr>
      </w:pPr>
      <w:r w:rsidRPr="00B42056">
        <w:rPr>
          <w:lang w:val="nl-NL"/>
        </w:rPr>
        <w:t xml:space="preserve">BURCKHARDT, </w:t>
      </w:r>
      <w:r w:rsidRPr="00B42056">
        <w:rPr>
          <w:i/>
          <w:lang w:val="nl-NL"/>
        </w:rPr>
        <w:t>Die v</w:t>
      </w:r>
      <w:r w:rsidRPr="00B42056">
        <w:rPr>
          <w:rFonts w:cstheme="minorHAnsi"/>
          <w:i/>
          <w:lang w:val="nl-NL"/>
        </w:rPr>
        <w:t>ö</w:t>
      </w:r>
      <w:r w:rsidRPr="00B42056">
        <w:rPr>
          <w:i/>
          <w:lang w:val="nl-NL"/>
        </w:rPr>
        <w:t>lkerrechtliche Verantworlichkeit der Staaten</w:t>
      </w:r>
      <w:r w:rsidRPr="00B42056">
        <w:rPr>
          <w:lang w:val="nl-NL"/>
        </w:rPr>
        <w:t>, B</w:t>
      </w:r>
      <w:r>
        <w:rPr>
          <w:lang w:val="nl-NL"/>
        </w:rPr>
        <w:t>ern, 1924.</w:t>
      </w:r>
    </w:p>
    <w:p w:rsidR="008B14EE" w:rsidRDefault="008B14EE" w:rsidP="005465DD">
      <w:pPr>
        <w:spacing w:after="0" w:line="360" w:lineRule="auto"/>
        <w:jc w:val="both"/>
        <w:rPr>
          <w:lang w:val="en-US"/>
        </w:rPr>
      </w:pPr>
    </w:p>
    <w:p w:rsidR="008B14EE" w:rsidRDefault="008B14EE" w:rsidP="005465DD">
      <w:pPr>
        <w:spacing w:after="0" w:line="360" w:lineRule="auto"/>
        <w:jc w:val="both"/>
        <w:rPr>
          <w:lang w:val="fr-FR"/>
        </w:rPr>
      </w:pPr>
      <w:r w:rsidRPr="004366FB">
        <w:rPr>
          <w:lang w:val="fr-FR"/>
        </w:rPr>
        <w:t>CALVO,</w:t>
      </w:r>
      <w:r w:rsidRPr="004366FB">
        <w:rPr>
          <w:i/>
          <w:lang w:val="fr-FR"/>
        </w:rPr>
        <w:t xml:space="preserve"> </w:t>
      </w:r>
      <w:r w:rsidRPr="00346C33">
        <w:rPr>
          <w:i/>
          <w:lang w:val="fr-FR"/>
        </w:rPr>
        <w:t>Le droit international théorique et pratique</w:t>
      </w:r>
      <w:r w:rsidRPr="00346C33">
        <w:rPr>
          <w:lang w:val="fr-FR"/>
        </w:rPr>
        <w:t xml:space="preserve">, tomo 3, </w:t>
      </w:r>
      <w:r>
        <w:rPr>
          <w:lang w:val="fr-FR"/>
        </w:rPr>
        <w:t>1887, Paris, p. 120 ss.</w:t>
      </w:r>
    </w:p>
    <w:p w:rsidR="008B14EE" w:rsidRDefault="008B14EE" w:rsidP="005465DD">
      <w:pPr>
        <w:spacing w:after="0" w:line="360" w:lineRule="auto"/>
        <w:jc w:val="both"/>
        <w:rPr>
          <w:lang w:val="fr-FR"/>
        </w:rPr>
      </w:pPr>
    </w:p>
    <w:p w:rsidR="008B14EE" w:rsidRPr="00856258" w:rsidRDefault="008B14EE" w:rsidP="005465DD">
      <w:pPr>
        <w:spacing w:after="0" w:line="360" w:lineRule="auto"/>
        <w:jc w:val="both"/>
        <w:rPr>
          <w:lang w:val="en-US"/>
        </w:rPr>
      </w:pPr>
      <w:r>
        <w:rPr>
          <w:lang w:val="en-US"/>
        </w:rPr>
        <w:t xml:space="preserve">CARON, </w:t>
      </w:r>
      <w:r>
        <w:rPr>
          <w:i/>
          <w:lang w:val="en-US"/>
        </w:rPr>
        <w:t>The Basis for Responsibility: Attribution and Other Trans-Substantive Rules</w:t>
      </w:r>
      <w:r>
        <w:rPr>
          <w:lang w:val="en-US"/>
        </w:rPr>
        <w:t xml:space="preserve">, in LILLICH e BARSTOW MAGRAW (a cura di), </w:t>
      </w:r>
      <w:r>
        <w:rPr>
          <w:i/>
          <w:lang w:val="en-US"/>
        </w:rPr>
        <w:t>The Iran-United States Claims Tribunal: Its Contribution to the Law of State Responsibility</w:t>
      </w:r>
      <w:r>
        <w:rPr>
          <w:lang w:val="en-US"/>
        </w:rPr>
        <w:t>, New -York, 1998, p. 138 ss.</w:t>
      </w:r>
    </w:p>
    <w:p w:rsidR="008B14EE" w:rsidRPr="00856258" w:rsidRDefault="008B14EE" w:rsidP="005465DD">
      <w:pPr>
        <w:spacing w:after="0" w:line="360" w:lineRule="auto"/>
        <w:jc w:val="both"/>
        <w:rPr>
          <w:lang w:val="en-US"/>
        </w:rPr>
      </w:pPr>
    </w:p>
    <w:p w:rsidR="008B14EE" w:rsidRDefault="008B14EE" w:rsidP="005465DD">
      <w:pPr>
        <w:spacing w:after="0" w:line="360" w:lineRule="auto"/>
        <w:jc w:val="both"/>
        <w:rPr>
          <w:lang w:val="fr-FR"/>
        </w:rPr>
      </w:pPr>
      <w:r w:rsidRPr="004661FC">
        <w:rPr>
          <w:lang w:val="fr-FR"/>
        </w:rPr>
        <w:t xml:space="preserve">CARREAU, </w:t>
      </w:r>
      <w:r w:rsidRPr="004661FC">
        <w:rPr>
          <w:i/>
          <w:lang w:val="fr-FR"/>
        </w:rPr>
        <w:t>Droit international</w:t>
      </w:r>
      <w:r w:rsidRPr="004661FC">
        <w:rPr>
          <w:lang w:val="fr-FR"/>
        </w:rPr>
        <w:t xml:space="preserve">, </w:t>
      </w:r>
      <w:r w:rsidRPr="004661FC">
        <w:rPr>
          <w:i/>
          <w:lang w:val="fr-FR"/>
        </w:rPr>
        <w:t>Etudes internationales</w:t>
      </w:r>
      <w:r>
        <w:rPr>
          <w:lang w:val="fr-FR"/>
        </w:rPr>
        <w:t>, Paris, 1986, p. 397 ss.</w:t>
      </w:r>
    </w:p>
    <w:p w:rsidR="008B14EE" w:rsidRDefault="008B14EE" w:rsidP="005465DD">
      <w:pPr>
        <w:spacing w:after="0" w:line="360" w:lineRule="auto"/>
        <w:jc w:val="both"/>
        <w:rPr>
          <w:lang w:val="fr-FR"/>
        </w:rPr>
      </w:pPr>
    </w:p>
    <w:p w:rsidR="008B14EE" w:rsidRDefault="008B14EE" w:rsidP="005465DD">
      <w:pPr>
        <w:spacing w:after="0" w:line="360" w:lineRule="auto"/>
        <w:jc w:val="both"/>
        <w:rPr>
          <w:lang w:val="fr-FR"/>
        </w:rPr>
      </w:pPr>
      <w:r w:rsidRPr="00E170A7">
        <w:rPr>
          <w:lang w:val="fr-FR"/>
        </w:rPr>
        <w:t xml:space="preserve">CAVAGLIERI, </w:t>
      </w:r>
      <w:r w:rsidRPr="00E170A7">
        <w:rPr>
          <w:i/>
          <w:lang w:val="fr-FR"/>
        </w:rPr>
        <w:t>Règles générales du droit de la paix</w:t>
      </w:r>
      <w:r w:rsidRPr="00E170A7">
        <w:rPr>
          <w:lang w:val="fr-FR"/>
        </w:rPr>
        <w:t xml:space="preserve">, </w:t>
      </w:r>
      <w:r>
        <w:rPr>
          <w:lang w:val="fr-FR"/>
        </w:rPr>
        <w:t xml:space="preserve">in </w:t>
      </w:r>
      <w:r>
        <w:rPr>
          <w:i/>
          <w:lang w:val="fr-FR"/>
        </w:rPr>
        <w:t xml:space="preserve">Recueil des cours de l’Académie de droit international de la Haye, </w:t>
      </w:r>
      <w:r>
        <w:rPr>
          <w:lang w:val="fr-FR"/>
        </w:rPr>
        <w:t>1929–I, p. 311 ss.</w:t>
      </w:r>
    </w:p>
    <w:p w:rsidR="008B14EE" w:rsidRDefault="008B14EE" w:rsidP="005465DD">
      <w:pPr>
        <w:spacing w:after="0" w:line="360" w:lineRule="auto"/>
        <w:jc w:val="both"/>
        <w:rPr>
          <w:lang w:val="fr-FR"/>
        </w:rPr>
      </w:pPr>
    </w:p>
    <w:p w:rsidR="008B14EE" w:rsidRPr="00183013" w:rsidRDefault="008B14EE" w:rsidP="005465DD">
      <w:pPr>
        <w:spacing w:after="0" w:line="360" w:lineRule="auto"/>
        <w:jc w:val="both"/>
        <w:rPr>
          <w:lang w:val="fr-FR"/>
        </w:rPr>
      </w:pPr>
      <w:r w:rsidRPr="00183013">
        <w:rPr>
          <w:lang w:val="fr-FR"/>
        </w:rPr>
        <w:t xml:space="preserve">CAVARÉ, </w:t>
      </w:r>
      <w:r w:rsidRPr="00183013">
        <w:rPr>
          <w:i/>
          <w:lang w:val="fr-FR"/>
        </w:rPr>
        <w:t>Le droit international public positif</w:t>
      </w:r>
      <w:r w:rsidRPr="00183013">
        <w:rPr>
          <w:lang w:val="fr-FR"/>
        </w:rPr>
        <w:t>, tomo II, p. 414</w:t>
      </w:r>
      <w:r>
        <w:rPr>
          <w:lang w:val="fr-FR"/>
        </w:rPr>
        <w:t xml:space="preserve"> ss. </w:t>
      </w:r>
    </w:p>
    <w:p w:rsidR="008B14EE" w:rsidRDefault="008B14EE" w:rsidP="005465DD">
      <w:pPr>
        <w:spacing w:after="0" w:line="360" w:lineRule="auto"/>
        <w:jc w:val="both"/>
        <w:rPr>
          <w:lang w:val="fr-FR"/>
        </w:rPr>
      </w:pPr>
    </w:p>
    <w:p w:rsidR="008B14EE" w:rsidRDefault="008B14EE" w:rsidP="005465DD">
      <w:pPr>
        <w:spacing w:after="0" w:line="360" w:lineRule="auto"/>
        <w:jc w:val="both"/>
        <w:rPr>
          <w:lang w:val="en-US"/>
        </w:rPr>
      </w:pPr>
      <w:r w:rsidRPr="00B173E2">
        <w:rPr>
          <w:lang w:val="en-US"/>
        </w:rPr>
        <w:t>CHENG,</w:t>
      </w:r>
      <w:r w:rsidRPr="00B173E2">
        <w:rPr>
          <w:sz w:val="18"/>
          <w:szCs w:val="18"/>
          <w:lang w:val="en-US"/>
        </w:rPr>
        <w:t xml:space="preserve"> </w:t>
      </w:r>
      <w:r w:rsidRPr="00B173E2">
        <w:rPr>
          <w:i/>
          <w:lang w:val="en-US"/>
        </w:rPr>
        <w:t>General Principles of Law as applied by International Courts and Tribunals</w:t>
      </w:r>
      <w:r w:rsidRPr="00B173E2">
        <w:rPr>
          <w:sz w:val="18"/>
          <w:szCs w:val="18"/>
          <w:lang w:val="en-US"/>
        </w:rPr>
        <w:t xml:space="preserve">, </w:t>
      </w:r>
      <w:r w:rsidRPr="00B173E2">
        <w:rPr>
          <w:lang w:val="en-US"/>
        </w:rPr>
        <w:t>second edition, Cambridge, 1987, p. 170</w:t>
      </w:r>
      <w:r>
        <w:rPr>
          <w:lang w:val="en-US"/>
        </w:rPr>
        <w:t xml:space="preserve"> ss.</w:t>
      </w:r>
    </w:p>
    <w:p w:rsidR="008B14EE" w:rsidRDefault="008B14EE" w:rsidP="005465DD">
      <w:pPr>
        <w:spacing w:after="0" w:line="360" w:lineRule="auto"/>
        <w:jc w:val="both"/>
        <w:rPr>
          <w:lang w:val="en-US"/>
        </w:rPr>
      </w:pPr>
    </w:p>
    <w:p w:rsidR="008B14EE" w:rsidRDefault="008B14EE" w:rsidP="005465DD">
      <w:pPr>
        <w:spacing w:after="0" w:line="360" w:lineRule="auto"/>
        <w:jc w:val="both"/>
        <w:rPr>
          <w:lang w:val="fr-FR"/>
        </w:rPr>
      </w:pPr>
      <w:r>
        <w:rPr>
          <w:lang w:val="fr-FR"/>
        </w:rPr>
        <w:t>CHRÉ</w:t>
      </w:r>
      <w:r w:rsidRPr="00930C7F">
        <w:rPr>
          <w:lang w:val="fr-FR"/>
        </w:rPr>
        <w:t>TIEN</w:t>
      </w:r>
      <w:r>
        <w:rPr>
          <w:i/>
          <w:lang w:val="fr-FR"/>
        </w:rPr>
        <w:t xml:space="preserve">, </w:t>
      </w:r>
      <w:r w:rsidRPr="00930C7F">
        <w:rPr>
          <w:i/>
          <w:lang w:val="fr-FR"/>
        </w:rPr>
        <w:t>Principe de droit international public</w:t>
      </w:r>
      <w:r>
        <w:rPr>
          <w:lang w:val="fr-FR"/>
        </w:rPr>
        <w:t xml:space="preserve">, Paris, 1893, </w:t>
      </w:r>
      <w:r w:rsidRPr="00930C7F">
        <w:rPr>
          <w:lang w:val="fr-FR"/>
        </w:rPr>
        <w:t xml:space="preserve">p. 391 </w:t>
      </w:r>
      <w:r>
        <w:rPr>
          <w:lang w:val="fr-FR"/>
        </w:rPr>
        <w:t>ss.</w:t>
      </w:r>
    </w:p>
    <w:p w:rsidR="008B14EE" w:rsidRPr="00930C7F" w:rsidRDefault="008B14EE" w:rsidP="005465DD">
      <w:pPr>
        <w:spacing w:after="0" w:line="360" w:lineRule="auto"/>
        <w:jc w:val="both"/>
        <w:rPr>
          <w:lang w:val="fr-FR"/>
        </w:rPr>
      </w:pPr>
    </w:p>
    <w:p w:rsidR="008B14EE" w:rsidRPr="00CA39AC" w:rsidRDefault="008B14EE" w:rsidP="005465DD">
      <w:pPr>
        <w:spacing w:after="0" w:line="360" w:lineRule="auto"/>
        <w:jc w:val="both"/>
        <w:rPr>
          <w:lang w:val="en-US"/>
        </w:rPr>
      </w:pPr>
      <w:r w:rsidRPr="00676040">
        <w:rPr>
          <w:lang w:val="en-US"/>
        </w:rPr>
        <w:t xml:space="preserve">CHRISTENSON, </w:t>
      </w:r>
      <w:r w:rsidRPr="00676040">
        <w:rPr>
          <w:i/>
          <w:lang w:val="en-US"/>
        </w:rPr>
        <w:t xml:space="preserve">The Doctrine of Attribution in State Responsibility, </w:t>
      </w:r>
      <w:r w:rsidRPr="00230112">
        <w:rPr>
          <w:lang w:val="en-US"/>
        </w:rPr>
        <w:t>in</w:t>
      </w:r>
      <w:r>
        <w:rPr>
          <w:i/>
          <w:lang w:val="en-US"/>
        </w:rPr>
        <w:t xml:space="preserve"> </w:t>
      </w:r>
      <w:r w:rsidRPr="00676040">
        <w:rPr>
          <w:i/>
          <w:lang w:val="en-US"/>
        </w:rPr>
        <w:t>International Law of State Responsibility for Injuries to Aliens</w:t>
      </w:r>
      <w:r w:rsidRPr="00676040">
        <w:rPr>
          <w:lang w:val="en-US"/>
        </w:rPr>
        <w:t xml:space="preserve">, Charlottesville, 1983, p. </w:t>
      </w:r>
      <w:r>
        <w:rPr>
          <w:lang w:val="en-US"/>
        </w:rPr>
        <w:t>321 ss.</w:t>
      </w:r>
    </w:p>
    <w:p w:rsidR="008B14EE" w:rsidRPr="00CA39AC" w:rsidRDefault="008B14EE" w:rsidP="005465DD">
      <w:pPr>
        <w:spacing w:after="0" w:line="360" w:lineRule="auto"/>
        <w:jc w:val="both"/>
        <w:rPr>
          <w:lang w:val="en-US"/>
        </w:rPr>
      </w:pPr>
    </w:p>
    <w:p w:rsidR="008B14EE" w:rsidRPr="004C0C35" w:rsidRDefault="008B14EE" w:rsidP="005465DD">
      <w:pPr>
        <w:pStyle w:val="Paragrafoelenco"/>
        <w:numPr>
          <w:ilvl w:val="0"/>
          <w:numId w:val="29"/>
        </w:numPr>
        <w:spacing w:after="0" w:line="360" w:lineRule="auto"/>
        <w:jc w:val="both"/>
        <w:rPr>
          <w:lang w:val="en-US"/>
        </w:rPr>
      </w:pPr>
      <w:r w:rsidRPr="004C0C35">
        <w:rPr>
          <w:i/>
          <w:lang w:val="en-US"/>
        </w:rPr>
        <w:t>Attributing acts of omission to the State</w:t>
      </w:r>
      <w:r w:rsidRPr="004C0C35">
        <w:rPr>
          <w:lang w:val="en-US"/>
        </w:rPr>
        <w:t xml:space="preserve">, </w:t>
      </w:r>
      <w:r w:rsidRPr="004C0C35">
        <w:rPr>
          <w:i/>
          <w:lang w:val="en-US"/>
        </w:rPr>
        <w:t>Melbourne Journal of International Law</w:t>
      </w:r>
      <w:r w:rsidRPr="004C0C35">
        <w:rPr>
          <w:lang w:val="en-US"/>
        </w:rPr>
        <w:t xml:space="preserve"> 1991, vol. 12, p. 312 ss.</w:t>
      </w:r>
    </w:p>
    <w:p w:rsidR="008B14EE" w:rsidRPr="00B173E2" w:rsidRDefault="008B14EE" w:rsidP="005465DD">
      <w:pPr>
        <w:spacing w:after="0" w:line="360" w:lineRule="auto"/>
        <w:jc w:val="both"/>
        <w:rPr>
          <w:lang w:val="en-US"/>
        </w:rPr>
      </w:pPr>
    </w:p>
    <w:p w:rsidR="008B14EE" w:rsidRDefault="008B14EE" w:rsidP="005465DD">
      <w:pPr>
        <w:spacing w:after="0" w:line="360" w:lineRule="auto"/>
        <w:jc w:val="both"/>
        <w:rPr>
          <w:lang w:val="fr-FR"/>
        </w:rPr>
      </w:pPr>
      <w:r w:rsidRPr="009134A4">
        <w:rPr>
          <w:lang w:val="fr-FR"/>
        </w:rPr>
        <w:t>CONDORELLI,</w:t>
      </w:r>
      <w:r w:rsidRPr="009134A4">
        <w:rPr>
          <w:sz w:val="18"/>
          <w:szCs w:val="18"/>
          <w:lang w:val="fr-FR"/>
        </w:rPr>
        <w:t xml:space="preserve"> </w:t>
      </w:r>
      <w:r w:rsidRPr="009134A4">
        <w:rPr>
          <w:i/>
          <w:lang w:val="fr-FR"/>
        </w:rPr>
        <w:t>L’imputation à l’Etat d’un fait internationalement illicite: solutions classiques et nouvelles tendances</w:t>
      </w:r>
      <w:r w:rsidRPr="009134A4">
        <w:rPr>
          <w:sz w:val="18"/>
          <w:szCs w:val="18"/>
          <w:lang w:val="fr-FR"/>
        </w:rPr>
        <w:t xml:space="preserve">, </w:t>
      </w:r>
      <w:r w:rsidRPr="00D52CB1">
        <w:rPr>
          <w:lang w:val="fr-FR"/>
        </w:rPr>
        <w:t xml:space="preserve">in </w:t>
      </w:r>
      <w:r w:rsidRPr="009134A4">
        <w:rPr>
          <w:i/>
          <w:lang w:val="fr-FR"/>
        </w:rPr>
        <w:t>Recueil des cour</w:t>
      </w:r>
      <w:r>
        <w:rPr>
          <w:i/>
          <w:lang w:val="fr-FR"/>
        </w:rPr>
        <w:t>s de l’Académie de droit international de la Haye</w:t>
      </w:r>
      <w:r w:rsidRPr="009134A4">
        <w:rPr>
          <w:i/>
          <w:sz w:val="18"/>
          <w:szCs w:val="18"/>
          <w:lang w:val="fr-FR"/>
        </w:rPr>
        <w:t xml:space="preserve">, </w:t>
      </w:r>
      <w:r>
        <w:rPr>
          <w:lang w:val="fr-FR"/>
        </w:rPr>
        <w:t>1984-VI, p. 9 ss.</w:t>
      </w:r>
    </w:p>
    <w:p w:rsidR="008B14EE" w:rsidRDefault="008B14EE" w:rsidP="005465DD">
      <w:pPr>
        <w:spacing w:after="0" w:line="360" w:lineRule="auto"/>
        <w:jc w:val="both"/>
        <w:rPr>
          <w:lang w:val="fr-FR"/>
        </w:rPr>
      </w:pPr>
    </w:p>
    <w:p w:rsidR="008B14EE" w:rsidRPr="009134A4" w:rsidRDefault="008B14EE" w:rsidP="005465DD">
      <w:pPr>
        <w:spacing w:after="0" w:line="360" w:lineRule="auto"/>
        <w:jc w:val="both"/>
        <w:rPr>
          <w:lang w:val="fr-FR"/>
        </w:rPr>
      </w:pPr>
      <w:r>
        <w:rPr>
          <w:lang w:val="fr-FR"/>
        </w:rPr>
        <w:t xml:space="preserve">COHN, </w:t>
      </w:r>
      <w:r w:rsidRPr="00E170A7">
        <w:rPr>
          <w:i/>
          <w:lang w:val="fr-FR"/>
        </w:rPr>
        <w:t>La théorie de la responsabilité internationale</w:t>
      </w:r>
      <w:r>
        <w:rPr>
          <w:lang w:val="fr-FR"/>
        </w:rPr>
        <w:t xml:space="preserve">, in </w:t>
      </w:r>
      <w:r w:rsidRPr="00E170A7">
        <w:rPr>
          <w:i/>
          <w:lang w:val="fr-FR"/>
        </w:rPr>
        <w:t>Recueil des cours</w:t>
      </w:r>
      <w:r w:rsidRPr="00D74997">
        <w:rPr>
          <w:i/>
          <w:lang w:val="fr-FR"/>
        </w:rPr>
        <w:t xml:space="preserve"> </w:t>
      </w:r>
      <w:r>
        <w:rPr>
          <w:i/>
          <w:lang w:val="fr-FR"/>
        </w:rPr>
        <w:t>de l’Académie de droit international de la Haye</w:t>
      </w:r>
      <w:r>
        <w:rPr>
          <w:lang w:val="fr-FR"/>
        </w:rPr>
        <w:t>, 1939–II, p. 207 ss.</w:t>
      </w:r>
    </w:p>
    <w:p w:rsidR="008B14EE" w:rsidRDefault="008B14EE" w:rsidP="005465DD">
      <w:pPr>
        <w:spacing w:after="0" w:line="360" w:lineRule="auto"/>
        <w:jc w:val="both"/>
        <w:rPr>
          <w:lang w:val="fr-FR"/>
        </w:rPr>
      </w:pPr>
    </w:p>
    <w:p w:rsidR="008B14EE" w:rsidRDefault="008B14EE" w:rsidP="005465DD">
      <w:pPr>
        <w:spacing w:after="0" w:line="360" w:lineRule="auto"/>
        <w:jc w:val="both"/>
      </w:pPr>
      <w:r w:rsidRPr="00FF3CE0">
        <w:t xml:space="preserve">CONFORTI, </w:t>
      </w:r>
      <w:r w:rsidRPr="00FF3CE0">
        <w:rPr>
          <w:i/>
        </w:rPr>
        <w:t>Diritto internazionale</w:t>
      </w:r>
      <w:r>
        <w:t>, 7  ͣ ed., Napoli, 2012, p. 407 ss.</w:t>
      </w:r>
    </w:p>
    <w:p w:rsidR="008B14EE" w:rsidRPr="008B037C" w:rsidRDefault="008B14EE" w:rsidP="005465DD">
      <w:pPr>
        <w:spacing w:after="0" w:line="360" w:lineRule="auto"/>
        <w:jc w:val="both"/>
      </w:pPr>
    </w:p>
    <w:p w:rsidR="008B14EE" w:rsidRDefault="008B14EE" w:rsidP="005465DD">
      <w:pPr>
        <w:spacing w:after="0" w:line="360" w:lineRule="auto"/>
        <w:jc w:val="both"/>
        <w:rPr>
          <w:lang w:val="en-US"/>
        </w:rPr>
      </w:pPr>
      <w:r w:rsidRPr="003820C4">
        <w:rPr>
          <w:lang w:val="en-US"/>
        </w:rPr>
        <w:t xml:space="preserve">CRAWFORD (ed.), </w:t>
      </w:r>
      <w:r w:rsidRPr="003820C4">
        <w:rPr>
          <w:i/>
          <w:lang w:val="en-US"/>
        </w:rPr>
        <w:t>The International Law Commission’s Articles on State Responsibility</w:t>
      </w:r>
      <w:r w:rsidRPr="003820C4">
        <w:rPr>
          <w:lang w:val="en-US"/>
        </w:rPr>
        <w:t>, Cambridge, 2002</w:t>
      </w:r>
      <w:r>
        <w:rPr>
          <w:lang w:val="en-US"/>
        </w:rPr>
        <w:t>.</w:t>
      </w:r>
    </w:p>
    <w:p w:rsidR="008B14EE" w:rsidRDefault="008B14EE" w:rsidP="005465DD">
      <w:pPr>
        <w:spacing w:after="0" w:line="360" w:lineRule="auto"/>
        <w:jc w:val="both"/>
        <w:rPr>
          <w:lang w:val="en-US"/>
        </w:rPr>
      </w:pPr>
    </w:p>
    <w:p w:rsidR="008B14EE" w:rsidRDefault="008B14EE" w:rsidP="005465DD">
      <w:pPr>
        <w:spacing w:after="0" w:line="360" w:lineRule="auto"/>
        <w:jc w:val="both"/>
        <w:rPr>
          <w:lang w:val="en-US"/>
        </w:rPr>
      </w:pPr>
      <w:r>
        <w:rPr>
          <w:lang w:val="en-US"/>
        </w:rPr>
        <w:t xml:space="preserve">CRAWFORD, </w:t>
      </w:r>
      <w:r w:rsidRPr="00512E45">
        <w:rPr>
          <w:i/>
          <w:lang w:val="en-US"/>
        </w:rPr>
        <w:t>State Responsibility: General Part</w:t>
      </w:r>
      <w:r>
        <w:rPr>
          <w:lang w:val="en-US"/>
        </w:rPr>
        <w:t>, Cambridge, 2013.</w:t>
      </w:r>
    </w:p>
    <w:p w:rsidR="008B14EE" w:rsidRDefault="008B14EE" w:rsidP="005465DD">
      <w:pPr>
        <w:spacing w:after="0" w:line="360" w:lineRule="auto"/>
        <w:jc w:val="both"/>
        <w:rPr>
          <w:lang w:val="en-US"/>
        </w:rPr>
      </w:pPr>
    </w:p>
    <w:p w:rsidR="008B14EE" w:rsidRDefault="008B14EE" w:rsidP="005465DD">
      <w:pPr>
        <w:spacing w:after="0" w:line="360" w:lineRule="auto"/>
        <w:jc w:val="both"/>
        <w:rPr>
          <w:lang w:val="en-US"/>
        </w:rPr>
      </w:pPr>
      <w:r w:rsidRPr="00F16B19">
        <w:rPr>
          <w:lang w:val="en-US"/>
        </w:rPr>
        <w:t xml:space="preserve">DAHM, </w:t>
      </w:r>
      <w:r w:rsidRPr="00F16B19">
        <w:rPr>
          <w:i/>
          <w:lang w:val="en-US"/>
        </w:rPr>
        <w:t>Völkerrecht</w:t>
      </w:r>
      <w:r w:rsidRPr="00F16B19">
        <w:rPr>
          <w:lang w:val="en-US"/>
        </w:rPr>
        <w:t>, Stuttgart, 1961, p. 182</w:t>
      </w:r>
      <w:r>
        <w:rPr>
          <w:lang w:val="en-US"/>
        </w:rPr>
        <w:t xml:space="preserve"> ss.</w:t>
      </w:r>
    </w:p>
    <w:p w:rsidR="008B14EE" w:rsidRDefault="008B14EE" w:rsidP="005465DD">
      <w:pPr>
        <w:spacing w:after="0" w:line="360" w:lineRule="auto"/>
        <w:jc w:val="both"/>
        <w:rPr>
          <w:lang w:val="en-US"/>
        </w:rPr>
      </w:pPr>
    </w:p>
    <w:p w:rsidR="008B14EE" w:rsidRPr="004B5836" w:rsidRDefault="008B14EE" w:rsidP="005465DD">
      <w:pPr>
        <w:spacing w:after="0" w:line="360" w:lineRule="auto"/>
        <w:jc w:val="both"/>
        <w:rPr>
          <w:lang w:val="fr-FR"/>
        </w:rPr>
      </w:pPr>
      <w:r w:rsidRPr="004B5836">
        <w:rPr>
          <w:lang w:val="fr-FR"/>
        </w:rPr>
        <w:t xml:space="preserve">DECENCIERE-FERRANDIERE, </w:t>
      </w:r>
      <w:r w:rsidRPr="004B5836">
        <w:rPr>
          <w:i/>
          <w:lang w:val="fr-FR"/>
        </w:rPr>
        <w:t>La responsabilité Internationale des Etats à raison des dommages subis par des étrangers</w:t>
      </w:r>
      <w:r w:rsidRPr="004B5836">
        <w:rPr>
          <w:lang w:val="fr-FR"/>
        </w:rPr>
        <w:t>, Paris, 1925, p. 70 ss.</w:t>
      </w:r>
    </w:p>
    <w:p w:rsidR="008B14EE" w:rsidRPr="004B5836" w:rsidRDefault="008B14EE" w:rsidP="005465DD">
      <w:pPr>
        <w:spacing w:after="0" w:line="360" w:lineRule="auto"/>
        <w:jc w:val="both"/>
        <w:rPr>
          <w:lang w:val="fr-FR"/>
        </w:rPr>
      </w:pPr>
    </w:p>
    <w:p w:rsidR="008B14EE" w:rsidRDefault="008B14EE" w:rsidP="005465DD">
      <w:pPr>
        <w:spacing w:after="0" w:line="360" w:lineRule="auto"/>
        <w:jc w:val="both"/>
        <w:rPr>
          <w:lang w:val="fr-FR"/>
        </w:rPr>
      </w:pPr>
      <w:r w:rsidRPr="00B03629">
        <w:rPr>
          <w:lang w:val="fr-FR"/>
        </w:rPr>
        <w:t xml:space="preserve">DESPAGNET, </w:t>
      </w:r>
      <w:r w:rsidRPr="00585ED8">
        <w:rPr>
          <w:i/>
          <w:lang w:val="fr-FR"/>
        </w:rPr>
        <w:t>Cours de droit international public</w:t>
      </w:r>
      <w:r>
        <w:rPr>
          <w:lang w:val="fr-FR"/>
        </w:rPr>
        <w:t>, Paris, 1905, p. 564 ss.</w:t>
      </w:r>
    </w:p>
    <w:p w:rsidR="008B14EE" w:rsidRPr="008B037C" w:rsidRDefault="008B14EE" w:rsidP="005465DD">
      <w:pPr>
        <w:spacing w:after="0" w:line="360" w:lineRule="auto"/>
        <w:jc w:val="both"/>
        <w:rPr>
          <w:lang w:val="fr-FR"/>
        </w:rPr>
      </w:pPr>
    </w:p>
    <w:p w:rsidR="008B14EE" w:rsidRDefault="008B14EE" w:rsidP="005465DD">
      <w:pPr>
        <w:spacing w:after="0" w:line="360" w:lineRule="auto"/>
        <w:jc w:val="both"/>
        <w:rPr>
          <w:lang w:val="fr-FR"/>
        </w:rPr>
      </w:pPr>
      <w:r w:rsidRPr="00B03629">
        <w:rPr>
          <w:lang w:val="fr-FR"/>
        </w:rPr>
        <w:t xml:space="preserve">DE VISSCHER, </w:t>
      </w:r>
      <w:r w:rsidRPr="00B03629">
        <w:rPr>
          <w:i/>
          <w:lang w:val="fr-FR"/>
        </w:rPr>
        <w:t>La responsabilité des Etats</w:t>
      </w:r>
      <w:r w:rsidRPr="00B03629">
        <w:rPr>
          <w:lang w:val="fr-FR"/>
        </w:rPr>
        <w:t xml:space="preserve">, in </w:t>
      </w:r>
      <w:r w:rsidRPr="00B03629">
        <w:rPr>
          <w:i/>
          <w:lang w:val="fr-FR"/>
        </w:rPr>
        <w:t>Bibliotheca Visseriana Dissertationum Ius Interrnationale Illustrantium</w:t>
      </w:r>
      <w:r w:rsidRPr="00B03629">
        <w:rPr>
          <w:lang w:val="fr-FR"/>
        </w:rPr>
        <w:t>, vol. 2, 1923, p. 91 ss.</w:t>
      </w:r>
    </w:p>
    <w:p w:rsidR="008B14EE" w:rsidRDefault="008B14EE" w:rsidP="005465DD">
      <w:pPr>
        <w:spacing w:after="0" w:line="360" w:lineRule="auto"/>
        <w:jc w:val="both"/>
        <w:rPr>
          <w:lang w:val="fr-FR"/>
        </w:rPr>
      </w:pPr>
    </w:p>
    <w:p w:rsidR="008B14EE" w:rsidRPr="00B03629" w:rsidRDefault="008B14EE" w:rsidP="005465DD">
      <w:pPr>
        <w:spacing w:after="0" w:line="360" w:lineRule="auto"/>
        <w:jc w:val="both"/>
        <w:rPr>
          <w:lang w:val="fr-FR"/>
        </w:rPr>
      </w:pPr>
      <w:r w:rsidRPr="00601389">
        <w:rPr>
          <w:lang w:val="fr-FR"/>
        </w:rPr>
        <w:t xml:space="preserve">DIEZ DE VELASCO, </w:t>
      </w:r>
      <w:r w:rsidRPr="00D863B3">
        <w:rPr>
          <w:i/>
          <w:lang w:val="fr-FR"/>
        </w:rPr>
        <w:t>La protection diplomatique des sociétés</w:t>
      </w:r>
      <w:r w:rsidRPr="00601389">
        <w:rPr>
          <w:lang w:val="fr-FR"/>
        </w:rPr>
        <w:t xml:space="preserve"> </w:t>
      </w:r>
      <w:r w:rsidRPr="00D863B3">
        <w:rPr>
          <w:i/>
          <w:lang w:val="fr-FR"/>
        </w:rPr>
        <w:t>et des actio</w:t>
      </w:r>
      <w:r>
        <w:rPr>
          <w:i/>
          <w:lang w:val="fr-FR"/>
        </w:rPr>
        <w:t>n</w:t>
      </w:r>
      <w:r w:rsidRPr="00D863B3">
        <w:rPr>
          <w:i/>
          <w:lang w:val="fr-FR"/>
        </w:rPr>
        <w:t>naires</w:t>
      </w:r>
      <w:r>
        <w:rPr>
          <w:lang w:val="fr-FR"/>
        </w:rPr>
        <w:t xml:space="preserve">, in </w:t>
      </w:r>
      <w:r w:rsidRPr="00D863B3">
        <w:rPr>
          <w:i/>
          <w:lang w:val="fr-FR"/>
        </w:rPr>
        <w:t>Recueil des cours</w:t>
      </w:r>
      <w:r>
        <w:rPr>
          <w:i/>
          <w:lang w:val="fr-FR"/>
        </w:rPr>
        <w:t xml:space="preserve"> de l’Académie de droit international de la Haye</w:t>
      </w:r>
      <w:r>
        <w:rPr>
          <w:lang w:val="fr-FR"/>
        </w:rPr>
        <w:t xml:space="preserve">, </w:t>
      </w:r>
      <w:r w:rsidRPr="00601389">
        <w:rPr>
          <w:lang w:val="fr-FR"/>
        </w:rPr>
        <w:t xml:space="preserve">1974-I, p. </w:t>
      </w:r>
      <w:r>
        <w:rPr>
          <w:lang w:val="fr-FR"/>
        </w:rPr>
        <w:t>87 ss.</w:t>
      </w:r>
    </w:p>
    <w:p w:rsidR="008B14EE" w:rsidRPr="00B03629" w:rsidRDefault="008B14EE" w:rsidP="005465DD">
      <w:pPr>
        <w:spacing w:after="0" w:line="360" w:lineRule="auto"/>
        <w:jc w:val="both"/>
        <w:rPr>
          <w:lang w:val="fr-FR"/>
        </w:rPr>
      </w:pPr>
    </w:p>
    <w:p w:rsidR="008B14EE" w:rsidRPr="00E86538" w:rsidRDefault="008B14EE" w:rsidP="005465DD">
      <w:pPr>
        <w:spacing w:after="0" w:line="360" w:lineRule="auto"/>
        <w:jc w:val="both"/>
      </w:pPr>
      <w:r w:rsidRPr="00E86538">
        <w:t>DONATI,</w:t>
      </w:r>
      <w:r>
        <w:rPr>
          <w:i/>
        </w:rPr>
        <w:t xml:space="preserve"> </w:t>
      </w:r>
      <w:r w:rsidRPr="0010034A">
        <w:rPr>
          <w:i/>
        </w:rPr>
        <w:t>Scritti di diritto pubblico</w:t>
      </w:r>
      <w:r>
        <w:t>, Padova, 1966, p. 227 ss.</w:t>
      </w:r>
    </w:p>
    <w:p w:rsidR="008B14EE" w:rsidRPr="00E86538" w:rsidRDefault="008B14EE" w:rsidP="005465DD">
      <w:pPr>
        <w:spacing w:after="0" w:line="360" w:lineRule="auto"/>
        <w:jc w:val="both"/>
      </w:pPr>
    </w:p>
    <w:p w:rsidR="008B14EE" w:rsidRDefault="008B14EE" w:rsidP="005465DD">
      <w:pPr>
        <w:spacing w:after="0" w:line="360" w:lineRule="auto"/>
        <w:jc w:val="both"/>
        <w:rPr>
          <w:lang w:val="fr-FR"/>
        </w:rPr>
      </w:pPr>
      <w:r w:rsidRPr="005836DA">
        <w:rPr>
          <w:lang w:val="fr-FR"/>
        </w:rPr>
        <w:t xml:space="preserve">DUPUY, </w:t>
      </w:r>
      <w:r w:rsidRPr="005836DA">
        <w:rPr>
          <w:i/>
          <w:lang w:val="fr-FR"/>
        </w:rPr>
        <w:t>La responsabilité international des Etats pour les dommages d’origine technologique et industrielle</w:t>
      </w:r>
      <w:r w:rsidRPr="005836DA">
        <w:rPr>
          <w:lang w:val="fr-FR"/>
        </w:rPr>
        <w:t>, Paris, Pedone, 1977, p. 170</w:t>
      </w:r>
      <w:r>
        <w:rPr>
          <w:lang w:val="fr-FR"/>
        </w:rPr>
        <w:t xml:space="preserve"> ss.</w:t>
      </w:r>
    </w:p>
    <w:p w:rsidR="008B14EE" w:rsidRDefault="008B14EE" w:rsidP="005465DD">
      <w:pPr>
        <w:spacing w:after="0" w:line="360" w:lineRule="auto"/>
        <w:jc w:val="both"/>
        <w:rPr>
          <w:lang w:val="fr-FR"/>
        </w:rPr>
      </w:pPr>
    </w:p>
    <w:p w:rsidR="008B14EE" w:rsidRDefault="008B14EE" w:rsidP="005465DD">
      <w:pPr>
        <w:spacing w:after="0" w:line="360" w:lineRule="auto"/>
        <w:jc w:val="both"/>
        <w:rPr>
          <w:lang w:val="fr-FR"/>
        </w:rPr>
      </w:pPr>
      <w:r w:rsidRPr="00725A42">
        <w:rPr>
          <w:lang w:val="fr-FR"/>
        </w:rPr>
        <w:t xml:space="preserve">DUPUY, </w:t>
      </w:r>
      <w:r w:rsidRPr="00725A42">
        <w:rPr>
          <w:i/>
          <w:lang w:val="fr-FR"/>
        </w:rPr>
        <w:t>Le fait générateur de la responsabilité internationale des Etats</w:t>
      </w:r>
      <w:r w:rsidRPr="00725A42">
        <w:rPr>
          <w:lang w:val="fr-FR"/>
        </w:rPr>
        <w:t xml:space="preserve">, in </w:t>
      </w:r>
      <w:r w:rsidRPr="00725A42">
        <w:rPr>
          <w:i/>
          <w:lang w:val="fr-FR"/>
        </w:rPr>
        <w:t>Recueil des cours</w:t>
      </w:r>
      <w:r>
        <w:rPr>
          <w:i/>
          <w:lang w:val="fr-FR"/>
        </w:rPr>
        <w:t xml:space="preserve"> de l’Académie de droit international de la Haye</w:t>
      </w:r>
      <w:r>
        <w:rPr>
          <w:lang w:val="fr-FR"/>
        </w:rPr>
        <w:t>, 1984-V, p. 9 ss.</w:t>
      </w:r>
    </w:p>
    <w:p w:rsidR="008B14EE" w:rsidRDefault="008B14EE" w:rsidP="005465DD">
      <w:pPr>
        <w:spacing w:after="0" w:line="360" w:lineRule="auto"/>
        <w:jc w:val="both"/>
        <w:rPr>
          <w:lang w:val="fr-FR"/>
        </w:rPr>
      </w:pPr>
    </w:p>
    <w:p w:rsidR="008B14EE" w:rsidRDefault="008B14EE" w:rsidP="005465DD">
      <w:pPr>
        <w:spacing w:after="0" w:line="360" w:lineRule="auto"/>
        <w:jc w:val="both"/>
        <w:rPr>
          <w:lang w:val="en-US"/>
        </w:rPr>
      </w:pPr>
      <w:r w:rsidRPr="000C0108">
        <w:rPr>
          <w:lang w:val="en-US"/>
        </w:rPr>
        <w:t xml:space="preserve">EAGLETON, </w:t>
      </w:r>
      <w:r w:rsidRPr="000C0108">
        <w:rPr>
          <w:i/>
          <w:lang w:val="en-US"/>
        </w:rPr>
        <w:t>The Responsibility of States in International Law</w:t>
      </w:r>
      <w:r w:rsidRPr="000C0108">
        <w:rPr>
          <w:lang w:val="en-US"/>
        </w:rPr>
        <w:t>, New York, 1928, p. 22</w:t>
      </w:r>
      <w:r>
        <w:rPr>
          <w:lang w:val="en-US"/>
        </w:rPr>
        <w:t xml:space="preserve"> ss.</w:t>
      </w:r>
    </w:p>
    <w:p w:rsidR="008B14EE" w:rsidRDefault="008B14EE" w:rsidP="005465DD">
      <w:pPr>
        <w:spacing w:after="0" w:line="360" w:lineRule="auto"/>
        <w:jc w:val="both"/>
        <w:rPr>
          <w:lang w:val="en-US"/>
        </w:rPr>
      </w:pPr>
    </w:p>
    <w:p w:rsidR="008B14EE" w:rsidRPr="00DA6CCD" w:rsidRDefault="008B14EE" w:rsidP="005465DD">
      <w:pPr>
        <w:spacing w:after="0" w:line="360" w:lineRule="auto"/>
        <w:jc w:val="both"/>
        <w:rPr>
          <w:lang w:val="fr-FR"/>
        </w:rPr>
      </w:pPr>
      <w:r w:rsidRPr="00DA6CCD">
        <w:rPr>
          <w:lang w:val="fr-FR"/>
        </w:rPr>
        <w:t>EUSTATHIADES,</w:t>
      </w:r>
      <w:r w:rsidRPr="00DA6CCD">
        <w:rPr>
          <w:sz w:val="18"/>
          <w:szCs w:val="18"/>
          <w:lang w:val="fr-FR"/>
        </w:rPr>
        <w:t xml:space="preserve"> </w:t>
      </w:r>
      <w:r w:rsidRPr="00DA6CCD">
        <w:rPr>
          <w:i/>
          <w:lang w:val="fr-FR"/>
        </w:rPr>
        <w:t>Les sujets du droit international et la responsabilité internationale – nouvelles tendances</w:t>
      </w:r>
      <w:r w:rsidRPr="00DA6CCD">
        <w:rPr>
          <w:sz w:val="18"/>
          <w:szCs w:val="18"/>
          <w:lang w:val="fr-FR"/>
        </w:rPr>
        <w:t xml:space="preserve">, </w:t>
      </w:r>
      <w:r w:rsidRPr="00DA6CCD">
        <w:rPr>
          <w:lang w:val="fr-FR"/>
        </w:rPr>
        <w:t xml:space="preserve">in </w:t>
      </w:r>
      <w:r w:rsidRPr="00DA6CCD">
        <w:rPr>
          <w:i/>
          <w:lang w:val="fr-FR"/>
        </w:rPr>
        <w:t>Recueil des cours</w:t>
      </w:r>
      <w:r>
        <w:rPr>
          <w:i/>
          <w:lang w:val="fr-FR"/>
        </w:rPr>
        <w:t xml:space="preserve"> de l’Académie de droit international de la Haye</w:t>
      </w:r>
      <w:r w:rsidRPr="00DA6CCD">
        <w:rPr>
          <w:i/>
          <w:sz w:val="18"/>
          <w:szCs w:val="18"/>
          <w:lang w:val="fr-FR"/>
        </w:rPr>
        <w:t xml:space="preserve">, </w:t>
      </w:r>
      <w:r>
        <w:rPr>
          <w:lang w:val="fr-FR"/>
        </w:rPr>
        <w:t>1953–III, p. 397 ss.</w:t>
      </w:r>
    </w:p>
    <w:p w:rsidR="008B14EE" w:rsidRPr="00DA6CCD" w:rsidRDefault="008B14EE" w:rsidP="005465DD">
      <w:pPr>
        <w:spacing w:after="0" w:line="360" w:lineRule="auto"/>
        <w:jc w:val="both"/>
        <w:rPr>
          <w:lang w:val="fr-FR"/>
        </w:rPr>
      </w:pPr>
    </w:p>
    <w:p w:rsidR="008B14EE" w:rsidRDefault="008B14EE" w:rsidP="005465DD">
      <w:pPr>
        <w:spacing w:after="0" w:line="360" w:lineRule="auto"/>
        <w:jc w:val="both"/>
        <w:rPr>
          <w:lang w:val="fr-FR"/>
        </w:rPr>
      </w:pPr>
      <w:r w:rsidRPr="00883CCB">
        <w:rPr>
          <w:lang w:val="fr-FR"/>
        </w:rPr>
        <w:t xml:space="preserve">FAUCHILLE, </w:t>
      </w:r>
      <w:r w:rsidRPr="00883CCB">
        <w:rPr>
          <w:i/>
          <w:lang w:val="fr-FR"/>
        </w:rPr>
        <w:t>Traité de droit international public</w:t>
      </w:r>
      <w:r>
        <w:rPr>
          <w:lang w:val="fr-FR"/>
        </w:rPr>
        <w:t>, Tome I, Paris, 1922, p. 521 ss.</w:t>
      </w:r>
    </w:p>
    <w:p w:rsidR="008B14EE" w:rsidRDefault="008B14EE" w:rsidP="005465DD">
      <w:pPr>
        <w:spacing w:after="0" w:line="360" w:lineRule="auto"/>
        <w:jc w:val="both"/>
        <w:rPr>
          <w:lang w:val="fr-FR"/>
        </w:rPr>
      </w:pPr>
    </w:p>
    <w:p w:rsidR="008B14EE" w:rsidRPr="002C4F67" w:rsidRDefault="008B14EE" w:rsidP="005465DD">
      <w:pPr>
        <w:spacing w:after="0" w:line="360" w:lineRule="auto"/>
        <w:jc w:val="both"/>
        <w:rPr>
          <w:lang w:val="en-US"/>
        </w:rPr>
      </w:pPr>
      <w:r w:rsidRPr="002C4F67">
        <w:rPr>
          <w:lang w:val="en-US"/>
        </w:rPr>
        <w:t xml:space="preserve">FENWICK, </w:t>
      </w:r>
      <w:r w:rsidRPr="002C4F67">
        <w:rPr>
          <w:i/>
          <w:lang w:val="en-US"/>
        </w:rPr>
        <w:t>International Law</w:t>
      </w:r>
      <w:r w:rsidRPr="002C4F67">
        <w:rPr>
          <w:lang w:val="en-US"/>
        </w:rPr>
        <w:t>, 3</w:t>
      </w:r>
      <w:r>
        <w:rPr>
          <w:rFonts w:cstheme="minorHAnsi"/>
        </w:rPr>
        <w:t>ᵃ</w:t>
      </w:r>
      <w:r>
        <w:rPr>
          <w:lang w:val="en-US"/>
        </w:rPr>
        <w:t xml:space="preserve"> ed., New York, 1952, p</w:t>
      </w:r>
      <w:r w:rsidRPr="002C4F67">
        <w:rPr>
          <w:lang w:val="en-US"/>
        </w:rPr>
        <w:t>. 280</w:t>
      </w:r>
      <w:r>
        <w:rPr>
          <w:lang w:val="en-US"/>
        </w:rPr>
        <w:t xml:space="preserve"> ss.</w:t>
      </w:r>
    </w:p>
    <w:p w:rsidR="008B14EE" w:rsidRPr="002C4F67" w:rsidRDefault="008B14EE" w:rsidP="005465DD">
      <w:pPr>
        <w:spacing w:after="0" w:line="360" w:lineRule="auto"/>
        <w:jc w:val="both"/>
        <w:rPr>
          <w:lang w:val="en-US"/>
        </w:rPr>
      </w:pPr>
    </w:p>
    <w:p w:rsidR="008B14EE" w:rsidRPr="00B45714" w:rsidRDefault="008B14EE" w:rsidP="005465DD">
      <w:pPr>
        <w:spacing w:after="0" w:line="360" w:lineRule="auto"/>
        <w:jc w:val="both"/>
      </w:pPr>
      <w:r w:rsidRPr="00B45714">
        <w:t>FIORE,</w:t>
      </w:r>
      <w:r>
        <w:rPr>
          <w:i/>
        </w:rPr>
        <w:t xml:space="preserve"> Trattato di</w:t>
      </w:r>
      <w:r w:rsidRPr="00AC7102">
        <w:rPr>
          <w:i/>
        </w:rPr>
        <w:t xml:space="preserve"> diritto internazionale pubblico </w:t>
      </w:r>
      <w:r w:rsidRPr="00AC7102">
        <w:t xml:space="preserve">3° ed., Milano, 1887, vol. </w:t>
      </w:r>
      <w:r>
        <w:t xml:space="preserve">I, </w:t>
      </w:r>
      <w:r w:rsidRPr="00B45714">
        <w:t>p.</w:t>
      </w:r>
      <w:r w:rsidRPr="00B45714">
        <w:rPr>
          <w:rFonts w:ascii="Times New Roman" w:hAnsi="Times New Roman"/>
          <w:sz w:val="18"/>
          <w:szCs w:val="18"/>
          <w:lang w:eastAsia="it-IT"/>
        </w:rPr>
        <w:t xml:space="preserve"> </w:t>
      </w:r>
      <w:r w:rsidRPr="00B45714">
        <w:t xml:space="preserve">426 </w:t>
      </w:r>
      <w:r>
        <w:t>ss.</w:t>
      </w:r>
    </w:p>
    <w:p w:rsidR="008B14EE" w:rsidRPr="00B45714" w:rsidRDefault="008B14EE" w:rsidP="005465DD">
      <w:pPr>
        <w:spacing w:after="0" w:line="360" w:lineRule="auto"/>
        <w:jc w:val="both"/>
      </w:pPr>
    </w:p>
    <w:p w:rsidR="008B14EE" w:rsidRPr="008B037C" w:rsidRDefault="008B14EE" w:rsidP="005465DD">
      <w:pPr>
        <w:spacing w:after="0" w:line="360" w:lineRule="auto"/>
        <w:jc w:val="both"/>
        <w:rPr>
          <w:lang w:val="fr-FR"/>
        </w:rPr>
      </w:pPr>
      <w:r>
        <w:t xml:space="preserve">FIORE, </w:t>
      </w:r>
      <w:r w:rsidRPr="003E0796">
        <w:rPr>
          <w:i/>
        </w:rPr>
        <w:t>Il diritto internazionale codificato e la sua sanzione giuridica</w:t>
      </w:r>
      <w:r>
        <w:t>, 5</w:t>
      </w:r>
      <w:r w:rsidRPr="00275F63">
        <w:rPr>
          <w:sz w:val="24"/>
          <w:szCs w:val="24"/>
        </w:rPr>
        <w:t xml:space="preserve"> ͣ</w:t>
      </w:r>
      <w:r w:rsidRPr="00275F63">
        <w:t xml:space="preserve">ed., vol. </w:t>
      </w:r>
      <w:r w:rsidRPr="008B037C">
        <w:rPr>
          <w:lang w:val="fr-FR"/>
        </w:rPr>
        <w:t>I, Napoli, 1915, p. 303 ss.</w:t>
      </w:r>
    </w:p>
    <w:p w:rsidR="008B14EE" w:rsidRPr="008B037C" w:rsidRDefault="008B14EE" w:rsidP="005465DD">
      <w:pPr>
        <w:spacing w:after="0" w:line="360" w:lineRule="auto"/>
        <w:jc w:val="both"/>
        <w:rPr>
          <w:lang w:val="fr-FR"/>
        </w:rPr>
      </w:pPr>
    </w:p>
    <w:p w:rsidR="008B14EE" w:rsidRPr="00D57EB7" w:rsidRDefault="008B14EE" w:rsidP="005465DD">
      <w:pPr>
        <w:spacing w:after="0" w:line="360" w:lineRule="auto"/>
        <w:jc w:val="both"/>
        <w:rPr>
          <w:lang w:val="fr-FR"/>
        </w:rPr>
      </w:pPr>
      <w:r w:rsidRPr="00D57EB7">
        <w:rPr>
          <w:lang w:val="fr-FR"/>
        </w:rPr>
        <w:t xml:space="preserve">FISCHER, </w:t>
      </w:r>
      <w:r w:rsidRPr="003B2332">
        <w:rPr>
          <w:i/>
          <w:lang w:val="fr-FR"/>
        </w:rPr>
        <w:t xml:space="preserve">La Responsabilité internationale de l’Etat pour les comportements </w:t>
      </w:r>
      <w:r w:rsidRPr="003B2332">
        <w:rPr>
          <w:lang w:val="fr-FR"/>
        </w:rPr>
        <w:t>ultra vires</w:t>
      </w:r>
      <w:r w:rsidRPr="003B2332">
        <w:rPr>
          <w:i/>
          <w:lang w:val="fr-FR"/>
        </w:rPr>
        <w:t xml:space="preserve"> de ses organes</w:t>
      </w:r>
      <w:r>
        <w:rPr>
          <w:lang w:val="fr-FR"/>
        </w:rPr>
        <w:t xml:space="preserve">, </w:t>
      </w:r>
      <w:r w:rsidRPr="00D57EB7">
        <w:rPr>
          <w:lang w:val="fr-FR"/>
        </w:rPr>
        <w:t>Lausanne, 1993</w:t>
      </w:r>
      <w:r>
        <w:rPr>
          <w:lang w:val="fr-FR"/>
        </w:rPr>
        <w:t>.</w:t>
      </w:r>
    </w:p>
    <w:p w:rsidR="008B14EE" w:rsidRPr="00D57EB7" w:rsidRDefault="008B14EE" w:rsidP="005465DD">
      <w:pPr>
        <w:spacing w:after="0" w:line="360" w:lineRule="auto"/>
        <w:jc w:val="both"/>
        <w:rPr>
          <w:lang w:val="fr-FR"/>
        </w:rPr>
      </w:pPr>
    </w:p>
    <w:p w:rsidR="008B14EE" w:rsidRPr="00413B4A" w:rsidRDefault="008B14EE" w:rsidP="005465DD">
      <w:pPr>
        <w:spacing w:after="0" w:line="360" w:lineRule="auto"/>
        <w:jc w:val="both"/>
        <w:rPr>
          <w:lang w:val="fr-FR"/>
        </w:rPr>
      </w:pPr>
      <w:r w:rsidRPr="00413B4A">
        <w:rPr>
          <w:lang w:val="fr-FR"/>
        </w:rPr>
        <w:t xml:space="preserve">FREEMAN, </w:t>
      </w:r>
      <w:r w:rsidRPr="00413B4A">
        <w:rPr>
          <w:i/>
          <w:lang w:val="fr-FR"/>
        </w:rPr>
        <w:t>Responsibility of States for unlawful acts of their armed forces,</w:t>
      </w:r>
      <w:r>
        <w:rPr>
          <w:i/>
          <w:lang w:val="fr-FR"/>
        </w:rPr>
        <w:t xml:space="preserve"> </w:t>
      </w:r>
      <w:r w:rsidRPr="00413B4A">
        <w:rPr>
          <w:lang w:val="fr-FR"/>
        </w:rPr>
        <w:t xml:space="preserve">in </w:t>
      </w:r>
      <w:r w:rsidRPr="00413B4A">
        <w:rPr>
          <w:i/>
          <w:lang w:val="fr-FR"/>
        </w:rPr>
        <w:t>Recueil des cours de I'Académie de droit international de La Haye</w:t>
      </w:r>
      <w:r w:rsidRPr="00413B4A">
        <w:rPr>
          <w:lang w:val="fr-FR"/>
        </w:rPr>
        <w:t xml:space="preserve">, 1955-II, </w:t>
      </w:r>
      <w:r>
        <w:rPr>
          <w:lang w:val="fr-FR"/>
        </w:rPr>
        <w:t>p. 263</w:t>
      </w:r>
      <w:r w:rsidRPr="00413B4A">
        <w:rPr>
          <w:lang w:val="fr-FR"/>
        </w:rPr>
        <w:t xml:space="preserve"> ss.</w:t>
      </w:r>
    </w:p>
    <w:p w:rsidR="008B14EE" w:rsidRPr="008B037C" w:rsidRDefault="008B14EE" w:rsidP="005465DD">
      <w:pPr>
        <w:spacing w:after="0" w:line="360" w:lineRule="auto"/>
        <w:jc w:val="both"/>
        <w:rPr>
          <w:lang w:val="fr-FR"/>
        </w:rPr>
      </w:pPr>
    </w:p>
    <w:p w:rsidR="008B14EE" w:rsidRPr="008B037C" w:rsidRDefault="008B14EE" w:rsidP="005465DD">
      <w:pPr>
        <w:spacing w:after="0" w:line="360" w:lineRule="auto"/>
        <w:jc w:val="both"/>
        <w:rPr>
          <w:lang w:val="fr-FR"/>
        </w:rPr>
      </w:pPr>
      <w:r w:rsidRPr="008B037C">
        <w:rPr>
          <w:lang w:val="fr-FR"/>
        </w:rPr>
        <w:t xml:space="preserve">FURGLER, </w:t>
      </w:r>
      <w:r w:rsidRPr="008B037C">
        <w:rPr>
          <w:i/>
          <w:lang w:val="fr-FR"/>
        </w:rPr>
        <w:t>Grundprobleme des völkerrechtlichen Verantwortlichkeit der Staaten unter besonderer Berucksichtigimg der Haager Kodifikationskonferenz, sowie der Praxis der Vereinigten Staaten und der Schweiz</w:t>
      </w:r>
      <w:r w:rsidRPr="008B037C">
        <w:rPr>
          <w:lang w:val="fr-FR"/>
        </w:rPr>
        <w:t>, Zürich, 1948, p. 25 ss.</w:t>
      </w:r>
    </w:p>
    <w:p w:rsidR="008B14EE" w:rsidRPr="008B037C" w:rsidRDefault="008B14EE" w:rsidP="005465DD">
      <w:pPr>
        <w:spacing w:after="0" w:line="360" w:lineRule="auto"/>
        <w:jc w:val="both"/>
        <w:rPr>
          <w:lang w:val="fr-FR"/>
        </w:rPr>
      </w:pPr>
    </w:p>
    <w:p w:rsidR="008B14EE" w:rsidRPr="00B61D03" w:rsidRDefault="008B14EE" w:rsidP="005465DD">
      <w:pPr>
        <w:spacing w:after="0" w:line="360" w:lineRule="auto"/>
        <w:jc w:val="both"/>
        <w:rPr>
          <w:lang w:val="en-US"/>
        </w:rPr>
      </w:pPr>
      <w:r w:rsidRPr="00B61D03">
        <w:rPr>
          <w:lang w:val="en-US"/>
        </w:rPr>
        <w:t xml:space="preserve">GIERKE, </w:t>
      </w:r>
      <w:r w:rsidRPr="00B61D03">
        <w:rPr>
          <w:i/>
          <w:lang w:val="en-US"/>
        </w:rPr>
        <w:t>Die Genossenschaftsttheorie und die deutsche Rechtsprechung</w:t>
      </w:r>
      <w:r w:rsidRPr="00B61D03">
        <w:rPr>
          <w:lang w:val="en-US"/>
        </w:rPr>
        <w:t>, Berlin</w:t>
      </w:r>
      <w:r>
        <w:rPr>
          <w:lang w:val="en-US"/>
        </w:rPr>
        <w:t>, 1887, p</w:t>
      </w:r>
      <w:r w:rsidRPr="00B61D03">
        <w:rPr>
          <w:lang w:val="en-US"/>
        </w:rPr>
        <w:t>. 743</w:t>
      </w:r>
      <w:r>
        <w:rPr>
          <w:lang w:val="en-US"/>
        </w:rPr>
        <w:t xml:space="preserve"> ss. </w:t>
      </w:r>
    </w:p>
    <w:p w:rsidR="008B14EE" w:rsidRDefault="008B14EE" w:rsidP="005465DD">
      <w:pPr>
        <w:spacing w:after="0" w:line="360" w:lineRule="auto"/>
        <w:jc w:val="both"/>
        <w:rPr>
          <w:lang w:val="en-US"/>
        </w:rPr>
      </w:pPr>
    </w:p>
    <w:p w:rsidR="008B14EE" w:rsidRDefault="008B14EE" w:rsidP="005465DD">
      <w:pPr>
        <w:spacing w:after="0" w:line="360" w:lineRule="auto"/>
        <w:jc w:val="both"/>
        <w:rPr>
          <w:lang w:val="en-US"/>
        </w:rPr>
      </w:pPr>
      <w:r w:rsidRPr="00872788">
        <w:rPr>
          <w:lang w:val="en-US"/>
        </w:rPr>
        <w:t xml:space="preserve">GRAEFRATH, OESER, STEINIGER, </w:t>
      </w:r>
      <w:r w:rsidRPr="00872788">
        <w:rPr>
          <w:i/>
          <w:lang w:val="en-US"/>
        </w:rPr>
        <w:t>Völkerrechtliche Verantwortlichkeit des Staaten</w:t>
      </w:r>
      <w:r w:rsidRPr="00872788">
        <w:rPr>
          <w:lang w:val="en-US"/>
        </w:rPr>
        <w:t>, Berlin, 1977</w:t>
      </w:r>
      <w:r>
        <w:rPr>
          <w:lang w:val="en-US"/>
        </w:rPr>
        <w:t>.</w:t>
      </w:r>
    </w:p>
    <w:p w:rsidR="008B14EE" w:rsidRDefault="008B14EE" w:rsidP="005465DD">
      <w:pPr>
        <w:spacing w:after="0" w:line="360" w:lineRule="auto"/>
        <w:jc w:val="both"/>
        <w:rPr>
          <w:lang w:val="en-US"/>
        </w:rPr>
      </w:pPr>
    </w:p>
    <w:p w:rsidR="008B14EE" w:rsidRDefault="008B14EE" w:rsidP="005465DD">
      <w:pPr>
        <w:spacing w:after="0" w:line="360" w:lineRule="auto"/>
        <w:jc w:val="both"/>
        <w:rPr>
          <w:lang w:val="nl-NL"/>
        </w:rPr>
      </w:pPr>
      <w:r w:rsidRPr="00605693">
        <w:rPr>
          <w:lang w:val="nl-NL"/>
        </w:rPr>
        <w:t xml:space="preserve">GRAEFRATH e STEINIGER, </w:t>
      </w:r>
      <w:r w:rsidRPr="00605693">
        <w:rPr>
          <w:i/>
          <w:lang w:val="nl-NL"/>
        </w:rPr>
        <w:t>Kodifikation der v</w:t>
      </w:r>
      <w:r w:rsidRPr="00605693">
        <w:rPr>
          <w:rFonts w:cstheme="minorHAnsi"/>
          <w:i/>
          <w:lang w:val="nl-NL"/>
        </w:rPr>
        <w:t>ö</w:t>
      </w:r>
      <w:r w:rsidRPr="00605693">
        <w:rPr>
          <w:i/>
          <w:lang w:val="nl-NL"/>
        </w:rPr>
        <w:t>lkerrechtlichen Verantwortlichkeit</w:t>
      </w:r>
      <w:r w:rsidRPr="00605693">
        <w:rPr>
          <w:lang w:val="nl-NL"/>
        </w:rPr>
        <w:t xml:space="preserve">, </w:t>
      </w:r>
      <w:r w:rsidRPr="00605693">
        <w:rPr>
          <w:i/>
          <w:lang w:val="nl-NL"/>
        </w:rPr>
        <w:t>Neue Justiz</w:t>
      </w:r>
      <w:r w:rsidRPr="00605693">
        <w:rPr>
          <w:lang w:val="nl-NL"/>
        </w:rPr>
        <w:t>, 1973, vol. 27, p. 225</w:t>
      </w:r>
      <w:r>
        <w:rPr>
          <w:lang w:val="nl-NL"/>
        </w:rPr>
        <w:t>.</w:t>
      </w:r>
    </w:p>
    <w:p w:rsidR="008B14EE" w:rsidRDefault="008B14EE" w:rsidP="005465DD">
      <w:pPr>
        <w:spacing w:after="0" w:line="360" w:lineRule="auto"/>
        <w:jc w:val="both"/>
        <w:rPr>
          <w:lang w:val="nl-NL"/>
        </w:rPr>
      </w:pPr>
    </w:p>
    <w:p w:rsidR="008B14EE" w:rsidRDefault="008B14EE" w:rsidP="005465DD">
      <w:pPr>
        <w:spacing w:after="0" w:line="360" w:lineRule="auto"/>
        <w:jc w:val="both"/>
        <w:rPr>
          <w:lang w:val="fr-FR"/>
        </w:rPr>
      </w:pPr>
      <w:r w:rsidRPr="00526FD3">
        <w:rPr>
          <w:lang w:val="fr-FR"/>
        </w:rPr>
        <w:t xml:space="preserve">GUERRERO, </w:t>
      </w:r>
      <w:r w:rsidRPr="00526FD3">
        <w:rPr>
          <w:i/>
          <w:lang w:val="fr-FR"/>
        </w:rPr>
        <w:t>La codification du droit international, La Première Conférence (La Haye, 13 mars – 12 avril 1930)</w:t>
      </w:r>
      <w:r w:rsidRPr="00526FD3">
        <w:rPr>
          <w:lang w:val="fr-FR"/>
        </w:rPr>
        <w:t>,</w:t>
      </w:r>
      <w:r>
        <w:rPr>
          <w:lang w:val="fr-FR"/>
        </w:rPr>
        <w:t xml:space="preserve"> </w:t>
      </w:r>
      <w:r w:rsidRPr="000663FB">
        <w:rPr>
          <w:lang w:val="fr-FR"/>
        </w:rPr>
        <w:t>Paris, 1930</w:t>
      </w:r>
      <w:r>
        <w:rPr>
          <w:lang w:val="fr-FR"/>
        </w:rPr>
        <w:t>.</w:t>
      </w:r>
    </w:p>
    <w:p w:rsidR="008B14EE" w:rsidRDefault="008B14EE" w:rsidP="005465DD">
      <w:pPr>
        <w:spacing w:after="0" w:line="360" w:lineRule="auto"/>
        <w:jc w:val="both"/>
        <w:rPr>
          <w:lang w:val="nl-NL"/>
        </w:rPr>
      </w:pPr>
    </w:p>
    <w:p w:rsidR="008B14EE" w:rsidRDefault="008B14EE" w:rsidP="005465DD">
      <w:pPr>
        <w:spacing w:after="0" w:line="360" w:lineRule="auto"/>
        <w:jc w:val="both"/>
        <w:rPr>
          <w:lang w:val="nl-NL"/>
        </w:rPr>
      </w:pPr>
      <w:r w:rsidRPr="0098439D">
        <w:rPr>
          <w:lang w:val="nl-NL"/>
        </w:rPr>
        <w:t xml:space="preserve">GUGGENHEIM, </w:t>
      </w:r>
      <w:r w:rsidRPr="0098439D">
        <w:rPr>
          <w:i/>
          <w:lang w:val="nl-NL"/>
        </w:rPr>
        <w:t>Traité de droit international public</w:t>
      </w:r>
      <w:r w:rsidRPr="0098439D">
        <w:rPr>
          <w:lang w:val="nl-NL"/>
        </w:rPr>
        <w:t>, Genève, 1954, p. 5 ss</w:t>
      </w:r>
      <w:r>
        <w:rPr>
          <w:lang w:val="nl-NL"/>
        </w:rPr>
        <w:t>.</w:t>
      </w:r>
    </w:p>
    <w:p w:rsidR="008B14EE" w:rsidRDefault="008B14EE" w:rsidP="005465DD">
      <w:pPr>
        <w:spacing w:after="0" w:line="360" w:lineRule="auto"/>
        <w:jc w:val="both"/>
        <w:rPr>
          <w:lang w:val="nl-NL"/>
        </w:rPr>
      </w:pPr>
    </w:p>
    <w:p w:rsidR="008B14EE" w:rsidRPr="0098439D" w:rsidRDefault="008B14EE" w:rsidP="005465DD">
      <w:pPr>
        <w:spacing w:after="0" w:line="360" w:lineRule="auto"/>
        <w:jc w:val="both"/>
        <w:rPr>
          <w:lang w:val="nl-NL"/>
        </w:rPr>
      </w:pPr>
      <w:r w:rsidRPr="00E111D5">
        <w:rPr>
          <w:lang w:val="en-US"/>
        </w:rPr>
        <w:t xml:space="preserve">HACKWORTH, </w:t>
      </w:r>
      <w:r w:rsidRPr="00E111D5">
        <w:rPr>
          <w:i/>
          <w:lang w:val="en-US"/>
        </w:rPr>
        <w:t>Digest of International Law</w:t>
      </w:r>
      <w:r w:rsidRPr="00E111D5">
        <w:rPr>
          <w:lang w:val="en-US"/>
        </w:rPr>
        <w:t xml:space="preserve">, vol. </w:t>
      </w:r>
      <w:r>
        <w:rPr>
          <w:lang w:val="en-US"/>
        </w:rPr>
        <w:t>V, 1943, p. 570 ss.</w:t>
      </w:r>
    </w:p>
    <w:p w:rsidR="008B14EE" w:rsidRDefault="008B14EE" w:rsidP="005465DD">
      <w:pPr>
        <w:spacing w:after="0" w:line="360" w:lineRule="auto"/>
        <w:jc w:val="both"/>
        <w:rPr>
          <w:lang w:val="nl-NL"/>
        </w:rPr>
      </w:pPr>
    </w:p>
    <w:p w:rsidR="008B14EE" w:rsidRDefault="008B14EE" w:rsidP="005465DD">
      <w:pPr>
        <w:spacing w:after="0" w:line="360" w:lineRule="auto"/>
        <w:jc w:val="both"/>
        <w:rPr>
          <w:lang w:val="en-US"/>
        </w:rPr>
      </w:pPr>
      <w:r w:rsidRPr="00A22C98">
        <w:rPr>
          <w:lang w:val="nl-NL"/>
        </w:rPr>
        <w:t>HALL</w:t>
      </w:r>
      <w:r w:rsidRPr="00A22C98">
        <w:rPr>
          <w:lang w:val="en-US"/>
        </w:rPr>
        <w:t>,</w:t>
      </w:r>
      <w:r>
        <w:rPr>
          <w:i/>
          <w:lang w:val="en-US"/>
        </w:rPr>
        <w:t xml:space="preserve"> </w:t>
      </w:r>
      <w:r w:rsidRPr="001E2ECE">
        <w:rPr>
          <w:i/>
          <w:lang w:val="en-US"/>
        </w:rPr>
        <w:t>A Treatise of International Law</w:t>
      </w:r>
      <w:r>
        <w:rPr>
          <w:lang w:val="en-US"/>
        </w:rPr>
        <w:t>, third edition, Oxford, 1890, p. 322 ss.</w:t>
      </w:r>
    </w:p>
    <w:p w:rsidR="008B14EE" w:rsidRDefault="008B14EE" w:rsidP="005465DD">
      <w:pPr>
        <w:spacing w:after="0" w:line="360" w:lineRule="auto"/>
        <w:jc w:val="both"/>
        <w:rPr>
          <w:lang w:val="en-US"/>
        </w:rPr>
      </w:pPr>
    </w:p>
    <w:p w:rsidR="008B14EE" w:rsidRDefault="008B14EE" w:rsidP="005465DD">
      <w:pPr>
        <w:spacing w:after="0" w:line="360" w:lineRule="auto"/>
        <w:jc w:val="both"/>
        <w:rPr>
          <w:lang w:val="fr-FR"/>
        </w:rPr>
      </w:pPr>
      <w:r w:rsidRPr="005836DA">
        <w:rPr>
          <w:lang w:val="fr-FR"/>
        </w:rPr>
        <w:t xml:space="preserve">JENKS, </w:t>
      </w:r>
      <w:r w:rsidRPr="005836DA">
        <w:rPr>
          <w:i/>
          <w:lang w:val="fr-FR"/>
        </w:rPr>
        <w:t>Liability for Ultra-Hazardous Activities in International Law</w:t>
      </w:r>
      <w:r w:rsidRPr="005836DA">
        <w:rPr>
          <w:lang w:val="fr-FR"/>
        </w:rPr>
        <w:t xml:space="preserve">, in </w:t>
      </w:r>
      <w:r w:rsidRPr="005836DA">
        <w:rPr>
          <w:i/>
          <w:lang w:val="fr-FR"/>
        </w:rPr>
        <w:t>Recueil des cours</w:t>
      </w:r>
      <w:r>
        <w:rPr>
          <w:i/>
          <w:lang w:val="fr-FR"/>
        </w:rPr>
        <w:t xml:space="preserve"> de l’Académie de droit international de la Haye</w:t>
      </w:r>
      <w:r w:rsidRPr="005836DA">
        <w:rPr>
          <w:lang w:val="fr-FR"/>
        </w:rPr>
        <w:t>, 1966, I, p. 99 ss.</w:t>
      </w:r>
    </w:p>
    <w:p w:rsidR="008B14EE" w:rsidRDefault="008B14EE" w:rsidP="005465DD">
      <w:pPr>
        <w:spacing w:after="0" w:line="360" w:lineRule="auto"/>
        <w:jc w:val="both"/>
        <w:rPr>
          <w:lang w:val="fr-FR"/>
        </w:rPr>
      </w:pPr>
    </w:p>
    <w:p w:rsidR="008B14EE" w:rsidRPr="006C6841" w:rsidRDefault="008B14EE" w:rsidP="005465DD">
      <w:pPr>
        <w:spacing w:after="0" w:line="360" w:lineRule="auto"/>
        <w:jc w:val="both"/>
        <w:rPr>
          <w:lang w:val="fr-FR"/>
        </w:rPr>
      </w:pPr>
      <w:r w:rsidRPr="006C6841">
        <w:rPr>
          <w:lang w:val="fr-FR"/>
        </w:rPr>
        <w:t xml:space="preserve">JIMÉNEZ DE ARÉCHAGA, </w:t>
      </w:r>
      <w:r w:rsidRPr="006C6841">
        <w:rPr>
          <w:i/>
          <w:lang w:val="fr-FR"/>
        </w:rPr>
        <w:t>International Law in the Past Third of a Century</w:t>
      </w:r>
      <w:r w:rsidRPr="006C6841">
        <w:rPr>
          <w:lang w:val="fr-FR"/>
        </w:rPr>
        <w:t xml:space="preserve">, in </w:t>
      </w:r>
      <w:r w:rsidRPr="006C6841">
        <w:rPr>
          <w:i/>
          <w:lang w:val="fr-FR"/>
        </w:rPr>
        <w:t>Recueil des cours de l’Académie de droit international</w:t>
      </w:r>
      <w:r w:rsidRPr="006C6841">
        <w:rPr>
          <w:lang w:val="fr-FR"/>
        </w:rPr>
        <w:t xml:space="preserve">, </w:t>
      </w:r>
      <w:r>
        <w:rPr>
          <w:lang w:val="fr-FR"/>
        </w:rPr>
        <w:t>1978, p. 1 ss.</w:t>
      </w:r>
    </w:p>
    <w:p w:rsidR="008B14EE" w:rsidRPr="006C6841" w:rsidRDefault="008B14EE" w:rsidP="005465DD">
      <w:pPr>
        <w:spacing w:after="0" w:line="360" w:lineRule="auto"/>
        <w:jc w:val="both"/>
        <w:rPr>
          <w:lang w:val="fr-FR"/>
        </w:rPr>
      </w:pPr>
    </w:p>
    <w:p w:rsidR="008B14EE" w:rsidRPr="008B037C" w:rsidRDefault="008B14EE" w:rsidP="005465DD">
      <w:pPr>
        <w:spacing w:after="0" w:line="360" w:lineRule="auto"/>
        <w:jc w:val="both"/>
        <w:rPr>
          <w:rFonts w:cstheme="minorHAnsi"/>
          <w:lang w:val="fr-FR"/>
        </w:rPr>
      </w:pPr>
      <w:r w:rsidRPr="008B037C">
        <w:rPr>
          <w:rFonts w:cstheme="minorHAnsi"/>
          <w:lang w:val="fr-FR"/>
        </w:rPr>
        <w:t xml:space="preserve">JIMÉNEZ DE ARÉCHAGA e TANZI, </w:t>
      </w:r>
      <w:r w:rsidRPr="008B037C">
        <w:rPr>
          <w:rFonts w:cstheme="minorHAnsi"/>
          <w:i/>
          <w:lang w:val="fr-FR"/>
        </w:rPr>
        <w:t>La responsabilité internationale des Etats</w:t>
      </w:r>
      <w:r w:rsidRPr="008B037C">
        <w:rPr>
          <w:rFonts w:cstheme="minorHAnsi"/>
          <w:lang w:val="fr-FR"/>
        </w:rPr>
        <w:t xml:space="preserve">, in </w:t>
      </w:r>
      <w:r w:rsidRPr="008B037C">
        <w:rPr>
          <w:rFonts w:cstheme="minorHAnsi"/>
          <w:i/>
          <w:lang w:val="fr-FR"/>
        </w:rPr>
        <w:t>Droit international – Bilan et perspectives</w:t>
      </w:r>
      <w:r w:rsidRPr="008B037C">
        <w:rPr>
          <w:rFonts w:cstheme="minorHAnsi"/>
          <w:lang w:val="fr-FR"/>
        </w:rPr>
        <w:t>, vol.1, Paris, 1991, p. 367.</w:t>
      </w:r>
      <w:r>
        <w:rPr>
          <w:lang w:val="nl-NL"/>
        </w:rPr>
        <w:t xml:space="preserve"> </w:t>
      </w:r>
    </w:p>
    <w:p w:rsidR="008B14EE" w:rsidRDefault="008B14EE" w:rsidP="005465DD">
      <w:pPr>
        <w:spacing w:after="0" w:line="360" w:lineRule="auto"/>
        <w:jc w:val="both"/>
        <w:rPr>
          <w:lang w:val="nl-NL"/>
        </w:rPr>
      </w:pPr>
    </w:p>
    <w:p w:rsidR="008B14EE" w:rsidRDefault="008B14EE" w:rsidP="005465DD">
      <w:pPr>
        <w:spacing w:after="0" w:line="360" w:lineRule="auto"/>
        <w:jc w:val="both"/>
        <w:rPr>
          <w:lang w:val="nl-NL"/>
        </w:rPr>
      </w:pPr>
      <w:r w:rsidRPr="00872788">
        <w:rPr>
          <w:lang w:val="nl-NL"/>
        </w:rPr>
        <w:t>KELSEN,</w:t>
      </w:r>
      <w:r w:rsidRPr="00872788">
        <w:rPr>
          <w:i/>
          <w:lang w:val="nl-NL"/>
        </w:rPr>
        <w:t xml:space="preserve"> Unrecht und Unrechtfolge im Völkerrecht, Zeitschrift für öffentliches Recht</w:t>
      </w:r>
      <w:r w:rsidRPr="00872788">
        <w:rPr>
          <w:lang w:val="nl-NL"/>
        </w:rPr>
        <w:t>, 1932</w:t>
      </w:r>
      <w:r>
        <w:rPr>
          <w:lang w:val="nl-NL"/>
        </w:rPr>
        <w:t>, p. 489 ss.</w:t>
      </w:r>
    </w:p>
    <w:p w:rsidR="008B14EE" w:rsidRDefault="008B14EE" w:rsidP="005465DD">
      <w:pPr>
        <w:spacing w:after="0" w:line="360" w:lineRule="auto"/>
        <w:jc w:val="both"/>
        <w:rPr>
          <w:lang w:val="nl-NL"/>
        </w:rPr>
      </w:pPr>
    </w:p>
    <w:p w:rsidR="008B14EE" w:rsidRDefault="008B14EE" w:rsidP="005465DD">
      <w:pPr>
        <w:spacing w:after="0" w:line="360" w:lineRule="auto"/>
        <w:jc w:val="both"/>
        <w:rPr>
          <w:lang w:val="fr-FR"/>
        </w:rPr>
      </w:pPr>
      <w:r>
        <w:rPr>
          <w:lang w:val="fr-FR"/>
        </w:rPr>
        <w:t xml:space="preserve">KELSEN, </w:t>
      </w:r>
      <w:r w:rsidRPr="00E170A7">
        <w:rPr>
          <w:i/>
          <w:lang w:val="fr-FR"/>
        </w:rPr>
        <w:t>Théorie du droit international public</w:t>
      </w:r>
      <w:r>
        <w:rPr>
          <w:lang w:val="fr-FR"/>
        </w:rPr>
        <w:t xml:space="preserve">, in </w:t>
      </w:r>
      <w:r w:rsidRPr="00E170A7">
        <w:rPr>
          <w:i/>
          <w:lang w:val="fr-FR"/>
        </w:rPr>
        <w:t>Recueil des cours</w:t>
      </w:r>
      <w:r>
        <w:rPr>
          <w:i/>
          <w:lang w:val="fr-FR"/>
        </w:rPr>
        <w:t xml:space="preserve"> de l’Académie de droit international de la Haye</w:t>
      </w:r>
      <w:r>
        <w:rPr>
          <w:lang w:val="fr-FR"/>
        </w:rPr>
        <w:t>, 1953–III, p. 1 ss.</w:t>
      </w:r>
    </w:p>
    <w:p w:rsidR="008B14EE" w:rsidRDefault="008B14EE" w:rsidP="005465DD">
      <w:pPr>
        <w:spacing w:after="0" w:line="360" w:lineRule="auto"/>
        <w:jc w:val="both"/>
        <w:rPr>
          <w:lang w:val="fr-FR"/>
        </w:rPr>
      </w:pPr>
    </w:p>
    <w:p w:rsidR="008B14EE" w:rsidRDefault="008B14EE" w:rsidP="005465DD">
      <w:pPr>
        <w:spacing w:after="0" w:line="360" w:lineRule="auto"/>
        <w:jc w:val="both"/>
        <w:rPr>
          <w:lang w:val="fr-FR"/>
        </w:rPr>
      </w:pPr>
      <w:r w:rsidRPr="00C029A1">
        <w:rPr>
          <w:lang w:val="fr-FR"/>
        </w:rPr>
        <w:t xml:space="preserve">KISS, </w:t>
      </w:r>
      <w:r w:rsidRPr="00C029A1">
        <w:rPr>
          <w:i/>
          <w:lang w:val="fr-FR"/>
        </w:rPr>
        <w:t>Répertoire de la pratique française en matière de droit international public</w:t>
      </w:r>
      <w:r>
        <w:rPr>
          <w:lang w:val="fr-FR"/>
        </w:rPr>
        <w:t xml:space="preserve">, tomo III, Paris, 1965, </w:t>
      </w:r>
      <w:r w:rsidRPr="00C029A1">
        <w:rPr>
          <w:lang w:val="fr-FR"/>
        </w:rPr>
        <w:t xml:space="preserve">p. </w:t>
      </w:r>
      <w:r>
        <w:rPr>
          <w:lang w:val="fr-FR"/>
        </w:rPr>
        <w:t>533 ss.</w:t>
      </w:r>
    </w:p>
    <w:p w:rsidR="008B14EE" w:rsidRDefault="008B14EE" w:rsidP="005465DD">
      <w:pPr>
        <w:spacing w:after="0" w:line="360" w:lineRule="auto"/>
        <w:jc w:val="both"/>
        <w:rPr>
          <w:lang w:val="fr-FR"/>
        </w:rPr>
      </w:pPr>
    </w:p>
    <w:p w:rsidR="008B14EE" w:rsidRPr="00B51B4A" w:rsidRDefault="008B14EE" w:rsidP="005465DD">
      <w:pPr>
        <w:spacing w:after="0" w:line="360" w:lineRule="auto"/>
        <w:jc w:val="both"/>
        <w:rPr>
          <w:lang w:val="fr-FR"/>
        </w:rPr>
      </w:pPr>
      <w:r w:rsidRPr="00B51B4A">
        <w:rPr>
          <w:lang w:val="fr-FR"/>
        </w:rPr>
        <w:t>LA FONTAINE</w:t>
      </w:r>
      <w:r w:rsidRPr="00B51B4A">
        <w:rPr>
          <w:i/>
          <w:lang w:val="fr-FR"/>
        </w:rPr>
        <w:t>, Pasicrise internationale – Histoire documentaire des arbitrages internationaux</w:t>
      </w:r>
      <w:r w:rsidRPr="00B51B4A">
        <w:rPr>
          <w:lang w:val="fr-FR"/>
        </w:rPr>
        <w:t xml:space="preserve">, </w:t>
      </w:r>
      <w:r>
        <w:rPr>
          <w:lang w:val="fr-FR"/>
        </w:rPr>
        <w:t>tomo I, Berne, 1902, p. 225 ss.</w:t>
      </w:r>
    </w:p>
    <w:p w:rsidR="008B14EE" w:rsidRDefault="008B14EE" w:rsidP="005465DD">
      <w:pPr>
        <w:spacing w:after="0" w:line="360" w:lineRule="auto"/>
        <w:jc w:val="both"/>
        <w:rPr>
          <w:lang w:val="fr-FR"/>
        </w:rPr>
      </w:pPr>
    </w:p>
    <w:p w:rsidR="008B14EE" w:rsidRDefault="008B14EE" w:rsidP="005465DD">
      <w:pPr>
        <w:spacing w:after="0" w:line="360" w:lineRule="auto"/>
        <w:jc w:val="both"/>
        <w:rPr>
          <w:lang w:val="fr-FR"/>
        </w:rPr>
      </w:pPr>
      <w:r>
        <w:rPr>
          <w:lang w:val="fr-FR"/>
        </w:rPr>
        <w:t xml:space="preserve">LAPRADELLE, </w:t>
      </w:r>
      <w:r w:rsidRPr="00D77B52">
        <w:rPr>
          <w:lang w:val="fr-FR"/>
        </w:rPr>
        <w:t xml:space="preserve">POLITIS, </w:t>
      </w:r>
      <w:r w:rsidRPr="00D77B52">
        <w:rPr>
          <w:i/>
          <w:lang w:val="fr-FR"/>
        </w:rPr>
        <w:t>Recueil des arbitrages internationaux</w:t>
      </w:r>
      <w:r w:rsidRPr="00D77B52">
        <w:rPr>
          <w:lang w:val="fr-FR"/>
        </w:rPr>
        <w:t xml:space="preserve">, tomo II: </w:t>
      </w:r>
      <w:r>
        <w:rPr>
          <w:lang w:val="fr-FR"/>
        </w:rPr>
        <w:t>1856–1872, Paris, 1923, p. 1 ss.</w:t>
      </w:r>
    </w:p>
    <w:p w:rsidR="008B14EE" w:rsidRPr="008B037C" w:rsidRDefault="008B14EE" w:rsidP="005465DD">
      <w:pPr>
        <w:spacing w:after="0" w:line="360" w:lineRule="auto"/>
        <w:jc w:val="both"/>
        <w:rPr>
          <w:lang w:val="fr-FR"/>
        </w:rPr>
      </w:pPr>
    </w:p>
    <w:p w:rsidR="008B14EE" w:rsidRPr="00922C74" w:rsidRDefault="008B14EE" w:rsidP="005465DD">
      <w:pPr>
        <w:spacing w:after="0" w:line="360" w:lineRule="auto"/>
        <w:jc w:val="both"/>
        <w:rPr>
          <w:lang w:val="en-US"/>
        </w:rPr>
      </w:pPr>
      <w:r w:rsidRPr="00922C74">
        <w:rPr>
          <w:lang w:val="en-US"/>
        </w:rPr>
        <w:t xml:space="preserve">LEHNARDT, </w:t>
      </w:r>
      <w:r w:rsidRPr="00922C74">
        <w:rPr>
          <w:i/>
          <w:lang w:val="en-US"/>
        </w:rPr>
        <w:t>Private Military Companies and State Responsibility, in From Mercenaries to Market. The Rise and Regulation of Private Military Companies</w:t>
      </w:r>
      <w:r>
        <w:rPr>
          <w:lang w:val="en-US"/>
        </w:rPr>
        <w:t xml:space="preserve">, Oxford, 2007, </w:t>
      </w:r>
      <w:r w:rsidRPr="00922C74">
        <w:rPr>
          <w:lang w:val="en-US"/>
        </w:rPr>
        <w:t>p. 139</w:t>
      </w:r>
      <w:r>
        <w:rPr>
          <w:lang w:val="en-US"/>
        </w:rPr>
        <w:t xml:space="preserve"> ss.</w:t>
      </w:r>
    </w:p>
    <w:p w:rsidR="008B14EE" w:rsidRPr="008328F1" w:rsidRDefault="008B14EE" w:rsidP="005465DD">
      <w:pPr>
        <w:spacing w:after="0" w:line="360" w:lineRule="auto"/>
        <w:jc w:val="both"/>
        <w:rPr>
          <w:lang w:val="en-US"/>
        </w:rPr>
      </w:pPr>
    </w:p>
    <w:p w:rsidR="008B14EE" w:rsidRPr="00253730" w:rsidRDefault="008B14EE" w:rsidP="005465DD">
      <w:pPr>
        <w:spacing w:after="0" w:line="360" w:lineRule="auto"/>
        <w:jc w:val="both"/>
        <w:rPr>
          <w:lang w:val="en-US"/>
        </w:rPr>
      </w:pPr>
      <w:r w:rsidRPr="00253730">
        <w:rPr>
          <w:lang w:val="en-US"/>
        </w:rPr>
        <w:t xml:space="preserve">LLANOS MANSILLA, </w:t>
      </w:r>
      <w:r w:rsidRPr="00253730">
        <w:rPr>
          <w:i/>
          <w:lang w:val="en-US"/>
        </w:rPr>
        <w:t>Theoria y Practica del Derecho International Publico</w:t>
      </w:r>
      <w:r w:rsidRPr="00253730">
        <w:rPr>
          <w:lang w:val="en-US"/>
        </w:rPr>
        <w:t xml:space="preserve">, </w:t>
      </w:r>
      <w:r w:rsidRPr="00253730">
        <w:rPr>
          <w:i/>
          <w:lang w:val="en-US"/>
        </w:rPr>
        <w:t>El Estado como Sjeto de Derecho International</w:t>
      </w:r>
      <w:r w:rsidRPr="00253730">
        <w:rPr>
          <w:lang w:val="en-US"/>
        </w:rPr>
        <w:t>, Santiago, 1980, p. 514 ss.</w:t>
      </w:r>
    </w:p>
    <w:p w:rsidR="008B14EE" w:rsidRPr="00253730" w:rsidRDefault="008B14EE" w:rsidP="005465DD">
      <w:pPr>
        <w:spacing w:after="0" w:line="360" w:lineRule="auto"/>
        <w:jc w:val="both"/>
        <w:rPr>
          <w:lang w:val="en-US"/>
        </w:rPr>
      </w:pPr>
    </w:p>
    <w:p w:rsidR="008B14EE" w:rsidRPr="008B037C" w:rsidRDefault="008B14EE" w:rsidP="005465DD">
      <w:pPr>
        <w:spacing w:after="0" w:line="360" w:lineRule="auto"/>
        <w:jc w:val="both"/>
      </w:pPr>
      <w:r w:rsidRPr="00A62359">
        <w:rPr>
          <w:lang w:val="en-US"/>
        </w:rPr>
        <w:t xml:space="preserve">MOORE, </w:t>
      </w:r>
      <w:r w:rsidRPr="00A62359">
        <w:rPr>
          <w:i/>
          <w:lang w:val="en-US"/>
        </w:rPr>
        <w:t>History and Digest of the International Arbitrations to which the United States has been a party</w:t>
      </w:r>
      <w:r w:rsidRPr="00A62359">
        <w:rPr>
          <w:lang w:val="en-US"/>
        </w:rPr>
        <w:t xml:space="preserve">, 1898, vol. </w:t>
      </w:r>
      <w:r w:rsidRPr="008B037C">
        <w:t>IV, p. 3404 ss.</w:t>
      </w:r>
    </w:p>
    <w:p w:rsidR="008B14EE" w:rsidRDefault="008B14EE" w:rsidP="005465DD">
      <w:pPr>
        <w:spacing w:after="0" w:line="360" w:lineRule="auto"/>
        <w:jc w:val="both"/>
        <w:rPr>
          <w:lang w:val="nl-NL"/>
        </w:rPr>
      </w:pPr>
    </w:p>
    <w:p w:rsidR="008B14EE" w:rsidRDefault="008B14EE" w:rsidP="005465DD">
      <w:pPr>
        <w:spacing w:after="0" w:line="360" w:lineRule="auto"/>
        <w:jc w:val="both"/>
      </w:pPr>
      <w:r w:rsidRPr="0055292A">
        <w:t xml:space="preserve">MORELLI, </w:t>
      </w:r>
      <w:r w:rsidRPr="0055292A">
        <w:rPr>
          <w:i/>
        </w:rPr>
        <w:t>Nozioni di dirit</w:t>
      </w:r>
      <w:r w:rsidRPr="00F30B02">
        <w:rPr>
          <w:i/>
        </w:rPr>
        <w:t>to internazionale</w:t>
      </w:r>
      <w:r w:rsidRPr="000C0108">
        <w:t>, 7ᵃed., Padova, 1967, p. 356 ss</w:t>
      </w:r>
      <w:r w:rsidRPr="00725A42">
        <w:t>.</w:t>
      </w:r>
    </w:p>
    <w:p w:rsidR="008B14EE" w:rsidRDefault="008B14EE" w:rsidP="005465DD">
      <w:pPr>
        <w:spacing w:after="0" w:line="360" w:lineRule="auto"/>
        <w:jc w:val="both"/>
      </w:pPr>
    </w:p>
    <w:p w:rsidR="008B14EE" w:rsidRPr="006A58EA" w:rsidRDefault="008B14EE" w:rsidP="005465DD">
      <w:pPr>
        <w:spacing w:after="0" w:line="360" w:lineRule="auto"/>
        <w:jc w:val="both"/>
      </w:pPr>
      <w:r w:rsidRPr="006A58EA">
        <w:t xml:space="preserve">PALCHETTI, </w:t>
      </w:r>
      <w:r w:rsidRPr="006A58EA">
        <w:rPr>
          <w:i/>
        </w:rPr>
        <w:t>L’organo di fatto dello Stato nell’illecito internazionale</w:t>
      </w:r>
      <w:r>
        <w:t>, Milano, 2007.</w:t>
      </w:r>
    </w:p>
    <w:p w:rsidR="008B14EE" w:rsidRDefault="008B14EE" w:rsidP="005465DD">
      <w:pPr>
        <w:spacing w:after="0" w:line="360" w:lineRule="auto"/>
        <w:jc w:val="both"/>
      </w:pPr>
    </w:p>
    <w:p w:rsidR="008B14EE" w:rsidRDefault="008B14EE" w:rsidP="005465DD">
      <w:pPr>
        <w:spacing w:after="0" w:line="360" w:lineRule="auto"/>
        <w:jc w:val="both"/>
      </w:pPr>
      <w:r w:rsidRPr="0027193D">
        <w:t xml:space="preserve">PALMISANO, </w:t>
      </w:r>
      <w:r w:rsidRPr="00684A51">
        <w:rPr>
          <w:i/>
        </w:rPr>
        <w:t>Colpa dell’organo e colpa dello Stato nella responsabilità internazionale: spunti critici di teoria e prassi</w:t>
      </w:r>
      <w:r>
        <w:t xml:space="preserve">, in </w:t>
      </w:r>
      <w:r w:rsidRPr="00684A51">
        <w:rPr>
          <w:i/>
        </w:rPr>
        <w:t>Comunicazioni e studi</w:t>
      </w:r>
      <w:r>
        <w:t>, vol. XIX – XX, 1992, p. 675 ss.</w:t>
      </w:r>
    </w:p>
    <w:p w:rsidR="008B14EE" w:rsidRDefault="008B14EE" w:rsidP="005465DD">
      <w:pPr>
        <w:spacing w:after="0" w:line="360" w:lineRule="auto"/>
        <w:jc w:val="both"/>
      </w:pPr>
    </w:p>
    <w:p w:rsidR="008B14EE" w:rsidRDefault="008B14EE" w:rsidP="005465DD">
      <w:pPr>
        <w:pStyle w:val="Paragrafoelenco"/>
        <w:numPr>
          <w:ilvl w:val="0"/>
          <w:numId w:val="29"/>
        </w:numPr>
        <w:spacing w:after="0" w:line="360" w:lineRule="auto"/>
        <w:jc w:val="both"/>
      </w:pPr>
      <w:r w:rsidRPr="00156565">
        <w:rPr>
          <w:i/>
        </w:rPr>
        <w:t>Stato (soggettività internazionale)</w:t>
      </w:r>
      <w:r>
        <w:t xml:space="preserve">, in CASSESE (a cura di), </w:t>
      </w:r>
      <w:r w:rsidRPr="00156565">
        <w:rPr>
          <w:i/>
        </w:rPr>
        <w:t>Dizionario di diritto pubblico</w:t>
      </w:r>
      <w:r>
        <w:t>, Milano, 2006, p. 5706 ss.</w:t>
      </w:r>
    </w:p>
    <w:p w:rsidR="008B14EE" w:rsidRDefault="008B14EE" w:rsidP="005465DD">
      <w:pPr>
        <w:spacing w:after="0" w:line="360" w:lineRule="auto"/>
        <w:jc w:val="both"/>
      </w:pPr>
    </w:p>
    <w:p w:rsidR="008B14EE" w:rsidRPr="00C15ACD" w:rsidRDefault="008B14EE" w:rsidP="005465DD">
      <w:pPr>
        <w:spacing w:after="0" w:line="360" w:lineRule="auto"/>
        <w:jc w:val="both"/>
        <w:rPr>
          <w:lang w:val="en-US"/>
        </w:rPr>
      </w:pPr>
      <w:r w:rsidRPr="00C15ACD">
        <w:rPr>
          <w:lang w:val="en-US"/>
        </w:rPr>
        <w:t xml:space="preserve">PASQUALUCCI, </w:t>
      </w:r>
      <w:r w:rsidRPr="00C15ACD">
        <w:rPr>
          <w:i/>
          <w:lang w:val="en-US"/>
        </w:rPr>
        <w:t>The Practice and Procedures of the Interamerican Court of Human Rights</w:t>
      </w:r>
      <w:r>
        <w:rPr>
          <w:lang w:val="en-US"/>
        </w:rPr>
        <w:t>, Cambridge, 2003, p</w:t>
      </w:r>
      <w:r w:rsidRPr="00C15ACD">
        <w:rPr>
          <w:lang w:val="en-US"/>
        </w:rPr>
        <w:t>. 223</w:t>
      </w:r>
      <w:r>
        <w:rPr>
          <w:lang w:val="en-US"/>
        </w:rPr>
        <w:t xml:space="preserve"> ss.</w:t>
      </w:r>
    </w:p>
    <w:p w:rsidR="008B14EE" w:rsidRPr="008C7061" w:rsidRDefault="008B14EE" w:rsidP="005465DD">
      <w:pPr>
        <w:spacing w:after="0" w:line="360" w:lineRule="auto"/>
        <w:jc w:val="both"/>
        <w:rPr>
          <w:lang w:val="en-US"/>
        </w:rPr>
      </w:pPr>
    </w:p>
    <w:p w:rsidR="008B14EE" w:rsidRDefault="008B14EE" w:rsidP="005465DD">
      <w:pPr>
        <w:spacing w:after="0" w:line="360" w:lineRule="auto"/>
        <w:jc w:val="both"/>
      </w:pPr>
      <w:r>
        <w:t xml:space="preserve">PERASSI, </w:t>
      </w:r>
      <w:r w:rsidRPr="009F6780">
        <w:rPr>
          <w:i/>
        </w:rPr>
        <w:t>Lezioni di diritto internazionale</w:t>
      </w:r>
      <w:r>
        <w:t>, Padova, 1961, p. 105 ss.</w:t>
      </w:r>
    </w:p>
    <w:p w:rsidR="008B14EE" w:rsidRDefault="008B14EE" w:rsidP="005465DD">
      <w:pPr>
        <w:spacing w:after="0" w:line="360" w:lineRule="auto"/>
        <w:jc w:val="both"/>
      </w:pPr>
    </w:p>
    <w:p w:rsidR="008B14EE" w:rsidRDefault="008B14EE" w:rsidP="005465DD">
      <w:pPr>
        <w:spacing w:after="0" w:line="360" w:lineRule="auto"/>
        <w:jc w:val="both"/>
      </w:pPr>
      <w:r w:rsidRPr="002E7EF7">
        <w:t xml:space="preserve">PISILLO MAZZESCHI, “Due diligence” </w:t>
      </w:r>
      <w:r w:rsidRPr="00F13702">
        <w:rPr>
          <w:i/>
        </w:rPr>
        <w:t>e responsabilità internazionale degli Stati</w:t>
      </w:r>
      <w:r w:rsidRPr="002E7EF7">
        <w:t>, Milano, 1989, p. 128 ss</w:t>
      </w:r>
      <w:r>
        <w:t>.</w:t>
      </w:r>
    </w:p>
    <w:p w:rsidR="008B14EE" w:rsidRDefault="008B14EE" w:rsidP="005465DD">
      <w:pPr>
        <w:spacing w:after="0" w:line="360" w:lineRule="auto"/>
        <w:jc w:val="both"/>
      </w:pPr>
    </w:p>
    <w:p w:rsidR="008B14EE" w:rsidRPr="00F72007" w:rsidRDefault="008B14EE" w:rsidP="005465DD">
      <w:pPr>
        <w:spacing w:after="0" w:line="360" w:lineRule="auto"/>
        <w:jc w:val="both"/>
        <w:rPr>
          <w:lang w:val="fr-FR"/>
        </w:rPr>
      </w:pPr>
      <w:r w:rsidRPr="00F72007">
        <w:rPr>
          <w:lang w:val="fr-FR"/>
        </w:rPr>
        <w:t xml:space="preserve">PIEDELIÈVRE, </w:t>
      </w:r>
      <w:r w:rsidRPr="00AC7102">
        <w:rPr>
          <w:i/>
          <w:lang w:val="fr-FR"/>
        </w:rPr>
        <w:t>Précis de droit international public ou droit des gens</w:t>
      </w:r>
      <w:r>
        <w:rPr>
          <w:lang w:val="fr-FR"/>
        </w:rPr>
        <w:t>, tomo I, Paris, 1894, p</w:t>
      </w:r>
      <w:r w:rsidRPr="00AC7102">
        <w:rPr>
          <w:lang w:val="fr-FR"/>
        </w:rPr>
        <w:t xml:space="preserve">. </w:t>
      </w:r>
      <w:r>
        <w:rPr>
          <w:lang w:val="fr-FR"/>
        </w:rPr>
        <w:t>318 ss.</w:t>
      </w:r>
    </w:p>
    <w:p w:rsidR="008B14EE" w:rsidRPr="008B037C" w:rsidRDefault="008B14EE" w:rsidP="005465DD">
      <w:pPr>
        <w:spacing w:after="0" w:line="360" w:lineRule="auto"/>
        <w:jc w:val="both"/>
        <w:rPr>
          <w:lang w:val="fr-FR"/>
        </w:rPr>
      </w:pPr>
    </w:p>
    <w:p w:rsidR="008B14EE" w:rsidRDefault="008B14EE" w:rsidP="005465DD">
      <w:pPr>
        <w:spacing w:after="0" w:line="360" w:lineRule="auto"/>
        <w:jc w:val="both"/>
      </w:pPr>
      <w:r>
        <w:t xml:space="preserve">QUADRI, </w:t>
      </w:r>
      <w:r w:rsidRPr="00481500">
        <w:rPr>
          <w:i/>
        </w:rPr>
        <w:t>Diritto internazionale pubblico</w:t>
      </w:r>
      <w:r>
        <w:t>, 5</w:t>
      </w:r>
      <w:r w:rsidRPr="009E48CC">
        <w:t xml:space="preserve"> ͣ</w:t>
      </w:r>
      <w:r>
        <w:t xml:space="preserve"> ed., Napoli, 1968, p. 590 ss.</w:t>
      </w:r>
    </w:p>
    <w:p w:rsidR="008B14EE" w:rsidRDefault="008B14EE" w:rsidP="005465DD">
      <w:pPr>
        <w:spacing w:after="0" w:line="360" w:lineRule="auto"/>
        <w:jc w:val="both"/>
      </w:pPr>
    </w:p>
    <w:p w:rsidR="008B14EE" w:rsidRDefault="008B14EE" w:rsidP="005465DD">
      <w:pPr>
        <w:spacing w:after="0" w:line="360" w:lineRule="auto"/>
        <w:jc w:val="both"/>
        <w:rPr>
          <w:lang w:val="fr-FR"/>
        </w:rPr>
      </w:pPr>
      <w:r w:rsidRPr="00871622">
        <w:rPr>
          <w:lang w:val="fr-FR"/>
        </w:rPr>
        <w:t>QU</w:t>
      </w:r>
      <w:r>
        <w:rPr>
          <w:lang w:val="fr-FR"/>
        </w:rPr>
        <w:t>ADRI</w:t>
      </w:r>
      <w:r w:rsidRPr="00871622">
        <w:rPr>
          <w:lang w:val="fr-FR"/>
        </w:rPr>
        <w:t xml:space="preserve">, </w:t>
      </w:r>
      <w:r w:rsidRPr="00871622">
        <w:rPr>
          <w:i/>
          <w:lang w:val="fr-FR"/>
        </w:rPr>
        <w:t>Cours général de droit international public</w:t>
      </w:r>
      <w:r w:rsidRPr="00871622">
        <w:rPr>
          <w:lang w:val="fr-FR"/>
        </w:rPr>
        <w:t xml:space="preserve">, in </w:t>
      </w:r>
      <w:r w:rsidRPr="00871622">
        <w:rPr>
          <w:i/>
          <w:lang w:val="fr-FR"/>
        </w:rPr>
        <w:t xml:space="preserve">Recueil des Cours </w:t>
      </w:r>
      <w:r>
        <w:rPr>
          <w:i/>
          <w:lang w:val="fr-FR"/>
        </w:rPr>
        <w:t>de l’Académie de droit international de la Haye</w:t>
      </w:r>
      <w:r>
        <w:rPr>
          <w:lang w:val="fr-FR"/>
        </w:rPr>
        <w:t>, 1964, p. 237</w:t>
      </w:r>
      <w:r w:rsidRPr="00871622">
        <w:rPr>
          <w:lang w:val="fr-FR"/>
        </w:rPr>
        <w:t xml:space="preserve"> ss</w:t>
      </w:r>
      <w:r>
        <w:rPr>
          <w:lang w:val="fr-FR"/>
        </w:rPr>
        <w:t>.</w:t>
      </w:r>
    </w:p>
    <w:p w:rsidR="008B14EE" w:rsidRDefault="008B14EE" w:rsidP="005465DD">
      <w:pPr>
        <w:spacing w:after="0" w:line="360" w:lineRule="auto"/>
        <w:jc w:val="both"/>
        <w:rPr>
          <w:lang w:val="fr-FR"/>
        </w:rPr>
      </w:pPr>
    </w:p>
    <w:p w:rsidR="008B14EE" w:rsidRPr="008B5D4B" w:rsidRDefault="008B14EE" w:rsidP="005465DD">
      <w:pPr>
        <w:spacing w:after="0" w:line="360" w:lineRule="auto"/>
        <w:jc w:val="both"/>
        <w:rPr>
          <w:lang w:val="fr-FR"/>
        </w:rPr>
      </w:pPr>
      <w:r w:rsidRPr="008B5D4B">
        <w:rPr>
          <w:lang w:val="fr-FR"/>
        </w:rPr>
        <w:t xml:space="preserve">QUÉNEUDEC, </w:t>
      </w:r>
      <w:r w:rsidRPr="008B5D4B">
        <w:rPr>
          <w:i/>
          <w:lang w:val="fr-FR"/>
        </w:rPr>
        <w:t>La responsabilité Internationale de l’Etat pour les fautes personnelles de ses agents</w:t>
      </w:r>
      <w:r w:rsidRPr="008B5D4B">
        <w:rPr>
          <w:lang w:val="fr-FR"/>
        </w:rPr>
        <w:t>,</w:t>
      </w:r>
      <w:r>
        <w:rPr>
          <w:lang w:val="fr-FR"/>
        </w:rPr>
        <w:t xml:space="preserve"> Paris, 1966.</w:t>
      </w:r>
    </w:p>
    <w:p w:rsidR="008B14EE" w:rsidRPr="00871622" w:rsidRDefault="008B14EE" w:rsidP="005465DD">
      <w:pPr>
        <w:spacing w:after="0" w:line="360" w:lineRule="auto"/>
        <w:jc w:val="both"/>
        <w:rPr>
          <w:lang w:val="fr-FR"/>
        </w:rPr>
      </w:pPr>
    </w:p>
    <w:p w:rsidR="008B14EE" w:rsidRDefault="008B14EE" w:rsidP="005465DD">
      <w:pPr>
        <w:spacing w:after="0" w:line="360" w:lineRule="auto"/>
        <w:jc w:val="both"/>
        <w:rPr>
          <w:lang w:val="fr-FR"/>
        </w:rPr>
      </w:pPr>
      <w:r w:rsidRPr="00F424A6">
        <w:rPr>
          <w:lang w:val="fr-FR"/>
        </w:rPr>
        <w:t xml:space="preserve">REUTER, </w:t>
      </w:r>
      <w:r w:rsidRPr="00F424A6">
        <w:rPr>
          <w:i/>
          <w:lang w:val="fr-FR"/>
        </w:rPr>
        <w:t>Trois observations sur la codification de la responsabilité internationale des Etats pour fait illicite</w:t>
      </w:r>
      <w:r w:rsidRPr="00F424A6">
        <w:rPr>
          <w:lang w:val="fr-FR"/>
        </w:rPr>
        <w:t xml:space="preserve">, in </w:t>
      </w:r>
      <w:r w:rsidRPr="00F424A6">
        <w:rPr>
          <w:i/>
          <w:lang w:val="fr-FR"/>
        </w:rPr>
        <w:t>Mélanges Virally</w:t>
      </w:r>
      <w:r w:rsidRPr="00F424A6">
        <w:rPr>
          <w:lang w:val="fr-FR"/>
        </w:rPr>
        <w:t>, Paris, 1991</w:t>
      </w:r>
      <w:r>
        <w:rPr>
          <w:lang w:val="fr-FR"/>
        </w:rPr>
        <w:t>.</w:t>
      </w:r>
    </w:p>
    <w:p w:rsidR="008B14EE" w:rsidRDefault="008B14EE" w:rsidP="005465DD">
      <w:pPr>
        <w:spacing w:after="0" w:line="360" w:lineRule="auto"/>
        <w:jc w:val="both"/>
        <w:rPr>
          <w:lang w:val="fr-FR"/>
        </w:rPr>
      </w:pPr>
    </w:p>
    <w:p w:rsidR="008B14EE" w:rsidRPr="002F07D5" w:rsidRDefault="008B14EE" w:rsidP="005465DD">
      <w:pPr>
        <w:spacing w:after="0" w:line="360" w:lineRule="auto"/>
        <w:jc w:val="both"/>
        <w:rPr>
          <w:lang w:val="en-US"/>
        </w:rPr>
      </w:pPr>
      <w:r w:rsidRPr="002F07D5">
        <w:rPr>
          <w:lang w:val="en-US"/>
        </w:rPr>
        <w:t xml:space="preserve">RIPHAGEN, </w:t>
      </w:r>
      <w:r w:rsidRPr="002F07D5">
        <w:rPr>
          <w:i/>
          <w:lang w:val="en-US"/>
        </w:rPr>
        <w:t>State Responsibility: New Theories of Obligations in Interstate Relations</w:t>
      </w:r>
      <w:r w:rsidRPr="002F07D5">
        <w:rPr>
          <w:lang w:val="en-US"/>
        </w:rPr>
        <w:t xml:space="preserve">, in Macdonald e Johnston (a cura di), </w:t>
      </w:r>
      <w:r w:rsidRPr="002F07D5">
        <w:rPr>
          <w:i/>
          <w:lang w:val="en-US"/>
        </w:rPr>
        <w:t>The Structure and Process of International Law: Essays in Legal Philosophy Doctrine and Theory</w:t>
      </w:r>
      <w:r w:rsidRPr="002F07D5">
        <w:rPr>
          <w:lang w:val="en-US"/>
        </w:rPr>
        <w:t>, Dordrecht/Bosto</w:t>
      </w:r>
      <w:r>
        <w:rPr>
          <w:lang w:val="en-US"/>
        </w:rPr>
        <w:t>n/Lancaster, 1986, p. 587 ss.</w:t>
      </w:r>
    </w:p>
    <w:p w:rsidR="008B14EE" w:rsidRPr="002F07D5" w:rsidRDefault="008B14EE" w:rsidP="005465DD">
      <w:pPr>
        <w:spacing w:after="0" w:line="360" w:lineRule="auto"/>
        <w:jc w:val="both"/>
        <w:rPr>
          <w:lang w:val="en-US"/>
        </w:rPr>
      </w:pPr>
    </w:p>
    <w:p w:rsidR="008B14EE" w:rsidRPr="009C2F6B" w:rsidRDefault="008B14EE" w:rsidP="005465DD">
      <w:pPr>
        <w:spacing w:after="0" w:line="360" w:lineRule="auto"/>
        <w:jc w:val="both"/>
      </w:pPr>
      <w:r w:rsidRPr="009C2F6B">
        <w:t xml:space="preserve">ROMANO, </w:t>
      </w:r>
      <w:r w:rsidRPr="009C2F6B">
        <w:rPr>
          <w:i/>
        </w:rPr>
        <w:t>Nozione e natura degli organi costituzionali dello Stato</w:t>
      </w:r>
      <w:r w:rsidRPr="009C2F6B">
        <w:t>, Palermo, 1898.</w:t>
      </w:r>
    </w:p>
    <w:p w:rsidR="008B14EE" w:rsidRPr="009C2F6B" w:rsidRDefault="008B14EE" w:rsidP="005465DD">
      <w:pPr>
        <w:spacing w:after="0" w:line="360" w:lineRule="auto"/>
        <w:jc w:val="both"/>
      </w:pPr>
    </w:p>
    <w:p w:rsidR="008B14EE" w:rsidRDefault="008B14EE" w:rsidP="005465DD">
      <w:pPr>
        <w:spacing w:after="0" w:line="360" w:lineRule="auto"/>
        <w:jc w:val="both"/>
      </w:pPr>
      <w:r>
        <w:t xml:space="preserve">ROMANO, </w:t>
      </w:r>
      <w:r w:rsidRPr="006F1C06">
        <w:rPr>
          <w:i/>
        </w:rPr>
        <w:t>Corso di diritto internazionale</w:t>
      </w:r>
      <w:r>
        <w:t>, 3</w:t>
      </w:r>
      <w:r>
        <w:rPr>
          <w:rFonts w:cstheme="minorHAnsi"/>
        </w:rPr>
        <w:t>ᵃ</w:t>
      </w:r>
      <w:r>
        <w:t xml:space="preserve"> ed., Padova, 1933, p. 207 ss.</w:t>
      </w:r>
    </w:p>
    <w:p w:rsidR="008B14EE" w:rsidRDefault="008B14EE" w:rsidP="005465DD">
      <w:pPr>
        <w:spacing w:after="0" w:line="360" w:lineRule="auto"/>
        <w:jc w:val="both"/>
      </w:pPr>
    </w:p>
    <w:p w:rsidR="008B14EE" w:rsidRPr="00145655" w:rsidRDefault="008B14EE" w:rsidP="005465DD">
      <w:pPr>
        <w:spacing w:after="0" w:line="360" w:lineRule="auto"/>
        <w:jc w:val="both"/>
        <w:rPr>
          <w:lang w:val="en-US"/>
        </w:rPr>
      </w:pPr>
      <w:r w:rsidRPr="008C2E86">
        <w:rPr>
          <w:lang w:val="en-US"/>
        </w:rPr>
        <w:t>ROSENNE,</w:t>
      </w:r>
      <w:r w:rsidRPr="008C2E86">
        <w:rPr>
          <w:i/>
          <w:lang w:val="en-US"/>
        </w:rPr>
        <w:t xml:space="preserve"> League of Nations</w:t>
      </w:r>
      <w:r w:rsidRPr="008C2E86">
        <w:rPr>
          <w:lang w:val="en-US"/>
        </w:rPr>
        <w:t xml:space="preserve">, </w:t>
      </w:r>
      <w:r w:rsidRPr="008C2E86">
        <w:rPr>
          <w:i/>
          <w:lang w:val="en-US"/>
        </w:rPr>
        <w:t>Committee of Experts for the Progressive Codification of International Law</w:t>
      </w:r>
      <w:r w:rsidRPr="008C2E86">
        <w:rPr>
          <w:lang w:val="en-US"/>
        </w:rPr>
        <w:t xml:space="preserve"> (1925-1928), vol. </w:t>
      </w:r>
      <w:r>
        <w:rPr>
          <w:lang w:val="en-US"/>
        </w:rPr>
        <w:t>2, Documents, p. 123 ss.</w:t>
      </w:r>
    </w:p>
    <w:p w:rsidR="008B14EE" w:rsidRPr="00145655" w:rsidRDefault="008B14EE" w:rsidP="005465DD">
      <w:pPr>
        <w:spacing w:after="0" w:line="360" w:lineRule="auto"/>
        <w:jc w:val="both"/>
        <w:rPr>
          <w:lang w:val="en-US"/>
        </w:rPr>
      </w:pPr>
    </w:p>
    <w:p w:rsidR="008B14EE" w:rsidRPr="00655838" w:rsidRDefault="008B14EE" w:rsidP="005465DD">
      <w:pPr>
        <w:spacing w:after="0" w:line="360" w:lineRule="auto"/>
        <w:jc w:val="both"/>
        <w:rPr>
          <w:lang w:val="en-US"/>
        </w:rPr>
      </w:pPr>
      <w:r w:rsidRPr="00655838">
        <w:rPr>
          <w:lang w:val="en-US"/>
        </w:rPr>
        <w:t xml:space="preserve">ROSS, </w:t>
      </w:r>
      <w:r w:rsidRPr="00655838">
        <w:rPr>
          <w:i/>
          <w:lang w:val="en-US"/>
        </w:rPr>
        <w:t>A Textbo</w:t>
      </w:r>
      <w:r>
        <w:rPr>
          <w:i/>
          <w:lang w:val="en-US"/>
        </w:rPr>
        <w:t>o</w:t>
      </w:r>
      <w:r w:rsidRPr="00655838">
        <w:rPr>
          <w:i/>
          <w:lang w:val="en-US"/>
        </w:rPr>
        <w:t>k of International Law</w:t>
      </w:r>
      <w:r w:rsidRPr="00655838">
        <w:rPr>
          <w:lang w:val="en-US"/>
        </w:rPr>
        <w:t>, London, 1947, p. 252</w:t>
      </w:r>
      <w:r>
        <w:rPr>
          <w:lang w:val="en-US"/>
        </w:rPr>
        <w:t xml:space="preserve"> ss.</w:t>
      </w:r>
    </w:p>
    <w:p w:rsidR="008B14EE" w:rsidRPr="008B037C" w:rsidRDefault="008B14EE" w:rsidP="005465DD">
      <w:pPr>
        <w:spacing w:after="0" w:line="360" w:lineRule="auto"/>
        <w:jc w:val="both"/>
        <w:rPr>
          <w:lang w:val="en-US"/>
        </w:rPr>
      </w:pPr>
    </w:p>
    <w:p w:rsidR="008B14EE" w:rsidRDefault="008B14EE" w:rsidP="005465DD">
      <w:pPr>
        <w:spacing w:after="0" w:line="360" w:lineRule="auto"/>
        <w:jc w:val="both"/>
        <w:rPr>
          <w:lang w:val="en-US"/>
        </w:rPr>
      </w:pPr>
      <w:r w:rsidRPr="00492BA4">
        <w:rPr>
          <w:lang w:val="en-US"/>
        </w:rPr>
        <w:t xml:space="preserve">SCHWARZENBERGER, </w:t>
      </w:r>
      <w:r w:rsidRPr="00492BA4">
        <w:rPr>
          <w:i/>
          <w:lang w:val="en-US"/>
        </w:rPr>
        <w:t>International Law</w:t>
      </w:r>
      <w:r w:rsidRPr="00492BA4">
        <w:rPr>
          <w:lang w:val="en-US"/>
        </w:rPr>
        <w:t>, London, 1957, p. 615</w:t>
      </w:r>
      <w:r>
        <w:rPr>
          <w:lang w:val="en-US"/>
        </w:rPr>
        <w:t xml:space="preserve"> ss.</w:t>
      </w:r>
    </w:p>
    <w:p w:rsidR="008B14EE" w:rsidRDefault="008B14EE" w:rsidP="005465DD">
      <w:pPr>
        <w:spacing w:after="0" w:line="360" w:lineRule="auto"/>
        <w:jc w:val="both"/>
        <w:rPr>
          <w:lang w:val="en-US"/>
        </w:rPr>
      </w:pPr>
    </w:p>
    <w:p w:rsidR="008B14EE" w:rsidRPr="008B037C" w:rsidRDefault="008B14EE" w:rsidP="005465DD">
      <w:pPr>
        <w:spacing w:after="0" w:line="360" w:lineRule="auto"/>
        <w:jc w:val="both"/>
      </w:pPr>
      <w:r>
        <w:t xml:space="preserve">SIOI–CNR, </w:t>
      </w:r>
      <w:r w:rsidRPr="00BF745A">
        <w:rPr>
          <w:i/>
        </w:rPr>
        <w:t>La prassi italiana di diritto internazionale</w:t>
      </w:r>
      <w:r>
        <w:t>, vol. II, serie 2, n. 36.</w:t>
      </w:r>
    </w:p>
    <w:p w:rsidR="008B14EE" w:rsidRPr="008B037C" w:rsidRDefault="008B14EE" w:rsidP="005465DD">
      <w:pPr>
        <w:spacing w:after="0" w:line="360" w:lineRule="auto"/>
        <w:jc w:val="both"/>
      </w:pPr>
    </w:p>
    <w:p w:rsidR="008B14EE" w:rsidRPr="006F55FC" w:rsidRDefault="008B14EE" w:rsidP="005465DD">
      <w:pPr>
        <w:spacing w:after="0" w:line="360" w:lineRule="auto"/>
        <w:jc w:val="both"/>
      </w:pPr>
      <w:r w:rsidRPr="006F55FC">
        <w:t xml:space="preserve">SERENI, </w:t>
      </w:r>
      <w:r w:rsidRPr="006F55FC">
        <w:rPr>
          <w:i/>
        </w:rPr>
        <w:t>Diritto internazionale</w:t>
      </w:r>
      <w:r w:rsidRPr="006F55FC">
        <w:t>, Milano, 1962, p.1507</w:t>
      </w:r>
      <w:r>
        <w:t xml:space="preserve"> ss.</w:t>
      </w:r>
    </w:p>
    <w:p w:rsidR="008B14EE" w:rsidRPr="006F55FC" w:rsidRDefault="008B14EE" w:rsidP="005465DD">
      <w:pPr>
        <w:spacing w:after="0" w:line="360" w:lineRule="auto"/>
        <w:jc w:val="both"/>
      </w:pPr>
    </w:p>
    <w:p w:rsidR="008B14EE" w:rsidRDefault="008B14EE" w:rsidP="005465DD">
      <w:pPr>
        <w:spacing w:after="0" w:line="360" w:lineRule="auto"/>
        <w:jc w:val="both"/>
        <w:rPr>
          <w:lang w:val="en-US"/>
        </w:rPr>
      </w:pPr>
      <w:r w:rsidRPr="00D52CB1">
        <w:rPr>
          <w:lang w:val="en-US"/>
        </w:rPr>
        <w:t xml:space="preserve">SHAW, </w:t>
      </w:r>
      <w:r w:rsidRPr="00D52CB1">
        <w:rPr>
          <w:i/>
          <w:lang w:val="en-US"/>
        </w:rPr>
        <w:t>International Law</w:t>
      </w:r>
      <w:r w:rsidRPr="00D52CB1">
        <w:rPr>
          <w:lang w:val="en-US"/>
        </w:rPr>
        <w:t>, second edition, Cambridge, 1986, p. 411</w:t>
      </w:r>
      <w:r>
        <w:rPr>
          <w:lang w:val="en-US"/>
        </w:rPr>
        <w:t xml:space="preserve"> ss.</w:t>
      </w:r>
    </w:p>
    <w:p w:rsidR="008B14EE" w:rsidRDefault="008B14EE" w:rsidP="005465DD">
      <w:pPr>
        <w:spacing w:after="0" w:line="360" w:lineRule="auto"/>
        <w:jc w:val="both"/>
        <w:rPr>
          <w:lang w:val="en-US"/>
        </w:rPr>
      </w:pPr>
    </w:p>
    <w:p w:rsidR="008B14EE" w:rsidRDefault="008B14EE" w:rsidP="005465DD">
      <w:pPr>
        <w:spacing w:after="0" w:line="360" w:lineRule="auto"/>
        <w:jc w:val="both"/>
        <w:rPr>
          <w:lang w:val="en-US"/>
        </w:rPr>
      </w:pPr>
      <w:r w:rsidRPr="00B967A6">
        <w:rPr>
          <w:lang w:val="en-US"/>
        </w:rPr>
        <w:t>SIMMA</w:t>
      </w:r>
      <w:r w:rsidRPr="00B967A6">
        <w:rPr>
          <w:sz w:val="18"/>
          <w:szCs w:val="18"/>
          <w:lang w:val="en-US"/>
        </w:rPr>
        <w:t xml:space="preserve">, </w:t>
      </w:r>
      <w:r w:rsidRPr="00B967A6">
        <w:rPr>
          <w:i/>
          <w:lang w:val="en-US"/>
        </w:rPr>
        <w:t>Bilateralism and Community Interest in the Law of State Responsibility</w:t>
      </w:r>
      <w:r w:rsidRPr="00B967A6">
        <w:rPr>
          <w:sz w:val="18"/>
          <w:szCs w:val="18"/>
          <w:lang w:val="en-US"/>
        </w:rPr>
        <w:t xml:space="preserve">, </w:t>
      </w:r>
      <w:r w:rsidRPr="00B967A6">
        <w:rPr>
          <w:lang w:val="en-US"/>
        </w:rPr>
        <w:t>in</w:t>
      </w:r>
      <w:r w:rsidRPr="00B967A6">
        <w:rPr>
          <w:sz w:val="18"/>
          <w:szCs w:val="18"/>
          <w:lang w:val="en-US"/>
        </w:rPr>
        <w:t xml:space="preserve"> </w:t>
      </w:r>
      <w:r w:rsidRPr="00B967A6">
        <w:rPr>
          <w:i/>
          <w:lang w:val="en-US"/>
        </w:rPr>
        <w:t>International Law in a time of Perplexity: Essays in Honour of Shabtai Rosenne</w:t>
      </w:r>
      <w:r w:rsidRPr="00B967A6">
        <w:rPr>
          <w:sz w:val="18"/>
          <w:szCs w:val="18"/>
          <w:lang w:val="en-US"/>
        </w:rPr>
        <w:t xml:space="preserve">, </w:t>
      </w:r>
      <w:r w:rsidRPr="00B967A6">
        <w:rPr>
          <w:lang w:val="en-US"/>
        </w:rPr>
        <w:t>London, 1989, p. 821</w:t>
      </w:r>
      <w:r>
        <w:rPr>
          <w:lang w:val="en-US"/>
        </w:rPr>
        <w:t xml:space="preserve"> ss.</w:t>
      </w:r>
    </w:p>
    <w:p w:rsidR="008B14EE" w:rsidRDefault="008B14EE" w:rsidP="005465DD">
      <w:pPr>
        <w:spacing w:after="0" w:line="360" w:lineRule="auto"/>
        <w:jc w:val="both"/>
        <w:rPr>
          <w:lang w:val="en-US"/>
        </w:rPr>
      </w:pPr>
    </w:p>
    <w:p w:rsidR="008B14EE" w:rsidRDefault="008B14EE" w:rsidP="005465DD">
      <w:pPr>
        <w:spacing w:after="0" w:line="360" w:lineRule="auto"/>
        <w:jc w:val="both"/>
        <w:rPr>
          <w:lang w:val="en-US"/>
        </w:rPr>
      </w:pPr>
      <w:r>
        <w:rPr>
          <w:lang w:val="en-US"/>
        </w:rPr>
        <w:t xml:space="preserve">SMITH, </w:t>
      </w:r>
      <w:r w:rsidRPr="0093334C">
        <w:rPr>
          <w:i/>
          <w:lang w:val="en-US"/>
        </w:rPr>
        <w:t>State Responsibility and</w:t>
      </w:r>
      <w:r>
        <w:rPr>
          <w:lang w:val="en-US"/>
        </w:rPr>
        <w:t xml:space="preserve"> </w:t>
      </w:r>
      <w:r w:rsidRPr="0093334C">
        <w:rPr>
          <w:i/>
          <w:lang w:val="en-US"/>
        </w:rPr>
        <w:t>the Marine Environment</w:t>
      </w:r>
      <w:r>
        <w:rPr>
          <w:lang w:val="en-US"/>
        </w:rPr>
        <w:t>, Oxford, 1988, p. 31 ss.</w:t>
      </w:r>
    </w:p>
    <w:p w:rsidR="008B14EE" w:rsidRDefault="008B14EE" w:rsidP="005465DD">
      <w:pPr>
        <w:spacing w:after="0" w:line="360" w:lineRule="auto"/>
        <w:jc w:val="both"/>
        <w:rPr>
          <w:lang w:val="en-US"/>
        </w:rPr>
      </w:pPr>
    </w:p>
    <w:p w:rsidR="008B14EE" w:rsidRPr="00B967A6" w:rsidRDefault="008B14EE" w:rsidP="005465DD">
      <w:pPr>
        <w:spacing w:after="0" w:line="360" w:lineRule="auto"/>
        <w:jc w:val="both"/>
        <w:rPr>
          <w:lang w:val="en-US"/>
        </w:rPr>
      </w:pPr>
      <w:r>
        <w:t xml:space="preserve">SPINEDI, </w:t>
      </w:r>
      <w:r w:rsidRPr="00E6670C">
        <w:rPr>
          <w:i/>
        </w:rPr>
        <w:t>Responsabilità internazionale</w:t>
      </w:r>
      <w:r>
        <w:t xml:space="preserve">, in </w:t>
      </w:r>
      <w:r w:rsidRPr="00E6670C">
        <w:rPr>
          <w:i/>
        </w:rPr>
        <w:t>Enciclopedia giuridica</w:t>
      </w:r>
      <w:r>
        <w:t xml:space="preserve">, vol. </w:t>
      </w:r>
      <w:r w:rsidRPr="008B037C">
        <w:rPr>
          <w:lang w:val="en-US"/>
        </w:rPr>
        <w:t>XXVII, Roma, 1985, p. 3 ss.</w:t>
      </w:r>
    </w:p>
    <w:p w:rsidR="008B14EE" w:rsidRPr="00B967A6" w:rsidRDefault="008B14EE" w:rsidP="005465DD">
      <w:pPr>
        <w:spacing w:after="0" w:line="360" w:lineRule="auto"/>
        <w:jc w:val="both"/>
        <w:rPr>
          <w:lang w:val="en-US"/>
        </w:rPr>
      </w:pPr>
    </w:p>
    <w:p w:rsidR="008B14EE" w:rsidRPr="002B2F10" w:rsidRDefault="008B14EE" w:rsidP="005465DD">
      <w:pPr>
        <w:pStyle w:val="Paragrafoelenco"/>
        <w:numPr>
          <w:ilvl w:val="0"/>
          <w:numId w:val="29"/>
        </w:numPr>
        <w:spacing w:after="0" w:line="360" w:lineRule="auto"/>
        <w:jc w:val="both"/>
        <w:rPr>
          <w:lang w:val="fr-FR"/>
        </w:rPr>
      </w:pPr>
      <w:r w:rsidRPr="002B2F10">
        <w:rPr>
          <w:i/>
        </w:rPr>
        <w:t>La responsabilità dello Stato per comportamenti di private contractors</w:t>
      </w:r>
      <w:r w:rsidRPr="00C00004">
        <w:t xml:space="preserve">, in </w:t>
      </w:r>
      <w:r w:rsidRPr="002B2F10">
        <w:rPr>
          <w:i/>
        </w:rPr>
        <w:t>La codificazione della responsabilità internazionale degli Stati alla prova dei fatti. Problemi e spunti di riflessione</w:t>
      </w:r>
      <w:r w:rsidRPr="00C00004">
        <w:t xml:space="preserve">, (a cura di Spinedi, Gianelli, Alaimo), Giuffré, Milano, 2006. </w:t>
      </w:r>
      <w:r w:rsidRPr="002B2F10">
        <w:rPr>
          <w:lang w:val="fr-FR"/>
        </w:rPr>
        <w:t>Milano, 2006, p. 67 ss.</w:t>
      </w:r>
    </w:p>
    <w:p w:rsidR="008B14EE" w:rsidRPr="008B037C" w:rsidRDefault="008B14EE" w:rsidP="005465DD">
      <w:pPr>
        <w:spacing w:after="0" w:line="360" w:lineRule="auto"/>
        <w:jc w:val="both"/>
        <w:rPr>
          <w:lang w:val="fr-FR"/>
        </w:rPr>
      </w:pPr>
    </w:p>
    <w:p w:rsidR="008B14EE" w:rsidRDefault="008B14EE" w:rsidP="005465DD">
      <w:pPr>
        <w:spacing w:after="0" w:line="360" w:lineRule="auto"/>
        <w:jc w:val="both"/>
        <w:rPr>
          <w:lang w:val="en-US"/>
        </w:rPr>
      </w:pPr>
      <w:r w:rsidRPr="00D23EC7">
        <w:rPr>
          <w:lang w:val="en-US"/>
        </w:rPr>
        <w:t xml:space="preserve">SPINEDI &amp; SIMMA, </w:t>
      </w:r>
      <w:r w:rsidRPr="00D23EC7">
        <w:rPr>
          <w:i/>
          <w:lang w:val="en-US"/>
        </w:rPr>
        <w:t>United Nations Codification of State Responsibility</w:t>
      </w:r>
      <w:r w:rsidRPr="00D23EC7">
        <w:rPr>
          <w:lang w:val="en-US"/>
        </w:rPr>
        <w:t>, New York, 1987</w:t>
      </w:r>
      <w:r>
        <w:rPr>
          <w:lang w:val="en-US"/>
        </w:rPr>
        <w:t>.</w:t>
      </w:r>
    </w:p>
    <w:p w:rsidR="008B14EE" w:rsidRPr="002B2F10" w:rsidRDefault="008B14EE" w:rsidP="005465DD">
      <w:pPr>
        <w:spacing w:after="0" w:line="360" w:lineRule="auto"/>
        <w:jc w:val="both"/>
        <w:rPr>
          <w:lang w:val="en-US"/>
        </w:rPr>
      </w:pPr>
    </w:p>
    <w:p w:rsidR="008B14EE" w:rsidRDefault="008B14EE" w:rsidP="005465DD">
      <w:pPr>
        <w:spacing w:after="0" w:line="360" w:lineRule="auto"/>
        <w:jc w:val="both"/>
        <w:rPr>
          <w:lang w:val="fr-FR"/>
        </w:rPr>
      </w:pPr>
      <w:r w:rsidRPr="00864D68">
        <w:rPr>
          <w:lang w:val="fr-FR"/>
        </w:rPr>
        <w:t>STERN</w:t>
      </w:r>
      <w:r w:rsidRPr="00864D68">
        <w:rPr>
          <w:sz w:val="18"/>
          <w:szCs w:val="18"/>
          <w:lang w:val="fr-FR"/>
        </w:rPr>
        <w:t xml:space="preserve">, </w:t>
      </w:r>
      <w:r w:rsidRPr="00864D68">
        <w:rPr>
          <w:i/>
          <w:lang w:val="fr-FR"/>
        </w:rPr>
        <w:t>Conclusions générales,</w:t>
      </w:r>
      <w:r w:rsidRPr="00864D68">
        <w:rPr>
          <w:sz w:val="18"/>
          <w:szCs w:val="18"/>
          <w:lang w:val="fr-FR"/>
        </w:rPr>
        <w:t xml:space="preserve"> </w:t>
      </w:r>
      <w:r w:rsidRPr="00864D68">
        <w:rPr>
          <w:lang w:val="fr-FR"/>
        </w:rPr>
        <w:t xml:space="preserve">in </w:t>
      </w:r>
      <w:r w:rsidRPr="00864D68">
        <w:rPr>
          <w:i/>
          <w:lang w:val="fr-FR"/>
        </w:rPr>
        <w:t>La responsabilité internationale</w:t>
      </w:r>
      <w:r w:rsidRPr="00864D68">
        <w:rPr>
          <w:sz w:val="18"/>
          <w:szCs w:val="18"/>
          <w:lang w:val="fr-FR"/>
        </w:rPr>
        <w:t xml:space="preserve">, </w:t>
      </w:r>
      <w:r w:rsidRPr="00864D68">
        <w:rPr>
          <w:lang w:val="fr-FR"/>
        </w:rPr>
        <w:t>Paris, 1991, p. 319</w:t>
      </w:r>
      <w:r>
        <w:rPr>
          <w:lang w:val="fr-FR"/>
        </w:rPr>
        <w:t xml:space="preserve"> ss.</w:t>
      </w:r>
    </w:p>
    <w:p w:rsidR="008B14EE" w:rsidRDefault="008B14EE" w:rsidP="005465DD">
      <w:pPr>
        <w:spacing w:after="0" w:line="360" w:lineRule="auto"/>
        <w:jc w:val="both"/>
        <w:rPr>
          <w:lang w:val="fr-FR"/>
        </w:rPr>
      </w:pPr>
    </w:p>
    <w:p w:rsidR="008B14EE" w:rsidRDefault="008B14EE" w:rsidP="005465DD">
      <w:pPr>
        <w:spacing w:after="0" w:line="360" w:lineRule="auto"/>
        <w:jc w:val="both"/>
        <w:rPr>
          <w:lang w:val="en-US"/>
        </w:rPr>
      </w:pPr>
      <w:r w:rsidRPr="00B911CA">
        <w:rPr>
          <w:lang w:val="en-US"/>
        </w:rPr>
        <w:t>STERN,</w:t>
      </w:r>
      <w:r w:rsidRPr="00B911CA">
        <w:rPr>
          <w:sz w:val="18"/>
          <w:szCs w:val="18"/>
          <w:lang w:val="en-US"/>
        </w:rPr>
        <w:t xml:space="preserve"> </w:t>
      </w:r>
      <w:r w:rsidRPr="00B911CA">
        <w:rPr>
          <w:i/>
          <w:lang w:val="en-US"/>
        </w:rPr>
        <w:t>The Elements of an Internationally Wrongful Act</w:t>
      </w:r>
      <w:r w:rsidRPr="00B911CA">
        <w:rPr>
          <w:sz w:val="18"/>
          <w:szCs w:val="18"/>
          <w:lang w:val="en-US"/>
        </w:rPr>
        <w:t xml:space="preserve">, </w:t>
      </w:r>
      <w:r w:rsidRPr="00B911CA">
        <w:rPr>
          <w:lang w:val="en-US"/>
        </w:rPr>
        <w:t xml:space="preserve">in </w:t>
      </w:r>
      <w:r w:rsidRPr="00B911CA">
        <w:rPr>
          <w:i/>
          <w:lang w:val="en-US"/>
        </w:rPr>
        <w:t>The Law of International Responsibility</w:t>
      </w:r>
      <w:r w:rsidRPr="00B911CA">
        <w:rPr>
          <w:sz w:val="18"/>
          <w:szCs w:val="18"/>
          <w:lang w:val="en-US"/>
        </w:rPr>
        <w:t xml:space="preserve"> </w:t>
      </w:r>
      <w:r w:rsidRPr="00B911CA">
        <w:rPr>
          <w:lang w:val="en-US"/>
        </w:rPr>
        <w:t>(a cura di Crawford, Pellet, Oll</w:t>
      </w:r>
      <w:r>
        <w:rPr>
          <w:lang w:val="en-US"/>
        </w:rPr>
        <w:t>eson), Oxford, 2011, p. 193 ss.</w:t>
      </w:r>
    </w:p>
    <w:p w:rsidR="008B14EE" w:rsidRDefault="008B14EE" w:rsidP="005465DD">
      <w:pPr>
        <w:spacing w:after="0" w:line="360" w:lineRule="auto"/>
        <w:jc w:val="both"/>
        <w:rPr>
          <w:lang w:val="en-US"/>
        </w:rPr>
      </w:pPr>
    </w:p>
    <w:p w:rsidR="008B14EE" w:rsidRDefault="008B14EE" w:rsidP="005465DD">
      <w:pPr>
        <w:spacing w:after="0" w:line="360" w:lineRule="auto"/>
        <w:jc w:val="both"/>
        <w:rPr>
          <w:lang w:val="fr-FR"/>
        </w:rPr>
      </w:pPr>
      <w:r w:rsidRPr="00983FDA">
        <w:rPr>
          <w:lang w:val="en-US"/>
        </w:rPr>
        <w:t xml:space="preserve">STRUPP, </w:t>
      </w:r>
      <w:r w:rsidRPr="00983FDA">
        <w:rPr>
          <w:i/>
          <w:lang w:val="en-US"/>
        </w:rPr>
        <w:t>Das v</w:t>
      </w:r>
      <w:r w:rsidRPr="00983FDA">
        <w:rPr>
          <w:rFonts w:cstheme="minorHAnsi"/>
          <w:i/>
          <w:lang w:val="en-US"/>
        </w:rPr>
        <w:t>ö</w:t>
      </w:r>
      <w:r w:rsidRPr="00983FDA">
        <w:rPr>
          <w:i/>
          <w:lang w:val="en-US"/>
        </w:rPr>
        <w:t>lkerrechtliche Delikt</w:t>
      </w:r>
      <w:r w:rsidRPr="00983FDA">
        <w:rPr>
          <w:lang w:val="en-US"/>
        </w:rPr>
        <w:t xml:space="preserve">, </w:t>
      </w:r>
      <w:r w:rsidRPr="00983FDA">
        <w:rPr>
          <w:i/>
          <w:lang w:val="en-US"/>
        </w:rPr>
        <w:t>Handbuch des V</w:t>
      </w:r>
      <w:r w:rsidRPr="00983FDA">
        <w:rPr>
          <w:rFonts w:cstheme="minorHAnsi"/>
          <w:i/>
          <w:lang w:val="en-US"/>
        </w:rPr>
        <w:t>ö</w:t>
      </w:r>
      <w:r w:rsidRPr="00983FDA">
        <w:rPr>
          <w:i/>
          <w:lang w:val="en-US"/>
        </w:rPr>
        <w:t>lkerrechts,</w:t>
      </w:r>
      <w:r w:rsidRPr="00983FDA">
        <w:rPr>
          <w:lang w:val="en-US"/>
        </w:rPr>
        <w:t xml:space="preserve"> Stier-Somlo (a cura di), vol. </w:t>
      </w:r>
      <w:r w:rsidRPr="00E170A7">
        <w:rPr>
          <w:lang w:val="fr-FR"/>
        </w:rPr>
        <w:t>IV, Berlin-Stuttgart-Leipzig, p. 35</w:t>
      </w:r>
      <w:r>
        <w:rPr>
          <w:lang w:val="fr-FR"/>
        </w:rPr>
        <w:t xml:space="preserve"> ss.</w:t>
      </w:r>
    </w:p>
    <w:p w:rsidR="008B14EE" w:rsidRDefault="008B14EE" w:rsidP="005465DD">
      <w:pPr>
        <w:spacing w:after="0" w:line="360" w:lineRule="auto"/>
        <w:jc w:val="both"/>
        <w:rPr>
          <w:lang w:val="fr-FR"/>
        </w:rPr>
      </w:pPr>
    </w:p>
    <w:p w:rsidR="008B14EE" w:rsidRPr="002B2F10" w:rsidRDefault="008B14EE" w:rsidP="005465DD">
      <w:pPr>
        <w:pStyle w:val="Paragrafoelenco"/>
        <w:numPr>
          <w:ilvl w:val="0"/>
          <w:numId w:val="29"/>
        </w:numPr>
        <w:spacing w:after="0" w:line="360" w:lineRule="auto"/>
        <w:jc w:val="both"/>
        <w:rPr>
          <w:lang w:val="fr-FR"/>
        </w:rPr>
      </w:pPr>
      <w:r w:rsidRPr="002B2F10">
        <w:rPr>
          <w:i/>
          <w:lang w:val="fr-FR"/>
        </w:rPr>
        <w:t>Eléments du droit international public universel, européen et américain</w:t>
      </w:r>
      <w:r w:rsidRPr="002B2F10">
        <w:rPr>
          <w:lang w:val="fr-FR"/>
        </w:rPr>
        <w:t>, vol. I, Paris, 1930, p. 208 ss.</w:t>
      </w:r>
    </w:p>
    <w:p w:rsidR="008B14EE" w:rsidRDefault="008B14EE" w:rsidP="005465DD">
      <w:pPr>
        <w:spacing w:after="0" w:line="360" w:lineRule="auto"/>
        <w:jc w:val="both"/>
        <w:rPr>
          <w:lang w:val="fr-FR"/>
        </w:rPr>
      </w:pPr>
    </w:p>
    <w:p w:rsidR="008B14EE" w:rsidRDefault="008B14EE" w:rsidP="005465DD">
      <w:pPr>
        <w:spacing w:after="0" w:line="360" w:lineRule="auto"/>
        <w:jc w:val="both"/>
        <w:rPr>
          <w:lang w:val="fr-FR"/>
        </w:rPr>
      </w:pPr>
      <w:r w:rsidRPr="008B46B0">
        <w:rPr>
          <w:lang w:val="fr-FR"/>
        </w:rPr>
        <w:t xml:space="preserve">SOLDATI, </w:t>
      </w:r>
      <w:r w:rsidRPr="008B46B0">
        <w:rPr>
          <w:i/>
          <w:lang w:val="fr-FR"/>
        </w:rPr>
        <w:t>La responsabilité des Etats dans le droit international</w:t>
      </w:r>
      <w:r>
        <w:rPr>
          <w:lang w:val="fr-FR"/>
        </w:rPr>
        <w:t>, Duchemin, 1934, p</w:t>
      </w:r>
      <w:r w:rsidRPr="008B46B0">
        <w:rPr>
          <w:lang w:val="fr-FR"/>
        </w:rPr>
        <w:t xml:space="preserve">. </w:t>
      </w:r>
      <w:r>
        <w:rPr>
          <w:lang w:val="fr-FR"/>
        </w:rPr>
        <w:t>52 ss.</w:t>
      </w:r>
    </w:p>
    <w:p w:rsidR="008B14EE" w:rsidRDefault="008B14EE" w:rsidP="005465DD">
      <w:pPr>
        <w:spacing w:after="0" w:line="360" w:lineRule="auto"/>
        <w:jc w:val="both"/>
        <w:rPr>
          <w:lang w:val="fr-FR"/>
        </w:rPr>
      </w:pPr>
    </w:p>
    <w:p w:rsidR="008B14EE" w:rsidRDefault="008B14EE" w:rsidP="005465DD">
      <w:pPr>
        <w:spacing w:after="0" w:line="360" w:lineRule="auto"/>
        <w:jc w:val="both"/>
        <w:rPr>
          <w:lang w:val="nl-NL"/>
        </w:rPr>
      </w:pPr>
      <w:r w:rsidRPr="008B037C">
        <w:rPr>
          <w:lang w:val="en-US"/>
        </w:rPr>
        <w:t xml:space="preserve">TRIEPEL, </w:t>
      </w:r>
      <w:r w:rsidRPr="00B42056">
        <w:rPr>
          <w:i/>
          <w:lang w:val="nl-NL"/>
        </w:rPr>
        <w:t>V</w:t>
      </w:r>
      <w:r w:rsidRPr="00B42056">
        <w:rPr>
          <w:rFonts w:cstheme="minorHAnsi"/>
          <w:i/>
          <w:lang w:val="nl-NL"/>
        </w:rPr>
        <w:t>ö</w:t>
      </w:r>
      <w:r w:rsidRPr="00B42056">
        <w:rPr>
          <w:i/>
          <w:lang w:val="nl-NL"/>
        </w:rPr>
        <w:t>lkerrecht und Landesrecht</w:t>
      </w:r>
      <w:r>
        <w:rPr>
          <w:lang w:val="nl-NL"/>
        </w:rPr>
        <w:t>, Leipzig, 1899, p. 349 ss.</w:t>
      </w:r>
    </w:p>
    <w:p w:rsidR="008B14EE" w:rsidRDefault="008B14EE" w:rsidP="005465DD">
      <w:pPr>
        <w:spacing w:after="0" w:line="360" w:lineRule="auto"/>
        <w:jc w:val="both"/>
        <w:rPr>
          <w:lang w:val="nl-NL"/>
        </w:rPr>
      </w:pPr>
    </w:p>
    <w:p w:rsidR="008B14EE" w:rsidRPr="000E4766" w:rsidRDefault="008B14EE" w:rsidP="005465DD">
      <w:pPr>
        <w:spacing w:after="0" w:line="360" w:lineRule="auto"/>
        <w:jc w:val="both"/>
        <w:rPr>
          <w:rFonts w:cstheme="minorHAnsi"/>
          <w:lang w:val="en-US"/>
        </w:rPr>
      </w:pPr>
      <w:r w:rsidRPr="000E4766">
        <w:rPr>
          <w:lang w:val="en-US"/>
        </w:rPr>
        <w:t xml:space="preserve">VON GLAHN, </w:t>
      </w:r>
      <w:r w:rsidRPr="000E4766">
        <w:rPr>
          <w:i/>
          <w:lang w:val="en-US"/>
        </w:rPr>
        <w:t>Law among Nations, an Introduction to Public International Law</w:t>
      </w:r>
      <w:r w:rsidRPr="000E4766">
        <w:rPr>
          <w:lang w:val="en-US"/>
        </w:rPr>
        <w:t>, 5</w:t>
      </w:r>
      <w:r>
        <w:rPr>
          <w:rFonts w:cstheme="minorHAnsi"/>
        </w:rPr>
        <w:t>ᵃ</w:t>
      </w:r>
      <w:r w:rsidRPr="000E4766">
        <w:rPr>
          <w:lang w:val="en-US"/>
        </w:rPr>
        <w:t xml:space="preserve"> ed., New York, 1986, p. 232</w:t>
      </w:r>
      <w:r>
        <w:rPr>
          <w:lang w:val="en-US"/>
        </w:rPr>
        <w:t xml:space="preserve"> ss.</w:t>
      </w:r>
    </w:p>
    <w:p w:rsidR="008B14EE" w:rsidRPr="000E4766" w:rsidRDefault="008B14EE" w:rsidP="005465DD">
      <w:pPr>
        <w:spacing w:after="0" w:line="360" w:lineRule="auto"/>
        <w:jc w:val="both"/>
        <w:rPr>
          <w:rFonts w:cstheme="minorHAnsi"/>
          <w:lang w:val="en-US"/>
        </w:rPr>
      </w:pPr>
    </w:p>
    <w:p w:rsidR="008B14EE" w:rsidRDefault="008B14EE" w:rsidP="005465DD">
      <w:pPr>
        <w:spacing w:after="0" w:line="360" w:lineRule="auto"/>
        <w:jc w:val="both"/>
        <w:rPr>
          <w:lang w:val="fr-FR"/>
        </w:rPr>
      </w:pPr>
      <w:r w:rsidRPr="00E44128">
        <w:rPr>
          <w:lang w:val="fr-FR"/>
        </w:rPr>
        <w:t xml:space="preserve">VERDROSS, </w:t>
      </w:r>
      <w:r w:rsidRPr="00E44128">
        <w:rPr>
          <w:i/>
          <w:lang w:val="fr-FR"/>
        </w:rPr>
        <w:t>Règles générales du droit de la paix</w:t>
      </w:r>
      <w:r w:rsidRPr="00E44128">
        <w:rPr>
          <w:lang w:val="fr-FR"/>
        </w:rPr>
        <w:t xml:space="preserve">, in </w:t>
      </w:r>
      <w:r w:rsidRPr="00E44128">
        <w:rPr>
          <w:i/>
          <w:lang w:val="fr-FR"/>
        </w:rPr>
        <w:t>Recueil des cours</w:t>
      </w:r>
      <w:r w:rsidRPr="001A2514">
        <w:rPr>
          <w:i/>
          <w:lang w:val="fr-FR"/>
        </w:rPr>
        <w:t xml:space="preserve"> </w:t>
      </w:r>
      <w:r>
        <w:rPr>
          <w:i/>
          <w:lang w:val="fr-FR"/>
        </w:rPr>
        <w:t>de l’Académie de droit international de la Haye</w:t>
      </w:r>
      <w:r w:rsidRPr="00E44128">
        <w:rPr>
          <w:lang w:val="fr-FR"/>
        </w:rPr>
        <w:t>, 1929</w:t>
      </w:r>
      <w:r>
        <w:rPr>
          <w:lang w:val="fr-FR"/>
        </w:rPr>
        <w:t>, p. 271</w:t>
      </w:r>
      <w:r w:rsidRPr="00E44128">
        <w:rPr>
          <w:lang w:val="fr-FR"/>
        </w:rPr>
        <w:t xml:space="preserve"> ss</w:t>
      </w:r>
      <w:r>
        <w:rPr>
          <w:lang w:val="fr-FR"/>
        </w:rPr>
        <w:t>.</w:t>
      </w:r>
    </w:p>
    <w:p w:rsidR="008B14EE" w:rsidRDefault="008B14EE" w:rsidP="005465DD">
      <w:pPr>
        <w:spacing w:after="0" w:line="360" w:lineRule="auto"/>
        <w:jc w:val="both"/>
        <w:rPr>
          <w:rFonts w:cstheme="minorHAnsi"/>
          <w:lang w:val="fr-FR"/>
        </w:rPr>
      </w:pPr>
    </w:p>
    <w:p w:rsidR="008B14EE" w:rsidRPr="002B2F10" w:rsidRDefault="008B14EE" w:rsidP="005465DD">
      <w:pPr>
        <w:pStyle w:val="Paragrafoelenco"/>
        <w:numPr>
          <w:ilvl w:val="0"/>
          <w:numId w:val="29"/>
        </w:numPr>
        <w:spacing w:after="0" w:line="360" w:lineRule="auto"/>
        <w:jc w:val="both"/>
        <w:rPr>
          <w:rFonts w:cstheme="minorHAnsi"/>
          <w:lang w:val="en-US"/>
        </w:rPr>
      </w:pPr>
      <w:r w:rsidRPr="002B2F10">
        <w:rPr>
          <w:rFonts w:cstheme="minorHAnsi"/>
          <w:i/>
          <w:lang w:val="en-US"/>
        </w:rPr>
        <w:t>V</w:t>
      </w:r>
      <w:r w:rsidRPr="002B2F10">
        <w:rPr>
          <w:i/>
          <w:lang w:val="en-US"/>
        </w:rPr>
        <w:t>ölkerrech</w:t>
      </w:r>
      <w:r w:rsidRPr="002B2F10">
        <w:rPr>
          <w:rFonts w:cstheme="minorHAnsi"/>
          <w:i/>
          <w:lang w:val="en-US"/>
        </w:rPr>
        <w:t>t</w:t>
      </w:r>
      <w:r w:rsidRPr="002B2F10">
        <w:rPr>
          <w:rFonts w:cstheme="minorHAnsi"/>
          <w:lang w:val="en-US"/>
        </w:rPr>
        <w:t>, 4 ͣ ed., Wien, 1959, p. 295 ss.</w:t>
      </w:r>
    </w:p>
    <w:p w:rsidR="008B14EE" w:rsidRDefault="008B14EE" w:rsidP="005465DD">
      <w:pPr>
        <w:spacing w:after="0" w:line="360" w:lineRule="auto"/>
        <w:jc w:val="both"/>
        <w:rPr>
          <w:rFonts w:cstheme="minorHAnsi"/>
          <w:lang w:val="en-US"/>
        </w:rPr>
      </w:pPr>
    </w:p>
    <w:p w:rsidR="008B14EE" w:rsidRPr="00633F2C" w:rsidRDefault="008B14EE" w:rsidP="005465DD">
      <w:pPr>
        <w:spacing w:after="0" w:line="360" w:lineRule="auto"/>
        <w:jc w:val="both"/>
        <w:rPr>
          <w:rFonts w:cstheme="minorHAnsi"/>
          <w:lang w:val="en-US"/>
        </w:rPr>
      </w:pPr>
      <w:r w:rsidRPr="00633F2C">
        <w:rPr>
          <w:lang w:val="en-US"/>
        </w:rPr>
        <w:t xml:space="preserve">VERDROSS, SIMMA, </w:t>
      </w:r>
      <w:r w:rsidRPr="00633F2C">
        <w:rPr>
          <w:i/>
          <w:lang w:val="en-US"/>
        </w:rPr>
        <w:t>Universelles Völkerrecht</w:t>
      </w:r>
      <w:r w:rsidRPr="00633F2C">
        <w:rPr>
          <w:lang w:val="en-US"/>
        </w:rPr>
        <w:t xml:space="preserve"> –</w:t>
      </w:r>
      <w:r w:rsidRPr="00633F2C">
        <w:rPr>
          <w:i/>
          <w:lang w:val="en-US"/>
        </w:rPr>
        <w:t>Theorie und Praxis</w:t>
      </w:r>
      <w:r w:rsidRPr="00633F2C">
        <w:rPr>
          <w:lang w:val="en-US"/>
        </w:rPr>
        <w:t>, Berlin, 1980, p. 621 ss.</w:t>
      </w:r>
    </w:p>
    <w:p w:rsidR="008B14EE" w:rsidRPr="008B037C" w:rsidRDefault="008B14EE" w:rsidP="005465DD">
      <w:pPr>
        <w:spacing w:after="0" w:line="360" w:lineRule="auto"/>
        <w:jc w:val="both"/>
        <w:rPr>
          <w:rFonts w:cstheme="minorHAnsi"/>
          <w:lang w:val="en-US"/>
        </w:rPr>
      </w:pPr>
    </w:p>
    <w:p w:rsidR="008B14EE" w:rsidRPr="008B037C" w:rsidRDefault="008B14EE" w:rsidP="005465DD">
      <w:pPr>
        <w:spacing w:after="0" w:line="360" w:lineRule="auto"/>
        <w:jc w:val="both"/>
        <w:rPr>
          <w:lang w:val="en-US"/>
        </w:rPr>
      </w:pPr>
      <w:r w:rsidRPr="008B037C">
        <w:rPr>
          <w:lang w:val="en-US"/>
        </w:rPr>
        <w:t xml:space="preserve">VERHOEVEN, </w:t>
      </w:r>
      <w:r w:rsidRPr="008B037C">
        <w:rPr>
          <w:i/>
          <w:lang w:val="en-US"/>
        </w:rPr>
        <w:t>Droit international public</w:t>
      </w:r>
      <w:r w:rsidRPr="008B037C">
        <w:rPr>
          <w:lang w:val="en-US"/>
        </w:rPr>
        <w:t>, Paris, 2000, p. 83 ss.</w:t>
      </w:r>
    </w:p>
    <w:p w:rsidR="008B14EE" w:rsidRPr="008B037C" w:rsidRDefault="008B14EE" w:rsidP="005465DD">
      <w:pPr>
        <w:spacing w:after="0" w:line="360" w:lineRule="auto"/>
        <w:jc w:val="both"/>
        <w:rPr>
          <w:rFonts w:cstheme="minorHAnsi"/>
          <w:lang w:val="en-US"/>
        </w:rPr>
      </w:pPr>
    </w:p>
    <w:p w:rsidR="008B14EE" w:rsidRPr="008B037C" w:rsidRDefault="008B14EE" w:rsidP="005465DD">
      <w:pPr>
        <w:spacing w:after="0" w:line="360" w:lineRule="auto"/>
        <w:jc w:val="both"/>
        <w:rPr>
          <w:lang w:val="en-US"/>
        </w:rPr>
      </w:pPr>
      <w:r w:rsidRPr="008B037C">
        <w:rPr>
          <w:lang w:val="en-US"/>
        </w:rPr>
        <w:t xml:space="preserve">VON MÜNCH, </w:t>
      </w:r>
      <w:r w:rsidRPr="008B037C">
        <w:rPr>
          <w:i/>
          <w:lang w:val="en-US"/>
        </w:rPr>
        <w:t>Das Völkerrechtliche Delikt in der moderner Entwicklung der Völkerrechtsgemeinschaft,</w:t>
      </w:r>
      <w:r w:rsidRPr="008B037C">
        <w:rPr>
          <w:lang w:val="en-US"/>
        </w:rPr>
        <w:t xml:space="preserve"> Frankfurt, 1963.</w:t>
      </w:r>
    </w:p>
    <w:p w:rsidR="008B14EE" w:rsidRPr="008B037C" w:rsidRDefault="008B14EE" w:rsidP="005465DD">
      <w:pPr>
        <w:spacing w:after="0" w:line="360" w:lineRule="auto"/>
        <w:jc w:val="both"/>
        <w:rPr>
          <w:lang w:val="en-US"/>
        </w:rPr>
      </w:pPr>
    </w:p>
    <w:p w:rsidR="008B14EE" w:rsidRPr="00114D77" w:rsidRDefault="008B14EE" w:rsidP="005465DD">
      <w:pPr>
        <w:spacing w:after="0" w:line="360" w:lineRule="auto"/>
        <w:jc w:val="both"/>
        <w:rPr>
          <w:lang w:val="fr-FR"/>
        </w:rPr>
      </w:pPr>
      <w:r w:rsidRPr="00114D77">
        <w:rPr>
          <w:lang w:val="fr-FR"/>
        </w:rPr>
        <w:t>WYLER,</w:t>
      </w:r>
      <w:r w:rsidRPr="00114D77">
        <w:rPr>
          <w:sz w:val="18"/>
          <w:szCs w:val="18"/>
          <w:lang w:val="fr-FR"/>
        </w:rPr>
        <w:t xml:space="preserve"> </w:t>
      </w:r>
      <w:r w:rsidRPr="008B037C">
        <w:rPr>
          <w:i/>
          <w:lang w:val="fr-FR"/>
        </w:rPr>
        <w:t>L’illicite et la condition des personnes privées</w:t>
      </w:r>
      <w:r w:rsidRPr="00114D77">
        <w:rPr>
          <w:sz w:val="18"/>
          <w:szCs w:val="18"/>
          <w:lang w:val="fr-FR"/>
        </w:rPr>
        <w:t xml:space="preserve">, </w:t>
      </w:r>
      <w:r w:rsidRPr="00114D77">
        <w:rPr>
          <w:lang w:val="fr-FR"/>
        </w:rPr>
        <w:t>Paris, 1995</w:t>
      </w:r>
      <w:r>
        <w:rPr>
          <w:lang w:val="fr-FR"/>
        </w:rPr>
        <w:t>.</w:t>
      </w:r>
    </w:p>
    <w:p w:rsidR="008B14EE" w:rsidRPr="00114D77" w:rsidRDefault="008B14EE" w:rsidP="005465DD">
      <w:pPr>
        <w:spacing w:after="0" w:line="360" w:lineRule="auto"/>
        <w:jc w:val="both"/>
        <w:rPr>
          <w:lang w:val="fr-FR"/>
        </w:rPr>
      </w:pPr>
    </w:p>
    <w:p w:rsidR="008B14EE" w:rsidRDefault="008B14EE" w:rsidP="005465DD">
      <w:pPr>
        <w:spacing w:after="0" w:line="360" w:lineRule="auto"/>
        <w:jc w:val="both"/>
        <w:rPr>
          <w:lang w:val="en-US"/>
        </w:rPr>
      </w:pPr>
      <w:r w:rsidRPr="00E95C34">
        <w:rPr>
          <w:lang w:val="en-US"/>
        </w:rPr>
        <w:t xml:space="preserve">WHITEMAN, </w:t>
      </w:r>
      <w:r w:rsidRPr="00E95C34">
        <w:rPr>
          <w:i/>
          <w:lang w:val="en-US"/>
        </w:rPr>
        <w:t>Digest of International Law</w:t>
      </w:r>
      <w:r w:rsidRPr="00E95C34">
        <w:rPr>
          <w:lang w:val="en-US"/>
        </w:rPr>
        <w:t xml:space="preserve">, </w:t>
      </w:r>
      <w:r>
        <w:rPr>
          <w:lang w:val="en-US"/>
        </w:rPr>
        <w:t>vol. 8, Washington, 1967.</w:t>
      </w:r>
    </w:p>
    <w:p w:rsidR="008B14EE" w:rsidRDefault="008B14EE" w:rsidP="005465DD">
      <w:pPr>
        <w:spacing w:after="0" w:line="360" w:lineRule="auto"/>
        <w:jc w:val="both"/>
        <w:rPr>
          <w:lang w:val="en-US"/>
        </w:rPr>
      </w:pPr>
    </w:p>
    <w:p w:rsidR="008B14EE" w:rsidRPr="004A1077" w:rsidRDefault="008B14EE" w:rsidP="005465DD">
      <w:pPr>
        <w:spacing w:after="0" w:line="360" w:lineRule="auto"/>
        <w:jc w:val="both"/>
        <w:rPr>
          <w:lang w:val="en-US"/>
        </w:rPr>
      </w:pPr>
      <w:r w:rsidRPr="004A1077">
        <w:rPr>
          <w:lang w:val="en-US"/>
        </w:rPr>
        <w:t xml:space="preserve">WOLFRUM, </w:t>
      </w:r>
      <w:r w:rsidRPr="004A1077">
        <w:rPr>
          <w:i/>
          <w:lang w:val="en-US"/>
        </w:rPr>
        <w:t>State responsibility for Private Actors: an old problem of renewed relevance</w:t>
      </w:r>
      <w:r w:rsidRPr="004A1077">
        <w:rPr>
          <w:lang w:val="en-US"/>
        </w:rPr>
        <w:t xml:space="preserve">, in RAGAZZI (ed.), </w:t>
      </w:r>
      <w:r w:rsidRPr="004A1077">
        <w:rPr>
          <w:i/>
          <w:lang w:val="en-US"/>
        </w:rPr>
        <w:t>International Responsibility Today. Essays in Memory of Oscar Schachter,</w:t>
      </w:r>
      <w:r w:rsidRPr="004A1077">
        <w:rPr>
          <w:lang w:val="en-US"/>
        </w:rPr>
        <w:t xml:space="preserve"> The Hague, 2005, p. 432 ss. </w:t>
      </w:r>
    </w:p>
    <w:p w:rsidR="008B14EE" w:rsidRDefault="008B14EE" w:rsidP="005465DD">
      <w:pPr>
        <w:spacing w:after="0" w:line="360" w:lineRule="auto"/>
        <w:jc w:val="both"/>
        <w:rPr>
          <w:rFonts w:cstheme="minorHAnsi"/>
          <w:lang w:val="en-US"/>
        </w:rPr>
      </w:pPr>
    </w:p>
    <w:p w:rsidR="008B14EE" w:rsidRDefault="008B14EE" w:rsidP="005465DD">
      <w:pPr>
        <w:spacing w:after="0" w:line="360" w:lineRule="auto"/>
        <w:jc w:val="both"/>
        <w:rPr>
          <w:lang w:val="fr-FR"/>
        </w:rPr>
      </w:pPr>
      <w:r w:rsidRPr="00725A42">
        <w:rPr>
          <w:lang w:val="fr-FR"/>
        </w:rPr>
        <w:t xml:space="preserve">ZEMANEK, </w:t>
      </w:r>
      <w:r w:rsidRPr="00725A42">
        <w:rPr>
          <w:i/>
          <w:lang w:val="fr-FR"/>
        </w:rPr>
        <w:t>La responsabilité des Etats pour faits international</w:t>
      </w:r>
      <w:r>
        <w:rPr>
          <w:i/>
          <w:lang w:val="fr-FR"/>
        </w:rPr>
        <w:t>e</w:t>
      </w:r>
      <w:r w:rsidRPr="00725A42">
        <w:rPr>
          <w:i/>
          <w:lang w:val="fr-FR"/>
        </w:rPr>
        <w:t>ment illicites, ainsi que pour faits international</w:t>
      </w:r>
      <w:r>
        <w:rPr>
          <w:i/>
          <w:lang w:val="fr-FR"/>
        </w:rPr>
        <w:t>e</w:t>
      </w:r>
      <w:r w:rsidRPr="00725A42">
        <w:rPr>
          <w:i/>
          <w:lang w:val="fr-FR"/>
        </w:rPr>
        <w:t>ment licites</w:t>
      </w:r>
      <w:r w:rsidRPr="00725A42">
        <w:rPr>
          <w:lang w:val="fr-FR"/>
        </w:rPr>
        <w:t xml:space="preserve">, Institut des Hautes Etudes Internationales de Paris, Cours et travaux, </w:t>
      </w:r>
      <w:r w:rsidRPr="00725A42">
        <w:rPr>
          <w:i/>
          <w:lang w:val="fr-FR"/>
        </w:rPr>
        <w:t>Responsabilité internationale</w:t>
      </w:r>
      <w:r w:rsidRPr="00725A42">
        <w:rPr>
          <w:lang w:val="fr-FR"/>
        </w:rPr>
        <w:t>, Paris, 1987, p. 60</w:t>
      </w:r>
      <w:r>
        <w:rPr>
          <w:lang w:val="fr-FR"/>
        </w:rPr>
        <w:t xml:space="preserve"> ss.</w:t>
      </w:r>
    </w:p>
    <w:p w:rsidR="008B14EE" w:rsidRDefault="008B14EE" w:rsidP="005465DD">
      <w:pPr>
        <w:spacing w:after="0" w:line="360" w:lineRule="auto"/>
        <w:jc w:val="both"/>
        <w:rPr>
          <w:lang w:val="fr-FR"/>
        </w:rPr>
      </w:pPr>
    </w:p>
    <w:p w:rsidR="005465DD" w:rsidRDefault="005465DD" w:rsidP="005465DD">
      <w:pPr>
        <w:spacing w:after="0" w:line="360" w:lineRule="auto"/>
        <w:jc w:val="both"/>
        <w:rPr>
          <w:lang w:val="fr-FR"/>
        </w:rPr>
      </w:pPr>
    </w:p>
    <w:p w:rsidR="005465DD" w:rsidRDefault="005465DD" w:rsidP="005465DD">
      <w:pPr>
        <w:spacing w:after="0" w:line="360" w:lineRule="auto"/>
        <w:jc w:val="both"/>
        <w:rPr>
          <w:lang w:val="fr-FR"/>
        </w:rPr>
      </w:pPr>
    </w:p>
    <w:p w:rsidR="005465DD" w:rsidRDefault="005465DD" w:rsidP="005465DD">
      <w:pPr>
        <w:spacing w:after="0" w:line="360" w:lineRule="auto"/>
        <w:jc w:val="both"/>
        <w:rPr>
          <w:lang w:val="fr-FR"/>
        </w:rPr>
      </w:pPr>
    </w:p>
    <w:p w:rsidR="005465DD" w:rsidRDefault="005465DD" w:rsidP="005465DD">
      <w:pPr>
        <w:spacing w:after="0" w:line="360" w:lineRule="auto"/>
        <w:jc w:val="both"/>
        <w:rPr>
          <w:lang w:val="fr-FR"/>
        </w:rPr>
      </w:pPr>
    </w:p>
    <w:p w:rsidR="008B14EE" w:rsidRDefault="008B14EE" w:rsidP="005465DD">
      <w:pPr>
        <w:spacing w:after="0" w:line="360" w:lineRule="auto"/>
        <w:jc w:val="both"/>
        <w:rPr>
          <w:lang w:val="fr-FR"/>
        </w:rPr>
      </w:pPr>
    </w:p>
    <w:p w:rsidR="008B14EE" w:rsidRPr="00174640" w:rsidRDefault="008B14EE" w:rsidP="005465DD">
      <w:pPr>
        <w:spacing w:after="0" w:line="360" w:lineRule="auto"/>
        <w:jc w:val="both"/>
        <w:rPr>
          <w:sz w:val="24"/>
          <w:szCs w:val="24"/>
          <w:u w:val="single"/>
          <w:lang w:val="en-US"/>
        </w:rPr>
      </w:pPr>
      <w:r w:rsidRPr="00174640">
        <w:rPr>
          <w:sz w:val="24"/>
          <w:szCs w:val="24"/>
          <w:u w:val="single"/>
          <w:lang w:val="en-US"/>
        </w:rPr>
        <w:t>Articoli</w:t>
      </w:r>
    </w:p>
    <w:p w:rsidR="008B14EE" w:rsidRPr="004334EE" w:rsidRDefault="008B14EE" w:rsidP="005465DD">
      <w:pPr>
        <w:spacing w:after="0" w:line="360" w:lineRule="auto"/>
        <w:jc w:val="both"/>
        <w:rPr>
          <w:sz w:val="24"/>
          <w:szCs w:val="24"/>
          <w:lang w:val="en-US"/>
        </w:rPr>
      </w:pPr>
    </w:p>
    <w:p w:rsidR="008B14EE" w:rsidRPr="004334EE" w:rsidRDefault="008B14EE" w:rsidP="005465DD">
      <w:pPr>
        <w:spacing w:after="0" w:line="360" w:lineRule="auto"/>
        <w:jc w:val="both"/>
        <w:rPr>
          <w:smallCaps/>
          <w:lang w:val="en-US"/>
        </w:rPr>
      </w:pPr>
    </w:p>
    <w:p w:rsidR="008B14EE" w:rsidRDefault="008B14EE" w:rsidP="005465DD">
      <w:pPr>
        <w:spacing w:after="0" w:line="360" w:lineRule="auto"/>
        <w:jc w:val="both"/>
        <w:rPr>
          <w:lang w:val="en-US"/>
        </w:rPr>
      </w:pPr>
      <w:r w:rsidRPr="00B82B8C">
        <w:rPr>
          <w:lang w:val="en-US"/>
        </w:rPr>
        <w:t xml:space="preserve">AMERASINGHE, </w:t>
      </w:r>
      <w:r w:rsidRPr="00B82B8C">
        <w:rPr>
          <w:i/>
          <w:lang w:val="en-US"/>
        </w:rPr>
        <w:t>Imputability in the law of State responsibility for injuries to aliens</w:t>
      </w:r>
      <w:r w:rsidRPr="00B82B8C">
        <w:rPr>
          <w:lang w:val="en-US"/>
        </w:rPr>
        <w:t xml:space="preserve">, </w:t>
      </w:r>
      <w:r w:rsidRPr="00B82B8C">
        <w:rPr>
          <w:i/>
          <w:lang w:val="en-US"/>
        </w:rPr>
        <w:t>Revue égyptienne de droit international</w:t>
      </w:r>
      <w:r w:rsidRPr="00B82B8C">
        <w:rPr>
          <w:lang w:val="en-US"/>
        </w:rPr>
        <w:t xml:space="preserve"> 1966, p. 91 ss.</w:t>
      </w:r>
    </w:p>
    <w:p w:rsidR="008B14EE" w:rsidRDefault="008B14EE" w:rsidP="005465DD">
      <w:pPr>
        <w:spacing w:after="0" w:line="360" w:lineRule="auto"/>
        <w:jc w:val="both"/>
        <w:rPr>
          <w:lang w:val="en-US"/>
        </w:rPr>
      </w:pPr>
    </w:p>
    <w:p w:rsidR="008B14EE" w:rsidRDefault="008B14EE" w:rsidP="005465DD">
      <w:pPr>
        <w:spacing w:after="0" w:line="360" w:lineRule="auto"/>
        <w:jc w:val="both"/>
      </w:pPr>
      <w:r w:rsidRPr="00F72DE5">
        <w:t xml:space="preserve">ANNONI, </w:t>
      </w:r>
      <w:r w:rsidRPr="00F72DE5">
        <w:rPr>
          <w:i/>
        </w:rPr>
        <w:t>La responsabilità internazionale dello Stato per le sparizioni forzate</w:t>
      </w:r>
      <w:r w:rsidRPr="00F72DE5">
        <w:t xml:space="preserve">, </w:t>
      </w:r>
      <w:r w:rsidRPr="00F72DE5">
        <w:rPr>
          <w:i/>
        </w:rPr>
        <w:t>Rivista di diritto internazionale</w:t>
      </w:r>
      <w:r w:rsidRPr="00F72DE5">
        <w:t>, 2005, p. 667 ss.</w:t>
      </w:r>
    </w:p>
    <w:p w:rsidR="008B14EE" w:rsidRDefault="008B14EE" w:rsidP="005465DD">
      <w:pPr>
        <w:spacing w:after="0" w:line="360" w:lineRule="auto"/>
        <w:jc w:val="both"/>
      </w:pPr>
    </w:p>
    <w:p w:rsidR="008B14EE" w:rsidRDefault="008B14EE" w:rsidP="005465DD">
      <w:pPr>
        <w:spacing w:after="0" w:line="360" w:lineRule="auto"/>
        <w:jc w:val="both"/>
        <w:rPr>
          <w:lang w:val="fr-FR"/>
        </w:rPr>
      </w:pPr>
      <w:r w:rsidRPr="00F72DE5">
        <w:rPr>
          <w:lang w:val="fr-FR"/>
        </w:rPr>
        <w:t xml:space="preserve">ANZILOTTI, </w:t>
      </w:r>
      <w:r w:rsidRPr="00F72DE5">
        <w:rPr>
          <w:i/>
          <w:lang w:val="fr-FR"/>
        </w:rPr>
        <w:t>La responsabilité internationale des Etats à raison des dommages soufferts par des étrangers</w:t>
      </w:r>
      <w:r w:rsidRPr="00F72DE5">
        <w:rPr>
          <w:lang w:val="fr-FR"/>
        </w:rPr>
        <w:t xml:space="preserve">, </w:t>
      </w:r>
      <w:r w:rsidRPr="00F72DE5">
        <w:rPr>
          <w:i/>
          <w:lang w:val="fr-FR"/>
        </w:rPr>
        <w:t>Revue générale de droit international public</w:t>
      </w:r>
      <w:r w:rsidRPr="00F72DE5">
        <w:rPr>
          <w:lang w:val="fr-FR"/>
        </w:rPr>
        <w:t>, 1906, p. 5 ss.</w:t>
      </w:r>
    </w:p>
    <w:p w:rsidR="008B14EE" w:rsidRDefault="008B14EE" w:rsidP="005465DD">
      <w:pPr>
        <w:spacing w:after="0" w:line="360" w:lineRule="auto"/>
        <w:jc w:val="both"/>
        <w:rPr>
          <w:lang w:val="fr-FR"/>
        </w:rPr>
      </w:pPr>
    </w:p>
    <w:p w:rsidR="008B14EE" w:rsidRPr="00253730" w:rsidRDefault="008B14EE" w:rsidP="005465DD">
      <w:pPr>
        <w:pStyle w:val="Testonotaapidipagina"/>
        <w:spacing w:line="360" w:lineRule="auto"/>
        <w:jc w:val="both"/>
        <w:rPr>
          <w:sz w:val="22"/>
          <w:szCs w:val="22"/>
        </w:rPr>
      </w:pPr>
      <w:r w:rsidRPr="00253730">
        <w:rPr>
          <w:sz w:val="22"/>
          <w:szCs w:val="22"/>
        </w:rPr>
        <w:t xml:space="preserve">ARANGIO RUIZ, </w:t>
      </w:r>
      <w:r w:rsidRPr="00253730">
        <w:rPr>
          <w:i/>
          <w:sz w:val="22"/>
          <w:szCs w:val="22"/>
        </w:rPr>
        <w:t>Dualism Revisited. International Law and Interindividual Law</w:t>
      </w:r>
      <w:r w:rsidRPr="00253730">
        <w:rPr>
          <w:sz w:val="22"/>
          <w:szCs w:val="22"/>
        </w:rPr>
        <w:t xml:space="preserve">, </w:t>
      </w:r>
      <w:r w:rsidRPr="00253730">
        <w:rPr>
          <w:i/>
          <w:sz w:val="22"/>
          <w:szCs w:val="22"/>
        </w:rPr>
        <w:t>Rivista di diritto internazionale,</w:t>
      </w:r>
      <w:r w:rsidRPr="00253730">
        <w:rPr>
          <w:sz w:val="22"/>
          <w:szCs w:val="22"/>
        </w:rPr>
        <w:t xml:space="preserve"> 2003, p. 910 ss.</w:t>
      </w:r>
    </w:p>
    <w:p w:rsidR="008B14EE" w:rsidRPr="00253730" w:rsidRDefault="008B14EE" w:rsidP="005465DD">
      <w:pPr>
        <w:pStyle w:val="Testonotaapidipagina"/>
        <w:spacing w:line="360" w:lineRule="auto"/>
        <w:jc w:val="both"/>
        <w:rPr>
          <w:sz w:val="22"/>
          <w:szCs w:val="22"/>
        </w:rPr>
      </w:pPr>
    </w:p>
    <w:p w:rsidR="008B14EE" w:rsidRDefault="008B14EE" w:rsidP="005465DD">
      <w:pPr>
        <w:pStyle w:val="Testonotaapidipagina"/>
        <w:spacing w:line="360" w:lineRule="auto"/>
        <w:jc w:val="both"/>
        <w:rPr>
          <w:sz w:val="22"/>
          <w:szCs w:val="22"/>
          <w:lang w:val="en-US"/>
        </w:rPr>
      </w:pPr>
      <w:r w:rsidRPr="00F72DE5">
        <w:rPr>
          <w:sz w:val="22"/>
          <w:szCs w:val="22"/>
          <w:lang w:val="en-US"/>
        </w:rPr>
        <w:t xml:space="preserve">BORCHARD, </w:t>
      </w:r>
      <w:r w:rsidRPr="00F72DE5">
        <w:rPr>
          <w:i/>
          <w:sz w:val="22"/>
          <w:szCs w:val="22"/>
          <w:lang w:val="en-US"/>
        </w:rPr>
        <w:t>Responsibility of States for Damage Done in their Territories to Person or Property of Foreigners, American Journal of International Law</w:t>
      </w:r>
      <w:r w:rsidRPr="00F72DE5">
        <w:rPr>
          <w:sz w:val="22"/>
          <w:szCs w:val="22"/>
          <w:lang w:val="en-US"/>
        </w:rPr>
        <w:t xml:space="preserve"> 1926, p. 738 ss.</w:t>
      </w:r>
    </w:p>
    <w:p w:rsidR="008B14EE" w:rsidRDefault="008B14EE" w:rsidP="005465DD">
      <w:pPr>
        <w:pStyle w:val="Testonotaapidipagina"/>
        <w:spacing w:line="360" w:lineRule="auto"/>
        <w:jc w:val="both"/>
        <w:rPr>
          <w:sz w:val="22"/>
          <w:szCs w:val="22"/>
          <w:lang w:val="en-US"/>
        </w:rPr>
      </w:pPr>
    </w:p>
    <w:p w:rsidR="008B14EE" w:rsidRPr="00F72DE5" w:rsidRDefault="008B14EE" w:rsidP="005465DD">
      <w:pPr>
        <w:spacing w:after="0" w:line="360" w:lineRule="auto"/>
        <w:jc w:val="both"/>
        <w:rPr>
          <w:lang w:val="fr-FR"/>
        </w:rPr>
      </w:pPr>
      <w:r w:rsidRPr="00F72DE5">
        <w:rPr>
          <w:lang w:val="fr-FR"/>
        </w:rPr>
        <w:t xml:space="preserve">COHEN-JONATHAN, </w:t>
      </w:r>
      <w:r w:rsidRPr="00F72DE5">
        <w:rPr>
          <w:i/>
          <w:lang w:val="fr-FR"/>
        </w:rPr>
        <w:t>Cour interaméricaine des droits de l’homme – l’arr</w:t>
      </w:r>
      <w:r w:rsidRPr="00F72DE5">
        <w:rPr>
          <w:rFonts w:cstheme="minorHAnsi"/>
          <w:i/>
          <w:lang w:val="fr-FR"/>
        </w:rPr>
        <w:t>ê</w:t>
      </w:r>
      <w:r w:rsidRPr="00F72DE5">
        <w:rPr>
          <w:i/>
          <w:lang w:val="fr-FR"/>
        </w:rPr>
        <w:t>t Velásquez</w:t>
      </w:r>
      <w:r w:rsidRPr="00F72DE5">
        <w:rPr>
          <w:lang w:val="fr-FR"/>
        </w:rPr>
        <w:t xml:space="preserve">, </w:t>
      </w:r>
      <w:r w:rsidRPr="00F72DE5">
        <w:rPr>
          <w:i/>
          <w:lang w:val="fr-FR"/>
        </w:rPr>
        <w:t>Revue générale de droit public</w:t>
      </w:r>
      <w:r w:rsidRPr="00F72DE5">
        <w:rPr>
          <w:lang w:val="fr-FR"/>
        </w:rPr>
        <w:t>, 1990, p. 455 ss.</w:t>
      </w:r>
    </w:p>
    <w:p w:rsidR="008B14EE" w:rsidRPr="00F72DE5" w:rsidRDefault="008B14EE" w:rsidP="005465DD">
      <w:pPr>
        <w:spacing w:after="0" w:line="360" w:lineRule="auto"/>
        <w:jc w:val="both"/>
        <w:rPr>
          <w:lang w:val="fr-FR"/>
        </w:rPr>
      </w:pPr>
    </w:p>
    <w:p w:rsidR="008B14EE" w:rsidRPr="00F72DE5" w:rsidRDefault="008B14EE" w:rsidP="005465DD">
      <w:pPr>
        <w:spacing w:after="0" w:line="360" w:lineRule="auto"/>
        <w:jc w:val="both"/>
        <w:rPr>
          <w:lang w:val="fr-FR"/>
        </w:rPr>
      </w:pPr>
      <w:r w:rsidRPr="00F72DE5">
        <w:rPr>
          <w:lang w:val="fr-FR"/>
        </w:rPr>
        <w:t xml:space="preserve">COUSSIRAT-COUSTERE, EISEMANN, </w:t>
      </w:r>
      <w:r w:rsidRPr="00F72DE5">
        <w:rPr>
          <w:i/>
          <w:lang w:val="fr-FR"/>
        </w:rPr>
        <w:t>L’enlèvement de personnes privées et le droit international</w:t>
      </w:r>
      <w:r w:rsidRPr="00F72DE5">
        <w:rPr>
          <w:lang w:val="fr-FR"/>
        </w:rPr>
        <w:t xml:space="preserve">, </w:t>
      </w:r>
      <w:r w:rsidRPr="00F72DE5">
        <w:rPr>
          <w:i/>
          <w:lang w:val="fr-FR"/>
        </w:rPr>
        <w:t>Revue générale de droit international public</w:t>
      </w:r>
      <w:r w:rsidRPr="00F72DE5">
        <w:rPr>
          <w:lang w:val="fr-FR"/>
        </w:rPr>
        <w:t>, 1972, p. 336 ss.</w:t>
      </w:r>
    </w:p>
    <w:p w:rsidR="008B14EE" w:rsidRPr="00F72DE5" w:rsidRDefault="008B14EE" w:rsidP="005465DD">
      <w:pPr>
        <w:spacing w:after="0" w:line="360" w:lineRule="auto"/>
        <w:jc w:val="both"/>
        <w:rPr>
          <w:lang w:val="fr-FR"/>
        </w:rPr>
      </w:pPr>
    </w:p>
    <w:p w:rsidR="008B14EE" w:rsidRPr="004A1077" w:rsidRDefault="008B14EE" w:rsidP="005465DD">
      <w:pPr>
        <w:spacing w:after="0" w:line="360" w:lineRule="auto"/>
        <w:jc w:val="both"/>
        <w:rPr>
          <w:lang w:val="en-US"/>
        </w:rPr>
      </w:pPr>
      <w:r w:rsidRPr="00F72DE5">
        <w:rPr>
          <w:lang w:val="en-US"/>
        </w:rPr>
        <w:t xml:space="preserve">DE HOOGH, </w:t>
      </w:r>
      <w:r w:rsidRPr="00F72DE5">
        <w:rPr>
          <w:i/>
          <w:lang w:val="en-US"/>
        </w:rPr>
        <w:t>Article 4 and 8 of the ILC Articles on State Responsibility, the Tadic case and Attribution of acts of Bosnian Serb Authorities to the Federal Republic of Jugoslavia, British Year Book of International Law</w:t>
      </w:r>
      <w:r w:rsidRPr="00F72DE5">
        <w:rPr>
          <w:lang w:val="en-US"/>
        </w:rPr>
        <w:t>, 2001, p. 255 ss.</w:t>
      </w:r>
    </w:p>
    <w:p w:rsidR="008B14EE" w:rsidRDefault="008B14EE" w:rsidP="005465DD">
      <w:pPr>
        <w:spacing w:after="0" w:line="360" w:lineRule="auto"/>
        <w:jc w:val="both"/>
        <w:rPr>
          <w:lang w:val="en-US"/>
        </w:rPr>
      </w:pPr>
    </w:p>
    <w:p w:rsidR="008B14EE" w:rsidRPr="000467B2" w:rsidRDefault="008B14EE" w:rsidP="005465DD">
      <w:pPr>
        <w:spacing w:after="0" w:line="360" w:lineRule="auto"/>
        <w:jc w:val="both"/>
        <w:rPr>
          <w:lang w:val="en-US"/>
        </w:rPr>
      </w:pPr>
      <w:r w:rsidRPr="00F72DE5">
        <w:rPr>
          <w:lang w:val="en-US"/>
        </w:rPr>
        <w:t xml:space="preserve">GOLDIE, </w:t>
      </w:r>
      <w:r w:rsidRPr="00F72DE5">
        <w:rPr>
          <w:i/>
          <w:lang w:val="en-US"/>
        </w:rPr>
        <w:t>Special Regimes and Pre-emptive Activities in International Law</w:t>
      </w:r>
      <w:r w:rsidRPr="00F72DE5">
        <w:rPr>
          <w:lang w:val="en-US"/>
        </w:rPr>
        <w:t xml:space="preserve">, </w:t>
      </w:r>
      <w:r w:rsidRPr="00F72DE5">
        <w:rPr>
          <w:i/>
          <w:lang w:val="en-US"/>
        </w:rPr>
        <w:t>The International and Comparative Law Quarterly</w:t>
      </w:r>
      <w:r w:rsidRPr="00F72DE5">
        <w:rPr>
          <w:lang w:val="en-US"/>
        </w:rPr>
        <w:t>, 1962, p. 670 ss.</w:t>
      </w:r>
    </w:p>
    <w:p w:rsidR="008B14EE" w:rsidRPr="000467B2" w:rsidRDefault="008B14EE" w:rsidP="005465DD">
      <w:pPr>
        <w:spacing w:after="0" w:line="360" w:lineRule="auto"/>
        <w:jc w:val="both"/>
        <w:rPr>
          <w:lang w:val="en-US"/>
        </w:rPr>
      </w:pPr>
    </w:p>
    <w:p w:rsidR="008B14EE" w:rsidRPr="005F54EE" w:rsidRDefault="008B14EE" w:rsidP="005465DD">
      <w:pPr>
        <w:pStyle w:val="Paragrafoelenco"/>
        <w:numPr>
          <w:ilvl w:val="0"/>
          <w:numId w:val="29"/>
        </w:numPr>
        <w:spacing w:after="0" w:line="360" w:lineRule="auto"/>
        <w:jc w:val="both"/>
        <w:rPr>
          <w:lang w:val="en-US"/>
        </w:rPr>
      </w:pPr>
      <w:r w:rsidRPr="005F54EE">
        <w:rPr>
          <w:i/>
          <w:lang w:val="en-US"/>
        </w:rPr>
        <w:t>Liability for Damage and the Progressive Development of International Law</w:t>
      </w:r>
      <w:r w:rsidRPr="005F54EE">
        <w:rPr>
          <w:lang w:val="en-US"/>
        </w:rPr>
        <w:t>,</w:t>
      </w:r>
      <w:r w:rsidRPr="005F54EE">
        <w:rPr>
          <w:i/>
          <w:lang w:val="en-US"/>
        </w:rPr>
        <w:t xml:space="preserve"> The International and Comparative Law Quarterly</w:t>
      </w:r>
      <w:r w:rsidRPr="005F54EE">
        <w:rPr>
          <w:lang w:val="en-US"/>
        </w:rPr>
        <w:t>,  1965, p. 1189 ss.</w:t>
      </w:r>
    </w:p>
    <w:p w:rsidR="008B14EE" w:rsidRPr="00F72DE5" w:rsidRDefault="008B14EE" w:rsidP="005465DD">
      <w:pPr>
        <w:spacing w:after="0" w:line="360" w:lineRule="auto"/>
        <w:jc w:val="both"/>
        <w:rPr>
          <w:lang w:val="en-US"/>
        </w:rPr>
      </w:pPr>
    </w:p>
    <w:p w:rsidR="008B14EE" w:rsidRPr="005F54EE" w:rsidRDefault="008B14EE" w:rsidP="005465DD">
      <w:pPr>
        <w:pStyle w:val="Paragrafoelenco"/>
        <w:numPr>
          <w:ilvl w:val="0"/>
          <w:numId w:val="29"/>
        </w:numPr>
        <w:spacing w:after="0" w:line="360" w:lineRule="auto"/>
        <w:jc w:val="both"/>
        <w:rPr>
          <w:lang w:val="en-US"/>
        </w:rPr>
      </w:pPr>
      <w:r w:rsidRPr="005F54EE">
        <w:rPr>
          <w:i/>
          <w:lang w:val="en-US"/>
        </w:rPr>
        <w:t>Concepts of Strict and Absolute Liability and the Ranking of Liability in terms of Relative Exposure to Risk</w:t>
      </w:r>
      <w:r w:rsidRPr="005F54EE">
        <w:rPr>
          <w:lang w:val="en-US"/>
        </w:rPr>
        <w:t xml:space="preserve">, </w:t>
      </w:r>
      <w:r w:rsidRPr="005F54EE">
        <w:rPr>
          <w:i/>
          <w:lang w:val="en-US"/>
        </w:rPr>
        <w:t>Netherlands International Law Review</w:t>
      </w:r>
      <w:r w:rsidRPr="005F54EE">
        <w:rPr>
          <w:lang w:val="en-US"/>
        </w:rPr>
        <w:t>, vol. 16, 1985, p. 175 ss.</w:t>
      </w:r>
    </w:p>
    <w:p w:rsidR="008B14EE" w:rsidRDefault="008B14EE" w:rsidP="005465DD">
      <w:pPr>
        <w:spacing w:after="0" w:line="360" w:lineRule="auto"/>
        <w:jc w:val="both"/>
        <w:rPr>
          <w:lang w:val="en-US"/>
        </w:rPr>
      </w:pPr>
    </w:p>
    <w:p w:rsidR="008B14EE" w:rsidRDefault="008B14EE" w:rsidP="005465DD">
      <w:pPr>
        <w:spacing w:after="0" w:line="360" w:lineRule="auto"/>
        <w:jc w:val="both"/>
        <w:rPr>
          <w:lang w:val="fr-FR"/>
        </w:rPr>
      </w:pPr>
      <w:r w:rsidRPr="00D17292">
        <w:rPr>
          <w:lang w:val="fr-FR"/>
        </w:rPr>
        <w:t xml:space="preserve">KRESS, </w:t>
      </w:r>
      <w:r w:rsidRPr="00D17292">
        <w:rPr>
          <w:i/>
          <w:lang w:val="fr-FR"/>
        </w:rPr>
        <w:t>L’organe de facto en droit international public. Réflexions sur l’imputation à l’</w:t>
      </w:r>
      <w:r w:rsidRPr="00D17292">
        <w:rPr>
          <w:rFonts w:cstheme="minorHAnsi"/>
          <w:i/>
          <w:lang w:val="fr-FR"/>
        </w:rPr>
        <w:t>É</w:t>
      </w:r>
      <w:r w:rsidRPr="00D17292">
        <w:rPr>
          <w:i/>
          <w:lang w:val="fr-FR"/>
        </w:rPr>
        <w:t>tat de l’acte d’un particulier à la lumière des développement récents</w:t>
      </w:r>
      <w:r w:rsidRPr="00D17292">
        <w:rPr>
          <w:lang w:val="fr-FR"/>
        </w:rPr>
        <w:t xml:space="preserve">, </w:t>
      </w:r>
      <w:r w:rsidRPr="00D17292">
        <w:rPr>
          <w:i/>
          <w:lang w:val="fr-FR"/>
        </w:rPr>
        <w:t>Revue générale de droit international public</w:t>
      </w:r>
      <w:r w:rsidRPr="00D17292">
        <w:rPr>
          <w:lang w:val="fr-FR"/>
        </w:rPr>
        <w:t>, 2001, p. 93 ss.</w:t>
      </w:r>
      <w:r>
        <w:rPr>
          <w:lang w:val="fr-FR"/>
        </w:rPr>
        <w:t xml:space="preserve"> </w:t>
      </w:r>
    </w:p>
    <w:p w:rsidR="008B14EE" w:rsidRDefault="008B14EE" w:rsidP="005465DD">
      <w:pPr>
        <w:spacing w:after="0" w:line="360" w:lineRule="auto"/>
        <w:jc w:val="both"/>
        <w:rPr>
          <w:lang w:val="fr-FR"/>
        </w:rPr>
      </w:pPr>
    </w:p>
    <w:p w:rsidR="008B14EE" w:rsidRDefault="008B14EE" w:rsidP="005465DD">
      <w:pPr>
        <w:spacing w:after="0" w:line="360" w:lineRule="auto"/>
        <w:jc w:val="both"/>
      </w:pPr>
      <w:r w:rsidRPr="00D17292">
        <w:t xml:space="preserve">LATTANZI, </w:t>
      </w:r>
      <w:r w:rsidRPr="00D17292">
        <w:rPr>
          <w:i/>
        </w:rPr>
        <w:t>Convenzione di Washington sulle controversie relative ad investimenti e invalidità delle sentenze arbitrali</w:t>
      </w:r>
      <w:r w:rsidRPr="00D17292">
        <w:t xml:space="preserve">, </w:t>
      </w:r>
      <w:r w:rsidRPr="00D17292">
        <w:rPr>
          <w:i/>
        </w:rPr>
        <w:t>Rivista di diritto internazionale</w:t>
      </w:r>
      <w:r w:rsidRPr="00D17292">
        <w:t>, vol. 70, 1987, p. 521 ss.</w:t>
      </w:r>
    </w:p>
    <w:p w:rsidR="008B14EE" w:rsidRDefault="008B14EE" w:rsidP="005465DD">
      <w:pPr>
        <w:spacing w:after="0" w:line="360" w:lineRule="auto"/>
        <w:jc w:val="both"/>
      </w:pPr>
    </w:p>
    <w:p w:rsidR="008B14EE" w:rsidRDefault="008B14EE" w:rsidP="005465DD">
      <w:pPr>
        <w:spacing w:after="0" w:line="360" w:lineRule="auto"/>
        <w:jc w:val="both"/>
        <w:rPr>
          <w:lang w:val="fr-FR"/>
        </w:rPr>
      </w:pPr>
      <w:r w:rsidRPr="00D17292">
        <w:rPr>
          <w:lang w:val="fr-FR"/>
        </w:rPr>
        <w:t xml:space="preserve">LENOBLE, </w:t>
      </w:r>
      <w:r w:rsidRPr="00D17292">
        <w:rPr>
          <w:i/>
          <w:lang w:val="fr-FR"/>
        </w:rPr>
        <w:t>Responsabilité internationale et contr</w:t>
      </w:r>
      <w:r w:rsidRPr="00D17292">
        <w:rPr>
          <w:rFonts w:cstheme="minorHAnsi"/>
          <w:i/>
          <w:lang w:val="fr-FR"/>
        </w:rPr>
        <w:t>ô</w:t>
      </w:r>
      <w:r w:rsidRPr="00D17292">
        <w:rPr>
          <w:i/>
          <w:lang w:val="fr-FR"/>
        </w:rPr>
        <w:t>le territorial</w:t>
      </w:r>
      <w:r w:rsidRPr="00D17292">
        <w:rPr>
          <w:lang w:val="fr-FR"/>
        </w:rPr>
        <w:t xml:space="preserve">, </w:t>
      </w:r>
      <w:r w:rsidRPr="00D17292">
        <w:rPr>
          <w:i/>
          <w:lang w:val="fr-FR"/>
        </w:rPr>
        <w:t>Revue belge de droit international</w:t>
      </w:r>
      <w:r w:rsidRPr="00D17292">
        <w:rPr>
          <w:lang w:val="fr-FR"/>
        </w:rPr>
        <w:t>, 1981-82, p. 95 ss.</w:t>
      </w:r>
    </w:p>
    <w:p w:rsidR="008B14EE" w:rsidRDefault="008B14EE" w:rsidP="005465DD">
      <w:pPr>
        <w:spacing w:after="0" w:line="360" w:lineRule="auto"/>
        <w:jc w:val="both"/>
        <w:rPr>
          <w:lang w:val="fr-FR"/>
        </w:rPr>
      </w:pPr>
    </w:p>
    <w:p w:rsidR="008B14EE" w:rsidRDefault="008B14EE" w:rsidP="005465DD">
      <w:pPr>
        <w:spacing w:after="0" w:line="360" w:lineRule="auto"/>
        <w:jc w:val="both"/>
        <w:rPr>
          <w:lang w:val="en-US"/>
        </w:rPr>
      </w:pPr>
      <w:r w:rsidRPr="00D17292">
        <w:rPr>
          <w:lang w:val="en-US"/>
        </w:rPr>
        <w:t xml:space="preserve">LIJNZAAD, </w:t>
      </w:r>
      <w:r w:rsidRPr="00D17292">
        <w:rPr>
          <w:i/>
          <w:lang w:val="en-US"/>
        </w:rPr>
        <w:t>Trouble in Tiraspol. Some Reflections on the Ilascu Case and the Territorial Scope of the European Convention on Human Rights</w:t>
      </w:r>
      <w:r w:rsidRPr="00D17292">
        <w:rPr>
          <w:lang w:val="en-US"/>
        </w:rPr>
        <w:t xml:space="preserve">, </w:t>
      </w:r>
      <w:r w:rsidRPr="00D17292">
        <w:rPr>
          <w:i/>
          <w:lang w:val="en-US"/>
        </w:rPr>
        <w:t>Hague Yearbook of International Law</w:t>
      </w:r>
      <w:r w:rsidRPr="00D17292">
        <w:rPr>
          <w:lang w:val="en-US"/>
        </w:rPr>
        <w:t>, 2002, p. 17 ss.</w:t>
      </w:r>
    </w:p>
    <w:p w:rsidR="008B14EE" w:rsidRDefault="008B14EE" w:rsidP="005465DD">
      <w:pPr>
        <w:spacing w:after="0" w:line="360" w:lineRule="auto"/>
        <w:jc w:val="both"/>
        <w:rPr>
          <w:lang w:val="en-US"/>
        </w:rPr>
      </w:pPr>
    </w:p>
    <w:p w:rsidR="008B14EE" w:rsidRDefault="008B14EE" w:rsidP="005465DD">
      <w:pPr>
        <w:spacing w:after="0" w:line="360" w:lineRule="auto"/>
        <w:jc w:val="both"/>
        <w:rPr>
          <w:lang w:val="en-US"/>
        </w:rPr>
      </w:pPr>
      <w:r w:rsidRPr="00D17292">
        <w:rPr>
          <w:lang w:val="en-US"/>
        </w:rPr>
        <w:t xml:space="preserve">MERON, </w:t>
      </w:r>
      <w:r w:rsidRPr="00D17292">
        <w:rPr>
          <w:i/>
          <w:lang w:val="en-US"/>
        </w:rPr>
        <w:t>International responsibility of States for unauthorized acts of their officials</w:t>
      </w:r>
      <w:r w:rsidRPr="00D17292">
        <w:rPr>
          <w:lang w:val="en-US"/>
        </w:rPr>
        <w:t xml:space="preserve">, </w:t>
      </w:r>
      <w:r w:rsidRPr="00D17292">
        <w:rPr>
          <w:i/>
          <w:lang w:val="en-US"/>
        </w:rPr>
        <w:t>The British Yearbook of International Law</w:t>
      </w:r>
      <w:r w:rsidRPr="00D17292">
        <w:rPr>
          <w:lang w:val="en-US"/>
        </w:rPr>
        <w:t>, London, 1957, p. 85 ss.</w:t>
      </w:r>
    </w:p>
    <w:p w:rsidR="008B14EE" w:rsidRDefault="008B14EE" w:rsidP="005465DD">
      <w:pPr>
        <w:spacing w:after="0" w:line="360" w:lineRule="auto"/>
        <w:jc w:val="both"/>
        <w:rPr>
          <w:lang w:val="en-US"/>
        </w:rPr>
      </w:pPr>
    </w:p>
    <w:p w:rsidR="008B14EE" w:rsidRPr="005F54EE" w:rsidRDefault="008B14EE" w:rsidP="005465DD">
      <w:pPr>
        <w:pStyle w:val="Paragrafoelenco"/>
        <w:numPr>
          <w:ilvl w:val="0"/>
          <w:numId w:val="29"/>
        </w:numPr>
        <w:spacing w:after="0" w:line="360" w:lineRule="auto"/>
        <w:jc w:val="both"/>
        <w:rPr>
          <w:lang w:val="en-US"/>
        </w:rPr>
      </w:pPr>
      <w:r w:rsidRPr="005F54EE">
        <w:rPr>
          <w:i/>
          <w:lang w:val="en-US"/>
        </w:rPr>
        <w:t>Classification of Armed Conflict in the Former Yugoslavia: Nicaragua’s Fallout</w:t>
      </w:r>
      <w:r w:rsidRPr="005F54EE">
        <w:rPr>
          <w:lang w:val="en-US"/>
        </w:rPr>
        <w:t xml:space="preserve">, </w:t>
      </w:r>
      <w:r w:rsidRPr="005F54EE">
        <w:rPr>
          <w:i/>
          <w:lang w:val="en-US"/>
        </w:rPr>
        <w:t>American Journal of International Law</w:t>
      </w:r>
      <w:r w:rsidRPr="005F54EE">
        <w:rPr>
          <w:lang w:val="en-US"/>
        </w:rPr>
        <w:t xml:space="preserve">, 1998, p. 236 ss. </w:t>
      </w:r>
    </w:p>
    <w:p w:rsidR="008B14EE" w:rsidRPr="00D17292" w:rsidRDefault="008B14EE" w:rsidP="005465DD">
      <w:pPr>
        <w:spacing w:after="0" w:line="360" w:lineRule="auto"/>
        <w:jc w:val="both"/>
        <w:rPr>
          <w:lang w:val="en-US"/>
        </w:rPr>
      </w:pPr>
    </w:p>
    <w:p w:rsidR="008B14EE" w:rsidRPr="00D17292" w:rsidRDefault="008B14EE" w:rsidP="005465DD">
      <w:pPr>
        <w:spacing w:after="0" w:line="360" w:lineRule="auto"/>
        <w:jc w:val="both"/>
        <w:rPr>
          <w:lang w:val="en-US"/>
        </w:rPr>
      </w:pPr>
      <w:r w:rsidRPr="00D17292">
        <w:rPr>
          <w:lang w:val="en-US"/>
        </w:rPr>
        <w:t xml:space="preserve">MILANOVIC, </w:t>
      </w:r>
      <w:r w:rsidRPr="00D17292">
        <w:rPr>
          <w:i/>
          <w:lang w:val="en-US"/>
        </w:rPr>
        <w:t>State Responsibility for Genocide</w:t>
      </w:r>
      <w:r w:rsidRPr="00D17292">
        <w:rPr>
          <w:lang w:val="en-US"/>
        </w:rPr>
        <w:t xml:space="preserve">, </w:t>
      </w:r>
      <w:r w:rsidRPr="00D17292">
        <w:rPr>
          <w:i/>
          <w:lang w:val="en-US"/>
        </w:rPr>
        <w:t>European Journal of International Law</w:t>
      </w:r>
      <w:r w:rsidRPr="00D17292">
        <w:rPr>
          <w:lang w:val="en-US"/>
        </w:rPr>
        <w:t>, 2006, p. 553 ss.</w:t>
      </w:r>
    </w:p>
    <w:p w:rsidR="008B14EE" w:rsidRPr="00D17292" w:rsidRDefault="008B14EE" w:rsidP="005465DD">
      <w:pPr>
        <w:spacing w:after="0" w:line="360" w:lineRule="auto"/>
        <w:jc w:val="both"/>
        <w:rPr>
          <w:lang w:val="en-US"/>
        </w:rPr>
      </w:pPr>
    </w:p>
    <w:p w:rsidR="008B14EE" w:rsidRPr="00D17292" w:rsidRDefault="008B14EE" w:rsidP="005465DD">
      <w:pPr>
        <w:spacing w:after="0" w:line="360" w:lineRule="auto"/>
        <w:jc w:val="both"/>
      </w:pPr>
      <w:r w:rsidRPr="00D17292">
        <w:t xml:space="preserve">MONACO, </w:t>
      </w:r>
      <w:r w:rsidRPr="00D17292">
        <w:rPr>
          <w:i/>
        </w:rPr>
        <w:t>La responsabilità internazionale dello Stato per fatti degli individui, Rivista di diritto internazionale</w:t>
      </w:r>
      <w:r w:rsidRPr="00D17292">
        <w:t>, 1939, p. 3 ss.</w:t>
      </w:r>
    </w:p>
    <w:p w:rsidR="008B14EE" w:rsidRPr="00D17292" w:rsidRDefault="008B14EE" w:rsidP="005465DD">
      <w:pPr>
        <w:spacing w:after="0" w:line="360" w:lineRule="auto"/>
        <w:jc w:val="both"/>
      </w:pPr>
    </w:p>
    <w:p w:rsidR="008B14EE" w:rsidRPr="00D52D2A" w:rsidRDefault="008B14EE" w:rsidP="005465DD">
      <w:pPr>
        <w:spacing w:after="0" w:line="360" w:lineRule="auto"/>
        <w:jc w:val="both"/>
      </w:pPr>
      <w:r w:rsidRPr="00D52D2A">
        <w:t xml:space="preserve">NIGRO, </w:t>
      </w:r>
      <w:r w:rsidRPr="00D52D2A">
        <w:rPr>
          <w:i/>
        </w:rPr>
        <w:t>Giurisdizione e obblighi positivi degli Stati Parti della Convenzione europea dei diritti dell’uomo: il caso Ilascu</w:t>
      </w:r>
      <w:r w:rsidRPr="00D52D2A">
        <w:t xml:space="preserve">, </w:t>
      </w:r>
      <w:r w:rsidRPr="00D52D2A">
        <w:rPr>
          <w:i/>
        </w:rPr>
        <w:t>Rivista di diritto internazionale</w:t>
      </w:r>
      <w:r w:rsidRPr="00D52D2A">
        <w:t>, 2005, p. 413 ss.</w:t>
      </w:r>
    </w:p>
    <w:p w:rsidR="008B14EE" w:rsidRPr="00D52D2A" w:rsidRDefault="008B14EE" w:rsidP="005465DD">
      <w:pPr>
        <w:spacing w:after="0" w:line="360" w:lineRule="auto"/>
        <w:jc w:val="both"/>
      </w:pPr>
    </w:p>
    <w:p w:rsidR="008B14EE" w:rsidRPr="00D52D2A" w:rsidRDefault="008B14EE" w:rsidP="005465DD">
      <w:pPr>
        <w:spacing w:after="0" w:line="360" w:lineRule="auto"/>
        <w:jc w:val="both"/>
        <w:rPr>
          <w:lang w:val="en-US"/>
        </w:rPr>
      </w:pPr>
      <w:r w:rsidRPr="00D52D2A">
        <w:rPr>
          <w:lang w:val="en-US"/>
        </w:rPr>
        <w:t>PELLOPNÄÄ e FITZMAURICE,</w:t>
      </w:r>
      <w:r w:rsidRPr="00D52D2A">
        <w:rPr>
          <w:sz w:val="18"/>
          <w:szCs w:val="18"/>
          <w:lang w:val="en-US"/>
        </w:rPr>
        <w:t xml:space="preserve"> </w:t>
      </w:r>
      <w:r w:rsidRPr="00D52D2A">
        <w:rPr>
          <w:i/>
          <w:lang w:val="en-US"/>
        </w:rPr>
        <w:t>Taking of Property in the Practice of the Iran-United States Claims Tribunal</w:t>
      </w:r>
      <w:r w:rsidRPr="00D52D2A">
        <w:rPr>
          <w:sz w:val="18"/>
          <w:szCs w:val="18"/>
          <w:lang w:val="en-US"/>
        </w:rPr>
        <w:t xml:space="preserve">, </w:t>
      </w:r>
      <w:r w:rsidRPr="00D52D2A">
        <w:rPr>
          <w:i/>
          <w:lang w:val="en-US"/>
        </w:rPr>
        <w:t>Netherland Yearbook of International Law</w:t>
      </w:r>
      <w:r w:rsidRPr="00D52D2A">
        <w:rPr>
          <w:lang w:val="en-US"/>
        </w:rPr>
        <w:t>, 1988, p. 53 ss.</w:t>
      </w:r>
    </w:p>
    <w:p w:rsidR="008B14EE" w:rsidRPr="00D52D2A" w:rsidRDefault="008B14EE" w:rsidP="005465DD">
      <w:pPr>
        <w:spacing w:after="0" w:line="360" w:lineRule="auto"/>
        <w:jc w:val="both"/>
        <w:rPr>
          <w:lang w:val="en-US"/>
        </w:rPr>
      </w:pPr>
    </w:p>
    <w:p w:rsidR="008B14EE" w:rsidRPr="00D52D2A" w:rsidRDefault="008B14EE" w:rsidP="005465DD">
      <w:pPr>
        <w:spacing w:after="0" w:line="360" w:lineRule="auto"/>
        <w:jc w:val="both"/>
      </w:pPr>
      <w:r w:rsidRPr="00D52D2A">
        <w:t xml:space="preserve">POLITI, </w:t>
      </w:r>
      <w:r w:rsidRPr="00D52D2A">
        <w:rPr>
          <w:i/>
        </w:rPr>
        <w:t>Miniere d’Uranio nelle Alpi Marittime, inquinamento transfrontaliero e tutela internazionale dell’ambiente</w:t>
      </w:r>
      <w:r w:rsidRPr="00D52D2A">
        <w:t xml:space="preserve">, </w:t>
      </w:r>
      <w:r w:rsidRPr="00D52D2A">
        <w:rPr>
          <w:i/>
        </w:rPr>
        <w:t>Rivista di diritto internazionale privato e processuale</w:t>
      </w:r>
      <w:r w:rsidRPr="00D52D2A">
        <w:t>, 1981, p. 541 ss.</w:t>
      </w:r>
    </w:p>
    <w:p w:rsidR="008B14EE" w:rsidRPr="00D52D2A" w:rsidRDefault="008B14EE" w:rsidP="005465DD">
      <w:pPr>
        <w:spacing w:after="0" w:line="360" w:lineRule="auto"/>
        <w:jc w:val="both"/>
      </w:pPr>
    </w:p>
    <w:p w:rsidR="008B14EE" w:rsidRPr="000C41CE" w:rsidRDefault="008B14EE" w:rsidP="005465DD">
      <w:pPr>
        <w:spacing w:after="0" w:line="360" w:lineRule="auto"/>
        <w:jc w:val="both"/>
        <w:rPr>
          <w:lang w:val="fr-FR"/>
        </w:rPr>
      </w:pPr>
      <w:r w:rsidRPr="00D52D2A">
        <w:rPr>
          <w:lang w:val="fr-FR"/>
        </w:rPr>
        <w:t xml:space="preserve">PRZETACZNIK, </w:t>
      </w:r>
      <w:r w:rsidRPr="00D52D2A">
        <w:rPr>
          <w:i/>
          <w:lang w:val="fr-FR"/>
        </w:rPr>
        <w:t xml:space="preserve">La responsabilité internationale de l’Etat à raison des préjudices de caractère moral et politique causés à un autre </w:t>
      </w:r>
      <w:r w:rsidRPr="000C41CE">
        <w:rPr>
          <w:i/>
          <w:lang w:val="fr-FR"/>
        </w:rPr>
        <w:t>Etat</w:t>
      </w:r>
      <w:r w:rsidRPr="000C41CE">
        <w:rPr>
          <w:lang w:val="fr-FR"/>
        </w:rPr>
        <w:t xml:space="preserve">, </w:t>
      </w:r>
      <w:r w:rsidRPr="000C41CE">
        <w:rPr>
          <w:i/>
          <w:lang w:val="fr-FR"/>
        </w:rPr>
        <w:t xml:space="preserve">Revue générale de droit international public </w:t>
      </w:r>
      <w:r w:rsidRPr="000C41CE">
        <w:rPr>
          <w:lang w:val="fr-FR"/>
        </w:rPr>
        <w:t>1974, p. 919 ss.</w:t>
      </w:r>
    </w:p>
    <w:p w:rsidR="008B14EE" w:rsidRPr="000C41CE" w:rsidRDefault="008B14EE" w:rsidP="005465DD">
      <w:pPr>
        <w:spacing w:after="0" w:line="360" w:lineRule="auto"/>
        <w:jc w:val="both"/>
        <w:rPr>
          <w:lang w:val="fr-FR"/>
        </w:rPr>
      </w:pPr>
    </w:p>
    <w:p w:rsidR="008B14EE" w:rsidRPr="000C41CE" w:rsidRDefault="008B14EE" w:rsidP="005465DD">
      <w:pPr>
        <w:pStyle w:val="Paragrafoelenco"/>
        <w:numPr>
          <w:ilvl w:val="0"/>
          <w:numId w:val="28"/>
        </w:numPr>
        <w:spacing w:after="0" w:line="360" w:lineRule="auto"/>
        <w:jc w:val="both"/>
        <w:rPr>
          <w:lang w:val="en-US"/>
        </w:rPr>
      </w:pPr>
      <w:r w:rsidRPr="000C41CE">
        <w:rPr>
          <w:i/>
          <w:lang w:val="en-US"/>
        </w:rPr>
        <w:t>The International Responsibility of States for the Unauthorized Acts of their Organs</w:t>
      </w:r>
      <w:r w:rsidRPr="000C41CE">
        <w:rPr>
          <w:sz w:val="18"/>
          <w:szCs w:val="18"/>
          <w:lang w:val="en-US"/>
        </w:rPr>
        <w:t xml:space="preserve">, </w:t>
      </w:r>
      <w:r w:rsidRPr="000C41CE">
        <w:rPr>
          <w:i/>
          <w:lang w:val="en-US"/>
        </w:rPr>
        <w:t>Sri Lanka Journal of International Law</w:t>
      </w:r>
      <w:r w:rsidRPr="000C41CE">
        <w:rPr>
          <w:sz w:val="18"/>
          <w:szCs w:val="18"/>
          <w:lang w:val="en-US"/>
        </w:rPr>
        <w:t xml:space="preserve">, </w:t>
      </w:r>
      <w:r w:rsidRPr="000C41CE">
        <w:rPr>
          <w:lang w:val="en-US"/>
        </w:rPr>
        <w:t>1989, vol. 1, p. 151 ss.</w:t>
      </w:r>
    </w:p>
    <w:p w:rsidR="008B14EE" w:rsidRPr="000C41CE" w:rsidRDefault="008B14EE" w:rsidP="005465DD">
      <w:pPr>
        <w:spacing w:after="0" w:line="360" w:lineRule="auto"/>
        <w:jc w:val="both"/>
        <w:rPr>
          <w:lang w:val="en-US"/>
        </w:rPr>
      </w:pPr>
    </w:p>
    <w:p w:rsidR="008B14EE" w:rsidRPr="000C41CE" w:rsidRDefault="008B14EE" w:rsidP="005465DD">
      <w:pPr>
        <w:spacing w:after="0" w:line="360" w:lineRule="auto"/>
        <w:jc w:val="both"/>
        <w:rPr>
          <w:lang w:val="fr-FR"/>
        </w:rPr>
      </w:pPr>
      <w:r w:rsidRPr="000C41CE">
        <w:rPr>
          <w:lang w:val="fr-FR"/>
        </w:rPr>
        <w:t xml:space="preserve">RÉGLADE, </w:t>
      </w:r>
      <w:r w:rsidRPr="000C41CE">
        <w:rPr>
          <w:i/>
          <w:lang w:val="fr-FR"/>
        </w:rPr>
        <w:t>Les perspectives qui ouvrent les doctrines objectivistes du doyen Duguit pour un renouvellement de l’étude du droit international public</w:t>
      </w:r>
      <w:r w:rsidRPr="000C41CE">
        <w:rPr>
          <w:lang w:val="fr-FR"/>
        </w:rPr>
        <w:t xml:space="preserve">, </w:t>
      </w:r>
      <w:r w:rsidRPr="000C41CE">
        <w:rPr>
          <w:i/>
          <w:lang w:val="fr-FR"/>
        </w:rPr>
        <w:t>Revue générale de droit international public</w:t>
      </w:r>
      <w:r w:rsidRPr="000C41CE">
        <w:rPr>
          <w:lang w:val="fr-FR"/>
        </w:rPr>
        <w:t>, 1930, p. 381 ss. </w:t>
      </w:r>
    </w:p>
    <w:p w:rsidR="008B14EE" w:rsidRPr="000C41CE" w:rsidRDefault="008B14EE" w:rsidP="005465DD">
      <w:pPr>
        <w:spacing w:after="0" w:line="360" w:lineRule="auto"/>
        <w:jc w:val="both"/>
        <w:rPr>
          <w:lang w:val="fr-FR"/>
        </w:rPr>
      </w:pPr>
    </w:p>
    <w:p w:rsidR="008B14EE" w:rsidRDefault="008B14EE" w:rsidP="005465DD">
      <w:pPr>
        <w:spacing w:after="0" w:line="360" w:lineRule="auto"/>
        <w:jc w:val="both"/>
        <w:rPr>
          <w:lang w:val="nl-NL"/>
        </w:rPr>
      </w:pPr>
      <w:r w:rsidRPr="000C41CE">
        <w:rPr>
          <w:lang w:val="nl-NL"/>
        </w:rPr>
        <w:t xml:space="preserve">ROTH, </w:t>
      </w:r>
      <w:r w:rsidRPr="000C41CE">
        <w:rPr>
          <w:i/>
          <w:lang w:val="nl-NL"/>
        </w:rPr>
        <w:t>Das v</w:t>
      </w:r>
      <w:r w:rsidRPr="000C41CE">
        <w:rPr>
          <w:rFonts w:cstheme="minorHAnsi"/>
          <w:i/>
          <w:lang w:val="nl-NL"/>
        </w:rPr>
        <w:t>ö</w:t>
      </w:r>
      <w:r w:rsidRPr="000C41CE">
        <w:rPr>
          <w:i/>
          <w:lang w:val="nl-NL"/>
        </w:rPr>
        <w:t>lkerrechtliche Delikt vor und in den Verhandlungen auf der Haager Kodifikationskonferenz 1930</w:t>
      </w:r>
      <w:r w:rsidRPr="000C41CE">
        <w:rPr>
          <w:lang w:val="nl-NL"/>
        </w:rPr>
        <w:t xml:space="preserve">, </w:t>
      </w:r>
      <w:r w:rsidRPr="000C41CE">
        <w:rPr>
          <w:i/>
          <w:lang w:val="nl-NL"/>
        </w:rPr>
        <w:t>Frankfurter Abhandlungen zum modernen V</w:t>
      </w:r>
      <w:r w:rsidRPr="000C41CE">
        <w:rPr>
          <w:rFonts w:cstheme="minorHAnsi"/>
          <w:i/>
          <w:lang w:val="nl-NL"/>
        </w:rPr>
        <w:t>ö</w:t>
      </w:r>
      <w:r w:rsidRPr="000C41CE">
        <w:rPr>
          <w:i/>
          <w:lang w:val="nl-NL"/>
        </w:rPr>
        <w:t xml:space="preserve">lkerrecht, </w:t>
      </w:r>
      <w:r w:rsidRPr="000C41CE">
        <w:rPr>
          <w:lang w:val="nl-NL"/>
        </w:rPr>
        <w:t>1932, p. 1 ss.</w:t>
      </w:r>
    </w:p>
    <w:p w:rsidR="008B14EE" w:rsidRDefault="008B14EE" w:rsidP="005465DD">
      <w:pPr>
        <w:spacing w:after="0" w:line="360" w:lineRule="auto"/>
        <w:jc w:val="both"/>
        <w:rPr>
          <w:lang w:val="nl-NL"/>
        </w:rPr>
      </w:pPr>
    </w:p>
    <w:p w:rsidR="008B14EE" w:rsidRDefault="008B14EE" w:rsidP="005465DD">
      <w:pPr>
        <w:spacing w:after="0" w:line="360" w:lineRule="auto"/>
        <w:jc w:val="both"/>
      </w:pPr>
      <w:r w:rsidRPr="000C41CE">
        <w:t xml:space="preserve">SALERNO, </w:t>
      </w:r>
      <w:r w:rsidRPr="000C41CE">
        <w:rPr>
          <w:i/>
        </w:rPr>
        <w:t>Genesi e usi della nozione di organo nella dottrina internazionalista italiana</w:t>
      </w:r>
      <w:r w:rsidRPr="000C41CE">
        <w:t xml:space="preserve">, </w:t>
      </w:r>
      <w:r w:rsidRPr="000C41CE">
        <w:rPr>
          <w:i/>
        </w:rPr>
        <w:t>Rivista di diritto internazionale</w:t>
      </w:r>
      <w:r w:rsidRPr="000C41CE">
        <w:t>, 2009, p. 921 ss.</w:t>
      </w:r>
    </w:p>
    <w:p w:rsidR="008B14EE" w:rsidRDefault="008B14EE" w:rsidP="005465DD">
      <w:pPr>
        <w:spacing w:after="0" w:line="360" w:lineRule="auto"/>
        <w:jc w:val="both"/>
      </w:pPr>
    </w:p>
    <w:p w:rsidR="008B14EE" w:rsidRDefault="008B14EE" w:rsidP="005465DD">
      <w:pPr>
        <w:spacing w:after="0" w:line="360" w:lineRule="auto"/>
        <w:jc w:val="both"/>
        <w:rPr>
          <w:lang w:val="en-US"/>
        </w:rPr>
      </w:pPr>
      <w:r w:rsidRPr="000C41CE">
        <w:rPr>
          <w:lang w:val="en-US"/>
        </w:rPr>
        <w:t xml:space="preserve">SHELTON, </w:t>
      </w:r>
      <w:r w:rsidRPr="000C41CE">
        <w:rPr>
          <w:i/>
          <w:lang w:val="en-US"/>
        </w:rPr>
        <w:t>Private Violence, Public Wrongs, and the Responsibility of States</w:t>
      </w:r>
      <w:r w:rsidRPr="000C41CE">
        <w:rPr>
          <w:lang w:val="en-US"/>
        </w:rPr>
        <w:t xml:space="preserve">, </w:t>
      </w:r>
      <w:r w:rsidRPr="000C41CE">
        <w:rPr>
          <w:i/>
          <w:lang w:val="en-US"/>
        </w:rPr>
        <w:t>Fordham Law Journal</w:t>
      </w:r>
      <w:r w:rsidRPr="000C41CE">
        <w:rPr>
          <w:lang w:val="en-US"/>
        </w:rPr>
        <w:t>, 1989-1990, p. 1 ss.</w:t>
      </w:r>
    </w:p>
    <w:p w:rsidR="008B14EE" w:rsidRDefault="008B14EE" w:rsidP="005465DD">
      <w:pPr>
        <w:spacing w:after="0" w:line="360" w:lineRule="auto"/>
        <w:jc w:val="both"/>
        <w:rPr>
          <w:lang w:val="en-US"/>
        </w:rPr>
      </w:pPr>
    </w:p>
    <w:p w:rsidR="008B14EE" w:rsidRPr="004E5BAD" w:rsidRDefault="008B14EE" w:rsidP="005465DD">
      <w:pPr>
        <w:spacing w:after="0" w:line="360" w:lineRule="auto"/>
        <w:jc w:val="both"/>
      </w:pPr>
      <w:r w:rsidRPr="000C41CE">
        <w:t xml:space="preserve">SPINEDI, </w:t>
      </w:r>
      <w:r w:rsidRPr="000C41CE">
        <w:rPr>
          <w:i/>
        </w:rPr>
        <w:t>L’attribuzione allo Stato dei comportamenti dei gruppi armati da esso sostenuti nella sentenza della Corte internazionale di Giustizia sul genocidio in Bosnia-Erzegovina</w:t>
      </w:r>
      <w:r w:rsidRPr="000C41CE">
        <w:t xml:space="preserve">, </w:t>
      </w:r>
      <w:r w:rsidRPr="000C41CE">
        <w:rPr>
          <w:i/>
        </w:rPr>
        <w:t>Rivista di diritto internazionale</w:t>
      </w:r>
      <w:r w:rsidRPr="000C41CE">
        <w:t>, 2007, p. 417 ss.</w:t>
      </w:r>
    </w:p>
    <w:p w:rsidR="008B14EE" w:rsidRPr="004E5BAD" w:rsidRDefault="008B14EE" w:rsidP="005465DD">
      <w:pPr>
        <w:spacing w:after="0" w:line="360" w:lineRule="auto"/>
        <w:jc w:val="both"/>
      </w:pPr>
    </w:p>
    <w:p w:rsidR="008B14EE" w:rsidRDefault="008B14EE" w:rsidP="005465DD">
      <w:pPr>
        <w:spacing w:after="0" w:line="360" w:lineRule="auto"/>
        <w:jc w:val="both"/>
        <w:rPr>
          <w:lang w:val="en-US"/>
        </w:rPr>
      </w:pPr>
      <w:r w:rsidRPr="000C41CE">
        <w:rPr>
          <w:lang w:val="en-US"/>
        </w:rPr>
        <w:t xml:space="preserve">STARKE, </w:t>
      </w:r>
      <w:r w:rsidRPr="000C41CE">
        <w:rPr>
          <w:i/>
          <w:lang w:val="en-US"/>
        </w:rPr>
        <w:t>Imputability of International Delinquencies, The British Year Book of International Law</w:t>
      </w:r>
      <w:r w:rsidRPr="000C41CE">
        <w:rPr>
          <w:lang w:val="en-US"/>
        </w:rPr>
        <w:t>, 1938, p. 104 ss.</w:t>
      </w:r>
    </w:p>
    <w:p w:rsidR="008B14EE" w:rsidRDefault="008B14EE" w:rsidP="005465DD">
      <w:pPr>
        <w:spacing w:after="0" w:line="360" w:lineRule="auto"/>
        <w:jc w:val="both"/>
        <w:rPr>
          <w:lang w:val="en-US"/>
        </w:rPr>
      </w:pPr>
    </w:p>
    <w:p w:rsidR="008B14EE" w:rsidRDefault="008B14EE" w:rsidP="005465DD">
      <w:pPr>
        <w:spacing w:after="0" w:line="360" w:lineRule="auto"/>
        <w:jc w:val="both"/>
        <w:rPr>
          <w:lang w:val="fr-FR"/>
        </w:rPr>
      </w:pPr>
      <w:r w:rsidRPr="000C41CE">
        <w:rPr>
          <w:lang w:val="fr-FR"/>
        </w:rPr>
        <w:t>T</w:t>
      </w:r>
      <w:r w:rsidRPr="000C41CE">
        <w:rPr>
          <w:rFonts w:cstheme="minorHAnsi"/>
          <w:lang w:val="fr-FR"/>
        </w:rPr>
        <w:t>É</w:t>
      </w:r>
      <w:r w:rsidRPr="000C41CE">
        <w:rPr>
          <w:lang w:val="fr-FR"/>
        </w:rPr>
        <w:t>N</w:t>
      </w:r>
      <w:r w:rsidRPr="000C41CE">
        <w:rPr>
          <w:rFonts w:cstheme="minorHAnsi"/>
          <w:lang w:val="fr-FR"/>
        </w:rPr>
        <w:t>É</w:t>
      </w:r>
      <w:r w:rsidRPr="000C41CE">
        <w:rPr>
          <w:lang w:val="fr-FR"/>
        </w:rPr>
        <w:t xml:space="preserve">KIDES, </w:t>
      </w:r>
      <w:r w:rsidRPr="000C41CE">
        <w:rPr>
          <w:i/>
          <w:lang w:val="fr-FR"/>
        </w:rPr>
        <w:t>Considérations sur la clause Calvo, essai de justification du système de la nullité intégrale</w:t>
      </w:r>
      <w:r w:rsidRPr="000C41CE">
        <w:rPr>
          <w:lang w:val="fr-FR"/>
        </w:rPr>
        <w:t xml:space="preserve">, </w:t>
      </w:r>
      <w:r w:rsidRPr="000C41CE">
        <w:rPr>
          <w:i/>
          <w:lang w:val="fr-FR"/>
        </w:rPr>
        <w:t>Revue générale de droit international public,</w:t>
      </w:r>
      <w:r w:rsidRPr="000C41CE">
        <w:rPr>
          <w:lang w:val="fr-FR"/>
        </w:rPr>
        <w:t xml:space="preserve"> 1936, p. 270 ss.</w:t>
      </w:r>
    </w:p>
    <w:p w:rsidR="008B14EE" w:rsidRDefault="008B14EE" w:rsidP="005465DD">
      <w:pPr>
        <w:spacing w:after="0" w:line="360" w:lineRule="auto"/>
        <w:jc w:val="both"/>
        <w:rPr>
          <w:lang w:val="fr-FR"/>
        </w:rPr>
      </w:pPr>
    </w:p>
    <w:p w:rsidR="008B14EE" w:rsidRPr="00524706" w:rsidRDefault="008B14EE" w:rsidP="005465DD">
      <w:pPr>
        <w:spacing w:after="0" w:line="360" w:lineRule="auto"/>
        <w:jc w:val="both"/>
        <w:rPr>
          <w:rFonts w:cstheme="minorHAnsi"/>
          <w:lang w:val="fr-FR"/>
        </w:rPr>
      </w:pPr>
      <w:r w:rsidRPr="000C41CE">
        <w:rPr>
          <w:lang w:val="fr-FR"/>
        </w:rPr>
        <w:t xml:space="preserve">VERHOEVEN, </w:t>
      </w:r>
      <w:r w:rsidRPr="000C41CE">
        <w:rPr>
          <w:i/>
          <w:lang w:val="fr-FR"/>
        </w:rPr>
        <w:t>Le droit, le juge et la violence. Les arrêts Nicaragua c. Etats-Unis</w:t>
      </w:r>
      <w:r w:rsidRPr="000C41CE">
        <w:rPr>
          <w:lang w:val="fr-FR"/>
        </w:rPr>
        <w:t xml:space="preserve">, </w:t>
      </w:r>
      <w:r w:rsidRPr="000C41CE">
        <w:rPr>
          <w:i/>
          <w:lang w:val="fr-FR"/>
        </w:rPr>
        <w:t>Revue générale de droit international public</w:t>
      </w:r>
      <w:r w:rsidRPr="000C41CE">
        <w:rPr>
          <w:lang w:val="fr-FR"/>
        </w:rPr>
        <w:t>, 1986, p. 1159 ss.</w:t>
      </w:r>
    </w:p>
    <w:p w:rsidR="003D48AB" w:rsidRPr="00B23C7B" w:rsidRDefault="003D48AB" w:rsidP="008B14EE">
      <w:pPr>
        <w:spacing w:after="0" w:line="240" w:lineRule="auto"/>
        <w:jc w:val="both"/>
        <w:rPr>
          <w:lang w:val="fr-FR"/>
        </w:rPr>
      </w:pPr>
    </w:p>
    <w:sectPr w:rsidR="003D48AB" w:rsidRPr="00B23C7B" w:rsidSect="00847AB8">
      <w:footerReference w:type="first" r:id="rId17"/>
      <w:pgSz w:w="11906" w:h="16838"/>
      <w:pgMar w:top="1417" w:right="1134" w:bottom="1134" w:left="1134" w:header="708" w:footer="708" w:gutter="567"/>
      <w:pgNumType w:start="224"/>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C2CC7" w:rsidRDefault="00AC2CC7" w:rsidP="00CA5718">
      <w:pPr>
        <w:spacing w:after="0" w:line="240" w:lineRule="auto"/>
      </w:pPr>
      <w:r>
        <w:separator/>
      </w:r>
    </w:p>
  </w:endnote>
  <w:endnote w:type="continuationSeparator" w:id="0">
    <w:p w:rsidR="00AC2CC7" w:rsidRDefault="00AC2CC7" w:rsidP="00CA57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Math">
    <w:panose1 w:val="02040503050406030204"/>
    <w:charset w:val="00"/>
    <w:family w:val="roman"/>
    <w:pitch w:val="variable"/>
    <w:sig w:usb0="E00002FF" w:usb1="420024FF" w:usb2="00000000" w:usb3="00000000" w:csb0="0000019F" w:csb1="00000000"/>
  </w:font>
  <w:font w:name="TimesNRMT">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63420053"/>
      <w:docPartObj>
        <w:docPartGallery w:val="Page Numbers (Bottom of Page)"/>
        <w:docPartUnique/>
      </w:docPartObj>
    </w:sdtPr>
    <w:sdtEndPr/>
    <w:sdtContent>
      <w:p w:rsidR="003D54BB" w:rsidRDefault="003D54BB">
        <w:pPr>
          <w:pStyle w:val="Pidipagina"/>
          <w:jc w:val="right"/>
        </w:pPr>
        <w:r>
          <w:t>1</w:t>
        </w:r>
      </w:p>
    </w:sdtContent>
  </w:sdt>
  <w:p w:rsidR="003D54BB" w:rsidRDefault="003D54BB" w:rsidP="009126A0">
    <w:pPr>
      <w:pStyle w:val="Pidipa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54BB" w:rsidRDefault="003D54BB">
    <w:pPr>
      <w:pStyle w:val="Pidipa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6912586"/>
      <w:docPartObj>
        <w:docPartGallery w:val="Page Numbers (Bottom of Page)"/>
        <w:docPartUnique/>
      </w:docPartObj>
    </w:sdtPr>
    <w:sdtEndPr/>
    <w:sdtContent>
      <w:p w:rsidR="003D54BB" w:rsidRDefault="003D54BB">
        <w:pPr>
          <w:pStyle w:val="Pidipagina"/>
          <w:jc w:val="right"/>
        </w:pPr>
        <w:r>
          <w:fldChar w:fldCharType="begin"/>
        </w:r>
        <w:r>
          <w:instrText xml:space="preserve"> PAGE   \* MERGEFORMAT </w:instrText>
        </w:r>
        <w:r>
          <w:fldChar w:fldCharType="separate"/>
        </w:r>
        <w:r w:rsidR="0049691E">
          <w:rPr>
            <w:noProof/>
          </w:rPr>
          <w:t>134</w:t>
        </w:r>
        <w:r>
          <w:rPr>
            <w:noProof/>
          </w:rPr>
          <w:fldChar w:fldCharType="end"/>
        </w:r>
      </w:p>
    </w:sdtContent>
  </w:sdt>
  <w:p w:rsidR="003D54BB" w:rsidRDefault="003D54BB">
    <w:pPr>
      <w:pStyle w:val="Pidipagin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6912606"/>
      <w:docPartObj>
        <w:docPartGallery w:val="Page Numbers (Bottom of Page)"/>
        <w:docPartUnique/>
      </w:docPartObj>
    </w:sdtPr>
    <w:sdtEndPr/>
    <w:sdtContent>
      <w:p w:rsidR="003D54BB" w:rsidRDefault="003D54BB">
        <w:pPr>
          <w:pStyle w:val="Pidipagina"/>
          <w:jc w:val="right"/>
        </w:pPr>
        <w:r>
          <w:fldChar w:fldCharType="begin"/>
        </w:r>
        <w:r>
          <w:instrText xml:space="preserve"> PAGE   \* MERGEFORMAT </w:instrText>
        </w:r>
        <w:r>
          <w:fldChar w:fldCharType="separate"/>
        </w:r>
        <w:r w:rsidR="0049691E">
          <w:rPr>
            <w:noProof/>
          </w:rPr>
          <w:t>1</w:t>
        </w:r>
        <w:r>
          <w:rPr>
            <w:noProof/>
          </w:rPr>
          <w:fldChar w:fldCharType="end"/>
        </w:r>
      </w:p>
    </w:sdtContent>
  </w:sdt>
  <w:p w:rsidR="003D54BB" w:rsidRDefault="003D54BB">
    <w:pPr>
      <w:pStyle w:val="Pidipagina"/>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6912601"/>
      <w:docPartObj>
        <w:docPartGallery w:val="Page Numbers (Bottom of Page)"/>
        <w:docPartUnique/>
      </w:docPartObj>
    </w:sdtPr>
    <w:sdtEndPr/>
    <w:sdtContent>
      <w:p w:rsidR="003D54BB" w:rsidRDefault="003D54BB">
        <w:pPr>
          <w:pStyle w:val="Pidipagina"/>
          <w:jc w:val="right"/>
        </w:pPr>
        <w:r>
          <w:t>224</w:t>
        </w:r>
      </w:p>
    </w:sdtContent>
  </w:sdt>
  <w:p w:rsidR="003D54BB" w:rsidRDefault="003D54BB" w:rsidP="009126A0">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C2CC7" w:rsidRDefault="00AC2CC7" w:rsidP="00CA5718">
      <w:pPr>
        <w:spacing w:after="0" w:line="240" w:lineRule="auto"/>
      </w:pPr>
      <w:r>
        <w:separator/>
      </w:r>
    </w:p>
  </w:footnote>
  <w:footnote w:type="continuationSeparator" w:id="0">
    <w:p w:rsidR="00AC2CC7" w:rsidRDefault="00AC2CC7" w:rsidP="00CA5718">
      <w:pPr>
        <w:spacing w:after="0" w:line="240" w:lineRule="auto"/>
      </w:pPr>
      <w:r>
        <w:continuationSeparator/>
      </w:r>
    </w:p>
  </w:footnote>
  <w:footnote w:id="1">
    <w:p w:rsidR="003D54BB" w:rsidRPr="00C77E64" w:rsidRDefault="003D54BB" w:rsidP="00CA5718">
      <w:pPr>
        <w:pStyle w:val="Testonotaapidipagina"/>
        <w:jc w:val="both"/>
        <w:rPr>
          <w:sz w:val="18"/>
          <w:szCs w:val="18"/>
        </w:rPr>
      </w:pPr>
      <w:r>
        <w:rPr>
          <w:rStyle w:val="Rimandonotaapidipagina"/>
        </w:rPr>
        <w:footnoteRef/>
      </w:r>
      <w:r>
        <w:t xml:space="preserve"> </w:t>
      </w:r>
      <w:r w:rsidRPr="006E0465">
        <w:t xml:space="preserve">La Corte internazionale di giustizia ha affermato tale principio nella sentenza resa nel caso </w:t>
      </w:r>
      <w:r w:rsidRPr="006E0465">
        <w:rPr>
          <w:i/>
        </w:rPr>
        <w:t>Barcelona Traction, Light and Power Company, Limited, I.C.J. Reports</w:t>
      </w:r>
      <w:r>
        <w:t xml:space="preserve">, </w:t>
      </w:r>
      <w:r w:rsidRPr="006E0465">
        <w:t>1970, p. 33, par. 36.</w:t>
      </w:r>
      <w:r w:rsidRPr="00310FD6">
        <w:rPr>
          <w:sz w:val="18"/>
          <w:szCs w:val="18"/>
        </w:rPr>
        <w:t xml:space="preserve"> </w:t>
      </w:r>
    </w:p>
  </w:footnote>
  <w:footnote w:id="2">
    <w:p w:rsidR="003D54BB" w:rsidRPr="003C09A6" w:rsidRDefault="003D54BB" w:rsidP="00CA5718">
      <w:pPr>
        <w:pStyle w:val="Testonotaapidipagina"/>
        <w:jc w:val="both"/>
        <w:rPr>
          <w:lang w:val="fr-FR"/>
        </w:rPr>
      </w:pPr>
      <w:r>
        <w:rPr>
          <w:rStyle w:val="Rimandonotaapidipagina"/>
        </w:rPr>
        <w:footnoteRef/>
      </w:r>
      <w:r>
        <w:t xml:space="preserve"> </w:t>
      </w:r>
      <w:r w:rsidRPr="006E0465">
        <w:t xml:space="preserve">Tale eventualità è stata prevista da Verdross il quale ha sottolineato che </w:t>
      </w:r>
      <w:r w:rsidRPr="00BC5020">
        <w:t>“Eine Leugnung dieses Grundsatzes w</w:t>
      </w:r>
      <w:r w:rsidRPr="00BC5020">
        <w:rPr>
          <w:rFonts w:cstheme="minorHAnsi"/>
        </w:rPr>
        <w:t>ü</w:t>
      </w:r>
      <w:r w:rsidRPr="00BC5020">
        <w:t>rde das V</w:t>
      </w:r>
      <w:r w:rsidRPr="00BC5020">
        <w:rPr>
          <w:rFonts w:cstheme="minorHAnsi"/>
        </w:rPr>
        <w:t>ö</w:t>
      </w:r>
      <w:r w:rsidRPr="00BC5020">
        <w:t>lkerrecht  zerst</w:t>
      </w:r>
      <w:r w:rsidRPr="00BC5020">
        <w:rPr>
          <w:rFonts w:cstheme="minorHAnsi"/>
        </w:rPr>
        <w:t>ören, da mit der Verneinung der Verantwortlichkeit für begangenes Unrecht auch die Pflicht der Staaten, sich völkerrechtgemäss zu verhalten, aufgehoben würde”</w:t>
      </w:r>
      <w:r w:rsidRPr="006E0465">
        <w:rPr>
          <w:rFonts w:cstheme="minorHAnsi"/>
        </w:rPr>
        <w:t xml:space="preserve">. </w:t>
      </w:r>
      <w:r w:rsidRPr="006E0465">
        <w:rPr>
          <w:rFonts w:cstheme="minorHAnsi"/>
          <w:lang w:val="fr-FR"/>
        </w:rPr>
        <w:t xml:space="preserve">VERDROSS, </w:t>
      </w:r>
      <w:r w:rsidRPr="006E0465">
        <w:rPr>
          <w:rFonts w:cstheme="minorHAnsi"/>
          <w:i/>
          <w:lang w:val="fr-FR"/>
        </w:rPr>
        <w:t>Völkerrecht</w:t>
      </w:r>
      <w:r w:rsidRPr="006E0465">
        <w:rPr>
          <w:rFonts w:cstheme="minorHAnsi"/>
          <w:lang w:val="fr-FR"/>
        </w:rPr>
        <w:t xml:space="preserve">, </w:t>
      </w:r>
      <w:r>
        <w:rPr>
          <w:rFonts w:cstheme="minorHAnsi"/>
          <w:lang w:val="fr-FR"/>
        </w:rPr>
        <w:t>4 ͣ ed.</w:t>
      </w:r>
      <w:r w:rsidRPr="006E0465">
        <w:rPr>
          <w:rFonts w:cstheme="minorHAnsi"/>
          <w:lang w:val="fr-FR"/>
        </w:rPr>
        <w:t>, Wien, 1959, p. 295.</w:t>
      </w:r>
    </w:p>
  </w:footnote>
  <w:footnote w:id="3">
    <w:p w:rsidR="003D54BB" w:rsidRPr="000C0108" w:rsidRDefault="003D54BB" w:rsidP="00CA5718">
      <w:pPr>
        <w:pStyle w:val="Testonotaapidipagina"/>
        <w:jc w:val="both"/>
        <w:rPr>
          <w:lang w:val="fr-FR"/>
        </w:rPr>
      </w:pPr>
      <w:r w:rsidRPr="005F1966">
        <w:rPr>
          <w:rStyle w:val="Rimandonotaapidipagina"/>
        </w:rPr>
        <w:footnoteRef/>
      </w:r>
      <w:r w:rsidRPr="005F1966">
        <w:rPr>
          <w:lang w:val="fr-FR"/>
        </w:rPr>
        <w:t xml:space="preserve"> </w:t>
      </w:r>
      <w:r w:rsidRPr="000C0108">
        <w:rPr>
          <w:lang w:val="fr-FR"/>
        </w:rPr>
        <w:t xml:space="preserve">CARREAU, </w:t>
      </w:r>
      <w:r>
        <w:rPr>
          <w:i/>
          <w:lang w:val="fr-FR"/>
        </w:rPr>
        <w:t>Droit i</w:t>
      </w:r>
      <w:r w:rsidRPr="000C0108">
        <w:rPr>
          <w:i/>
          <w:lang w:val="fr-FR"/>
        </w:rPr>
        <w:t>nternational</w:t>
      </w:r>
      <w:r w:rsidRPr="000C0108">
        <w:rPr>
          <w:lang w:val="fr-FR"/>
        </w:rPr>
        <w:t xml:space="preserve">, </w:t>
      </w:r>
      <w:r w:rsidRPr="000C0108">
        <w:rPr>
          <w:i/>
          <w:lang w:val="fr-FR"/>
        </w:rPr>
        <w:t>Etudes internationales</w:t>
      </w:r>
      <w:r w:rsidRPr="000C0108">
        <w:rPr>
          <w:lang w:val="fr-FR"/>
        </w:rPr>
        <w:t>, Paris, 1986, pp. 397-398; JIM</w:t>
      </w:r>
      <w:r w:rsidRPr="000C0108">
        <w:rPr>
          <w:rFonts w:cstheme="minorHAnsi"/>
          <w:lang w:val="fr-FR"/>
        </w:rPr>
        <w:t>É</w:t>
      </w:r>
      <w:r w:rsidRPr="000C0108">
        <w:rPr>
          <w:lang w:val="fr-FR"/>
        </w:rPr>
        <w:t>NEZ DE AR</w:t>
      </w:r>
      <w:r w:rsidRPr="000C0108">
        <w:rPr>
          <w:rFonts w:cstheme="minorHAnsi"/>
          <w:lang w:val="fr-FR"/>
        </w:rPr>
        <w:t>É</w:t>
      </w:r>
      <w:r w:rsidRPr="000C0108">
        <w:rPr>
          <w:lang w:val="fr-FR"/>
        </w:rPr>
        <w:t xml:space="preserve">CHAGA e TANZI, </w:t>
      </w:r>
      <w:r w:rsidRPr="000C0108">
        <w:rPr>
          <w:i/>
          <w:lang w:val="fr-FR"/>
        </w:rPr>
        <w:t>La responsabilité internationale des Etats</w:t>
      </w:r>
      <w:r w:rsidRPr="000C0108">
        <w:rPr>
          <w:lang w:val="fr-FR"/>
        </w:rPr>
        <w:t xml:space="preserve">, in </w:t>
      </w:r>
      <w:r w:rsidRPr="000C0108">
        <w:rPr>
          <w:i/>
          <w:lang w:val="fr-FR"/>
        </w:rPr>
        <w:t>Droit international – Bilan et perspectives</w:t>
      </w:r>
      <w:r w:rsidRPr="000C0108">
        <w:rPr>
          <w:lang w:val="fr-FR"/>
        </w:rPr>
        <w:t>, vol.1, Paris, 1991, p. 367.</w:t>
      </w:r>
    </w:p>
  </w:footnote>
  <w:footnote w:id="4">
    <w:p w:rsidR="003D54BB" w:rsidRPr="00406B54" w:rsidRDefault="003D54BB" w:rsidP="00CA5718">
      <w:pPr>
        <w:pStyle w:val="Testonotaapidipagina"/>
        <w:jc w:val="both"/>
        <w:rPr>
          <w:lang w:val="en-US"/>
        </w:rPr>
      </w:pPr>
      <w:r>
        <w:rPr>
          <w:rStyle w:val="Rimandonotaapidipagina"/>
        </w:rPr>
        <w:footnoteRef/>
      </w:r>
      <w:r w:rsidRPr="00F44220">
        <w:rPr>
          <w:lang w:val="en-US"/>
        </w:rPr>
        <w:t xml:space="preserve"> </w:t>
      </w:r>
      <w:r w:rsidRPr="00AD3683">
        <w:rPr>
          <w:lang w:val="en-US"/>
        </w:rPr>
        <w:t>“The general principles of International Law concerning State responsibility are equally applicable in the case of breach of treaty obligation, since in the international law field there is no distinction between contractual and tortius responsibility, so that any violation of a State of any obligation, of whatever origin gives rise to State responsibility.”</w:t>
      </w:r>
      <w:r w:rsidRPr="000C0108">
        <w:rPr>
          <w:lang w:val="en-US"/>
        </w:rPr>
        <w:t xml:space="preserve"> Sentenza arbitrale resa nel caso </w:t>
      </w:r>
      <w:r w:rsidRPr="000C0108">
        <w:rPr>
          <w:i/>
          <w:lang w:val="en-US"/>
        </w:rPr>
        <w:t>Rainbow Warrior</w:t>
      </w:r>
      <w:r w:rsidRPr="000C0108">
        <w:rPr>
          <w:lang w:val="en-US"/>
        </w:rPr>
        <w:t xml:space="preserve">, in </w:t>
      </w:r>
      <w:r w:rsidRPr="000C0108">
        <w:rPr>
          <w:i/>
          <w:lang w:val="en-US"/>
        </w:rPr>
        <w:t>Reports of International Arbitral Awards</w:t>
      </w:r>
      <w:r w:rsidRPr="000C0108">
        <w:rPr>
          <w:lang w:val="en-US"/>
        </w:rPr>
        <w:t xml:space="preserve">, vol. 20, p. 251, par. 75. </w:t>
      </w:r>
      <w:r w:rsidRPr="00406B54">
        <w:rPr>
          <w:lang w:val="en-US"/>
        </w:rPr>
        <w:t xml:space="preserve">Si veda anche la sentenza resa nel caso </w:t>
      </w:r>
      <w:r w:rsidRPr="00406B54">
        <w:rPr>
          <w:i/>
          <w:lang w:val="en-US"/>
        </w:rPr>
        <w:t>Gab</w:t>
      </w:r>
      <w:r w:rsidRPr="00406B54">
        <w:rPr>
          <w:rFonts w:cstheme="minorHAnsi"/>
          <w:i/>
          <w:lang w:val="en-US"/>
        </w:rPr>
        <w:t>čí</w:t>
      </w:r>
      <w:r w:rsidRPr="00406B54">
        <w:rPr>
          <w:i/>
          <w:lang w:val="en-US"/>
        </w:rPr>
        <w:t>kovo-Nagymaros</w:t>
      </w:r>
      <w:r w:rsidRPr="00406B54">
        <w:rPr>
          <w:lang w:val="en-US"/>
        </w:rPr>
        <w:t>, in cui la Corte internazionale di giustizia ha stabilito che “</w:t>
      </w:r>
      <w:r w:rsidRPr="00406B54">
        <w:rPr>
          <w:i/>
          <w:lang w:val="en-US"/>
        </w:rPr>
        <w:t>when a State has committed an internationally wrongful act, its International responsibility is likely to be involved whatever the nature of the obligation it has failed to respect</w:t>
      </w:r>
      <w:r w:rsidRPr="00406B54">
        <w:rPr>
          <w:lang w:val="en-US"/>
        </w:rPr>
        <w:t xml:space="preserve">.”, </w:t>
      </w:r>
      <w:r w:rsidRPr="00406B54">
        <w:rPr>
          <w:i/>
          <w:lang w:val="en-US"/>
        </w:rPr>
        <w:t>I.C.J. Reports</w:t>
      </w:r>
      <w:r w:rsidRPr="00406B54">
        <w:rPr>
          <w:lang w:val="en-US"/>
        </w:rPr>
        <w:t>, 1997, p. 7, par. 47.</w:t>
      </w:r>
    </w:p>
  </w:footnote>
  <w:footnote w:id="5">
    <w:p w:rsidR="003D54BB" w:rsidRPr="000C0108" w:rsidRDefault="003D54BB" w:rsidP="00CA5718">
      <w:pPr>
        <w:pStyle w:val="Testonotaapidipagina"/>
        <w:jc w:val="both"/>
      </w:pPr>
      <w:r>
        <w:rPr>
          <w:rStyle w:val="Rimandonotaapidipagina"/>
        </w:rPr>
        <w:footnoteRef/>
      </w:r>
      <w:r w:rsidRPr="008A4F7D">
        <w:t xml:space="preserve"> </w:t>
      </w:r>
      <w:r w:rsidRPr="000C0108">
        <w:t xml:space="preserve">La possibilità di distinguere fra norme primarie e secondarie ha in passato dato vita ad un acceso dibattito. Tale distinzione venne per la prima volta proposta da Ago in seno ad una sottocommissione della Commissione di diritto internazionale. Si veda a tal proposito AGO, </w:t>
      </w:r>
      <w:r w:rsidRPr="000C0108">
        <w:rPr>
          <w:i/>
        </w:rPr>
        <w:t>Working Paper</w:t>
      </w:r>
      <w:r w:rsidRPr="000C0108">
        <w:t>,</w:t>
      </w:r>
      <w:r>
        <w:t xml:space="preserve"> in</w:t>
      </w:r>
      <w:r w:rsidRPr="000C0108">
        <w:rPr>
          <w:i/>
        </w:rPr>
        <w:t xml:space="preserve"> ILC Yearbook</w:t>
      </w:r>
      <w:r>
        <w:t xml:space="preserve">, </w:t>
      </w:r>
      <w:r w:rsidRPr="000C0108">
        <w:t xml:space="preserve">1963, vol. II, p. 252. Tre membri della suddetta sottocommissione, invece, consideravano impossibile codificare le regole della responsabilità internazionale prescindendo dalle regole primarie. </w:t>
      </w:r>
      <w:r w:rsidRPr="000C0108">
        <w:rPr>
          <w:lang w:val="en-US"/>
        </w:rPr>
        <w:t xml:space="preserve">Secondo Briggs, ad esempio,  </w:t>
      </w:r>
      <w:r w:rsidRPr="00AD3683">
        <w:rPr>
          <w:lang w:val="en-US"/>
        </w:rPr>
        <w:t>“Mr Ago’s paper somewhat artificially stressed  the distinction between the international law of State responsibility and the law relating to the treatment of aliens”</w:t>
      </w:r>
      <w:r>
        <w:rPr>
          <w:lang w:val="en-US"/>
        </w:rPr>
        <w:t>, i</w:t>
      </w:r>
      <w:r w:rsidRPr="000C0108">
        <w:rPr>
          <w:lang w:val="en-US"/>
        </w:rPr>
        <w:t xml:space="preserve">n </w:t>
      </w:r>
      <w:r w:rsidRPr="000C0108">
        <w:rPr>
          <w:i/>
          <w:lang w:val="en-US"/>
        </w:rPr>
        <w:t>Report of the ILC</w:t>
      </w:r>
      <w:r w:rsidRPr="000C0108">
        <w:rPr>
          <w:lang w:val="en-US"/>
        </w:rPr>
        <w:t>,</w:t>
      </w:r>
      <w:r w:rsidRPr="000C0108">
        <w:rPr>
          <w:i/>
          <w:lang w:val="en-US"/>
        </w:rPr>
        <w:t xml:space="preserve"> Yearbook</w:t>
      </w:r>
      <w:r w:rsidRPr="000C0108">
        <w:rPr>
          <w:lang w:val="en-US"/>
        </w:rPr>
        <w:t xml:space="preserve"> </w:t>
      </w:r>
      <w:r w:rsidRPr="000C0108">
        <w:rPr>
          <w:i/>
          <w:lang w:val="en-US"/>
        </w:rPr>
        <w:t>of the International La</w:t>
      </w:r>
      <w:r>
        <w:rPr>
          <w:i/>
          <w:lang w:val="en-US"/>
        </w:rPr>
        <w:t xml:space="preserve">w Commission, </w:t>
      </w:r>
      <w:r w:rsidRPr="000C0108">
        <w:rPr>
          <w:lang w:val="en-US"/>
        </w:rPr>
        <w:t xml:space="preserve">1963, vol. </w:t>
      </w:r>
      <w:r w:rsidRPr="000C0108">
        <w:t xml:space="preserve">II, p. 231. La maggioranza della sottocommissione ha alla fine rigettato la posizione di questi oppositori e durante l’esame da parte della Commissione del primo rapporto del relatore Ago nel 1969 è stata accettata l’idea di limitare i lavori di codificazione alla responsabilità internazionale </w:t>
      </w:r>
      <w:r w:rsidRPr="000C0108">
        <w:rPr>
          <w:i/>
        </w:rPr>
        <w:t>strictu sensu</w:t>
      </w:r>
      <w:r w:rsidRPr="000C0108">
        <w:t>, cioè alle norme secondar</w:t>
      </w:r>
      <w:r>
        <w:t>ie. Si vedano a tal proposito i commenti di Yasseen</w:t>
      </w:r>
      <w:r w:rsidRPr="000C0108">
        <w:t>, R</w:t>
      </w:r>
      <w:r>
        <w:t>amangasoavina</w:t>
      </w:r>
      <w:r w:rsidRPr="000C0108">
        <w:t>, C</w:t>
      </w:r>
      <w:r>
        <w:t>astrén</w:t>
      </w:r>
      <w:r w:rsidRPr="000C0108">
        <w:t>, N</w:t>
      </w:r>
      <w:r>
        <w:t>agendra</w:t>
      </w:r>
      <w:r w:rsidRPr="000C0108">
        <w:t xml:space="preserve"> S</w:t>
      </w:r>
      <w:r>
        <w:t>ingh</w:t>
      </w:r>
      <w:r w:rsidRPr="000C0108">
        <w:t>, T</w:t>
      </w:r>
      <w:r>
        <w:t>ammes</w:t>
      </w:r>
      <w:r w:rsidRPr="000C0108">
        <w:t>, A</w:t>
      </w:r>
      <w:r>
        <w:t>lbònico</w:t>
      </w:r>
      <w:r w:rsidRPr="000C0108">
        <w:t>, U</w:t>
      </w:r>
      <w:r>
        <w:t>shakov</w:t>
      </w:r>
      <w:r w:rsidRPr="000C0108">
        <w:t>, U</w:t>
      </w:r>
      <w:r>
        <w:t>stor</w:t>
      </w:r>
      <w:r w:rsidRPr="000C0108">
        <w:t>, E</w:t>
      </w:r>
      <w:r>
        <w:t>ustathiades</w:t>
      </w:r>
      <w:r w:rsidRPr="000C0108">
        <w:t>, C</w:t>
      </w:r>
      <w:r>
        <w:t>astañeda</w:t>
      </w:r>
      <w:r w:rsidRPr="000C0108">
        <w:rPr>
          <w:rFonts w:cstheme="minorHAnsi"/>
        </w:rPr>
        <w:t xml:space="preserve">, in </w:t>
      </w:r>
      <w:r w:rsidRPr="000C0108">
        <w:rPr>
          <w:rFonts w:cstheme="minorHAnsi"/>
          <w:i/>
        </w:rPr>
        <w:t>ILC Yearbook 1969</w:t>
      </w:r>
      <w:r w:rsidRPr="000C0108">
        <w:rPr>
          <w:rFonts w:cstheme="minorHAnsi"/>
        </w:rPr>
        <w:t xml:space="preserve">, vol. I, pp. 104-107. </w:t>
      </w:r>
      <w:r w:rsidRPr="000C0108">
        <w:t>Per un’analisi della distinzione tra norme primarie e norme secondarie in relazione alla responsabilità internazionale degli Stati si consultino le conclusioni di AGO</w:t>
      </w:r>
      <w:r w:rsidRPr="000C0108">
        <w:rPr>
          <w:i/>
        </w:rPr>
        <w:t>,</w:t>
      </w:r>
      <w:r w:rsidRPr="000C0108">
        <w:t xml:space="preserve"> </w:t>
      </w:r>
      <w:r w:rsidRPr="000C0108">
        <w:rPr>
          <w:i/>
        </w:rPr>
        <w:t xml:space="preserve">Troisième rapport sur la responsabilité internationale, </w:t>
      </w:r>
      <w:r w:rsidRPr="000C0108">
        <w:t xml:space="preserve">in </w:t>
      </w:r>
      <w:r w:rsidRPr="000C0108">
        <w:rPr>
          <w:i/>
        </w:rPr>
        <w:t xml:space="preserve">Annuaire de la Commission du droit International, </w:t>
      </w:r>
      <w:r w:rsidRPr="000C0108">
        <w:t xml:space="preserve">1971, vol. </w:t>
      </w:r>
      <w:r w:rsidRPr="000C0108">
        <w:rPr>
          <w:lang w:val="en-US"/>
        </w:rPr>
        <w:t>II-1, pp. 212–213 e di CRAWFORD</w:t>
      </w:r>
      <w:r w:rsidRPr="000C0108">
        <w:rPr>
          <w:i/>
          <w:lang w:val="en-US"/>
        </w:rPr>
        <w:t>,</w:t>
      </w:r>
      <w:r w:rsidRPr="000C0108">
        <w:rPr>
          <w:lang w:val="en-US"/>
        </w:rPr>
        <w:t xml:space="preserve"> </w:t>
      </w:r>
      <w:r w:rsidRPr="000C0108">
        <w:rPr>
          <w:i/>
          <w:lang w:val="en-US"/>
        </w:rPr>
        <w:t>First Report on State Responsibility,</w:t>
      </w:r>
      <w:r w:rsidRPr="000C0108">
        <w:rPr>
          <w:lang w:val="en-US"/>
        </w:rPr>
        <w:t xml:space="preserve"> in</w:t>
      </w:r>
      <w:r w:rsidRPr="000C0108">
        <w:rPr>
          <w:i/>
          <w:lang w:val="en-US"/>
        </w:rPr>
        <w:t xml:space="preserve"> Yearbook of the International Law Commission, </w:t>
      </w:r>
      <w:r w:rsidRPr="000C0108">
        <w:rPr>
          <w:lang w:val="en-US"/>
        </w:rPr>
        <w:t>1998,</w:t>
      </w:r>
      <w:r w:rsidRPr="000C0108">
        <w:rPr>
          <w:i/>
          <w:lang w:val="en-US"/>
        </w:rPr>
        <w:t xml:space="preserve"> </w:t>
      </w:r>
      <w:r w:rsidRPr="000C0108">
        <w:rPr>
          <w:lang w:val="en-US"/>
        </w:rPr>
        <w:t xml:space="preserve">vol. </w:t>
      </w:r>
      <w:r w:rsidRPr="000C0108">
        <w:t>II-1, pp. 6 –7.</w:t>
      </w:r>
    </w:p>
  </w:footnote>
  <w:footnote w:id="6">
    <w:p w:rsidR="003D54BB" w:rsidRPr="00E90FF7" w:rsidRDefault="003D54BB" w:rsidP="00CA5718">
      <w:pPr>
        <w:pStyle w:val="Testonotaapidipagina"/>
        <w:jc w:val="both"/>
        <w:rPr>
          <w:lang w:val="en-US"/>
        </w:rPr>
      </w:pPr>
      <w:r>
        <w:rPr>
          <w:rStyle w:val="Rimandonotaapidipagina"/>
        </w:rPr>
        <w:footnoteRef/>
      </w:r>
      <w:r>
        <w:t xml:space="preserve"> </w:t>
      </w:r>
      <w:r w:rsidRPr="000C0108">
        <w:t xml:space="preserve">ANZILOTTI, </w:t>
      </w:r>
      <w:r w:rsidRPr="000C0108">
        <w:rPr>
          <w:i/>
        </w:rPr>
        <w:t>Teoria generale della responsabilità dello Stato nel diritto internazionale</w:t>
      </w:r>
      <w:r w:rsidRPr="000C0108">
        <w:t xml:space="preserve">, Firenze, 190, p. 62. </w:t>
      </w:r>
      <w:r w:rsidRPr="000C0108">
        <w:rPr>
          <w:lang w:val="en-US"/>
        </w:rPr>
        <w:t xml:space="preserve">Si veda anche EAGLETON, </w:t>
      </w:r>
      <w:r w:rsidRPr="000C0108">
        <w:rPr>
          <w:i/>
          <w:lang w:val="en-US"/>
        </w:rPr>
        <w:t>The Responsibility of States in International Law</w:t>
      </w:r>
      <w:r w:rsidRPr="000C0108">
        <w:rPr>
          <w:lang w:val="en-US"/>
        </w:rPr>
        <w:t xml:space="preserve">, New York, 1928, p. 22; BROWNLIE, </w:t>
      </w:r>
      <w:r w:rsidRPr="000C0108">
        <w:rPr>
          <w:i/>
          <w:lang w:val="en-US"/>
        </w:rPr>
        <w:t>State Responsibility</w:t>
      </w:r>
      <w:r w:rsidRPr="000C0108">
        <w:rPr>
          <w:lang w:val="en-US"/>
        </w:rPr>
        <w:t>, I, Oxford, 1983, p. 33.</w:t>
      </w:r>
    </w:p>
  </w:footnote>
  <w:footnote w:id="7">
    <w:p w:rsidR="003D54BB" w:rsidRPr="00605693" w:rsidRDefault="003D54BB" w:rsidP="00CA5718">
      <w:pPr>
        <w:pStyle w:val="Testonotaapidipagina"/>
        <w:jc w:val="both"/>
        <w:rPr>
          <w:lang w:val="nl-NL"/>
        </w:rPr>
      </w:pPr>
      <w:r>
        <w:rPr>
          <w:rStyle w:val="Rimandonotaapidipagina"/>
        </w:rPr>
        <w:footnoteRef/>
      </w:r>
      <w:r w:rsidRPr="00605693">
        <w:rPr>
          <w:lang w:val="nl-NL"/>
        </w:rPr>
        <w:t xml:space="preserve"> Si veda KELSEN, </w:t>
      </w:r>
      <w:r>
        <w:rPr>
          <w:i/>
          <w:lang w:val="nl-NL"/>
        </w:rPr>
        <w:t>Unrecht und Unrechtfolgee im</w:t>
      </w:r>
      <w:r w:rsidRPr="00605693">
        <w:rPr>
          <w:i/>
          <w:lang w:val="nl-NL"/>
        </w:rPr>
        <w:t xml:space="preserve"> V</w:t>
      </w:r>
      <w:r w:rsidRPr="00605693">
        <w:rPr>
          <w:rFonts w:cstheme="minorHAnsi"/>
          <w:i/>
          <w:lang w:val="nl-NL"/>
        </w:rPr>
        <w:t>ö</w:t>
      </w:r>
      <w:r w:rsidRPr="00605693">
        <w:rPr>
          <w:i/>
          <w:lang w:val="nl-NL"/>
        </w:rPr>
        <w:t>lkerrecht</w:t>
      </w:r>
      <w:r w:rsidRPr="00605693">
        <w:rPr>
          <w:lang w:val="nl-NL"/>
        </w:rPr>
        <w:t xml:space="preserve">, Wien, 1932, p. 489 ss., </w:t>
      </w:r>
      <w:r>
        <w:rPr>
          <w:lang w:val="nl-NL"/>
        </w:rPr>
        <w:t>p</w:t>
      </w:r>
      <w:r w:rsidRPr="00605693">
        <w:rPr>
          <w:lang w:val="nl-NL"/>
        </w:rPr>
        <w:t>p. 545 ss. e 568 ss.</w:t>
      </w:r>
    </w:p>
  </w:footnote>
  <w:footnote w:id="8">
    <w:p w:rsidR="003D54BB" w:rsidRPr="004A502A" w:rsidRDefault="003D54BB" w:rsidP="00CA5718">
      <w:pPr>
        <w:pStyle w:val="Testonotaapidipagina"/>
        <w:jc w:val="both"/>
        <w:rPr>
          <w:lang w:val="fr-FR"/>
        </w:rPr>
      </w:pPr>
      <w:r>
        <w:rPr>
          <w:rStyle w:val="Rimandonotaapidipagina"/>
        </w:rPr>
        <w:footnoteRef/>
      </w:r>
      <w:r w:rsidRPr="0033581B">
        <w:rPr>
          <w:lang w:val="fr-FR"/>
        </w:rPr>
        <w:t xml:space="preserve"> </w:t>
      </w:r>
      <w:r w:rsidRPr="000C0108">
        <w:rPr>
          <w:lang w:val="fr-FR"/>
        </w:rPr>
        <w:t xml:space="preserve">Si veda AGO, </w:t>
      </w:r>
      <w:r w:rsidRPr="000C0108">
        <w:rPr>
          <w:i/>
          <w:lang w:val="fr-FR"/>
        </w:rPr>
        <w:t xml:space="preserve">Troisième rapport sur la responsabilité internationale, </w:t>
      </w:r>
      <w:r w:rsidRPr="000C0108">
        <w:rPr>
          <w:lang w:val="fr-FR"/>
        </w:rPr>
        <w:t xml:space="preserve">in </w:t>
      </w:r>
      <w:r w:rsidRPr="000C0108">
        <w:rPr>
          <w:i/>
          <w:lang w:val="fr-FR"/>
        </w:rPr>
        <w:t>Annuaire de la Commission du droit International</w:t>
      </w:r>
      <w:r w:rsidRPr="000C0108">
        <w:rPr>
          <w:lang w:val="fr-FR"/>
        </w:rPr>
        <w:t xml:space="preserve">, 1971, vol. </w:t>
      </w:r>
      <w:r>
        <w:t xml:space="preserve">II-1, </w:t>
      </w:r>
      <w:r w:rsidRPr="000C0108">
        <w:t xml:space="preserve">p. 222, par. 43; MORELLI, </w:t>
      </w:r>
      <w:r w:rsidRPr="00F30B02">
        <w:rPr>
          <w:i/>
        </w:rPr>
        <w:t>Nozioni di diritto internazionale</w:t>
      </w:r>
      <w:r w:rsidRPr="000C0108">
        <w:t>, 7ᵃed., Padova, 1967, p. 356 ss</w:t>
      </w:r>
      <w:r w:rsidRPr="00725A42">
        <w:t xml:space="preserve">. Il diritto di infliggere una sanzione allo Stato responsabile può in alcune circostanze essere esercitato anche da Stati terzi. </w:t>
      </w:r>
      <w:r w:rsidRPr="00725A42">
        <w:rPr>
          <w:lang w:val="fr-FR"/>
        </w:rPr>
        <w:t xml:space="preserve">Si veda a tal proposito DUPUY, </w:t>
      </w:r>
      <w:r w:rsidRPr="00725A42">
        <w:rPr>
          <w:i/>
          <w:lang w:val="fr-FR"/>
        </w:rPr>
        <w:t>Le fait générateur de la responsabilité internationale des Etats</w:t>
      </w:r>
      <w:r w:rsidRPr="00725A42">
        <w:rPr>
          <w:lang w:val="fr-FR"/>
        </w:rPr>
        <w:t xml:space="preserve">, in </w:t>
      </w:r>
      <w:r w:rsidRPr="00725A42">
        <w:rPr>
          <w:i/>
          <w:lang w:val="fr-FR"/>
        </w:rPr>
        <w:t>Recueil des cours</w:t>
      </w:r>
      <w:r w:rsidRPr="00725A42">
        <w:rPr>
          <w:lang w:val="fr-FR"/>
        </w:rPr>
        <w:t xml:space="preserve">, 1984-V, p. 25; ZEMANEK, </w:t>
      </w:r>
      <w:r w:rsidRPr="00725A42">
        <w:rPr>
          <w:i/>
          <w:lang w:val="fr-FR"/>
        </w:rPr>
        <w:t>La responsabilité des Etats pour faits international</w:t>
      </w:r>
      <w:r>
        <w:rPr>
          <w:i/>
          <w:lang w:val="fr-FR"/>
        </w:rPr>
        <w:t>e</w:t>
      </w:r>
      <w:r w:rsidRPr="00725A42">
        <w:rPr>
          <w:i/>
          <w:lang w:val="fr-FR"/>
        </w:rPr>
        <w:t>ment illicites, ainsi que pour faits international</w:t>
      </w:r>
      <w:r>
        <w:rPr>
          <w:i/>
          <w:lang w:val="fr-FR"/>
        </w:rPr>
        <w:t>e</w:t>
      </w:r>
      <w:r w:rsidRPr="00725A42">
        <w:rPr>
          <w:i/>
          <w:lang w:val="fr-FR"/>
        </w:rPr>
        <w:t>ment licites</w:t>
      </w:r>
      <w:r w:rsidRPr="00725A42">
        <w:rPr>
          <w:lang w:val="fr-FR"/>
        </w:rPr>
        <w:t xml:space="preserve">, Institut des Hautes Etudes Internationales </w:t>
      </w:r>
      <w:r w:rsidRPr="004A502A">
        <w:rPr>
          <w:lang w:val="fr-FR"/>
        </w:rPr>
        <w:t xml:space="preserve">de Paris, Cours et travaux, </w:t>
      </w:r>
      <w:r w:rsidRPr="004A502A">
        <w:rPr>
          <w:i/>
          <w:lang w:val="fr-FR"/>
        </w:rPr>
        <w:t>Responsabilité internationale</w:t>
      </w:r>
      <w:r w:rsidRPr="004A502A">
        <w:rPr>
          <w:lang w:val="fr-FR"/>
        </w:rPr>
        <w:t xml:space="preserve">, Paris, 1987, p. 60. </w:t>
      </w:r>
    </w:p>
  </w:footnote>
  <w:footnote w:id="9">
    <w:p w:rsidR="003D54BB" w:rsidRPr="004A502A" w:rsidRDefault="003D54BB" w:rsidP="00CA5718">
      <w:pPr>
        <w:pStyle w:val="Testonotaapidipagina"/>
        <w:jc w:val="both"/>
      </w:pPr>
      <w:r w:rsidRPr="004A502A">
        <w:rPr>
          <w:rStyle w:val="Rimandonotaapidipagina"/>
        </w:rPr>
        <w:footnoteRef/>
      </w:r>
      <w:r w:rsidRPr="004A502A">
        <w:t xml:space="preserve"> Si tratta della parafrasi di una famosa formula utilizzata dalla Corte Permanente di Giustizia Internazionale nel caso </w:t>
      </w:r>
      <w:r w:rsidRPr="004A502A">
        <w:rPr>
          <w:i/>
        </w:rPr>
        <w:t>The SS Wimbledon</w:t>
      </w:r>
      <w:r w:rsidRPr="004A502A">
        <w:t xml:space="preserve">, </w:t>
      </w:r>
      <w:r w:rsidRPr="004A502A">
        <w:rPr>
          <w:i/>
        </w:rPr>
        <w:t>PCIJ Series</w:t>
      </w:r>
      <w:r w:rsidRPr="004A502A">
        <w:t xml:space="preserve"> A, No 1, p. 4, par. 25.</w:t>
      </w:r>
    </w:p>
  </w:footnote>
  <w:footnote w:id="10">
    <w:p w:rsidR="003D54BB" w:rsidRPr="00A5263A" w:rsidRDefault="003D54BB" w:rsidP="009B6C05">
      <w:pPr>
        <w:spacing w:after="0" w:line="240" w:lineRule="auto"/>
        <w:jc w:val="both"/>
        <w:rPr>
          <w:sz w:val="20"/>
          <w:szCs w:val="20"/>
          <w:lang w:val="en-US"/>
        </w:rPr>
      </w:pPr>
      <w:r w:rsidRPr="004A502A">
        <w:rPr>
          <w:rStyle w:val="Rimandonotaapidipagina"/>
        </w:rPr>
        <w:footnoteRef/>
      </w:r>
      <w:r w:rsidRPr="004A502A">
        <w:t xml:space="preserve"> </w:t>
      </w:r>
      <w:r w:rsidRPr="004A502A">
        <w:rPr>
          <w:sz w:val="20"/>
          <w:szCs w:val="20"/>
        </w:rPr>
        <w:t xml:space="preserve">Così ANZILOTTI, </w:t>
      </w:r>
      <w:r w:rsidRPr="004A502A">
        <w:rPr>
          <w:i/>
          <w:sz w:val="20"/>
          <w:szCs w:val="20"/>
        </w:rPr>
        <w:t>Teoria generale della responsabilità dello Stato nel diritto internazionale</w:t>
      </w:r>
      <w:r w:rsidRPr="004A502A">
        <w:rPr>
          <w:sz w:val="20"/>
          <w:szCs w:val="20"/>
        </w:rPr>
        <w:t>, Firenze, 1902 (ristampato a cura della SIOI in “</w:t>
      </w:r>
      <w:r w:rsidRPr="004A502A">
        <w:rPr>
          <w:i/>
          <w:sz w:val="20"/>
          <w:szCs w:val="20"/>
        </w:rPr>
        <w:t>Opere di D. Anzilotti</w:t>
      </w:r>
      <w:r w:rsidRPr="004A502A">
        <w:rPr>
          <w:sz w:val="20"/>
          <w:szCs w:val="20"/>
        </w:rPr>
        <w:t xml:space="preserve">”, vol. </w:t>
      </w:r>
      <w:r w:rsidRPr="004A502A">
        <w:rPr>
          <w:sz w:val="20"/>
          <w:szCs w:val="20"/>
          <w:lang w:val="en-US"/>
        </w:rPr>
        <w:t>II, tomo 1, Padova, 1956); KELSEN</w:t>
      </w:r>
      <w:r w:rsidRPr="004A502A">
        <w:rPr>
          <w:i/>
          <w:sz w:val="20"/>
          <w:szCs w:val="20"/>
          <w:lang w:val="en-US"/>
        </w:rPr>
        <w:t xml:space="preserve">, Unrecht </w:t>
      </w:r>
      <w:r w:rsidRPr="00A5263A">
        <w:rPr>
          <w:i/>
          <w:sz w:val="20"/>
          <w:szCs w:val="20"/>
          <w:lang w:val="en-US"/>
        </w:rPr>
        <w:t>und Unrechtfolge im Völkerrecht, Zeitschrift für öffentliches Recht</w:t>
      </w:r>
      <w:r w:rsidRPr="00A5263A">
        <w:rPr>
          <w:sz w:val="20"/>
          <w:szCs w:val="20"/>
          <w:lang w:val="en-US"/>
        </w:rPr>
        <w:t xml:space="preserve">, 1932; AMERASINGHE, </w:t>
      </w:r>
      <w:r w:rsidRPr="00A5263A">
        <w:rPr>
          <w:i/>
          <w:sz w:val="20"/>
          <w:szCs w:val="20"/>
          <w:lang w:val="en-US"/>
        </w:rPr>
        <w:t>State Responsibility for Injuries to Aliens</w:t>
      </w:r>
      <w:r w:rsidRPr="00A5263A">
        <w:rPr>
          <w:sz w:val="20"/>
          <w:szCs w:val="20"/>
          <w:lang w:val="en-US"/>
        </w:rPr>
        <w:t xml:space="preserve">, Oxford, 1967, p. 3; GRAEFRATH, OESER, STEINIGER, Völkerrechtliche Verantwortlichkeit des Staaten, Berlin, 1977; BROWNLIE, </w:t>
      </w:r>
      <w:r w:rsidRPr="00A5263A">
        <w:rPr>
          <w:i/>
          <w:sz w:val="20"/>
          <w:szCs w:val="20"/>
          <w:lang w:val="en-US"/>
        </w:rPr>
        <w:t>System of the Law of Nations, State Responsibility</w:t>
      </w:r>
      <w:r w:rsidRPr="00A5263A">
        <w:rPr>
          <w:sz w:val="20"/>
          <w:szCs w:val="20"/>
          <w:lang w:val="en-US"/>
        </w:rPr>
        <w:t xml:space="preserve">, I, Oxford, 1983; CRAWFORD, </w:t>
      </w:r>
      <w:r w:rsidRPr="00A5263A">
        <w:rPr>
          <w:i/>
          <w:sz w:val="20"/>
          <w:szCs w:val="20"/>
          <w:lang w:val="en-US"/>
        </w:rPr>
        <w:t>State Responsibility: General Part</w:t>
      </w:r>
      <w:r w:rsidRPr="00A5263A">
        <w:rPr>
          <w:sz w:val="20"/>
          <w:szCs w:val="20"/>
          <w:lang w:val="en-US"/>
        </w:rPr>
        <w:t>, Cambridge, 2013.</w:t>
      </w:r>
    </w:p>
  </w:footnote>
  <w:footnote w:id="11">
    <w:p w:rsidR="003D54BB" w:rsidRPr="00A5263A" w:rsidRDefault="003D54BB" w:rsidP="003E0796">
      <w:pPr>
        <w:pStyle w:val="Testonotaapidipagina"/>
        <w:jc w:val="both"/>
        <w:rPr>
          <w:lang w:val="fr-FR"/>
        </w:rPr>
      </w:pPr>
      <w:r w:rsidRPr="00A5263A">
        <w:rPr>
          <w:rStyle w:val="Rimandonotaapidipagina"/>
        </w:rPr>
        <w:footnoteRef/>
      </w:r>
      <w:r w:rsidRPr="00A5263A">
        <w:rPr>
          <w:lang w:val="fr-FR"/>
        </w:rPr>
        <w:t xml:space="preserve"> AGO, </w:t>
      </w:r>
      <w:r w:rsidRPr="00A5263A">
        <w:rPr>
          <w:i/>
          <w:lang w:val="fr-FR"/>
        </w:rPr>
        <w:t>Troisième rapport</w:t>
      </w:r>
      <w:r w:rsidRPr="00A5263A">
        <w:rPr>
          <w:lang w:val="fr-FR"/>
        </w:rPr>
        <w:t>, cit., p. 205, par. 30.</w:t>
      </w:r>
    </w:p>
  </w:footnote>
  <w:footnote w:id="12">
    <w:p w:rsidR="003D54BB" w:rsidRDefault="003D54BB" w:rsidP="003E0796">
      <w:pPr>
        <w:pStyle w:val="Testonotaapidipagina"/>
        <w:jc w:val="both"/>
      </w:pPr>
      <w:r w:rsidRPr="00A5263A">
        <w:rPr>
          <w:rStyle w:val="Rimandonotaapidipagina"/>
        </w:rPr>
        <w:footnoteRef/>
      </w:r>
      <w:r w:rsidRPr="00A5263A">
        <w:t xml:space="preserve"> Vedi </w:t>
      </w:r>
      <w:r w:rsidRPr="00A5263A">
        <w:rPr>
          <w:i/>
        </w:rPr>
        <w:t>infra</w:t>
      </w:r>
      <w:r w:rsidRPr="00A5263A">
        <w:t>, p. 16.</w:t>
      </w:r>
    </w:p>
  </w:footnote>
  <w:footnote w:id="13">
    <w:p w:rsidR="003D54BB" w:rsidRPr="005836DA" w:rsidRDefault="003D54BB" w:rsidP="003E0796">
      <w:pPr>
        <w:pStyle w:val="Testonotaapidipagina"/>
        <w:jc w:val="both"/>
      </w:pPr>
      <w:r>
        <w:rPr>
          <w:rStyle w:val="Rimandonotaapidipagina"/>
        </w:rPr>
        <w:footnoteRef/>
      </w:r>
      <w:r>
        <w:t xml:space="preserve"> Si vedano, tra gli altri, FIORE, </w:t>
      </w:r>
      <w:r w:rsidRPr="003E0796">
        <w:rPr>
          <w:i/>
        </w:rPr>
        <w:t>Il diritto internazionale codificato e la sua sanzione giuridica</w:t>
      </w:r>
      <w:r>
        <w:t>, 5</w:t>
      </w:r>
      <w:r w:rsidRPr="00275F63">
        <w:rPr>
          <w:sz w:val="24"/>
          <w:szCs w:val="24"/>
        </w:rPr>
        <w:t xml:space="preserve"> ͣ</w:t>
      </w:r>
      <w:r w:rsidRPr="00275F63">
        <w:t xml:space="preserve">ed., vol. </w:t>
      </w:r>
      <w:r w:rsidRPr="00FB5D3F">
        <w:rPr>
          <w:lang w:val="fr-FR"/>
        </w:rPr>
        <w:t>I, Napoli, 1915, pp. 303-304</w:t>
      </w:r>
      <w:r>
        <w:rPr>
          <w:lang w:val="fr-FR"/>
        </w:rPr>
        <w:t xml:space="preserve">; </w:t>
      </w:r>
      <w:r w:rsidRPr="00883CCB">
        <w:rPr>
          <w:lang w:val="fr-FR"/>
        </w:rPr>
        <w:t xml:space="preserve">FAUCHILLE, </w:t>
      </w:r>
      <w:r w:rsidRPr="00883CCB">
        <w:rPr>
          <w:i/>
          <w:lang w:val="fr-FR"/>
        </w:rPr>
        <w:t>Traité de droit international public</w:t>
      </w:r>
      <w:r w:rsidRPr="00883CCB">
        <w:rPr>
          <w:lang w:val="fr-FR"/>
        </w:rPr>
        <w:t xml:space="preserve">, Tome I, Paris, 1922, pp. 521-522; </w:t>
      </w:r>
      <w:r>
        <w:rPr>
          <w:lang w:val="fr-FR"/>
        </w:rPr>
        <w:t>RÉGLADE</w:t>
      </w:r>
      <w:r w:rsidRPr="00FB5D3F">
        <w:rPr>
          <w:lang w:val="fr-FR"/>
        </w:rPr>
        <w:t xml:space="preserve">, </w:t>
      </w:r>
      <w:r w:rsidRPr="00FB5D3F">
        <w:rPr>
          <w:i/>
          <w:lang w:val="fr-FR"/>
        </w:rPr>
        <w:t>Les perspectives qui ouvrent les doctrines objectivistes du doyen Duguit pour un renouvellement de l’étude du droit international public</w:t>
      </w:r>
      <w:r>
        <w:rPr>
          <w:lang w:val="fr-FR"/>
        </w:rPr>
        <w:t xml:space="preserve">, </w:t>
      </w:r>
      <w:r w:rsidRPr="0038543F">
        <w:rPr>
          <w:i/>
          <w:lang w:val="fr-FR"/>
        </w:rPr>
        <w:t>Revue général</w:t>
      </w:r>
      <w:r>
        <w:rPr>
          <w:i/>
          <w:lang w:val="fr-FR"/>
        </w:rPr>
        <w:t>e de droit international public</w:t>
      </w:r>
      <w:r>
        <w:rPr>
          <w:lang w:val="fr-FR"/>
        </w:rPr>
        <w:t xml:space="preserve">, 1930, pp. 381-419; GOLDIE, </w:t>
      </w:r>
      <w:r w:rsidRPr="00883CCB">
        <w:rPr>
          <w:i/>
          <w:lang w:val="fr-FR"/>
        </w:rPr>
        <w:t>Special Regimes and Pre-emptive Activities in International Law</w:t>
      </w:r>
      <w:r>
        <w:rPr>
          <w:lang w:val="fr-FR"/>
        </w:rPr>
        <w:t xml:space="preserve">, </w:t>
      </w:r>
      <w:r w:rsidRPr="00883CCB">
        <w:rPr>
          <w:i/>
          <w:lang w:val="fr-FR"/>
        </w:rPr>
        <w:t>The International and Comparative Law Quarterly</w:t>
      </w:r>
      <w:r>
        <w:rPr>
          <w:lang w:val="fr-FR"/>
        </w:rPr>
        <w:t xml:space="preserve">, vol. </w:t>
      </w:r>
      <w:r w:rsidRPr="005836DA">
        <w:rPr>
          <w:lang w:val="fr-FR"/>
        </w:rPr>
        <w:t xml:space="preserve">II, 1962, p. 670 ss.; ID., </w:t>
      </w:r>
      <w:r w:rsidRPr="005836DA">
        <w:rPr>
          <w:i/>
          <w:lang w:val="fr-FR"/>
        </w:rPr>
        <w:t>Liability for Damage and the Progressive Development of International Law</w:t>
      </w:r>
      <w:r w:rsidRPr="005836DA">
        <w:rPr>
          <w:lang w:val="fr-FR"/>
        </w:rPr>
        <w:t xml:space="preserve">, ivi, 1965, p. 1189 ss.; ID., </w:t>
      </w:r>
      <w:r w:rsidRPr="005836DA">
        <w:rPr>
          <w:i/>
          <w:lang w:val="fr-FR"/>
        </w:rPr>
        <w:t>Concepts of Strict and Absolute Liability and the Ranking of Liability in terms of Relative Exposure to Risk</w:t>
      </w:r>
      <w:r>
        <w:rPr>
          <w:lang w:val="fr-FR"/>
        </w:rPr>
        <w:t xml:space="preserve">, </w:t>
      </w:r>
      <w:r w:rsidRPr="005836DA">
        <w:rPr>
          <w:i/>
          <w:lang w:val="fr-FR"/>
        </w:rPr>
        <w:t>Netherlands International Law Review</w:t>
      </w:r>
      <w:r w:rsidRPr="005836DA">
        <w:rPr>
          <w:lang w:val="fr-FR"/>
        </w:rPr>
        <w:t xml:space="preserve">, vol. 16, 1985, p. 175 ss.; JENKS, </w:t>
      </w:r>
      <w:r w:rsidRPr="005836DA">
        <w:rPr>
          <w:i/>
          <w:lang w:val="fr-FR"/>
        </w:rPr>
        <w:t xml:space="preserve">Liability for Ultra-Hazardous Activities in </w:t>
      </w:r>
      <w:r w:rsidRPr="0049022B">
        <w:rPr>
          <w:i/>
          <w:lang w:val="fr-FR"/>
        </w:rPr>
        <w:t>International Law</w:t>
      </w:r>
      <w:r w:rsidRPr="0049022B">
        <w:rPr>
          <w:lang w:val="fr-FR"/>
        </w:rPr>
        <w:t xml:space="preserve">, in </w:t>
      </w:r>
      <w:r w:rsidRPr="0049022B">
        <w:rPr>
          <w:i/>
          <w:lang w:val="fr-FR"/>
        </w:rPr>
        <w:t>Recueil des cours</w:t>
      </w:r>
      <w:r w:rsidRPr="0049022B">
        <w:rPr>
          <w:lang w:val="fr-FR"/>
        </w:rPr>
        <w:t xml:space="preserve">, 1966, I, p. 99 ss.;  DUPUY, </w:t>
      </w:r>
      <w:r w:rsidRPr="0049022B">
        <w:rPr>
          <w:i/>
          <w:lang w:val="fr-FR"/>
        </w:rPr>
        <w:t>La responsabilité international des Etats pour les dommages d’origine technologique et industrielle</w:t>
      </w:r>
      <w:r w:rsidRPr="0049022B">
        <w:rPr>
          <w:lang w:val="fr-FR"/>
        </w:rPr>
        <w:t xml:space="preserve">, Paris, Pedone, 1977, p. 170; POLITI, </w:t>
      </w:r>
      <w:r w:rsidRPr="0049022B">
        <w:rPr>
          <w:i/>
          <w:lang w:val="fr-FR"/>
        </w:rPr>
        <w:t>Miniere d’Uranio nelle Alpi Marittime, inquinamento transfrontaliero e tutela internazionale dell’ambiente</w:t>
      </w:r>
      <w:r>
        <w:rPr>
          <w:lang w:val="fr-FR"/>
        </w:rPr>
        <w:t xml:space="preserve">, </w:t>
      </w:r>
      <w:r w:rsidRPr="0049022B">
        <w:rPr>
          <w:i/>
          <w:lang w:val="fr-FR"/>
        </w:rPr>
        <w:t>Rivista di diritto internazionale privato e processuale</w:t>
      </w:r>
      <w:r w:rsidRPr="0049022B">
        <w:rPr>
          <w:lang w:val="fr-FR"/>
        </w:rPr>
        <w:t xml:space="preserve">, 1981, p. 541 ss. ; PISILLO MAZZESCHI, “Due diligence” </w:t>
      </w:r>
      <w:r w:rsidRPr="0049022B">
        <w:rPr>
          <w:i/>
          <w:lang w:val="fr-FR"/>
        </w:rPr>
        <w:t>e responsabilità internazionale degli Stati</w:t>
      </w:r>
      <w:r w:rsidRPr="0049022B">
        <w:rPr>
          <w:lang w:val="fr-FR"/>
        </w:rPr>
        <w:t xml:space="preserve">, Milano, 1989, p. 128 ss. </w:t>
      </w:r>
      <w:r w:rsidRPr="005836DA">
        <w:t>Buona parte della dottrina internazionalstica si oppone alla tendenza favorevole ad affermare</w:t>
      </w:r>
      <w:r>
        <w:t xml:space="preserve"> forme di responsabilità senza illecito. Si vedano, tra gli altri, QUADRI, </w:t>
      </w:r>
      <w:r w:rsidRPr="00481500">
        <w:rPr>
          <w:i/>
        </w:rPr>
        <w:t>Diritto internazionale pubblico</w:t>
      </w:r>
      <w:r>
        <w:t>, 5</w:t>
      </w:r>
      <w:r w:rsidRPr="009E48CC">
        <w:t xml:space="preserve"> ͣ</w:t>
      </w:r>
      <w:r>
        <w:t xml:space="preserve"> ed., Napoli, 1968, pp. 590-507; ID., </w:t>
      </w:r>
      <w:r w:rsidRPr="00481500">
        <w:rPr>
          <w:i/>
        </w:rPr>
        <w:t>Cours général de droit international public</w:t>
      </w:r>
      <w:r>
        <w:t xml:space="preserve">, in </w:t>
      </w:r>
      <w:r w:rsidRPr="00481500">
        <w:rPr>
          <w:i/>
        </w:rPr>
        <w:t>Recueil des Cours</w:t>
      </w:r>
      <w:r>
        <w:t xml:space="preserve">, 1964, p. 461 ss; CONFORTI, </w:t>
      </w:r>
      <w:r w:rsidRPr="00481500">
        <w:rPr>
          <w:i/>
        </w:rPr>
        <w:t>Diritto internazionale</w:t>
      </w:r>
      <w:r>
        <w:t>, 7  ͣ ed., Napoli, 2012, pp. 407-410.</w:t>
      </w:r>
    </w:p>
  </w:footnote>
  <w:footnote w:id="14">
    <w:p w:rsidR="003D54BB" w:rsidRPr="00C94EAE" w:rsidRDefault="003D54BB" w:rsidP="003E0796">
      <w:pPr>
        <w:pStyle w:val="Testonotaapidipagina"/>
        <w:jc w:val="both"/>
      </w:pPr>
      <w:r>
        <w:rPr>
          <w:rStyle w:val="Rimandonotaapidipagina"/>
        </w:rPr>
        <w:footnoteRef/>
      </w:r>
      <w:r w:rsidRPr="00481500">
        <w:t xml:space="preserve"> Saranno di seguito presi in considerazione esclusivamente i tentativi di codificazione utili </w:t>
      </w:r>
      <w:r>
        <w:t>ai fini della presente ricerca</w:t>
      </w:r>
      <w:r w:rsidRPr="00C94EAE">
        <w:t xml:space="preserve">. </w:t>
      </w:r>
      <w:r w:rsidRPr="00AC602E">
        <w:t xml:space="preserve">Per un elenco dettagliato dei numerosi lavori di codificazione si veda  AGO, </w:t>
      </w:r>
      <w:r w:rsidRPr="00AC602E">
        <w:rPr>
          <w:i/>
        </w:rPr>
        <w:t>Premier rapport sur la responsabilité des Etats</w:t>
      </w:r>
      <w:r w:rsidRPr="00AC602E">
        <w:t xml:space="preserve">, </w:t>
      </w:r>
      <w:r w:rsidRPr="00AC602E">
        <w:rPr>
          <w:i/>
        </w:rPr>
        <w:t>Historique de l’oeuvre accomplie jusqu’ici en ce qui concerne la responsabilité internationale des Etats</w:t>
      </w:r>
      <w:r w:rsidRPr="00AC602E">
        <w:t xml:space="preserve">, in </w:t>
      </w:r>
      <w:r w:rsidRPr="00AC602E">
        <w:rPr>
          <w:i/>
        </w:rPr>
        <w:t>Annuaire de la Commission du droit international</w:t>
      </w:r>
      <w:r w:rsidRPr="00AC602E">
        <w:t xml:space="preserve">,1969, vol. </w:t>
      </w:r>
      <w:r w:rsidRPr="00C94EAE">
        <w:t>II, pp. 131-146, par. 7-107.</w:t>
      </w:r>
    </w:p>
  </w:footnote>
  <w:footnote w:id="15">
    <w:p w:rsidR="003D54BB" w:rsidRPr="00C94EAE" w:rsidRDefault="003D54BB" w:rsidP="00CA5718">
      <w:pPr>
        <w:pStyle w:val="Testonotaapidipagina"/>
        <w:jc w:val="both"/>
      </w:pPr>
      <w:r>
        <w:rPr>
          <w:rStyle w:val="Rimandonotaapidipagina"/>
        </w:rPr>
        <w:footnoteRef/>
      </w:r>
      <w:r>
        <w:t xml:space="preserve"> </w:t>
      </w:r>
      <w:r w:rsidRPr="00C94EAE">
        <w:t>Per un esame dell’opera di codificazione della materia si vedano AGO, op. ult. cit., p. 131, par. 5</w:t>
      </w:r>
      <w:r>
        <w:t xml:space="preserve">, ripubblicato in </w:t>
      </w:r>
      <w:r w:rsidRPr="00AC602E">
        <w:rPr>
          <w:i/>
        </w:rPr>
        <w:t>Annuaire de la Commission du droit international</w:t>
      </w:r>
      <w:r>
        <w:t>, 1962, vol. 2, p. 129 ss.</w:t>
      </w:r>
      <w:r w:rsidRPr="00C94EAE">
        <w:t xml:space="preserve">; AGO, </w:t>
      </w:r>
      <w:r w:rsidRPr="00C94EAE">
        <w:rPr>
          <w:i/>
        </w:rPr>
        <w:t>Scritti sulla responsabilità internazionale degli Stati</w:t>
      </w:r>
      <w:r w:rsidRPr="00C94EAE">
        <w:t>, Napoli, 1979-1986</w:t>
      </w:r>
      <w:r>
        <w:t xml:space="preserve">; </w:t>
      </w:r>
      <w:r w:rsidRPr="00C94EAE">
        <w:t xml:space="preserve">SPINEDI &amp; SIMMA, </w:t>
      </w:r>
      <w:r w:rsidRPr="00C94EAE">
        <w:rPr>
          <w:i/>
        </w:rPr>
        <w:t>United Nations Codification of State Responsibility</w:t>
      </w:r>
      <w:r w:rsidRPr="00C94EAE">
        <w:t>, New York, 1987</w:t>
      </w:r>
      <w:r>
        <w:t xml:space="preserve">; </w:t>
      </w:r>
      <w:r w:rsidRPr="00C94EAE">
        <w:t xml:space="preserve">REUTER, </w:t>
      </w:r>
      <w:r w:rsidRPr="00C94EAE">
        <w:rPr>
          <w:i/>
        </w:rPr>
        <w:t>Trois observations sur la codification de la responsabilité internationale des Etats pour fait illicite</w:t>
      </w:r>
      <w:r w:rsidRPr="00C94EAE">
        <w:t xml:space="preserve">, in </w:t>
      </w:r>
      <w:r w:rsidRPr="00C94EAE">
        <w:rPr>
          <w:i/>
        </w:rPr>
        <w:t>Mélanges Virally</w:t>
      </w:r>
      <w:r>
        <w:t>, Paris, 1991.</w:t>
      </w:r>
    </w:p>
  </w:footnote>
  <w:footnote w:id="16">
    <w:p w:rsidR="003D54BB" w:rsidRPr="00C94EAE" w:rsidRDefault="003D54BB" w:rsidP="00CA5718">
      <w:pPr>
        <w:pStyle w:val="Testonotaapidipagina"/>
        <w:jc w:val="both"/>
        <w:rPr>
          <w:lang w:val="en-US"/>
        </w:rPr>
      </w:pPr>
      <w:r>
        <w:rPr>
          <w:rStyle w:val="Rimandonotaapidipagina"/>
        </w:rPr>
        <w:footnoteRef/>
      </w:r>
      <w:r w:rsidRPr="00877ADE">
        <w:rPr>
          <w:lang w:val="en-US"/>
        </w:rPr>
        <w:t xml:space="preserve"> </w:t>
      </w:r>
      <w:r w:rsidRPr="00C94EAE">
        <w:rPr>
          <w:i/>
          <w:lang w:val="en-US"/>
        </w:rPr>
        <w:t xml:space="preserve">Draft Code of International Law, The International Law Association </w:t>
      </w:r>
      <w:r w:rsidRPr="00C94EAE">
        <w:rPr>
          <w:lang w:val="en-US"/>
        </w:rPr>
        <w:t xml:space="preserve">1926, </w:t>
      </w:r>
      <w:r w:rsidRPr="00C94EAE">
        <w:rPr>
          <w:i/>
          <w:lang w:val="en-US"/>
        </w:rPr>
        <w:t>Report of the Thirty-fourth Conference (August 5</w:t>
      </w:r>
      <w:r w:rsidRPr="00C94EAE">
        <w:rPr>
          <w:rFonts w:cstheme="minorHAnsi"/>
          <w:i/>
          <w:lang w:val="en-US"/>
        </w:rPr>
        <w:t>ᵗʰ to August 11ᵗʰ),</w:t>
      </w:r>
      <w:r w:rsidRPr="00C94EAE">
        <w:rPr>
          <w:lang w:val="en-US"/>
        </w:rPr>
        <w:t xml:space="preserve"> London, 1927, pp. 382-383.</w:t>
      </w:r>
    </w:p>
  </w:footnote>
  <w:footnote w:id="17">
    <w:p w:rsidR="003D54BB" w:rsidRPr="00C0297E" w:rsidRDefault="003D54BB" w:rsidP="00CA5718">
      <w:pPr>
        <w:pStyle w:val="Testonotaapidipagina"/>
        <w:jc w:val="both"/>
        <w:rPr>
          <w:lang w:val="fr-FR"/>
        </w:rPr>
      </w:pPr>
      <w:r>
        <w:rPr>
          <w:rStyle w:val="Rimandonotaapidipagina"/>
        </w:rPr>
        <w:footnoteRef/>
      </w:r>
      <w:r w:rsidRPr="008F2179">
        <w:rPr>
          <w:lang w:val="fr-FR"/>
        </w:rPr>
        <w:t xml:space="preserve"> </w:t>
      </w:r>
      <w:r w:rsidRPr="00C94EAE">
        <w:rPr>
          <w:i/>
          <w:lang w:val="fr-FR"/>
        </w:rPr>
        <w:t>Annuaire de l’Institut de Droit International,</w:t>
      </w:r>
      <w:r w:rsidRPr="00C94EAE">
        <w:rPr>
          <w:lang w:val="fr-FR"/>
        </w:rPr>
        <w:t>1969, vol. II, Annexe II, p. 142 ss</w:t>
      </w:r>
      <w:r w:rsidRPr="00C0297E">
        <w:rPr>
          <w:sz w:val="18"/>
          <w:szCs w:val="18"/>
          <w:lang w:val="fr-FR"/>
        </w:rPr>
        <w:t>.</w:t>
      </w:r>
    </w:p>
  </w:footnote>
  <w:footnote w:id="18">
    <w:p w:rsidR="003D54BB" w:rsidRPr="0059705D" w:rsidRDefault="003D54BB" w:rsidP="00CA5718">
      <w:pPr>
        <w:pStyle w:val="Testonotaapidipagina"/>
        <w:jc w:val="both"/>
        <w:rPr>
          <w:lang w:val="en-US"/>
        </w:rPr>
      </w:pPr>
      <w:r>
        <w:rPr>
          <w:rStyle w:val="Rimandonotaapidipagina"/>
        </w:rPr>
        <w:footnoteRef/>
      </w:r>
      <w:r w:rsidRPr="0059705D">
        <w:rPr>
          <w:lang w:val="en-US"/>
        </w:rPr>
        <w:t xml:space="preserve"> </w:t>
      </w:r>
      <w:r w:rsidRPr="00C94EAE">
        <w:rPr>
          <w:i/>
          <w:lang w:val="en-US"/>
        </w:rPr>
        <w:t>American Journal of International Law</w:t>
      </w:r>
      <w:r w:rsidRPr="00C94EAE">
        <w:rPr>
          <w:lang w:val="en-US"/>
        </w:rPr>
        <w:t>,</w:t>
      </w:r>
      <w:r w:rsidRPr="00C94EAE">
        <w:rPr>
          <w:i/>
          <w:lang w:val="en-US"/>
        </w:rPr>
        <w:t xml:space="preserve"> </w:t>
      </w:r>
      <w:r w:rsidRPr="00C94EAE">
        <w:rPr>
          <w:lang w:val="en-US"/>
        </w:rPr>
        <w:t xml:space="preserve">1929, </w:t>
      </w:r>
      <w:r w:rsidRPr="00C94EAE">
        <w:rPr>
          <w:i/>
          <w:lang w:val="en-US"/>
        </w:rPr>
        <w:t>Special Supplement</w:t>
      </w:r>
      <w:r w:rsidRPr="00C94EAE">
        <w:rPr>
          <w:lang w:val="en-US"/>
        </w:rPr>
        <w:t>, vol. 23, pp. 131-218</w:t>
      </w:r>
      <w:r w:rsidRPr="0059705D">
        <w:rPr>
          <w:sz w:val="18"/>
          <w:szCs w:val="18"/>
          <w:lang w:val="en-US"/>
        </w:rPr>
        <w:t>.</w:t>
      </w:r>
    </w:p>
  </w:footnote>
  <w:footnote w:id="19">
    <w:p w:rsidR="003D54BB" w:rsidRPr="00C94EAE" w:rsidRDefault="003D54BB" w:rsidP="00CA5718">
      <w:pPr>
        <w:pStyle w:val="Testonotaapidipagina"/>
        <w:jc w:val="both"/>
      </w:pPr>
      <w:r>
        <w:rPr>
          <w:rStyle w:val="Rimandonotaapidipagina"/>
        </w:rPr>
        <w:footnoteRef/>
      </w:r>
      <w:r w:rsidRPr="009F5B3E">
        <w:rPr>
          <w:lang w:val="en-US"/>
        </w:rPr>
        <w:t xml:space="preserve"> </w:t>
      </w:r>
      <w:r w:rsidRPr="00C94EAE">
        <w:rPr>
          <w:i/>
          <w:lang w:val="en-US"/>
        </w:rPr>
        <w:t>Entwurf eines Abkommens über die Verantwortlichkeit der Staaten für die Schädigungen von Person und Vermögen fremder Staatsangehöriger auf ihrem Gebiete</w:t>
      </w:r>
      <w:r w:rsidRPr="00C94EAE">
        <w:rPr>
          <w:lang w:val="en-US"/>
        </w:rPr>
        <w:t xml:space="preserve">, testo originale riprodotto in VON MÜNCH, </w:t>
      </w:r>
      <w:r w:rsidRPr="00C94EAE">
        <w:rPr>
          <w:i/>
          <w:lang w:val="en-US"/>
        </w:rPr>
        <w:t>Das Völkerrechtliche Delikt in der moderner Entwicklung der Völkerrechtsgemeinschaft,</w:t>
      </w:r>
      <w:r w:rsidRPr="00C94EAE">
        <w:rPr>
          <w:lang w:val="en-US"/>
        </w:rPr>
        <w:t xml:space="preserve"> Frankfurt, 1963, pp. 327-332.</w:t>
      </w:r>
      <w:r w:rsidRPr="00C94EAE">
        <w:rPr>
          <w:i/>
          <w:lang w:val="en-US"/>
        </w:rPr>
        <w:t xml:space="preserve"> </w:t>
      </w:r>
      <w:r w:rsidRPr="00C94EAE">
        <w:t xml:space="preserve">Per la traduzione in francese si veda AGO, </w:t>
      </w:r>
      <w:r w:rsidRPr="00C94EAE">
        <w:rPr>
          <w:i/>
        </w:rPr>
        <w:t>Premier Rapport</w:t>
      </w:r>
      <w:r w:rsidRPr="00C94EAE">
        <w:t>, cit., pp. 155-157.</w:t>
      </w:r>
    </w:p>
  </w:footnote>
  <w:footnote w:id="20">
    <w:p w:rsidR="003D54BB" w:rsidRPr="006A5387" w:rsidRDefault="003D54BB" w:rsidP="005A15CF">
      <w:pPr>
        <w:pStyle w:val="Testonotaapidipagina"/>
        <w:jc w:val="both"/>
        <w:rPr>
          <w:lang w:val="en-US"/>
        </w:rPr>
      </w:pPr>
      <w:r>
        <w:rPr>
          <w:rStyle w:val="Rimandonotaapidipagina"/>
        </w:rPr>
        <w:footnoteRef/>
      </w:r>
      <w:r w:rsidRPr="006A5387">
        <w:rPr>
          <w:lang w:val="en-US"/>
        </w:rPr>
        <w:t xml:space="preserve"> </w:t>
      </w:r>
      <w:r w:rsidRPr="00C255D2">
        <w:rPr>
          <w:i/>
          <w:lang w:val="en-US"/>
        </w:rPr>
        <w:t>American Journal of International Law</w:t>
      </w:r>
      <w:r>
        <w:rPr>
          <w:lang w:val="en-US"/>
        </w:rPr>
        <w:t>, 1961</w:t>
      </w:r>
      <w:r w:rsidRPr="00C255D2">
        <w:rPr>
          <w:lang w:val="en-US"/>
        </w:rPr>
        <w:t>, pp. 545-584</w:t>
      </w:r>
      <w:r w:rsidRPr="006F4837">
        <w:rPr>
          <w:sz w:val="18"/>
          <w:szCs w:val="18"/>
          <w:lang w:val="en-US"/>
        </w:rPr>
        <w:t>.</w:t>
      </w:r>
    </w:p>
  </w:footnote>
  <w:footnote w:id="21">
    <w:p w:rsidR="003D54BB" w:rsidRPr="00C255D2" w:rsidRDefault="003D54BB" w:rsidP="005A15CF">
      <w:pPr>
        <w:pStyle w:val="Testonotaapidipagina"/>
        <w:jc w:val="both"/>
      </w:pPr>
      <w:r>
        <w:rPr>
          <w:rStyle w:val="Rimandonotaapidipagina"/>
        </w:rPr>
        <w:footnoteRef/>
      </w:r>
      <w:r>
        <w:t xml:space="preserve"> </w:t>
      </w:r>
      <w:r w:rsidRPr="00C255D2">
        <w:t xml:space="preserve">Gli articoli più significativi del progetto sono riprodotti in WHITEMAN, </w:t>
      </w:r>
      <w:r w:rsidRPr="00C255D2">
        <w:rPr>
          <w:i/>
        </w:rPr>
        <w:t>Digest of International Law</w:t>
      </w:r>
      <w:r w:rsidRPr="00C255D2">
        <w:t xml:space="preserve">, vol. 8, Washington, 1967, p. 810. Una versione revisionata del progetto sotto il nome di </w:t>
      </w:r>
      <w:r w:rsidRPr="00C255D2">
        <w:rPr>
          <w:i/>
        </w:rPr>
        <w:t>Restatement of the</w:t>
      </w:r>
      <w:r w:rsidRPr="00C255D2">
        <w:t xml:space="preserve"> </w:t>
      </w:r>
      <w:r w:rsidRPr="00C255D2">
        <w:rPr>
          <w:i/>
        </w:rPr>
        <w:t>Law</w:t>
      </w:r>
      <w:r w:rsidRPr="00C255D2">
        <w:t xml:space="preserve"> è stata adottata dall’Istituto nel 1986 ed è rinvenibile in </w:t>
      </w:r>
      <w:r w:rsidRPr="00C255D2">
        <w:rPr>
          <w:i/>
        </w:rPr>
        <w:t>The Foreign Relations Law of the United States</w:t>
      </w:r>
      <w:r w:rsidRPr="00C255D2">
        <w:t>, St. Paul, Minn., 1987, vol. 1.</w:t>
      </w:r>
    </w:p>
  </w:footnote>
  <w:footnote w:id="22">
    <w:p w:rsidR="003D54BB" w:rsidRPr="00605693" w:rsidRDefault="003D54BB" w:rsidP="005A15CF">
      <w:pPr>
        <w:pStyle w:val="Testonotaapidipagina"/>
        <w:jc w:val="both"/>
        <w:rPr>
          <w:lang w:val="nl-NL"/>
        </w:rPr>
      </w:pPr>
      <w:r>
        <w:rPr>
          <w:rStyle w:val="Rimandonotaapidipagina"/>
        </w:rPr>
        <w:footnoteRef/>
      </w:r>
      <w:r w:rsidRPr="00605693">
        <w:rPr>
          <w:lang w:val="nl-NL"/>
        </w:rPr>
        <w:t xml:space="preserve"> </w:t>
      </w:r>
      <w:r w:rsidRPr="00605693">
        <w:rPr>
          <w:i/>
          <w:lang w:val="nl-NL"/>
        </w:rPr>
        <w:t>Entwurf eines Abkommens über völkerrechtliche Verantwortlichkeit</w:t>
      </w:r>
      <w:r w:rsidRPr="00605693">
        <w:rPr>
          <w:lang w:val="nl-NL"/>
        </w:rPr>
        <w:t xml:space="preserve">, </w:t>
      </w:r>
      <w:r w:rsidRPr="00605693">
        <w:rPr>
          <w:i/>
          <w:lang w:val="nl-NL"/>
        </w:rPr>
        <w:t xml:space="preserve">Neue Justiz, </w:t>
      </w:r>
      <w:r w:rsidRPr="00605693">
        <w:rPr>
          <w:lang w:val="nl-NL"/>
        </w:rPr>
        <w:t>1973, vol. 27, pp. 227-228.</w:t>
      </w:r>
    </w:p>
  </w:footnote>
  <w:footnote w:id="23">
    <w:p w:rsidR="003D54BB" w:rsidRPr="00C255D2" w:rsidRDefault="003D54BB" w:rsidP="005A15CF">
      <w:pPr>
        <w:pStyle w:val="Testonotaapidipagina"/>
        <w:jc w:val="both"/>
      </w:pPr>
      <w:r>
        <w:rPr>
          <w:rStyle w:val="Rimandonotaapidipagina"/>
        </w:rPr>
        <w:footnoteRef/>
      </w:r>
      <w:r w:rsidRPr="00605693">
        <w:rPr>
          <w:lang w:val="nl-NL"/>
        </w:rPr>
        <w:t xml:space="preserve"> </w:t>
      </w:r>
      <w:r w:rsidRPr="00605693">
        <w:rPr>
          <w:i/>
          <w:lang w:val="nl-NL"/>
        </w:rPr>
        <w:t>Staatsvertrag, betreffend die Haftung eines Staates für völkeerrechtswidrige Handlungen</w:t>
      </w:r>
      <w:r w:rsidRPr="00605693">
        <w:rPr>
          <w:lang w:val="nl-NL"/>
        </w:rPr>
        <w:t xml:space="preserve">. </w:t>
      </w:r>
      <w:r w:rsidRPr="00C255D2">
        <w:t xml:space="preserve">Il testo originale è riprodotto in VON MÜNCH, op. cit., pp. 333-334. </w:t>
      </w:r>
    </w:p>
  </w:footnote>
  <w:footnote w:id="24">
    <w:p w:rsidR="003D54BB" w:rsidRPr="00605693" w:rsidRDefault="003D54BB" w:rsidP="005A15CF">
      <w:pPr>
        <w:pStyle w:val="Testonotaapidipagina"/>
        <w:jc w:val="both"/>
        <w:rPr>
          <w:i/>
          <w:lang w:val="nl-NL"/>
        </w:rPr>
      </w:pPr>
      <w:r>
        <w:rPr>
          <w:rStyle w:val="Rimandonotaapidipagina"/>
        </w:rPr>
        <w:footnoteRef/>
      </w:r>
      <w:r w:rsidRPr="00605693">
        <w:rPr>
          <w:lang w:val="nl-NL"/>
        </w:rPr>
        <w:t xml:space="preserve"> </w:t>
      </w:r>
      <w:r w:rsidRPr="00605693">
        <w:rPr>
          <w:i/>
          <w:lang w:val="nl-NL"/>
        </w:rPr>
        <w:t>Entwurf eines Abkommens über die Haftung der Staaten für völkerrechtlich unerlaubte Handlungen</w:t>
      </w:r>
      <w:r w:rsidRPr="00605693">
        <w:rPr>
          <w:lang w:val="nl-NL"/>
        </w:rPr>
        <w:t xml:space="preserve">. Il testo è rinvenibile in ROTH, </w:t>
      </w:r>
      <w:r w:rsidRPr="00605693">
        <w:rPr>
          <w:i/>
          <w:lang w:val="nl-NL"/>
        </w:rPr>
        <w:t>Das v</w:t>
      </w:r>
      <w:r w:rsidRPr="00605693">
        <w:rPr>
          <w:rFonts w:cstheme="minorHAnsi"/>
          <w:i/>
          <w:lang w:val="nl-NL"/>
        </w:rPr>
        <w:t>ö</w:t>
      </w:r>
      <w:r w:rsidRPr="00605693">
        <w:rPr>
          <w:i/>
          <w:lang w:val="nl-NL"/>
        </w:rPr>
        <w:t>lkerrechtliche Delikt vor und in den Verhandlungen auf der Haager Kodifikationskonferenz 1930</w:t>
      </w:r>
      <w:r w:rsidRPr="00605693">
        <w:rPr>
          <w:lang w:val="nl-NL"/>
        </w:rPr>
        <w:t xml:space="preserve">, </w:t>
      </w:r>
      <w:r w:rsidRPr="00605693">
        <w:rPr>
          <w:i/>
          <w:lang w:val="nl-NL"/>
        </w:rPr>
        <w:t>Frankfurter Abhandlungen zum modernen V</w:t>
      </w:r>
      <w:r w:rsidRPr="00605693">
        <w:rPr>
          <w:rFonts w:cstheme="minorHAnsi"/>
          <w:i/>
          <w:lang w:val="nl-NL"/>
        </w:rPr>
        <w:t>ö</w:t>
      </w:r>
      <w:r w:rsidRPr="00605693">
        <w:rPr>
          <w:i/>
          <w:lang w:val="nl-NL"/>
        </w:rPr>
        <w:t xml:space="preserve">lkerrecht, </w:t>
      </w:r>
      <w:r w:rsidRPr="00605693">
        <w:rPr>
          <w:lang w:val="nl-NL"/>
        </w:rPr>
        <w:t>1932, pp. 177-178, par. 34.</w:t>
      </w:r>
    </w:p>
  </w:footnote>
  <w:footnote w:id="25">
    <w:p w:rsidR="003D54BB" w:rsidRPr="00C255D2" w:rsidRDefault="003D54BB" w:rsidP="003E31E3">
      <w:pPr>
        <w:pStyle w:val="Testonotaapidipagina"/>
        <w:jc w:val="both"/>
      </w:pPr>
      <w:r>
        <w:rPr>
          <w:rStyle w:val="Rimandonotaapidipagina"/>
        </w:rPr>
        <w:footnoteRef/>
      </w:r>
      <w:r>
        <w:t xml:space="preserve"> </w:t>
      </w:r>
      <w:r w:rsidRPr="00C255D2">
        <w:t xml:space="preserve">Il testo della risoluzione è riprodotto in </w:t>
      </w:r>
      <w:r w:rsidRPr="00C255D2">
        <w:rPr>
          <w:i/>
        </w:rPr>
        <w:t>American Journal of International Law</w:t>
      </w:r>
      <w:r w:rsidRPr="00C255D2">
        <w:t xml:space="preserve">, 1926, </w:t>
      </w:r>
      <w:r w:rsidRPr="005A15CF">
        <w:rPr>
          <w:i/>
        </w:rPr>
        <w:t>Special Supplement</w:t>
      </w:r>
      <w:r w:rsidRPr="00C255D2">
        <w:t>, vol. 20, pp. 2-3.</w:t>
      </w:r>
    </w:p>
  </w:footnote>
  <w:footnote w:id="26">
    <w:p w:rsidR="003D54BB" w:rsidRDefault="003D54BB" w:rsidP="003E31E3">
      <w:pPr>
        <w:pStyle w:val="Testonotaapidipagina"/>
        <w:jc w:val="both"/>
      </w:pPr>
      <w:r>
        <w:rPr>
          <w:rStyle w:val="Rimandonotaapidipagina"/>
        </w:rPr>
        <w:footnoteRef/>
      </w:r>
      <w:r>
        <w:rPr>
          <w:sz w:val="18"/>
          <w:szCs w:val="18"/>
        </w:rPr>
        <w:t xml:space="preserve"> </w:t>
      </w:r>
      <w:r w:rsidRPr="001565EE">
        <w:t xml:space="preserve">Soltanto Francia, Giappone, Paesi Bassi e Venezuela hanno dubitato dell’opportunità di una convenzione internazionale su tale argomento. Le risposte al questionario sono rinvenibili in </w:t>
      </w:r>
      <w:r w:rsidRPr="001565EE">
        <w:rPr>
          <w:i/>
        </w:rPr>
        <w:t>American Journal of International Law</w:t>
      </w:r>
      <w:r w:rsidRPr="001565EE">
        <w:t xml:space="preserve"> , 1928, </w:t>
      </w:r>
      <w:r w:rsidRPr="001565EE">
        <w:rPr>
          <w:i/>
        </w:rPr>
        <w:t>Special Supplement</w:t>
      </w:r>
      <w:r w:rsidRPr="001565EE">
        <w:t>, pp. 15 -21.</w:t>
      </w:r>
    </w:p>
  </w:footnote>
  <w:footnote w:id="27">
    <w:p w:rsidR="003D54BB" w:rsidRPr="00960DF6" w:rsidRDefault="003D54BB" w:rsidP="003E31E3">
      <w:pPr>
        <w:pStyle w:val="Testonotaapidipagina"/>
        <w:jc w:val="both"/>
        <w:rPr>
          <w:lang w:val="fr-FR"/>
        </w:rPr>
      </w:pPr>
      <w:r>
        <w:rPr>
          <w:rStyle w:val="Rimandonotaapidipagina"/>
        </w:rPr>
        <w:footnoteRef/>
      </w:r>
      <w:r w:rsidRPr="00960DF6">
        <w:rPr>
          <w:lang w:val="fr-FR"/>
        </w:rPr>
        <w:t xml:space="preserve"> Société des Nations, </w:t>
      </w:r>
      <w:r w:rsidRPr="00960DF6">
        <w:rPr>
          <w:i/>
          <w:lang w:val="fr-FR"/>
        </w:rPr>
        <w:t>Actes de la Conférence pour la codification du droit international, tenue à La Haye du 13 mars au 12 avril 1930</w:t>
      </w:r>
      <w:r w:rsidRPr="00960DF6">
        <w:rPr>
          <w:lang w:val="fr-FR"/>
        </w:rPr>
        <w:t>, séance</w:t>
      </w:r>
      <w:r>
        <w:rPr>
          <w:lang w:val="fr-FR"/>
        </w:rPr>
        <w:t>s des Commissions, vol. IV, procès-</w:t>
      </w:r>
      <w:r w:rsidRPr="00960DF6">
        <w:rPr>
          <w:lang w:val="fr-FR"/>
        </w:rPr>
        <w:t xml:space="preserve">verbaux de la Troisième Commission, </w:t>
      </w:r>
      <w:r>
        <w:rPr>
          <w:i/>
          <w:lang w:val="fr-FR"/>
        </w:rPr>
        <w:t>Responsabilité des Etats</w:t>
      </w:r>
      <w:r w:rsidRPr="00960DF6">
        <w:rPr>
          <w:i/>
          <w:lang w:val="fr-FR"/>
        </w:rPr>
        <w:t xml:space="preserve"> en ce</w:t>
      </w:r>
      <w:r>
        <w:rPr>
          <w:i/>
          <w:lang w:val="fr-FR"/>
        </w:rPr>
        <w:t xml:space="preserve"> qui concerne les dommages causé</w:t>
      </w:r>
      <w:r w:rsidRPr="00960DF6">
        <w:rPr>
          <w:i/>
          <w:lang w:val="fr-FR"/>
        </w:rPr>
        <w:t>s sur leur territoire à la personne ou aux biens des étrangers</w:t>
      </w:r>
      <w:r>
        <w:rPr>
          <w:lang w:val="fr-FR"/>
        </w:rPr>
        <w:t xml:space="preserve">, Genève, </w:t>
      </w:r>
      <w:r w:rsidRPr="00960DF6">
        <w:rPr>
          <w:lang w:val="fr-FR"/>
        </w:rPr>
        <w:t>1930, annexe I, pp. 198-202.</w:t>
      </w:r>
    </w:p>
  </w:footnote>
  <w:footnote w:id="28">
    <w:p w:rsidR="003D54BB" w:rsidRPr="00605693" w:rsidRDefault="003D54BB" w:rsidP="00CA5718">
      <w:pPr>
        <w:pStyle w:val="Testonotaapidipagina"/>
        <w:jc w:val="both"/>
        <w:rPr>
          <w:lang w:val="nl-NL"/>
        </w:rPr>
      </w:pPr>
      <w:r>
        <w:rPr>
          <w:rStyle w:val="Rimandonotaapidipagina"/>
        </w:rPr>
        <w:footnoteRef/>
      </w:r>
      <w:r w:rsidRPr="00605693">
        <w:rPr>
          <w:lang w:val="nl-NL"/>
        </w:rPr>
        <w:t xml:space="preserve"> AGO, </w:t>
      </w:r>
      <w:r w:rsidRPr="00605693">
        <w:rPr>
          <w:i/>
          <w:lang w:val="nl-NL"/>
        </w:rPr>
        <w:t>Premier Rapport</w:t>
      </w:r>
      <w:r w:rsidRPr="00605693">
        <w:rPr>
          <w:lang w:val="nl-NL"/>
        </w:rPr>
        <w:t xml:space="preserve">, cit., p. 136, par. 46; GRAEFRATH e STEINIGER, </w:t>
      </w:r>
      <w:r w:rsidRPr="00605693">
        <w:rPr>
          <w:i/>
          <w:lang w:val="nl-NL"/>
        </w:rPr>
        <w:t>Kodifikation der v</w:t>
      </w:r>
      <w:r w:rsidRPr="00605693">
        <w:rPr>
          <w:rFonts w:cstheme="minorHAnsi"/>
          <w:i/>
          <w:lang w:val="nl-NL"/>
        </w:rPr>
        <w:t>ö</w:t>
      </w:r>
      <w:r w:rsidRPr="00605693">
        <w:rPr>
          <w:i/>
          <w:lang w:val="nl-NL"/>
        </w:rPr>
        <w:t>lkerrechtlichen Verantwortlichkeit</w:t>
      </w:r>
      <w:r w:rsidRPr="00605693">
        <w:rPr>
          <w:lang w:val="nl-NL"/>
        </w:rPr>
        <w:t xml:space="preserve">, </w:t>
      </w:r>
      <w:r w:rsidRPr="00605693">
        <w:rPr>
          <w:i/>
          <w:lang w:val="nl-NL"/>
        </w:rPr>
        <w:t>Neue Justiz</w:t>
      </w:r>
      <w:r w:rsidRPr="00605693">
        <w:rPr>
          <w:lang w:val="nl-NL"/>
        </w:rPr>
        <w:t xml:space="preserve">, 1973, vol. 27, p. 225. </w:t>
      </w:r>
    </w:p>
  </w:footnote>
  <w:footnote w:id="29">
    <w:p w:rsidR="003D54BB" w:rsidRPr="000833B7" w:rsidRDefault="003D54BB" w:rsidP="00CA5718">
      <w:pPr>
        <w:pStyle w:val="Testonotaapidipagina"/>
        <w:jc w:val="both"/>
      </w:pPr>
      <w:r>
        <w:rPr>
          <w:rStyle w:val="Rimandonotaapidipagina"/>
        </w:rPr>
        <w:footnoteRef/>
      </w:r>
      <w:r>
        <w:rPr>
          <w:rFonts w:cstheme="minorHAnsi"/>
        </w:rPr>
        <w:t xml:space="preserve">Il testo inglese della risoluzione è rinvenibile sul sito web dell’Assemblea Generale al link </w:t>
      </w:r>
      <w:r w:rsidRPr="003870E6">
        <w:t>http://daccess-dds-ny.un.org/doc/RESOLUTION/GEN/NR0/086</w:t>
      </w:r>
      <w:r>
        <w:t>/64/IMG/NR008664.pdf</w:t>
      </w:r>
      <w:r>
        <w:rPr>
          <w:rFonts w:cstheme="minorHAnsi"/>
        </w:rPr>
        <w:t>. In tal sede non verrà presa in considerazione la questione della responsabilità internazionale dello Stato da fatto lecito, ma soltanto la responsabilità derivante dal mancato rispetto da parte dello Stato di obblighi internazionali per esso vigenti nel momento in cui si compie il fatto.</w:t>
      </w:r>
    </w:p>
  </w:footnote>
  <w:footnote w:id="30">
    <w:p w:rsidR="003D54BB" w:rsidRPr="009D5AFD" w:rsidRDefault="003D54BB" w:rsidP="00CA5718">
      <w:pPr>
        <w:pStyle w:val="Testonotaapidipagina"/>
        <w:jc w:val="both"/>
      </w:pPr>
      <w:r>
        <w:rPr>
          <w:rStyle w:val="Rimandonotaapidipagina"/>
        </w:rPr>
        <w:footnoteRef/>
      </w:r>
      <w:r>
        <w:t xml:space="preserve"> I sei rapporti di Garc</w:t>
      </w:r>
      <w:r>
        <w:rPr>
          <w:rFonts w:cstheme="minorHAnsi"/>
        </w:rPr>
        <w:t>í</w:t>
      </w:r>
      <w:r>
        <w:t xml:space="preserve">a Amador sono riprodotti in </w:t>
      </w:r>
      <w:r w:rsidRPr="00883644">
        <w:rPr>
          <w:i/>
        </w:rPr>
        <w:t>Yearbook of the</w:t>
      </w:r>
      <w:r>
        <w:rPr>
          <w:i/>
        </w:rPr>
        <w:t xml:space="preserve"> International Law Commission</w:t>
      </w:r>
      <w:r>
        <w:t xml:space="preserve">, rispettivamente </w:t>
      </w:r>
      <w:r w:rsidRPr="009D5AFD">
        <w:t>1956, II, p. 175 ss.;1957, II, p. 119 ss.; 1958, II, p. 49 ss.; 1959, II, p. 1 ss.;1960, II, p. 38 ss.;1961, II, p. 1 ss.</w:t>
      </w:r>
    </w:p>
  </w:footnote>
  <w:footnote w:id="31">
    <w:p w:rsidR="003D54BB" w:rsidRDefault="003D54BB" w:rsidP="00CA5718">
      <w:pPr>
        <w:pStyle w:val="Testonotaapidipagina"/>
        <w:jc w:val="both"/>
      </w:pPr>
      <w:r>
        <w:rPr>
          <w:rStyle w:val="Rimandonotaapidipagina"/>
        </w:rPr>
        <w:footnoteRef/>
      </w:r>
      <w:r>
        <w:t xml:space="preserve"> Si vedano gli interventi di VERDROSS, </w:t>
      </w:r>
      <w:r w:rsidRPr="00F950C3">
        <w:rPr>
          <w:i/>
        </w:rPr>
        <w:t>Yearbook of the International Law Commission</w:t>
      </w:r>
      <w:r>
        <w:t xml:space="preserve">, 1960, vol. I, p. 298, par. 10, e TOUNKINE, </w:t>
      </w:r>
      <w:r w:rsidRPr="00F950C3">
        <w:rPr>
          <w:i/>
        </w:rPr>
        <w:t>ibid</w:t>
      </w:r>
      <w:r>
        <w:t>., pp. 302 – 303, par. 44.</w:t>
      </w:r>
    </w:p>
  </w:footnote>
  <w:footnote w:id="32">
    <w:p w:rsidR="003D54BB" w:rsidRDefault="003D54BB" w:rsidP="00CA5718">
      <w:pPr>
        <w:pStyle w:val="Testonotaapidipagina"/>
        <w:jc w:val="both"/>
      </w:pPr>
      <w:r>
        <w:rPr>
          <w:rStyle w:val="Rimandonotaapidipagina"/>
        </w:rPr>
        <w:footnoteRef/>
      </w:r>
      <w:r>
        <w:t xml:space="preserve"> Il testo della risoluzione è rinvenibile in </w:t>
      </w:r>
      <w:r w:rsidRPr="0003040F">
        <w:rPr>
          <w:i/>
        </w:rPr>
        <w:t>Yearbook of the United Nations</w:t>
      </w:r>
      <w:r>
        <w:t>, 1961, p. 525.</w:t>
      </w:r>
    </w:p>
  </w:footnote>
  <w:footnote w:id="33">
    <w:p w:rsidR="003D54BB" w:rsidRDefault="003D54BB" w:rsidP="00CA5718">
      <w:pPr>
        <w:pStyle w:val="Testonotaapidipagina"/>
        <w:jc w:val="both"/>
      </w:pPr>
      <w:r>
        <w:rPr>
          <w:rStyle w:val="Rimandonotaapidipagina"/>
        </w:rPr>
        <w:footnoteRef/>
      </w:r>
      <w:r>
        <w:t xml:space="preserve"> Il rapporto della Commissione sui suoi lavori della ventisettesima sessione sono contenuti in </w:t>
      </w:r>
      <w:r w:rsidRPr="004F2837">
        <w:rPr>
          <w:i/>
        </w:rPr>
        <w:t>Yearbook of the International Law Commission</w:t>
      </w:r>
      <w:r>
        <w:t>, 1975, vol. II, pp. 51 – 113.</w:t>
      </w:r>
    </w:p>
  </w:footnote>
  <w:footnote w:id="34">
    <w:p w:rsidR="003D54BB" w:rsidRDefault="003D54BB" w:rsidP="00CA5718">
      <w:pPr>
        <w:pStyle w:val="Testonotaapidipagina"/>
        <w:jc w:val="both"/>
      </w:pPr>
      <w:r>
        <w:rPr>
          <w:rStyle w:val="Rimandonotaapidipagina"/>
        </w:rPr>
        <w:footnoteRef/>
      </w:r>
      <w:r>
        <w:t xml:space="preserve"> Il progetto è contenuto in </w:t>
      </w:r>
      <w:r>
        <w:rPr>
          <w:i/>
        </w:rPr>
        <w:t>Yearbook</w:t>
      </w:r>
      <w:r w:rsidRPr="002F2328">
        <w:rPr>
          <w:i/>
        </w:rPr>
        <w:t xml:space="preserve"> of the International Law Commission</w:t>
      </w:r>
      <w:r>
        <w:t xml:space="preserve">, 2001, vol. II, parte II, p. 43 ss. Gli articoli ed il commento della CDI sono riprodotti anche in CRAWFORD (ed.), </w:t>
      </w:r>
      <w:r w:rsidRPr="002F2328">
        <w:rPr>
          <w:i/>
        </w:rPr>
        <w:t>The International Law Commission’s Articles on State Responsibility</w:t>
      </w:r>
      <w:r>
        <w:t>, Cambridge, 2002.</w:t>
      </w:r>
    </w:p>
  </w:footnote>
  <w:footnote w:id="35">
    <w:p w:rsidR="003D54BB" w:rsidRDefault="003D54BB" w:rsidP="00CA5718">
      <w:pPr>
        <w:pStyle w:val="Testonotaapidipagina"/>
        <w:jc w:val="both"/>
      </w:pPr>
      <w:r>
        <w:rPr>
          <w:rStyle w:val="Rimandonotaapidipagina"/>
        </w:rPr>
        <w:footnoteRef/>
      </w:r>
      <w:r>
        <w:t xml:space="preserve"> Si veda la risoluzione A/56/83 del 12 dicembre 2001, in cui viene altresì proposto di prendere nuovamente in considerazione il tema della responsabilità internazionale all’Assemblea Generale nella sessione del 2004. Si vedano anche le successive risoluzioni A/59/35 del 2004, A/62/61 del 2007 e A/65/19 del 2010.</w:t>
      </w:r>
    </w:p>
  </w:footnote>
  <w:footnote w:id="36">
    <w:p w:rsidR="003D54BB" w:rsidRDefault="003D54BB" w:rsidP="00CA5718">
      <w:pPr>
        <w:pStyle w:val="Testonotaapidipagina"/>
        <w:jc w:val="both"/>
      </w:pPr>
      <w:r>
        <w:rPr>
          <w:rStyle w:val="Rimandonotaapidipagina"/>
        </w:rPr>
        <w:footnoteRef/>
      </w:r>
      <w:r>
        <w:t xml:space="preserve"> Il testo del progetto di articoli approvato in prima lettura dalla CDI può essere letto in lingua </w:t>
      </w:r>
      <w:r w:rsidRPr="00162B5F">
        <w:t xml:space="preserve">inglese in </w:t>
      </w:r>
      <w:r w:rsidRPr="005004F8">
        <w:rPr>
          <w:i/>
        </w:rPr>
        <w:t>Rivista di diritto internazionale</w:t>
      </w:r>
      <w:r>
        <w:t>, 1997, p. 582 ss.</w:t>
      </w:r>
    </w:p>
  </w:footnote>
  <w:footnote w:id="37">
    <w:p w:rsidR="003D54BB" w:rsidRDefault="003D54BB" w:rsidP="00CA5718">
      <w:pPr>
        <w:pStyle w:val="Testonotaapidipagina"/>
        <w:tabs>
          <w:tab w:val="left" w:pos="4111"/>
        </w:tabs>
        <w:jc w:val="both"/>
      </w:pPr>
      <w:r>
        <w:rPr>
          <w:rStyle w:val="Rimandonotaapidipagina"/>
        </w:rPr>
        <w:footnoteRef/>
      </w:r>
      <w:r>
        <w:t xml:space="preserve"> I rapporti sono </w:t>
      </w:r>
      <w:r w:rsidRPr="0023135B">
        <w:t xml:space="preserve">contenuti in </w:t>
      </w:r>
      <w:r w:rsidRPr="0023135B">
        <w:rPr>
          <w:i/>
        </w:rPr>
        <w:t>Yearbook of</w:t>
      </w:r>
      <w:r>
        <w:rPr>
          <w:i/>
        </w:rPr>
        <w:t xml:space="preserve"> the International Law Commission</w:t>
      </w:r>
      <w:r w:rsidRPr="0023135B">
        <w:t>,</w:t>
      </w:r>
      <w:r>
        <w:t xml:space="preserve"> rispettivam. 1969, II, p. 129 ss.; 1970, II, p. 189 ss.; 1971, II (parte 1), p. 203 ss.;1972, II, p. 77 ss.; 1976, II (parte 1), p. 3 ss.;1977, II (parte 1), p. 3 ss.; 1978, II (parte 1), p. 29 ss.;1979, II (parte 1), p. 3 ss. Tutti i rapporti, ad eccezione del secondo, sono stati riprodotti in AGO, Scritti, cit., II.</w:t>
      </w:r>
    </w:p>
  </w:footnote>
  <w:footnote w:id="38">
    <w:p w:rsidR="003D54BB" w:rsidRDefault="003D54BB" w:rsidP="00CA5718">
      <w:pPr>
        <w:pStyle w:val="Testonotaapidipagina"/>
        <w:jc w:val="both"/>
      </w:pPr>
      <w:r>
        <w:rPr>
          <w:rStyle w:val="Rimandonotaapidipagina"/>
        </w:rPr>
        <w:footnoteRef/>
      </w:r>
      <w:r>
        <w:t xml:space="preserve"> I rapporti sono contenuti in </w:t>
      </w:r>
      <w:r w:rsidRPr="00546B71">
        <w:rPr>
          <w:i/>
        </w:rPr>
        <w:t>Yearbook of the</w:t>
      </w:r>
      <w:r>
        <w:rPr>
          <w:i/>
        </w:rPr>
        <w:t xml:space="preserve"> International Law Commission</w:t>
      </w:r>
      <w:r>
        <w:t>, rispettivam. 1980, II (parte 1), p. 105 ss.; 1981, II (parte 1), p. 81; 1982, II (parte 1), p. 25 ss.; 1983, II (parte 1), p. 3 ss.; 1984, II (parte 1), p. 5 ss.;1985, II (parte 1), p. 3 ss.; 1986, II (parte 1), p. 1 ss.</w:t>
      </w:r>
    </w:p>
  </w:footnote>
  <w:footnote w:id="39">
    <w:p w:rsidR="003D54BB" w:rsidRDefault="003D54BB" w:rsidP="00CA5718">
      <w:pPr>
        <w:pStyle w:val="Testonotaapidipagina"/>
        <w:jc w:val="both"/>
      </w:pPr>
      <w:r>
        <w:rPr>
          <w:rStyle w:val="Rimandonotaapidipagina"/>
        </w:rPr>
        <w:footnoteRef/>
      </w:r>
      <w:r>
        <w:t xml:space="preserve"> I rapporti sono contenuti in </w:t>
      </w:r>
      <w:r w:rsidRPr="00747195">
        <w:rPr>
          <w:i/>
        </w:rPr>
        <w:t xml:space="preserve">Yearbook of the </w:t>
      </w:r>
      <w:r>
        <w:rPr>
          <w:i/>
        </w:rPr>
        <w:t xml:space="preserve">International Law Commission, </w:t>
      </w:r>
      <w:r>
        <w:t>rispettivamente 1988, vol. II (parte 1), p. 6 ss.; 1989, vol. II (parte 1), p. 1 ss.; 1991, vol. II (parte 1), p. 1 ss.; 1992, vol. II (parte 1), p. 1 ss.</w:t>
      </w:r>
    </w:p>
  </w:footnote>
  <w:footnote w:id="40">
    <w:p w:rsidR="003D54BB" w:rsidRDefault="003D54BB" w:rsidP="00CA5718">
      <w:pPr>
        <w:pStyle w:val="Testonotaapidipagina"/>
        <w:jc w:val="both"/>
      </w:pPr>
      <w:r>
        <w:rPr>
          <w:rStyle w:val="Rimandonotaapidipagina"/>
        </w:rPr>
        <w:footnoteRef/>
      </w:r>
      <w:r>
        <w:t xml:space="preserve"> Il quinto rapporto di Arangio-Ruiz, contenuto nello </w:t>
      </w:r>
      <w:r w:rsidRPr="007D554C">
        <w:rPr>
          <w:i/>
        </w:rPr>
        <w:t>Yearbook of the International Law Commission</w:t>
      </w:r>
      <w:r>
        <w:t xml:space="preserve">, 1993, vol. II, pp. 1-59, è dedicato interamente alla parte terza del progetto. Il sesto ed il settimo rapporto (rispettivamente in </w:t>
      </w:r>
      <w:r w:rsidRPr="007D554C">
        <w:rPr>
          <w:i/>
        </w:rPr>
        <w:t>Yearbook of the International Law Commission</w:t>
      </w:r>
      <w:r>
        <w:t xml:space="preserve">, 1994, vol. II, p. 4 ss. e </w:t>
      </w:r>
      <w:r w:rsidRPr="007D554C">
        <w:rPr>
          <w:i/>
        </w:rPr>
        <w:t>Yearbook of the International Law Commission</w:t>
      </w:r>
      <w:r>
        <w:t xml:space="preserve">, 1995, vol.II, pp.3-33) riguardano tematiche inerenti sia la seconda che la terza parte; mentre l’ottavo rapporto, contenuto nello </w:t>
      </w:r>
      <w:r w:rsidRPr="002B5B0A">
        <w:rPr>
          <w:i/>
        </w:rPr>
        <w:t>Yearbook of the International Law Commission</w:t>
      </w:r>
      <w:r>
        <w:rPr>
          <w:i/>
        </w:rPr>
        <w:t xml:space="preserve">, </w:t>
      </w:r>
      <w:r w:rsidRPr="00140169">
        <w:t>1996, vol.</w:t>
      </w:r>
      <w:r>
        <w:t xml:space="preserve"> II, pp. 1-15) riguarda una parte inerente la soluzione delle controversie che è stata successivamente omessa dal progetto adottato dalla Commissione.</w:t>
      </w:r>
    </w:p>
  </w:footnote>
  <w:footnote w:id="41">
    <w:p w:rsidR="003D54BB" w:rsidRDefault="003D54BB" w:rsidP="00CA5718">
      <w:pPr>
        <w:pStyle w:val="Testonotaapidipagina"/>
        <w:jc w:val="both"/>
      </w:pPr>
      <w:r>
        <w:rPr>
          <w:rStyle w:val="Rimandonotaapidipagina"/>
        </w:rPr>
        <w:footnoteRef/>
      </w:r>
      <w:r>
        <w:t xml:space="preserve"> Su alcune delle questioni più delicate in esame nella seconda lettura si veda </w:t>
      </w:r>
      <w:r w:rsidRPr="00AE16B6">
        <w:rPr>
          <w:i/>
        </w:rPr>
        <w:t>Symposium: State responsibility</w:t>
      </w:r>
      <w:r>
        <w:t xml:space="preserve">, </w:t>
      </w:r>
      <w:r w:rsidRPr="00AE16B6">
        <w:rPr>
          <w:i/>
        </w:rPr>
        <w:t>European Journal of International Law</w:t>
      </w:r>
      <w:r>
        <w:t>, 1999, pp. 339–460.</w:t>
      </w:r>
    </w:p>
  </w:footnote>
  <w:footnote w:id="42">
    <w:p w:rsidR="003D54BB" w:rsidRPr="00253730" w:rsidRDefault="003D54BB" w:rsidP="00FC77CE">
      <w:pPr>
        <w:pStyle w:val="Testonotaapidipagina"/>
        <w:jc w:val="both"/>
      </w:pPr>
      <w:r>
        <w:rPr>
          <w:rStyle w:val="Rimandonotaapidipagina"/>
        </w:rPr>
        <w:footnoteRef/>
      </w:r>
      <w:r>
        <w:t xml:space="preserve"> I due elementi costitutivi di un fatto illecito internazionale sono stati codificati all’art. 2 del progetto di articoli della CDI. </w:t>
      </w:r>
      <w:r w:rsidRPr="00D40CB2">
        <w:t xml:space="preserve">Anche la dottrina è concorde nel riconoscere questi due elementi come necessari al fine del sorgere della responsabilità internazionale dello Stato. </w:t>
      </w:r>
      <w:r w:rsidRPr="00253730">
        <w:t xml:space="preserve">Si vedano tra i tanti AGO, </w:t>
      </w:r>
      <w:r w:rsidRPr="00253730">
        <w:rPr>
          <w:i/>
        </w:rPr>
        <w:t>Le délit international</w:t>
      </w:r>
      <w:r w:rsidRPr="00253730">
        <w:t xml:space="preserve">, in </w:t>
      </w:r>
      <w:r w:rsidRPr="00253730">
        <w:rPr>
          <w:i/>
        </w:rPr>
        <w:t xml:space="preserve">Recueil des </w:t>
      </w:r>
      <w:r w:rsidRPr="00253730">
        <w:t>cours, 1939–II, p. 441</w:t>
      </w:r>
      <w:r w:rsidRPr="00253730">
        <w:rPr>
          <w:sz w:val="18"/>
          <w:szCs w:val="18"/>
        </w:rPr>
        <w:t xml:space="preserve">; </w:t>
      </w:r>
      <w:r w:rsidRPr="00253730">
        <w:t>EUSTATHIADES,</w:t>
      </w:r>
      <w:r w:rsidRPr="00253730">
        <w:rPr>
          <w:sz w:val="18"/>
          <w:szCs w:val="18"/>
        </w:rPr>
        <w:t xml:space="preserve"> </w:t>
      </w:r>
      <w:r w:rsidRPr="00253730">
        <w:rPr>
          <w:i/>
        </w:rPr>
        <w:t>Les sujets du droit international et la responsabilité internationale – nouvelles tendances</w:t>
      </w:r>
      <w:r w:rsidRPr="00253730">
        <w:rPr>
          <w:sz w:val="18"/>
          <w:szCs w:val="18"/>
        </w:rPr>
        <w:t xml:space="preserve">, </w:t>
      </w:r>
      <w:r w:rsidRPr="00253730">
        <w:t xml:space="preserve">in </w:t>
      </w:r>
      <w:r w:rsidRPr="00253730">
        <w:rPr>
          <w:i/>
        </w:rPr>
        <w:t>Recueil des cours</w:t>
      </w:r>
      <w:r w:rsidRPr="00253730">
        <w:rPr>
          <w:i/>
          <w:sz w:val="18"/>
          <w:szCs w:val="18"/>
        </w:rPr>
        <w:t xml:space="preserve">, </w:t>
      </w:r>
      <w:r w:rsidRPr="00253730">
        <w:t>1953–III, p. 422; CONDORELLI,</w:t>
      </w:r>
      <w:r w:rsidRPr="00253730">
        <w:rPr>
          <w:sz w:val="18"/>
          <w:szCs w:val="18"/>
        </w:rPr>
        <w:t xml:space="preserve"> </w:t>
      </w:r>
      <w:r w:rsidRPr="00253730">
        <w:rPr>
          <w:i/>
        </w:rPr>
        <w:t>L’imputation à l’Etat d’un fait internationalement illicite: solutions classiques et nouvelles tendances</w:t>
      </w:r>
      <w:r w:rsidRPr="00253730">
        <w:rPr>
          <w:sz w:val="18"/>
          <w:szCs w:val="18"/>
        </w:rPr>
        <w:t xml:space="preserve">, in </w:t>
      </w:r>
      <w:r w:rsidRPr="00253730">
        <w:rPr>
          <w:i/>
        </w:rPr>
        <w:t>Recueil des cours</w:t>
      </w:r>
      <w:r w:rsidRPr="00253730">
        <w:rPr>
          <w:i/>
          <w:sz w:val="18"/>
          <w:szCs w:val="18"/>
        </w:rPr>
        <w:t xml:space="preserve">, </w:t>
      </w:r>
      <w:r w:rsidRPr="00253730">
        <w:t>1984-VI, pp. 24–25; CHENG,</w:t>
      </w:r>
      <w:r w:rsidRPr="00253730">
        <w:rPr>
          <w:sz w:val="18"/>
          <w:szCs w:val="18"/>
        </w:rPr>
        <w:t xml:space="preserve"> </w:t>
      </w:r>
      <w:r w:rsidRPr="00253730">
        <w:rPr>
          <w:i/>
        </w:rPr>
        <w:t>General Principles of Law as applied by International Courts and Tribunals</w:t>
      </w:r>
      <w:r w:rsidRPr="00253730">
        <w:rPr>
          <w:sz w:val="18"/>
          <w:szCs w:val="18"/>
        </w:rPr>
        <w:t xml:space="preserve">, </w:t>
      </w:r>
      <w:r w:rsidRPr="00253730">
        <w:t xml:space="preserve">second edition, Cambridge, 1987, p. 170; PRZETACZNIK, </w:t>
      </w:r>
      <w:r w:rsidRPr="00253730">
        <w:rPr>
          <w:i/>
        </w:rPr>
        <w:t>The International Responsibility of States for the Unauthorized Acts of their Organs</w:t>
      </w:r>
      <w:r w:rsidRPr="00253730">
        <w:rPr>
          <w:sz w:val="18"/>
          <w:szCs w:val="18"/>
        </w:rPr>
        <w:t xml:space="preserve">, </w:t>
      </w:r>
      <w:r w:rsidRPr="00253730">
        <w:rPr>
          <w:i/>
        </w:rPr>
        <w:t>Sri Lanka Journal of International Law</w:t>
      </w:r>
      <w:r w:rsidRPr="00253730">
        <w:rPr>
          <w:sz w:val="18"/>
          <w:szCs w:val="18"/>
        </w:rPr>
        <w:t xml:space="preserve">, </w:t>
      </w:r>
      <w:r w:rsidRPr="00253730">
        <w:t>1989, vol. 1, pp. 154-155; PELLOPNÄÄ e FITZMAURICE,</w:t>
      </w:r>
      <w:r w:rsidRPr="00253730">
        <w:rPr>
          <w:sz w:val="18"/>
          <w:szCs w:val="18"/>
        </w:rPr>
        <w:t xml:space="preserve"> </w:t>
      </w:r>
      <w:r w:rsidRPr="00253730">
        <w:rPr>
          <w:i/>
        </w:rPr>
        <w:t>Taking of Property in the Practice of the Iran-United States Claims Tribunal</w:t>
      </w:r>
      <w:r w:rsidRPr="00253730">
        <w:rPr>
          <w:sz w:val="18"/>
          <w:szCs w:val="18"/>
        </w:rPr>
        <w:t xml:space="preserve">, </w:t>
      </w:r>
      <w:r w:rsidRPr="00253730">
        <w:rPr>
          <w:i/>
        </w:rPr>
        <w:t>Netherland Yearbook of International Law</w:t>
      </w:r>
      <w:r w:rsidRPr="00253730">
        <w:t xml:space="preserve">, 1988, vol. XIX, pp. 73-74; JIMÉNEZ DE ARÉCHAGA e TANZI, </w:t>
      </w:r>
      <w:r w:rsidRPr="00253730">
        <w:rPr>
          <w:i/>
        </w:rPr>
        <w:t>op. cit</w:t>
      </w:r>
      <w:r w:rsidRPr="00253730">
        <w:t>., p.</w:t>
      </w:r>
      <w:r w:rsidRPr="00253730">
        <w:rPr>
          <w:sz w:val="18"/>
          <w:szCs w:val="18"/>
        </w:rPr>
        <w:t xml:space="preserve"> </w:t>
      </w:r>
      <w:r w:rsidRPr="00253730">
        <w:t>368; SACHARIEW,</w:t>
      </w:r>
      <w:r w:rsidRPr="00253730">
        <w:rPr>
          <w:sz w:val="18"/>
          <w:szCs w:val="18"/>
        </w:rPr>
        <w:t xml:space="preserve"> </w:t>
      </w:r>
      <w:r w:rsidRPr="00253730">
        <w:rPr>
          <w:i/>
        </w:rPr>
        <w:t>Les circonstances excluant l’illicéité</w:t>
      </w:r>
      <w:r w:rsidRPr="00253730">
        <w:rPr>
          <w:sz w:val="18"/>
          <w:szCs w:val="18"/>
        </w:rPr>
        <w:t xml:space="preserve">, </w:t>
      </w:r>
      <w:r w:rsidRPr="00253730">
        <w:t xml:space="preserve">in </w:t>
      </w:r>
      <w:r w:rsidRPr="00253730">
        <w:rPr>
          <w:i/>
        </w:rPr>
        <w:t>La responsabilité internationale,</w:t>
      </w:r>
      <w:r w:rsidRPr="00253730">
        <w:t xml:space="preserve"> Paris, 1987, p. 89; SIMMA</w:t>
      </w:r>
      <w:r w:rsidRPr="00253730">
        <w:rPr>
          <w:sz w:val="18"/>
          <w:szCs w:val="18"/>
        </w:rPr>
        <w:t xml:space="preserve">, </w:t>
      </w:r>
      <w:r w:rsidRPr="00253730">
        <w:rPr>
          <w:i/>
        </w:rPr>
        <w:t>Bilateralism and Community Interest in the Law of State Responsibility</w:t>
      </w:r>
      <w:r w:rsidRPr="00253730">
        <w:rPr>
          <w:sz w:val="18"/>
          <w:szCs w:val="18"/>
        </w:rPr>
        <w:t xml:space="preserve">, </w:t>
      </w:r>
      <w:r w:rsidRPr="00253730">
        <w:t>in</w:t>
      </w:r>
      <w:r w:rsidRPr="00253730">
        <w:rPr>
          <w:sz w:val="18"/>
          <w:szCs w:val="18"/>
        </w:rPr>
        <w:t xml:space="preserve"> </w:t>
      </w:r>
      <w:r w:rsidRPr="00253730">
        <w:rPr>
          <w:i/>
        </w:rPr>
        <w:t>International Law in a time of Perplexity: Essays in Honour of Shabtai Rosenne</w:t>
      </w:r>
      <w:r w:rsidRPr="00253730">
        <w:rPr>
          <w:sz w:val="18"/>
          <w:szCs w:val="18"/>
        </w:rPr>
        <w:t xml:space="preserve">, </w:t>
      </w:r>
      <w:r w:rsidRPr="00253730">
        <w:t>London, 1989, p. 821;</w:t>
      </w:r>
      <w:r w:rsidRPr="00253730">
        <w:rPr>
          <w:sz w:val="18"/>
          <w:szCs w:val="18"/>
        </w:rPr>
        <w:t xml:space="preserve"> </w:t>
      </w:r>
      <w:r w:rsidRPr="00253730">
        <w:t>STERN</w:t>
      </w:r>
      <w:r w:rsidRPr="00253730">
        <w:rPr>
          <w:sz w:val="18"/>
          <w:szCs w:val="18"/>
        </w:rPr>
        <w:t xml:space="preserve">, </w:t>
      </w:r>
      <w:r w:rsidRPr="00253730">
        <w:rPr>
          <w:i/>
        </w:rPr>
        <w:t>Conclusions générales,</w:t>
      </w:r>
      <w:r w:rsidRPr="00253730">
        <w:rPr>
          <w:sz w:val="18"/>
          <w:szCs w:val="18"/>
        </w:rPr>
        <w:t xml:space="preserve"> </w:t>
      </w:r>
      <w:r w:rsidRPr="00253730">
        <w:t xml:space="preserve">in </w:t>
      </w:r>
      <w:r w:rsidRPr="00253730">
        <w:rPr>
          <w:i/>
        </w:rPr>
        <w:t>La responsabilité internationale</w:t>
      </w:r>
      <w:r w:rsidRPr="00253730">
        <w:rPr>
          <w:sz w:val="18"/>
          <w:szCs w:val="18"/>
        </w:rPr>
        <w:t xml:space="preserve">, </w:t>
      </w:r>
      <w:r w:rsidRPr="00253730">
        <w:t>Paris, 1991, p. 319;</w:t>
      </w:r>
      <w:r w:rsidRPr="00253730">
        <w:rPr>
          <w:sz w:val="18"/>
          <w:szCs w:val="18"/>
        </w:rPr>
        <w:t xml:space="preserve"> </w:t>
      </w:r>
      <w:r w:rsidRPr="00253730">
        <w:t>WYLER,</w:t>
      </w:r>
      <w:r w:rsidRPr="00253730">
        <w:rPr>
          <w:sz w:val="18"/>
          <w:szCs w:val="18"/>
        </w:rPr>
        <w:t xml:space="preserve"> </w:t>
      </w:r>
      <w:r w:rsidRPr="00253730">
        <w:rPr>
          <w:i/>
        </w:rPr>
        <w:t>L’illicite et la condition des personnes privées</w:t>
      </w:r>
      <w:r w:rsidRPr="00253730">
        <w:rPr>
          <w:sz w:val="18"/>
          <w:szCs w:val="18"/>
        </w:rPr>
        <w:t xml:space="preserve">, </w:t>
      </w:r>
      <w:r w:rsidRPr="00253730">
        <w:t>Paris, 1995;</w:t>
      </w:r>
      <w:r w:rsidRPr="00253730">
        <w:rPr>
          <w:sz w:val="18"/>
          <w:szCs w:val="18"/>
        </w:rPr>
        <w:t xml:space="preserve"> </w:t>
      </w:r>
      <w:r w:rsidRPr="00253730">
        <w:t>STERN,</w:t>
      </w:r>
      <w:r w:rsidRPr="00253730">
        <w:rPr>
          <w:sz w:val="18"/>
          <w:szCs w:val="18"/>
        </w:rPr>
        <w:t xml:space="preserve"> </w:t>
      </w:r>
      <w:r w:rsidRPr="00253730">
        <w:rPr>
          <w:i/>
        </w:rPr>
        <w:t>The Elements of an Internationally Wrongful Act</w:t>
      </w:r>
      <w:r w:rsidRPr="00253730">
        <w:rPr>
          <w:sz w:val="18"/>
          <w:szCs w:val="18"/>
        </w:rPr>
        <w:t xml:space="preserve">, </w:t>
      </w:r>
      <w:r w:rsidRPr="00253730">
        <w:t xml:space="preserve">in </w:t>
      </w:r>
      <w:r w:rsidRPr="00253730">
        <w:rPr>
          <w:i/>
        </w:rPr>
        <w:t>The Law of International Responsibility</w:t>
      </w:r>
      <w:r w:rsidRPr="00253730">
        <w:rPr>
          <w:sz w:val="18"/>
          <w:szCs w:val="18"/>
        </w:rPr>
        <w:t xml:space="preserve"> </w:t>
      </w:r>
      <w:r w:rsidRPr="00253730">
        <w:t>(a cura di Crawford, Pellet, Olleson), Oxford, 2011, pp. 193–220.</w:t>
      </w:r>
    </w:p>
  </w:footnote>
  <w:footnote w:id="43">
    <w:p w:rsidR="003D54BB" w:rsidRPr="00E170A7" w:rsidRDefault="003D54BB" w:rsidP="003C67D8">
      <w:pPr>
        <w:pStyle w:val="Testonotaapidipagina"/>
        <w:jc w:val="both"/>
        <w:rPr>
          <w:lang w:val="fr-FR"/>
        </w:rPr>
      </w:pPr>
      <w:r>
        <w:rPr>
          <w:rStyle w:val="Rimandonotaapidipagina"/>
        </w:rPr>
        <w:footnoteRef/>
      </w:r>
      <w:r w:rsidRPr="0038543F">
        <w:rPr>
          <w:lang w:val="fr-FR"/>
        </w:rPr>
        <w:t xml:space="preserve"> ANZILOTTI, </w:t>
      </w:r>
      <w:r w:rsidRPr="0038543F">
        <w:rPr>
          <w:i/>
          <w:lang w:val="fr-FR"/>
        </w:rPr>
        <w:t>La responsabilité internationale des Etats à raison des dommages soufferts par des étrangers</w:t>
      </w:r>
      <w:r w:rsidRPr="0038543F">
        <w:rPr>
          <w:lang w:val="fr-FR"/>
        </w:rPr>
        <w:t xml:space="preserve">, </w:t>
      </w:r>
      <w:r w:rsidRPr="0038543F">
        <w:rPr>
          <w:i/>
          <w:lang w:val="fr-FR"/>
        </w:rPr>
        <w:t>Revue général</w:t>
      </w:r>
      <w:r>
        <w:rPr>
          <w:i/>
          <w:lang w:val="fr-FR"/>
        </w:rPr>
        <w:t>e de droit international public</w:t>
      </w:r>
      <w:r>
        <w:rPr>
          <w:lang w:val="fr-FR"/>
        </w:rPr>
        <w:t xml:space="preserve">, 1906, p. 291; </w:t>
      </w:r>
      <w:r w:rsidRPr="0038543F">
        <w:rPr>
          <w:lang w:val="fr-FR"/>
        </w:rPr>
        <w:t xml:space="preserve">STRUPP, </w:t>
      </w:r>
      <w:r w:rsidRPr="0038543F">
        <w:rPr>
          <w:i/>
          <w:lang w:val="fr-FR"/>
        </w:rPr>
        <w:t>Das v</w:t>
      </w:r>
      <w:r w:rsidRPr="0038543F">
        <w:rPr>
          <w:rFonts w:cstheme="minorHAnsi"/>
          <w:i/>
          <w:lang w:val="fr-FR"/>
        </w:rPr>
        <w:t>ö</w:t>
      </w:r>
      <w:r w:rsidRPr="0038543F">
        <w:rPr>
          <w:i/>
          <w:lang w:val="fr-FR"/>
        </w:rPr>
        <w:t>lkerrechtliche Delikt</w:t>
      </w:r>
      <w:r w:rsidRPr="0038543F">
        <w:rPr>
          <w:lang w:val="fr-FR"/>
        </w:rPr>
        <w:t xml:space="preserve">, </w:t>
      </w:r>
      <w:r w:rsidRPr="0038543F">
        <w:rPr>
          <w:i/>
          <w:lang w:val="fr-FR"/>
        </w:rPr>
        <w:t>Handbuch des V</w:t>
      </w:r>
      <w:r w:rsidRPr="0038543F">
        <w:rPr>
          <w:rFonts w:cstheme="minorHAnsi"/>
          <w:i/>
          <w:lang w:val="fr-FR"/>
        </w:rPr>
        <w:t>ö</w:t>
      </w:r>
      <w:r w:rsidRPr="0038543F">
        <w:rPr>
          <w:i/>
          <w:lang w:val="fr-FR"/>
        </w:rPr>
        <w:t>lkerrechts</w:t>
      </w:r>
      <w:r>
        <w:rPr>
          <w:i/>
          <w:lang w:val="fr-FR"/>
        </w:rPr>
        <w:t>,</w:t>
      </w:r>
      <w:r w:rsidRPr="003C67D8">
        <w:rPr>
          <w:lang w:val="fr-FR"/>
        </w:rPr>
        <w:t xml:space="preserve"> </w:t>
      </w:r>
      <w:r w:rsidRPr="0038543F">
        <w:rPr>
          <w:lang w:val="fr-FR"/>
        </w:rPr>
        <w:t>Stier-Somlo (a cura di</w:t>
      </w:r>
      <w:r>
        <w:rPr>
          <w:lang w:val="fr-FR"/>
        </w:rPr>
        <w:t>)</w:t>
      </w:r>
      <w:r w:rsidRPr="0038543F">
        <w:rPr>
          <w:lang w:val="fr-FR"/>
        </w:rPr>
        <w:t xml:space="preserve">, vol. </w:t>
      </w:r>
      <w:r w:rsidRPr="00E170A7">
        <w:rPr>
          <w:lang w:val="fr-FR"/>
        </w:rPr>
        <w:t xml:space="preserve">IV, Berlin-Stuttgart-Leipzig, p. 35; CAVAGLIERI, </w:t>
      </w:r>
      <w:r w:rsidRPr="00E170A7">
        <w:rPr>
          <w:i/>
          <w:lang w:val="fr-FR"/>
        </w:rPr>
        <w:t>Règles générales du droit de la paix</w:t>
      </w:r>
      <w:r w:rsidRPr="00E170A7">
        <w:rPr>
          <w:lang w:val="fr-FR"/>
        </w:rPr>
        <w:t xml:space="preserve">, </w:t>
      </w:r>
      <w:r>
        <w:rPr>
          <w:lang w:val="fr-FR"/>
        </w:rPr>
        <w:t xml:space="preserve">in </w:t>
      </w:r>
      <w:r>
        <w:rPr>
          <w:i/>
          <w:lang w:val="fr-FR"/>
        </w:rPr>
        <w:t xml:space="preserve">Recueil des cours, </w:t>
      </w:r>
      <w:r>
        <w:rPr>
          <w:lang w:val="fr-FR"/>
        </w:rPr>
        <w:t xml:space="preserve">1929–I, p. 546; COHN, </w:t>
      </w:r>
      <w:r w:rsidRPr="00E170A7">
        <w:rPr>
          <w:i/>
          <w:lang w:val="fr-FR"/>
        </w:rPr>
        <w:t>La théorie de la responsabilité internationale</w:t>
      </w:r>
      <w:r>
        <w:rPr>
          <w:lang w:val="fr-FR"/>
        </w:rPr>
        <w:t xml:space="preserve">, in </w:t>
      </w:r>
      <w:r w:rsidRPr="00E170A7">
        <w:rPr>
          <w:i/>
          <w:lang w:val="fr-FR"/>
        </w:rPr>
        <w:t>Recueil des cours</w:t>
      </w:r>
      <w:r>
        <w:rPr>
          <w:lang w:val="fr-FR"/>
        </w:rPr>
        <w:t xml:space="preserve">, 1939–II, p. 250; KELSEN, </w:t>
      </w:r>
      <w:r w:rsidRPr="00E170A7">
        <w:rPr>
          <w:i/>
          <w:lang w:val="fr-FR"/>
        </w:rPr>
        <w:t>Théorie du droit international public</w:t>
      </w:r>
      <w:r>
        <w:rPr>
          <w:lang w:val="fr-FR"/>
        </w:rPr>
        <w:t xml:space="preserve">, in </w:t>
      </w:r>
      <w:r w:rsidRPr="00E170A7">
        <w:rPr>
          <w:i/>
          <w:lang w:val="fr-FR"/>
        </w:rPr>
        <w:t>Recueil des cours</w:t>
      </w:r>
      <w:r>
        <w:rPr>
          <w:lang w:val="fr-FR"/>
        </w:rPr>
        <w:t xml:space="preserve">, 1953–III, p. 88; PRZETACZNIK, </w:t>
      </w:r>
      <w:r w:rsidRPr="00E170A7">
        <w:rPr>
          <w:i/>
          <w:lang w:val="fr-FR"/>
        </w:rPr>
        <w:t>La responsabilité internationale de l’</w:t>
      </w:r>
      <w:r>
        <w:rPr>
          <w:i/>
          <w:lang w:val="fr-FR"/>
        </w:rPr>
        <w:t>Etat à raison des pré</w:t>
      </w:r>
      <w:r w:rsidRPr="00E170A7">
        <w:rPr>
          <w:i/>
          <w:lang w:val="fr-FR"/>
        </w:rPr>
        <w:t>judices de caractère moral et politique causés à un autre Etat</w:t>
      </w:r>
      <w:r>
        <w:rPr>
          <w:lang w:val="fr-FR"/>
        </w:rPr>
        <w:t xml:space="preserve">, </w:t>
      </w:r>
      <w:r>
        <w:rPr>
          <w:i/>
          <w:lang w:val="fr-FR"/>
        </w:rPr>
        <w:t>Revue géné</w:t>
      </w:r>
      <w:r w:rsidRPr="00E170A7">
        <w:rPr>
          <w:i/>
          <w:lang w:val="fr-FR"/>
        </w:rPr>
        <w:t>ral</w:t>
      </w:r>
      <w:r>
        <w:rPr>
          <w:i/>
          <w:lang w:val="fr-FR"/>
        </w:rPr>
        <w:t>e de</w:t>
      </w:r>
      <w:r w:rsidRPr="00E170A7">
        <w:rPr>
          <w:i/>
          <w:lang w:val="fr-FR"/>
        </w:rPr>
        <w:t xml:space="preserve"> droit international public </w:t>
      </w:r>
      <w:r>
        <w:rPr>
          <w:lang w:val="fr-FR"/>
        </w:rPr>
        <w:t xml:space="preserve">1974, p. 937; SHAW, </w:t>
      </w:r>
      <w:r w:rsidRPr="00E170A7">
        <w:rPr>
          <w:i/>
          <w:lang w:val="fr-FR"/>
        </w:rPr>
        <w:t>International Law</w:t>
      </w:r>
      <w:r>
        <w:rPr>
          <w:lang w:val="fr-FR"/>
        </w:rPr>
        <w:t xml:space="preserve">, second edition, Cambridge, 1986, p. 411; CHRISTENSON, </w:t>
      </w:r>
      <w:r w:rsidRPr="00105850">
        <w:rPr>
          <w:i/>
          <w:lang w:val="fr-FR"/>
        </w:rPr>
        <w:t xml:space="preserve">Attributing acts of omission to the </w:t>
      </w:r>
      <w:r w:rsidRPr="00C53A1B">
        <w:rPr>
          <w:i/>
          <w:lang w:val="fr-FR"/>
        </w:rPr>
        <w:t>State</w:t>
      </w:r>
      <w:r w:rsidRPr="00C53A1B">
        <w:rPr>
          <w:lang w:val="fr-FR"/>
        </w:rPr>
        <w:t>, MJIL 1991</w:t>
      </w:r>
      <w:r>
        <w:rPr>
          <w:lang w:val="fr-FR"/>
        </w:rPr>
        <w:t xml:space="preserve">, vol. 12, p. 312 e p. 322; KRESS, </w:t>
      </w:r>
      <w:r w:rsidRPr="00105850">
        <w:rPr>
          <w:i/>
          <w:lang w:val="fr-FR"/>
        </w:rPr>
        <w:t>L’organe de facto en droit international public. Réflexions sur l’imputation à l’</w:t>
      </w:r>
      <w:r w:rsidRPr="00105850">
        <w:rPr>
          <w:rFonts w:cstheme="minorHAnsi"/>
          <w:i/>
          <w:lang w:val="fr-FR"/>
        </w:rPr>
        <w:t>É</w:t>
      </w:r>
      <w:r w:rsidRPr="00105850">
        <w:rPr>
          <w:i/>
          <w:lang w:val="fr-FR"/>
        </w:rPr>
        <w:t xml:space="preserve">tat de l’acte d’un particulier </w:t>
      </w:r>
      <w:r>
        <w:rPr>
          <w:i/>
          <w:lang w:val="fr-FR"/>
        </w:rPr>
        <w:t xml:space="preserve">à la lumière des développement </w:t>
      </w:r>
      <w:r w:rsidRPr="00105850">
        <w:rPr>
          <w:i/>
          <w:lang w:val="fr-FR"/>
        </w:rPr>
        <w:t>récents</w:t>
      </w:r>
      <w:r>
        <w:rPr>
          <w:lang w:val="fr-FR"/>
        </w:rPr>
        <w:t xml:space="preserve">, </w:t>
      </w:r>
      <w:r w:rsidRPr="00105850">
        <w:rPr>
          <w:i/>
          <w:lang w:val="fr-FR"/>
        </w:rPr>
        <w:t>Revue général</w:t>
      </w:r>
      <w:r>
        <w:rPr>
          <w:i/>
          <w:lang w:val="fr-FR"/>
        </w:rPr>
        <w:t>e</w:t>
      </w:r>
      <w:r w:rsidRPr="00105850">
        <w:rPr>
          <w:i/>
          <w:lang w:val="fr-FR"/>
        </w:rPr>
        <w:t xml:space="preserve"> de droit international public</w:t>
      </w:r>
      <w:r>
        <w:rPr>
          <w:lang w:val="fr-FR"/>
        </w:rPr>
        <w:t xml:space="preserve">, 2001, p. 93 ss.; PALCHETTI, </w:t>
      </w:r>
      <w:r w:rsidRPr="003E4303">
        <w:rPr>
          <w:i/>
          <w:lang w:val="fr-FR"/>
        </w:rPr>
        <w:t>L’organo di fatto dello Stato nell’illecito internazionale</w:t>
      </w:r>
      <w:r>
        <w:rPr>
          <w:lang w:val="fr-FR"/>
        </w:rPr>
        <w:t>, Milano, 2007, p. 4 ss.</w:t>
      </w:r>
    </w:p>
  </w:footnote>
  <w:footnote w:id="44">
    <w:p w:rsidR="003D54BB" w:rsidRDefault="003D54BB" w:rsidP="003C67D8">
      <w:pPr>
        <w:pStyle w:val="Testonotaapidipagina"/>
        <w:jc w:val="both"/>
      </w:pPr>
      <w:r>
        <w:rPr>
          <w:rStyle w:val="Rimandonotaapidipagina"/>
        </w:rPr>
        <w:footnoteRef/>
      </w:r>
      <w:r>
        <w:t xml:space="preserve"> Il processo attributivo non opera esclusivamente nel campo della responsabilità internazionale, bensì viene in questione ogniqualvolta si prospetta una condotta statale a cui una norma di diritto internazionale riconosce effetti giuridici.</w:t>
      </w:r>
    </w:p>
  </w:footnote>
  <w:footnote w:id="45">
    <w:p w:rsidR="003D54BB" w:rsidRPr="005A5676" w:rsidRDefault="003D54BB" w:rsidP="003C67D8">
      <w:pPr>
        <w:pStyle w:val="Testonotaapidipagina"/>
        <w:jc w:val="both"/>
      </w:pPr>
      <w:r>
        <w:rPr>
          <w:rStyle w:val="Rimandonotaapidipagina"/>
        </w:rPr>
        <w:footnoteRef/>
      </w:r>
      <w:r w:rsidRPr="00D46946">
        <w:rPr>
          <w:lang w:val="en-US"/>
        </w:rPr>
        <w:t xml:space="preserve"> </w:t>
      </w:r>
      <w:r w:rsidRPr="00AD3683">
        <w:rPr>
          <w:lang w:val="en-US"/>
        </w:rPr>
        <w:t>“The reference to State organs covers all the individual or collective entities which make up the organization of the State and act on its behalf”.</w:t>
      </w:r>
      <w:r>
        <w:rPr>
          <w:lang w:val="en-US"/>
        </w:rPr>
        <w:t xml:space="preserve"> </w:t>
      </w:r>
      <w:r w:rsidRPr="00D46946">
        <w:t>Così il commentario al testo di articoli sulla responsab</w:t>
      </w:r>
      <w:r>
        <w:t>i</w:t>
      </w:r>
      <w:r w:rsidRPr="00D46946">
        <w:t xml:space="preserve">lità degli Stati preparato dalla CDI, in </w:t>
      </w:r>
      <w:r w:rsidRPr="005A5676">
        <w:rPr>
          <w:i/>
        </w:rPr>
        <w:t>Yearbook of the International Law Commissio</w:t>
      </w:r>
      <w:r>
        <w:rPr>
          <w:i/>
        </w:rPr>
        <w:t>n</w:t>
      </w:r>
      <w:r>
        <w:t xml:space="preserve">, 2001, vol.2, p. 40, par. 6. </w:t>
      </w:r>
    </w:p>
  </w:footnote>
  <w:footnote w:id="46">
    <w:p w:rsidR="003D54BB" w:rsidRPr="00D81832" w:rsidRDefault="003D54BB" w:rsidP="00FC77CE">
      <w:pPr>
        <w:autoSpaceDE w:val="0"/>
        <w:autoSpaceDN w:val="0"/>
        <w:adjustRightInd w:val="0"/>
        <w:spacing w:after="0" w:line="240" w:lineRule="auto"/>
        <w:jc w:val="both"/>
        <w:rPr>
          <w:sz w:val="20"/>
          <w:szCs w:val="20"/>
          <w:lang w:val="en-US"/>
        </w:rPr>
      </w:pPr>
      <w:r w:rsidRPr="00590A70">
        <w:rPr>
          <w:rStyle w:val="Rimandonotaapidipagina"/>
        </w:rPr>
        <w:footnoteRef/>
      </w:r>
      <w:r w:rsidRPr="00457F0E">
        <w:rPr>
          <w:rStyle w:val="Rimandonotaapidipagina"/>
          <w:lang w:val="en-US"/>
        </w:rPr>
        <w:t xml:space="preserve"> </w:t>
      </w:r>
      <w:r w:rsidRPr="00200106">
        <w:rPr>
          <w:sz w:val="20"/>
          <w:szCs w:val="20"/>
          <w:lang w:val="en-US"/>
        </w:rPr>
        <w:t>Si veda il parere reso nel caso</w:t>
      </w:r>
      <w:r>
        <w:rPr>
          <w:lang w:val="en-US"/>
        </w:rPr>
        <w:t xml:space="preserve"> </w:t>
      </w:r>
      <w:r w:rsidRPr="00590A70">
        <w:rPr>
          <w:i/>
          <w:sz w:val="20"/>
          <w:szCs w:val="20"/>
          <w:lang w:val="en-US"/>
        </w:rPr>
        <w:t>Difference Relating to Immunity from Legal Process of a Specia</w:t>
      </w:r>
      <w:r>
        <w:rPr>
          <w:i/>
          <w:sz w:val="20"/>
          <w:szCs w:val="20"/>
          <w:lang w:val="en-US"/>
        </w:rPr>
        <w:t>l Rapporteur of the Commission o</w:t>
      </w:r>
      <w:r w:rsidRPr="00590A70">
        <w:rPr>
          <w:i/>
          <w:sz w:val="20"/>
          <w:szCs w:val="20"/>
          <w:lang w:val="en-US"/>
        </w:rPr>
        <w:t>n Human Rights, Advisory Opinion</w:t>
      </w:r>
      <w:r w:rsidRPr="009C3947">
        <w:rPr>
          <w:sz w:val="20"/>
          <w:szCs w:val="20"/>
          <w:lang w:val="en-US"/>
        </w:rPr>
        <w:t xml:space="preserve">, </w:t>
      </w:r>
      <w:r>
        <w:rPr>
          <w:i/>
          <w:sz w:val="20"/>
          <w:szCs w:val="20"/>
          <w:lang w:val="en-US"/>
        </w:rPr>
        <w:t xml:space="preserve">I.C.J. </w:t>
      </w:r>
      <w:r w:rsidRPr="005F47CE">
        <w:rPr>
          <w:i/>
          <w:sz w:val="20"/>
          <w:szCs w:val="20"/>
          <w:lang w:val="en-US"/>
        </w:rPr>
        <w:t>Reports</w:t>
      </w:r>
      <w:r>
        <w:rPr>
          <w:sz w:val="20"/>
          <w:szCs w:val="20"/>
          <w:lang w:val="en-US"/>
        </w:rPr>
        <w:t xml:space="preserve">, </w:t>
      </w:r>
      <w:r w:rsidRPr="005F47CE">
        <w:rPr>
          <w:sz w:val="20"/>
          <w:szCs w:val="20"/>
          <w:lang w:val="en-US"/>
        </w:rPr>
        <w:t xml:space="preserve">1999, p. 87, par. 62; la sentenza resa nel caso </w:t>
      </w:r>
      <w:r w:rsidRPr="005F47CE">
        <w:rPr>
          <w:i/>
          <w:sz w:val="20"/>
          <w:szCs w:val="20"/>
          <w:lang w:val="en-US"/>
        </w:rPr>
        <w:t>LaGrand (Germany v. United States of America)</w:t>
      </w:r>
      <w:r w:rsidRPr="005F47CE">
        <w:rPr>
          <w:sz w:val="20"/>
          <w:szCs w:val="20"/>
          <w:lang w:val="en-US"/>
        </w:rPr>
        <w:t xml:space="preserve">, </w:t>
      </w:r>
      <w:r w:rsidRPr="005F47CE">
        <w:rPr>
          <w:i/>
          <w:sz w:val="20"/>
          <w:szCs w:val="20"/>
          <w:lang w:val="en-US"/>
        </w:rPr>
        <w:t>I.C.J. Reports</w:t>
      </w:r>
      <w:r>
        <w:rPr>
          <w:sz w:val="20"/>
          <w:szCs w:val="20"/>
          <w:lang w:val="en-US"/>
        </w:rPr>
        <w:t xml:space="preserve">, </w:t>
      </w:r>
      <w:r w:rsidRPr="005F47CE">
        <w:rPr>
          <w:sz w:val="20"/>
          <w:szCs w:val="20"/>
          <w:lang w:val="en-US"/>
        </w:rPr>
        <w:t>2001, p. 40, par. 267; la</w:t>
      </w:r>
      <w:r>
        <w:rPr>
          <w:sz w:val="20"/>
          <w:szCs w:val="20"/>
          <w:lang w:val="en-US"/>
        </w:rPr>
        <w:t xml:space="preserve"> sentenza resa nel caso </w:t>
      </w:r>
      <w:r w:rsidRPr="00FF681A">
        <w:rPr>
          <w:i/>
          <w:sz w:val="20"/>
          <w:szCs w:val="20"/>
          <w:lang w:val="en-US"/>
        </w:rPr>
        <w:t>Application of the Convention on the prevention and punishment of the crime of genocide</w:t>
      </w:r>
      <w:r>
        <w:rPr>
          <w:sz w:val="20"/>
          <w:szCs w:val="20"/>
          <w:lang w:val="en-US"/>
        </w:rPr>
        <w:t xml:space="preserve">, </w:t>
      </w:r>
      <w:r>
        <w:rPr>
          <w:i/>
          <w:sz w:val="20"/>
          <w:szCs w:val="20"/>
          <w:lang w:val="en-US"/>
        </w:rPr>
        <w:t xml:space="preserve">I.C.J. Reports, </w:t>
      </w:r>
      <w:r>
        <w:rPr>
          <w:sz w:val="20"/>
          <w:szCs w:val="20"/>
          <w:lang w:val="en-US"/>
        </w:rPr>
        <w:t>2007, p. 13 ss.</w:t>
      </w:r>
    </w:p>
  </w:footnote>
  <w:footnote w:id="47">
    <w:p w:rsidR="003D54BB" w:rsidRPr="00410240" w:rsidRDefault="003D54BB" w:rsidP="00FC77CE">
      <w:pPr>
        <w:pStyle w:val="Testonotaapidipagina"/>
        <w:jc w:val="both"/>
      </w:pPr>
      <w:r>
        <w:rPr>
          <w:rStyle w:val="Rimandonotaapidipagina"/>
        </w:rPr>
        <w:footnoteRef/>
      </w:r>
      <w:r>
        <w:t xml:space="preserve"> Durante i secoli passati alcuni autori hanno sostenuto il principio della non responsabilità dello Stato per i comportamenti tenuti dall’autorità giudiziaria sulla base dell’indipendenza del potere giudiziario oppure dell’autorità della cosa giudicata. Questa tesi è stata accolta in due sentenze arbitrali rese dal Senato di Amburgo nel caso </w:t>
      </w:r>
      <w:r w:rsidRPr="00410240">
        <w:rPr>
          <w:i/>
        </w:rPr>
        <w:t>Croft</w:t>
      </w:r>
      <w:r>
        <w:t xml:space="preserve">, rinvenibili in LAPRADELLE, POLITIS, </w:t>
      </w:r>
      <w:r w:rsidRPr="00E2581A">
        <w:rPr>
          <w:i/>
        </w:rPr>
        <w:t>Recueil des arbitrages internationaux</w:t>
      </w:r>
      <w:r>
        <w:t xml:space="preserve">, tomo II: 1856–1872, Paris, 1923, pp. 1–27, e dal governo del Nicaragua nel caso </w:t>
      </w:r>
      <w:r w:rsidRPr="00410240">
        <w:rPr>
          <w:i/>
        </w:rPr>
        <w:t>Le Phare</w:t>
      </w:r>
      <w:r>
        <w:t>, LA FONTAINE</w:t>
      </w:r>
      <w:r w:rsidRPr="00410240">
        <w:rPr>
          <w:i/>
        </w:rPr>
        <w:t>, Pasicrise internationale – Histoire documentaire des arbitrages internationaux</w:t>
      </w:r>
      <w:r>
        <w:t>, tomo I, Berne, 1902, pp. 225–227.</w:t>
      </w:r>
    </w:p>
  </w:footnote>
  <w:footnote w:id="48">
    <w:p w:rsidR="003D54BB" w:rsidRPr="00532CE7" w:rsidRDefault="003D54BB" w:rsidP="00FC77CE">
      <w:pPr>
        <w:pStyle w:val="Testonotaapidipagina"/>
        <w:jc w:val="both"/>
      </w:pPr>
      <w:r>
        <w:rPr>
          <w:rStyle w:val="Rimandonotaapidipagina"/>
        </w:rPr>
        <w:footnoteRef/>
      </w:r>
      <w:r>
        <w:t xml:space="preserve">. Si avrà l’occasione di trattare la distinzione tra organi superiori e organi subalterni nella sezione dedicata all’analisi della prassi internazionale in tema di attribuzione allo Stato di fatti illeciti </w:t>
      </w:r>
      <w:r w:rsidRPr="00532CE7">
        <w:rPr>
          <w:i/>
        </w:rPr>
        <w:t>ultra vires</w:t>
      </w:r>
      <w:r>
        <w:t>, in quanto in numerosi casi l’attribuzione è stata negata con riferimento ai comportamenti non autorizzati tenuti da organi subalterni.</w:t>
      </w:r>
    </w:p>
  </w:footnote>
  <w:footnote w:id="49">
    <w:p w:rsidR="003D54BB" w:rsidRPr="009F6780" w:rsidRDefault="003D54BB" w:rsidP="009F6780">
      <w:pPr>
        <w:pStyle w:val="Testonotaapidipagina"/>
        <w:jc w:val="both"/>
      </w:pPr>
      <w:r>
        <w:rPr>
          <w:rStyle w:val="Rimandonotaapidipagina"/>
        </w:rPr>
        <w:footnoteRef/>
      </w:r>
      <w:r w:rsidRPr="005C574C">
        <w:t xml:space="preserve"> Tale espressione è stata coniata da CONDORELLI, </w:t>
      </w:r>
      <w:r w:rsidRPr="005C574C">
        <w:rPr>
          <w:i/>
        </w:rPr>
        <w:t>L’imputation à l’Etat d’un fait internationalement illicite</w:t>
      </w:r>
      <w:r w:rsidRPr="005C574C">
        <w:t xml:space="preserve">, cit., p. 28. </w:t>
      </w:r>
      <w:r>
        <w:t xml:space="preserve">Altri autori hanno invece parlato della libertà che il diritto internazionale concede agli Stati di dotarsi di una propria organizzazione. Così, tra gli altri, PERASSI, </w:t>
      </w:r>
      <w:r w:rsidRPr="009F6780">
        <w:rPr>
          <w:i/>
        </w:rPr>
        <w:t>Lezioni di diritto internazionale</w:t>
      </w:r>
      <w:r>
        <w:t xml:space="preserve">, Padova, 1961, p. 105; VERHOEVEN, </w:t>
      </w:r>
      <w:r w:rsidRPr="009F6780">
        <w:rPr>
          <w:i/>
        </w:rPr>
        <w:t>Droit international public</w:t>
      </w:r>
      <w:r>
        <w:t>, Paris, 2000, p. 83.</w:t>
      </w:r>
    </w:p>
  </w:footnote>
  <w:footnote w:id="50">
    <w:p w:rsidR="003D54BB" w:rsidRPr="000D1C28" w:rsidRDefault="003D54BB" w:rsidP="009F6780">
      <w:pPr>
        <w:pStyle w:val="Testonotaapidipagina"/>
        <w:jc w:val="both"/>
        <w:rPr>
          <w:lang w:val="fr-FR"/>
        </w:rPr>
      </w:pPr>
      <w:r>
        <w:rPr>
          <w:rStyle w:val="Rimandonotaapidipagina"/>
        </w:rPr>
        <w:footnoteRef/>
      </w:r>
      <w:r w:rsidRPr="0075471F">
        <w:rPr>
          <w:lang w:val="fr-FR"/>
        </w:rPr>
        <w:t xml:space="preserve"> AGO, </w:t>
      </w:r>
      <w:r w:rsidRPr="0075471F">
        <w:rPr>
          <w:i/>
          <w:lang w:val="fr-FR"/>
        </w:rPr>
        <w:t>Le délit international</w:t>
      </w:r>
      <w:r w:rsidRPr="0075471F">
        <w:rPr>
          <w:lang w:val="fr-FR"/>
        </w:rPr>
        <w:t xml:space="preserve">, cit., p. 463. </w:t>
      </w:r>
      <w:r w:rsidRPr="009A2714">
        <w:t>La libertà</w:t>
      </w:r>
      <w:r>
        <w:t xml:space="preserve"> dello Stato di auto-organizzarsi è stata riconosciuta nella sentenza resa nel caso delle </w:t>
      </w:r>
      <w:r w:rsidRPr="00101345">
        <w:rPr>
          <w:i/>
        </w:rPr>
        <w:t>attività militari e paramilitari in Nicaragua e contro il Nicaragua</w:t>
      </w:r>
      <w:r>
        <w:t xml:space="preserve"> dalla Corte internazionale di giustizia, la quale ha constatato che lo Stato possiede il fondamentale diritto di scegliere il sistema politico, economico e sociale che preferisce, a patto però che tale libertà non causi un pregiudizio al rispetto del diritto internazionale. </w:t>
      </w:r>
      <w:r w:rsidRPr="006B7E08">
        <w:rPr>
          <w:lang w:val="fr-FR"/>
        </w:rPr>
        <w:t>In</w:t>
      </w:r>
      <w:r>
        <w:rPr>
          <w:i/>
          <w:lang w:val="fr-FR"/>
        </w:rPr>
        <w:t xml:space="preserve"> I.C.J. Reports, </w:t>
      </w:r>
      <w:r w:rsidRPr="006B7E08">
        <w:rPr>
          <w:lang w:val="fr-FR"/>
        </w:rPr>
        <w:t xml:space="preserve">1986, p. 131, par. 258. Si veda anche AGO, </w:t>
      </w:r>
      <w:r w:rsidRPr="006B7E08">
        <w:rPr>
          <w:i/>
          <w:lang w:val="fr-FR"/>
        </w:rPr>
        <w:t>Le délit</w:t>
      </w:r>
      <w:r w:rsidRPr="006B7E08">
        <w:rPr>
          <w:lang w:val="fr-FR"/>
        </w:rPr>
        <w:t xml:space="preserve">, cit., p. 463; ZEMANEK, </w:t>
      </w:r>
      <w:r w:rsidRPr="00740B02">
        <w:rPr>
          <w:i/>
          <w:lang w:val="fr-FR"/>
        </w:rPr>
        <w:t>op. cit</w:t>
      </w:r>
      <w:r w:rsidRPr="006B7E08">
        <w:rPr>
          <w:lang w:val="fr-FR"/>
        </w:rPr>
        <w:t xml:space="preserve">., p. 366; STRUPP, </w:t>
      </w:r>
      <w:r w:rsidRPr="00740B02">
        <w:rPr>
          <w:i/>
          <w:lang w:val="fr-FR"/>
        </w:rPr>
        <w:t>Eléments du droit international public universel, européen et américain</w:t>
      </w:r>
      <w:r>
        <w:rPr>
          <w:lang w:val="fr-FR"/>
        </w:rPr>
        <w:t xml:space="preserve">, vol. </w:t>
      </w:r>
      <w:r>
        <w:t>I, Paris, 1930, pp. 208–</w:t>
      </w:r>
      <w:r w:rsidRPr="00C412A3">
        <w:t>209.</w:t>
      </w:r>
      <w:r>
        <w:t xml:space="preserve"> Secondo Condorelli sarebbe più corretto parlare del diritto di uno Stato ad ottenere che gli altri Stati non si ingeriscano nella propria organizzazione piuttosto che di un vero e proprio diritto ad auto-organizzarsi. </w:t>
      </w:r>
      <w:r w:rsidRPr="000D1C28">
        <w:rPr>
          <w:lang w:val="fr-FR"/>
        </w:rPr>
        <w:t xml:space="preserve">Si veda ID., </w:t>
      </w:r>
      <w:r w:rsidRPr="00C0297E">
        <w:rPr>
          <w:i/>
          <w:lang w:val="fr-FR"/>
        </w:rPr>
        <w:t>L’imputation à l’Etat d’un fait internationalement illicite</w:t>
      </w:r>
      <w:r>
        <w:rPr>
          <w:lang w:val="fr-FR"/>
        </w:rPr>
        <w:t xml:space="preserve">, </w:t>
      </w:r>
      <w:r w:rsidRPr="000D1C28">
        <w:rPr>
          <w:i/>
          <w:lang w:val="fr-FR"/>
        </w:rPr>
        <w:t>cit</w:t>
      </w:r>
      <w:r>
        <w:rPr>
          <w:lang w:val="fr-FR"/>
        </w:rPr>
        <w:t>., p. 30.</w:t>
      </w:r>
    </w:p>
  </w:footnote>
  <w:footnote w:id="51">
    <w:p w:rsidR="003D54BB" w:rsidRPr="0049022B" w:rsidRDefault="003D54BB" w:rsidP="00FC77CE">
      <w:pPr>
        <w:pStyle w:val="Testonotaapidipagina"/>
        <w:jc w:val="both"/>
      </w:pPr>
      <w:r>
        <w:rPr>
          <w:rStyle w:val="Rimandonotaapidipagina"/>
        </w:rPr>
        <w:footnoteRef/>
      </w:r>
      <w:r w:rsidRPr="00327487">
        <w:rPr>
          <w:lang w:val="fr-FR"/>
        </w:rPr>
        <w:t xml:space="preserve"> STRUPP, </w:t>
      </w:r>
      <w:r w:rsidRPr="00327487">
        <w:rPr>
          <w:i/>
          <w:lang w:val="fr-FR"/>
        </w:rPr>
        <w:t>op. cit</w:t>
      </w:r>
      <w:r w:rsidRPr="00327487">
        <w:rPr>
          <w:lang w:val="fr-FR"/>
        </w:rPr>
        <w:t xml:space="preserve">., p. 36; ROTH, </w:t>
      </w:r>
      <w:r w:rsidRPr="00327487">
        <w:rPr>
          <w:i/>
          <w:lang w:val="fr-FR"/>
        </w:rPr>
        <w:t>op. cit</w:t>
      </w:r>
      <w:r w:rsidRPr="00327487">
        <w:rPr>
          <w:lang w:val="fr-FR"/>
        </w:rPr>
        <w:t xml:space="preserve">., p. 18; FREEMAN, </w:t>
      </w:r>
      <w:r w:rsidRPr="00327487">
        <w:rPr>
          <w:i/>
          <w:lang w:val="fr-FR"/>
        </w:rPr>
        <w:t>op. cit</w:t>
      </w:r>
      <w:r w:rsidRPr="00327487">
        <w:rPr>
          <w:lang w:val="fr-FR"/>
        </w:rPr>
        <w:t xml:space="preserve">., p. 290; COUSSIRAT-COUSTERE e EISEMANN, </w:t>
      </w:r>
      <w:r w:rsidRPr="00327487">
        <w:rPr>
          <w:i/>
          <w:lang w:val="fr-FR"/>
        </w:rPr>
        <w:t>L’enlèvement de personnes privées et le droit international</w:t>
      </w:r>
      <w:r w:rsidRPr="00327487">
        <w:rPr>
          <w:lang w:val="fr-FR"/>
        </w:rPr>
        <w:t xml:space="preserve">, </w:t>
      </w:r>
      <w:r w:rsidRPr="00C55E4C">
        <w:rPr>
          <w:i/>
          <w:lang w:val="fr-FR"/>
        </w:rPr>
        <w:t>Revue générale de droit international public</w:t>
      </w:r>
      <w:r>
        <w:rPr>
          <w:lang w:val="fr-FR"/>
        </w:rPr>
        <w:t>, 1972</w:t>
      </w:r>
      <w:r w:rsidRPr="00327487">
        <w:rPr>
          <w:lang w:val="fr-FR"/>
        </w:rPr>
        <w:t xml:space="preserve">, p. </w:t>
      </w:r>
      <w:r>
        <w:rPr>
          <w:lang w:val="fr-FR"/>
        </w:rPr>
        <w:t xml:space="preserve">365. </w:t>
      </w:r>
      <w:r w:rsidRPr="00783194">
        <w:t>CONDORELLI</w:t>
      </w:r>
      <w:r>
        <w:t>, op. cit., p. 81,</w:t>
      </w:r>
      <w:r w:rsidRPr="00783194">
        <w:t xml:space="preserve"> reputa che</w:t>
      </w:r>
      <w:r>
        <w:t>,</w:t>
      </w:r>
      <w:r w:rsidRPr="00783194">
        <w:t xml:space="preserve"> quando un organo adotta un comportamento contrario al diritto internazionale</w:t>
      </w:r>
      <w:r>
        <w:t>,</w:t>
      </w:r>
      <w:r w:rsidRPr="00783194">
        <w:t xml:space="preserve"> viola</w:t>
      </w:r>
      <w:r>
        <w:t xml:space="preserve"> contemporaneamente le disposizioni di diritto interno volte a </w:t>
      </w:r>
      <w:r w:rsidRPr="0049022B">
        <w:t xml:space="preserve">regolare la sua competenza dal momento che nella grande maggioranza degli ordinamenti giuridici interni viene stabilita la primazia del diritto internazionale sulla normativa interna. </w:t>
      </w:r>
    </w:p>
  </w:footnote>
  <w:footnote w:id="52">
    <w:p w:rsidR="003D54BB" w:rsidRDefault="003D54BB" w:rsidP="00FC77CE">
      <w:pPr>
        <w:pStyle w:val="Testonotaapidipagina"/>
        <w:jc w:val="both"/>
      </w:pPr>
      <w:r w:rsidRPr="0049022B">
        <w:rPr>
          <w:rStyle w:val="Rimandonotaapidipagina"/>
        </w:rPr>
        <w:footnoteRef/>
      </w:r>
      <w:r w:rsidRPr="0049022B">
        <w:t xml:space="preserve"> Secondo parte della dottrina,</w:t>
      </w:r>
      <w:r>
        <w:t xml:space="preserve"> </w:t>
      </w:r>
      <w:r w:rsidRPr="0049022B">
        <w:t>il principio in base a cui lo Stato non risponde dei comportamenti tenuti dai propri organi nella</w:t>
      </w:r>
      <w:r w:rsidRPr="00770D67">
        <w:t xml:space="preserve"> loro capacità privata incontra un’eccezione nel diritto internazionale umanitario: il testo dell’art. 3 della Quarta Convenzione dell’Aja concernente le leggi e gli usi della guerra terrestre stabilisce infatti che la parte belligerante è responsabile di tutte le condotte tenute da persone facenti parte le proprie forze armate, indipendentemente quindi dalla condizione che abbiano agito in qualità ufficiale</w:t>
      </w:r>
      <w:r>
        <w:t xml:space="preserve">. </w:t>
      </w:r>
      <w:r w:rsidRPr="00E71579">
        <w:t>Il testo della suddetta disposizione è stato ripreso anche dall’art. 91 del primo Protocollo aggiuntivo  alle Convenzioni di Ginevra del 1949 relativo alla protezione delle vittime dei conflitti armati internazionali.</w:t>
      </w:r>
    </w:p>
  </w:footnote>
  <w:footnote w:id="53">
    <w:p w:rsidR="003D54BB" w:rsidRDefault="003D54BB" w:rsidP="00FC77CE">
      <w:pPr>
        <w:pStyle w:val="Testonotaapidipagina"/>
        <w:jc w:val="both"/>
      </w:pPr>
      <w:r>
        <w:rPr>
          <w:rStyle w:val="Rimandonotaapidipagina"/>
        </w:rPr>
        <w:footnoteRef/>
      </w:r>
      <w:r>
        <w:t xml:space="preserve"> Per le principali posizioni dottrinali con riferimento all’elemento soggettivo della responsabilità internazionale si veda SPINEDI, </w:t>
      </w:r>
      <w:r w:rsidRPr="00E6670C">
        <w:rPr>
          <w:i/>
        </w:rPr>
        <w:t>Responsabilità internazionale</w:t>
      </w:r>
      <w:r>
        <w:t xml:space="preserve">, in </w:t>
      </w:r>
      <w:r w:rsidRPr="00E6670C">
        <w:rPr>
          <w:i/>
        </w:rPr>
        <w:t>Enciclopedia giuridica</w:t>
      </w:r>
      <w:r>
        <w:t>, vol. XXVII, Roma, 1985, p. 3.</w:t>
      </w:r>
    </w:p>
  </w:footnote>
  <w:footnote w:id="54">
    <w:p w:rsidR="003D54BB" w:rsidRDefault="003D54BB" w:rsidP="00FC77CE">
      <w:pPr>
        <w:pStyle w:val="Testonotaapidipagina"/>
        <w:jc w:val="both"/>
      </w:pPr>
      <w:r>
        <w:rPr>
          <w:rStyle w:val="Rimandonotaapidipagina"/>
        </w:rPr>
        <w:footnoteRef/>
      </w:r>
      <w:r>
        <w:t xml:space="preserve"> All’interno di entrambi gli orientamenti possono rilevarsi in realtà posizioni che si differenziano fortemente quanto alle rispettive premesse teoriche. La tesi della rilevanza esclusiva del diritto interno, ad esempio, è sostenuta sia da autori che reputano che spetti al diritto interno regolare l’organizzazione dell’apparato statale, sia da autori che al contrario ammettono l’esistenza di norme internazionali di organizzazione. Ugualmente, l’altro orientamento è condiviso da autori che muovono da concezioni differenti circa la natura, giuridica o fattuale, dell’organizzazione statale.</w:t>
      </w:r>
    </w:p>
  </w:footnote>
  <w:footnote w:id="55">
    <w:p w:rsidR="003D54BB" w:rsidRDefault="003D54BB" w:rsidP="00FC77CE">
      <w:pPr>
        <w:pStyle w:val="Testonotaapidipagina"/>
        <w:jc w:val="both"/>
      </w:pPr>
      <w:r>
        <w:rPr>
          <w:rStyle w:val="Rimandonotaapidipagina"/>
        </w:rPr>
        <w:footnoteRef/>
      </w:r>
      <w:r>
        <w:t xml:space="preserve"> Così ANZILOTTI, </w:t>
      </w:r>
      <w:r w:rsidRPr="00173E9C">
        <w:rPr>
          <w:i/>
        </w:rPr>
        <w:t>Teoria generale</w:t>
      </w:r>
      <w:r>
        <w:t xml:space="preserve">, cit., p. 130; DE VISSCHER, </w:t>
      </w:r>
      <w:r w:rsidRPr="00173E9C">
        <w:rPr>
          <w:i/>
        </w:rPr>
        <w:t>La responsabilité des Etats</w:t>
      </w:r>
      <w:r>
        <w:t xml:space="preserve">, in </w:t>
      </w:r>
      <w:r w:rsidRPr="00173E9C">
        <w:rPr>
          <w:i/>
        </w:rPr>
        <w:t>Bibliot</w:t>
      </w:r>
      <w:r>
        <w:rPr>
          <w:i/>
        </w:rPr>
        <w:t>h</w:t>
      </w:r>
      <w:r w:rsidRPr="00173E9C">
        <w:rPr>
          <w:i/>
        </w:rPr>
        <w:t>eca Visseriana</w:t>
      </w:r>
      <w:r>
        <w:rPr>
          <w:i/>
        </w:rPr>
        <w:t xml:space="preserve"> Dissertationum Ius Interrnationale Illustrantium</w:t>
      </w:r>
      <w:r>
        <w:t xml:space="preserve">, vol. 2, 1923, p. 91; STRUPP, op. cit., p. 36. Per un’analisi delle motivazioni che hanno spinto parte della dottrina ad identificare l’organizzazione dello Stato dal punto di vista del diritto internazionale con l’ordinamento interno si veda ARANGIO-RUIZ, </w:t>
      </w:r>
      <w:r w:rsidRPr="00506B2A">
        <w:rPr>
          <w:i/>
        </w:rPr>
        <w:t>Gli enti soggetti dell’ordinamento internazionale</w:t>
      </w:r>
      <w:r>
        <w:t>, Milano, 1951.</w:t>
      </w:r>
    </w:p>
  </w:footnote>
  <w:footnote w:id="56">
    <w:p w:rsidR="003D54BB" w:rsidRDefault="003D54BB" w:rsidP="00FC77CE">
      <w:pPr>
        <w:pStyle w:val="Testonotaapidipagina"/>
        <w:jc w:val="both"/>
      </w:pPr>
      <w:r>
        <w:rPr>
          <w:rStyle w:val="Rimandonotaapidipagina"/>
        </w:rPr>
        <w:footnoteRef/>
      </w:r>
      <w:r>
        <w:t xml:space="preserve"> La questione della necessità di riconoscere delle eccezioni era sorta per la difficolta di conciliare il principio della rilevanza esclusiva del diritto interno con la prassi orientata a considerare attribuibili allo Stato i comportamenti adottati dagli organi al di fuori delle proprie competenze.</w:t>
      </w:r>
    </w:p>
  </w:footnote>
  <w:footnote w:id="57">
    <w:p w:rsidR="003D54BB" w:rsidRDefault="003D54BB" w:rsidP="00FC77CE">
      <w:pPr>
        <w:pStyle w:val="Testonotaapidipagina"/>
        <w:jc w:val="both"/>
      </w:pPr>
      <w:r>
        <w:rPr>
          <w:rStyle w:val="Rimandonotaapidipagina"/>
        </w:rPr>
        <w:footnoteRef/>
      </w:r>
      <w:r>
        <w:t xml:space="preserve"> Così PERASSI, </w:t>
      </w:r>
      <w:r w:rsidRPr="006F1C06">
        <w:rPr>
          <w:i/>
        </w:rPr>
        <w:t>Lezioni di diritto internazionale</w:t>
      </w:r>
      <w:r>
        <w:t xml:space="preserve">, Padova, 1961, p. 102 ss.; ROMANO, </w:t>
      </w:r>
      <w:r w:rsidRPr="006F1C06">
        <w:rPr>
          <w:i/>
        </w:rPr>
        <w:t>Corso di diritto internazionale</w:t>
      </w:r>
      <w:r>
        <w:t>, 3</w:t>
      </w:r>
      <w:r>
        <w:rPr>
          <w:rFonts w:cstheme="minorHAnsi"/>
        </w:rPr>
        <w:t>ᵃ</w:t>
      </w:r>
      <w:r>
        <w:t xml:space="preserve"> ed., Padova, 1933, p. 207. In un secondo momento, anche Anzilotti ha finito per accogliere questa concezione. Si veda ANZILOTTI, </w:t>
      </w:r>
      <w:r w:rsidRPr="006F1C06">
        <w:rPr>
          <w:i/>
        </w:rPr>
        <w:t>Corso di diritto internazionale</w:t>
      </w:r>
      <w:r>
        <w:t>, 4</w:t>
      </w:r>
      <w:r>
        <w:rPr>
          <w:rFonts w:cstheme="minorHAnsi"/>
        </w:rPr>
        <w:t>ᵃ</w:t>
      </w:r>
      <w:r>
        <w:t xml:space="preserve"> ed., Padova, 1955, p. 224 ss.</w:t>
      </w:r>
    </w:p>
  </w:footnote>
  <w:footnote w:id="58">
    <w:p w:rsidR="003D54BB" w:rsidRPr="00E15104" w:rsidRDefault="003D54BB" w:rsidP="00FC77CE">
      <w:pPr>
        <w:pStyle w:val="Testonotaapidipagina"/>
        <w:jc w:val="both"/>
        <w:rPr>
          <w:color w:val="FF0000"/>
        </w:rPr>
      </w:pPr>
      <w:r>
        <w:rPr>
          <w:rStyle w:val="Rimandonotaapidipagina"/>
        </w:rPr>
        <w:footnoteRef/>
      </w:r>
      <w:r>
        <w:t xml:space="preserve"> La natura variabile del rinvio era sostenuta in virtù di una difficoltà di conciliare la concezione della rilevanza delle norme internazionali in tema di organizzazione con la riferibilità allo Stato di comportamenti di enti, quali Stati federali e altri enti pubblici territoriali, che non godono in base al diritto interno di una personalità giuridica distinta rispetto a quella statale. Si veda ROMANO, </w:t>
      </w:r>
      <w:r w:rsidRPr="00FF375F">
        <w:rPr>
          <w:i/>
        </w:rPr>
        <w:t>op. cit.</w:t>
      </w:r>
      <w:r>
        <w:t xml:space="preserve">, p. 208. Il problema di attribuire allo Stato i comportamenti tenuti da un organo al di fuori delle proprie competenze veniva invece risolto sostenendo che il diritto internazionale opera un rinvio esclusivamente nei confronti delle norme interne che conferiscono lo </w:t>
      </w:r>
      <w:r w:rsidRPr="000237D1">
        <w:rPr>
          <w:i/>
        </w:rPr>
        <w:t>status</w:t>
      </w:r>
      <w:r>
        <w:t xml:space="preserve"> organico e non di quelle che regolano le competenze. Per una critica di questa concezione si veda AGO, </w:t>
      </w:r>
      <w:r>
        <w:rPr>
          <w:i/>
        </w:rPr>
        <w:t>Troisième</w:t>
      </w:r>
      <w:r w:rsidRPr="002D00CE">
        <w:rPr>
          <w:i/>
        </w:rPr>
        <w:t xml:space="preserve"> rapport</w:t>
      </w:r>
      <w:r>
        <w:t xml:space="preserve">, cit., p. 246; PALCHETTI, </w:t>
      </w:r>
      <w:r>
        <w:rPr>
          <w:i/>
        </w:rPr>
        <w:t xml:space="preserve">op. cit., </w:t>
      </w:r>
      <w:r>
        <w:t>pp. 9 – 10.</w:t>
      </w:r>
    </w:p>
  </w:footnote>
  <w:footnote w:id="59">
    <w:p w:rsidR="003D54BB" w:rsidRDefault="003D54BB" w:rsidP="00FC77CE">
      <w:pPr>
        <w:pStyle w:val="Testonotaapidipagina"/>
      </w:pPr>
      <w:r>
        <w:rPr>
          <w:rStyle w:val="Rimandonotaapidipagina"/>
        </w:rPr>
        <w:footnoteRef/>
      </w:r>
      <w:r>
        <w:t xml:space="preserve"> Per una critica di queste concezioni si veda AGO, </w:t>
      </w:r>
      <w:r w:rsidRPr="00402EAE">
        <w:rPr>
          <w:i/>
        </w:rPr>
        <w:t>Troisième rapport</w:t>
      </w:r>
      <w:r>
        <w:t>, cit., p. 246.</w:t>
      </w:r>
    </w:p>
  </w:footnote>
  <w:footnote w:id="60">
    <w:p w:rsidR="003D54BB" w:rsidRPr="00F109C8" w:rsidRDefault="003D54BB" w:rsidP="00FC77CE">
      <w:pPr>
        <w:pStyle w:val="Testonotaapidipagina"/>
        <w:jc w:val="both"/>
      </w:pPr>
      <w:r>
        <w:rPr>
          <w:rStyle w:val="Rimandonotaapidipagina"/>
        </w:rPr>
        <w:footnoteRef/>
      </w:r>
      <w:r w:rsidRPr="00253730">
        <w:t xml:space="preserve"> Si veda RIPHAGEN, </w:t>
      </w:r>
      <w:r w:rsidRPr="00253730">
        <w:rPr>
          <w:i/>
        </w:rPr>
        <w:t>State Responsibility: New Theories of Obligations in Interstate Relations</w:t>
      </w:r>
      <w:r w:rsidRPr="00253730">
        <w:t xml:space="preserve">, in Macdonald e Johnston (a cura di), </w:t>
      </w:r>
      <w:r w:rsidRPr="00253730">
        <w:rPr>
          <w:i/>
        </w:rPr>
        <w:t>The Structure and Process of International Law: Essays in Legal Philosophy Doctrine and Theory</w:t>
      </w:r>
      <w:r w:rsidRPr="00253730">
        <w:t xml:space="preserve">, Dordrecht/Boston/Lancaster, 1986, pp. 587 – 591; ID., </w:t>
      </w:r>
      <w:r w:rsidRPr="00253730">
        <w:rPr>
          <w:i/>
        </w:rPr>
        <w:t>Septième rapport sur la responsabilitè des Etats, in Annuaire de la Commission du droit international</w:t>
      </w:r>
      <w:r w:rsidRPr="00253730">
        <w:t xml:space="preserve">, 1986, vol. </w:t>
      </w:r>
      <w:r>
        <w:t>II-1, p. 11.</w:t>
      </w:r>
      <w:r w:rsidRPr="00F109C8">
        <w:t xml:space="preserve"> </w:t>
      </w:r>
      <w:r>
        <w:t xml:space="preserve">Per una critica a tale concezione si veda PALCHETTI, </w:t>
      </w:r>
      <w:r w:rsidRPr="00255ADC">
        <w:rPr>
          <w:i/>
        </w:rPr>
        <w:t>op. cit</w:t>
      </w:r>
      <w:r>
        <w:t>., p. 11.</w:t>
      </w:r>
    </w:p>
  </w:footnote>
  <w:footnote w:id="61">
    <w:p w:rsidR="003D54BB" w:rsidRDefault="003D54BB" w:rsidP="00691E48">
      <w:pPr>
        <w:pStyle w:val="Testonotaapidipagina"/>
        <w:jc w:val="both"/>
      </w:pPr>
      <w:r>
        <w:rPr>
          <w:rStyle w:val="Rimandonotaapidipagina"/>
        </w:rPr>
        <w:footnoteRef/>
      </w:r>
      <w:r>
        <w:t xml:space="preserve"> Per maggiori approfondimenti circa l’origine dell’espressione “organo” s</w:t>
      </w:r>
      <w:r w:rsidRPr="00BC74F7">
        <w:t xml:space="preserve">i vedano ROMANO, </w:t>
      </w:r>
      <w:r w:rsidRPr="0010034A">
        <w:rPr>
          <w:i/>
        </w:rPr>
        <w:t>Nozione e natura degli organi costituzionali dello Stato</w:t>
      </w:r>
      <w:r>
        <w:t xml:space="preserve">, Palermo, 1898; DONATI, </w:t>
      </w:r>
      <w:r w:rsidRPr="0010034A">
        <w:rPr>
          <w:i/>
        </w:rPr>
        <w:t>La persona reale dello Stato</w:t>
      </w:r>
      <w:r>
        <w:t xml:space="preserve">, 1921, ora in ID, </w:t>
      </w:r>
      <w:r w:rsidRPr="0010034A">
        <w:rPr>
          <w:i/>
        </w:rPr>
        <w:t>Scritti di diritto pubblico</w:t>
      </w:r>
      <w:r>
        <w:t>, Padova, 1966, p. 227 ss.</w:t>
      </w:r>
    </w:p>
  </w:footnote>
  <w:footnote w:id="62">
    <w:p w:rsidR="003D54BB" w:rsidRPr="001B18CD" w:rsidRDefault="003D54BB" w:rsidP="00FC77CE">
      <w:pPr>
        <w:pStyle w:val="Testonotaapidipagina"/>
        <w:jc w:val="both"/>
      </w:pPr>
      <w:r>
        <w:rPr>
          <w:rStyle w:val="Rimandonotaapidipagina"/>
        </w:rPr>
        <w:footnoteRef/>
      </w:r>
      <w:r w:rsidRPr="0092149C">
        <w:t xml:space="preserve"> Così VERDROSS, </w:t>
      </w:r>
      <w:r>
        <w:rPr>
          <w:i/>
        </w:rPr>
        <w:t>Règles géné</w:t>
      </w:r>
      <w:r w:rsidRPr="0092149C">
        <w:rPr>
          <w:i/>
        </w:rPr>
        <w:t>rales du droit de la paix</w:t>
      </w:r>
      <w:r w:rsidRPr="0092149C">
        <w:t xml:space="preserve">, in </w:t>
      </w:r>
      <w:r w:rsidRPr="0092149C">
        <w:rPr>
          <w:i/>
        </w:rPr>
        <w:t>Recueil des cours</w:t>
      </w:r>
      <w:r>
        <w:t>, 1929</w:t>
      </w:r>
      <w:r w:rsidRPr="0092149C">
        <w:t>, p. 464 ss.;</w:t>
      </w:r>
      <w:r>
        <w:t xml:space="preserve"> MORELLI, </w:t>
      </w:r>
      <w:r w:rsidRPr="004D6F70">
        <w:rPr>
          <w:i/>
        </w:rPr>
        <w:t>Nozioni di diritto internazionale</w:t>
      </w:r>
      <w:r w:rsidRPr="0092149C">
        <w:t>, 7</w:t>
      </w:r>
      <w:r>
        <w:rPr>
          <w:rFonts w:cstheme="minorHAnsi"/>
          <w:lang w:val="fr-FR"/>
        </w:rPr>
        <w:t>ᵃ</w:t>
      </w:r>
      <w:r w:rsidRPr="0092149C">
        <w:t xml:space="preserve"> ed.</w:t>
      </w:r>
      <w:r>
        <w:t>, Padova, 1967, p. 183 ss.</w:t>
      </w:r>
      <w:r w:rsidRPr="0092149C">
        <w:t xml:space="preserve"> </w:t>
      </w:r>
      <w:r>
        <w:t xml:space="preserve">Quest’ultimo autore non esclude che in determinate circostanze il diritto internazionale possa determinare in maniera autonoma le condizioni attributive di una condotta allo Stato. </w:t>
      </w:r>
      <w:r w:rsidRPr="001B18CD">
        <w:t xml:space="preserve">Si veda MORELLI, </w:t>
      </w:r>
      <w:r w:rsidRPr="001B18CD">
        <w:rPr>
          <w:i/>
        </w:rPr>
        <w:t>op. cit</w:t>
      </w:r>
      <w:r w:rsidRPr="001B18CD">
        <w:t>., p. 186 ss.</w:t>
      </w:r>
    </w:p>
  </w:footnote>
  <w:footnote w:id="63">
    <w:p w:rsidR="003D54BB" w:rsidRPr="0027193D" w:rsidRDefault="003D54BB" w:rsidP="00FC77CE">
      <w:pPr>
        <w:pStyle w:val="Testonotaapidipagina"/>
        <w:jc w:val="both"/>
      </w:pPr>
      <w:r>
        <w:rPr>
          <w:rStyle w:val="Rimandonotaapidipagina"/>
        </w:rPr>
        <w:footnoteRef/>
      </w:r>
      <w:r w:rsidRPr="001B18CD">
        <w:t xml:space="preserve"> Così ARANGIO-RUIZ, </w:t>
      </w:r>
      <w:r w:rsidRPr="001B18CD">
        <w:rPr>
          <w:i/>
        </w:rPr>
        <w:t>Gli enti soggetti</w:t>
      </w:r>
      <w:r w:rsidRPr="001B18CD">
        <w:t xml:space="preserve">, cit., p. 362 ss; ID., </w:t>
      </w:r>
      <w:r w:rsidRPr="001B18CD">
        <w:rPr>
          <w:i/>
        </w:rPr>
        <w:t>Deuxième rapport sur la responsabilitè des Etats</w:t>
      </w:r>
      <w:r w:rsidRPr="001B18CD">
        <w:t xml:space="preserve">, in </w:t>
      </w:r>
      <w:r w:rsidRPr="001B18CD">
        <w:rPr>
          <w:i/>
        </w:rPr>
        <w:t>Annuaire de la Commission de droit international</w:t>
      </w:r>
      <w:r w:rsidRPr="001B18CD">
        <w:t xml:space="preserve">, 1989, vol. </w:t>
      </w:r>
      <w:r w:rsidRPr="0027193D">
        <w:t xml:space="preserve">II-1, p. 56 ; PALMISANO, </w:t>
      </w:r>
      <w:r w:rsidRPr="00684A51">
        <w:rPr>
          <w:i/>
        </w:rPr>
        <w:t>Colpa dell’organo e colpa dello Stato nella responsabilità internazionale: spunti critici di teoria e prassi</w:t>
      </w:r>
      <w:r>
        <w:t xml:space="preserve">, in </w:t>
      </w:r>
      <w:r w:rsidRPr="00684A51">
        <w:rPr>
          <w:i/>
        </w:rPr>
        <w:t>Comunicazioni e studi</w:t>
      </w:r>
      <w:r>
        <w:t xml:space="preserve">, vol. XIX – XX, 1992, p. 675; ID., </w:t>
      </w:r>
      <w:r w:rsidRPr="00684A51">
        <w:rPr>
          <w:i/>
        </w:rPr>
        <w:t>Stato (soggettività internazionale)</w:t>
      </w:r>
      <w:r>
        <w:t xml:space="preserve">, in CASSESE (a cura di), </w:t>
      </w:r>
      <w:r w:rsidRPr="00684A51">
        <w:rPr>
          <w:i/>
        </w:rPr>
        <w:t>Dizionario di diritto pubblico</w:t>
      </w:r>
      <w:r>
        <w:t>, Milano, 2006, pp. 5706 – 5707.</w:t>
      </w:r>
    </w:p>
  </w:footnote>
  <w:footnote w:id="64">
    <w:p w:rsidR="003D54BB" w:rsidRPr="005A5A34" w:rsidRDefault="003D54BB" w:rsidP="006C0D61">
      <w:pPr>
        <w:pStyle w:val="Testonotaapidipagina"/>
        <w:jc w:val="both"/>
      </w:pPr>
      <w:r w:rsidRPr="00723D3D">
        <w:rPr>
          <w:rStyle w:val="Rimandonotaapidipagina"/>
        </w:rPr>
        <w:footnoteRef/>
      </w:r>
      <w:r w:rsidRPr="00723D3D">
        <w:t xml:space="preserve"> “Nel caso di contrasto fra organizzazione effettiva ed organizzazione giuridica, è soltanto alla prima che bisogna avere riguardo per determinare in concreto se ricorrono o meno i presupposti da cui </w:t>
      </w:r>
      <w:r w:rsidRPr="00520EED">
        <w:t>l’ordinamento internazionale fa dipendere l’imputazione al soggetto della volontà o dell’attività individuale</w:t>
      </w:r>
      <w:r>
        <w:t xml:space="preserve">”. Cfr. MORELLI, </w:t>
      </w:r>
      <w:r w:rsidRPr="004A06E8">
        <w:rPr>
          <w:i/>
        </w:rPr>
        <w:t>Nozioni di diritto internazionale</w:t>
      </w:r>
      <w:r>
        <w:t xml:space="preserve">, cit., p. 188. L’orientamento secondo cui le norme di diritto interno rilevano ai fini dell’accertamento della qualità di organo soltanto nel caso in cui siano indicative dell’organizzazione fattuale dello Stato è condivisa anche da ARANGIO-RUIZ, </w:t>
      </w:r>
      <w:r w:rsidRPr="004A06E8">
        <w:rPr>
          <w:i/>
        </w:rPr>
        <w:t>Deuxième rapport</w:t>
      </w:r>
      <w:r>
        <w:t xml:space="preserve">, cit., p. 55, par. 174 e PALMISANO, </w:t>
      </w:r>
      <w:r w:rsidRPr="004A06E8">
        <w:rPr>
          <w:i/>
        </w:rPr>
        <w:t>Colpa dell’organo e colpa dello Stato</w:t>
      </w:r>
      <w:r>
        <w:t>, cit., p. 681, nota 152.</w:t>
      </w:r>
    </w:p>
  </w:footnote>
  <w:footnote w:id="65">
    <w:p w:rsidR="003D54BB" w:rsidRPr="00B97569" w:rsidRDefault="003D54BB" w:rsidP="00FC77CE">
      <w:pPr>
        <w:pStyle w:val="Testonotaapidipagina"/>
        <w:jc w:val="both"/>
        <w:rPr>
          <w:i/>
          <w:lang w:val="en-US"/>
        </w:rPr>
      </w:pPr>
      <w:r>
        <w:rPr>
          <w:rStyle w:val="Rimandonotaapidipagina"/>
        </w:rPr>
        <w:footnoteRef/>
      </w:r>
      <w:r w:rsidRPr="00B97569">
        <w:rPr>
          <w:lang w:val="en-US"/>
        </w:rPr>
        <w:t xml:space="preserve"> Si veda AGO, </w:t>
      </w:r>
      <w:r w:rsidRPr="00B97569">
        <w:rPr>
          <w:i/>
          <w:lang w:val="en-US"/>
        </w:rPr>
        <w:t>Troisième rapport</w:t>
      </w:r>
      <w:r w:rsidRPr="00B97569">
        <w:rPr>
          <w:lang w:val="en-US"/>
        </w:rPr>
        <w:t>, cit., p. 245 ss</w:t>
      </w:r>
      <w:r>
        <w:rPr>
          <w:lang w:val="en-US"/>
        </w:rPr>
        <w:t>.</w:t>
      </w:r>
      <w:r w:rsidRPr="00B97569">
        <w:rPr>
          <w:lang w:val="en-US"/>
        </w:rPr>
        <w:t xml:space="preserve">; AMERASINGHE, </w:t>
      </w:r>
      <w:r w:rsidRPr="00B97569">
        <w:rPr>
          <w:i/>
          <w:lang w:val="en-US"/>
        </w:rPr>
        <w:t>Imputability in the law of State responsibility for injuries to aliens</w:t>
      </w:r>
      <w:r w:rsidRPr="00B97569">
        <w:rPr>
          <w:lang w:val="en-US"/>
        </w:rPr>
        <w:t xml:space="preserve">, </w:t>
      </w:r>
      <w:r w:rsidRPr="00B97569">
        <w:rPr>
          <w:i/>
          <w:lang w:val="en-US"/>
        </w:rPr>
        <w:t>Revue égyptienne de droit international</w:t>
      </w:r>
      <w:r>
        <w:rPr>
          <w:lang w:val="en-US"/>
        </w:rPr>
        <w:t xml:space="preserve"> 1966, </w:t>
      </w:r>
      <w:r w:rsidRPr="00B97569">
        <w:rPr>
          <w:lang w:val="en-US"/>
        </w:rPr>
        <w:t xml:space="preserve">p. 92; ID., </w:t>
      </w:r>
      <w:r w:rsidRPr="00B97569">
        <w:rPr>
          <w:i/>
          <w:lang w:val="en-US"/>
        </w:rPr>
        <w:t>State Responsibility for Injuries to Aliens</w:t>
      </w:r>
      <w:r w:rsidRPr="00B97569">
        <w:rPr>
          <w:lang w:val="en-US"/>
        </w:rPr>
        <w:t xml:space="preserve">, Oxford, 1967, p. 49; CHENG, op. cit.,  </w:t>
      </w:r>
      <w:r>
        <w:rPr>
          <w:lang w:val="en-US"/>
        </w:rPr>
        <w:t>pp. 180 – 181.</w:t>
      </w:r>
    </w:p>
  </w:footnote>
  <w:footnote w:id="66">
    <w:p w:rsidR="003D54BB" w:rsidRPr="00985913" w:rsidRDefault="003D54BB" w:rsidP="00FC77CE">
      <w:pPr>
        <w:autoSpaceDE w:val="0"/>
        <w:autoSpaceDN w:val="0"/>
        <w:adjustRightInd w:val="0"/>
        <w:spacing w:after="0" w:line="240" w:lineRule="auto"/>
        <w:jc w:val="both"/>
        <w:rPr>
          <w:i/>
          <w:sz w:val="20"/>
          <w:szCs w:val="20"/>
          <w:lang w:val="fr-FR"/>
        </w:rPr>
      </w:pPr>
      <w:r>
        <w:rPr>
          <w:rStyle w:val="Rimandonotaapidipagina"/>
        </w:rPr>
        <w:footnoteRef/>
      </w:r>
      <w:r w:rsidRPr="00DF7F02">
        <w:t xml:space="preserve"> </w:t>
      </w:r>
      <w:r w:rsidRPr="00DF7F02">
        <w:rPr>
          <w:sz w:val="20"/>
          <w:szCs w:val="20"/>
        </w:rPr>
        <w:t>Il principio secondo cui l’attribuzione di condotte è un’operazione giuridica operante secondo criteri del diritto internazionale è stato codificato dalla CDI all’art. 3 del progetto di articoli sulla responsabilità internazionale. Si veda il testo dell’articolo e il relativo commento in</w:t>
      </w:r>
      <w:r>
        <w:t xml:space="preserve"> </w:t>
      </w:r>
      <w:r w:rsidRPr="00DF7F02">
        <w:rPr>
          <w:i/>
          <w:sz w:val="20"/>
          <w:szCs w:val="20"/>
        </w:rPr>
        <w:t>Yearbook of the International Law Commission</w:t>
      </w:r>
      <w:r w:rsidRPr="00DF7F02">
        <w:rPr>
          <w:sz w:val="20"/>
          <w:szCs w:val="20"/>
        </w:rPr>
        <w:t xml:space="preserve">, 2001, vol. </w:t>
      </w:r>
      <w:r w:rsidRPr="00985913">
        <w:rPr>
          <w:sz w:val="20"/>
          <w:szCs w:val="20"/>
          <w:lang w:val="fr-FR"/>
        </w:rPr>
        <w:t>II - 2,</w:t>
      </w:r>
    </w:p>
  </w:footnote>
  <w:footnote w:id="67">
    <w:p w:rsidR="003D54BB" w:rsidRPr="0049022B" w:rsidRDefault="003D54BB" w:rsidP="00FC77CE">
      <w:pPr>
        <w:pStyle w:val="Testonotaapidipagina"/>
        <w:jc w:val="both"/>
        <w:rPr>
          <w:lang w:val="fr-FR"/>
        </w:rPr>
      </w:pPr>
      <w:r>
        <w:rPr>
          <w:rStyle w:val="Rimandonotaapidipagina"/>
        </w:rPr>
        <w:footnoteRef/>
      </w:r>
      <w:r w:rsidRPr="007A5670">
        <w:rPr>
          <w:lang w:val="fr-FR"/>
        </w:rPr>
        <w:t xml:space="preserve"> </w:t>
      </w:r>
      <w:r w:rsidRPr="00AD3683">
        <w:rPr>
          <w:lang w:val="fr-FR"/>
        </w:rPr>
        <w:t>“Par organisation de l’Etat il faut entendre l’appareil de ce dernier, l’ensemble des structures concrètes par lesquelles il manifeste son existence et exerce son action. Il va se de soi que la formation de ces structures et la prévision de cette action sont l’objet d’une réglementation juridique, réglementation que l’Etat lui-m</w:t>
      </w:r>
      <w:r w:rsidRPr="00AD3683">
        <w:rPr>
          <w:rFonts w:cstheme="minorHAnsi"/>
          <w:lang w:val="fr-FR"/>
        </w:rPr>
        <w:t>ê</w:t>
      </w:r>
      <w:r w:rsidRPr="00AD3683">
        <w:rPr>
          <w:lang w:val="fr-FR"/>
        </w:rPr>
        <w:t>me et lui seul peut établir”</w:t>
      </w:r>
      <w:r w:rsidRPr="00E52967">
        <w:rPr>
          <w:lang w:val="fr-FR"/>
        </w:rPr>
        <w:t>.</w:t>
      </w:r>
      <w:r>
        <w:rPr>
          <w:lang w:val="fr-FR"/>
        </w:rPr>
        <w:t> </w:t>
      </w:r>
      <w:r w:rsidRPr="0049022B">
        <w:rPr>
          <w:lang w:val="fr-FR"/>
        </w:rPr>
        <w:t xml:space="preserve">Così AGO, </w:t>
      </w:r>
      <w:r w:rsidRPr="0049022B">
        <w:rPr>
          <w:i/>
          <w:lang w:val="fr-FR"/>
        </w:rPr>
        <w:t>Troisième rapport</w:t>
      </w:r>
      <w:r w:rsidRPr="0049022B">
        <w:rPr>
          <w:lang w:val="fr-FR"/>
        </w:rPr>
        <w:t xml:space="preserve">, cit., p. 249. Per una critica a questa concezione dell’organizzazione dello Stato si veda LENOBLE, </w:t>
      </w:r>
      <w:r w:rsidRPr="0049022B">
        <w:rPr>
          <w:i/>
          <w:lang w:val="fr-FR"/>
        </w:rPr>
        <w:t>Responsabilité internationale et contr</w:t>
      </w:r>
      <w:r w:rsidRPr="0049022B">
        <w:rPr>
          <w:rFonts w:cstheme="minorHAnsi"/>
          <w:i/>
          <w:lang w:val="fr-FR"/>
        </w:rPr>
        <w:t>ô</w:t>
      </w:r>
      <w:r w:rsidRPr="0049022B">
        <w:rPr>
          <w:i/>
          <w:lang w:val="fr-FR"/>
        </w:rPr>
        <w:t>le territorial</w:t>
      </w:r>
      <w:r w:rsidRPr="0049022B">
        <w:rPr>
          <w:lang w:val="fr-FR"/>
        </w:rPr>
        <w:t xml:space="preserve">, </w:t>
      </w:r>
      <w:r w:rsidRPr="0049022B">
        <w:rPr>
          <w:i/>
          <w:lang w:val="fr-FR"/>
        </w:rPr>
        <w:t>Revue belge de droit international</w:t>
      </w:r>
      <w:r w:rsidRPr="0049022B">
        <w:rPr>
          <w:lang w:val="fr-FR"/>
        </w:rPr>
        <w:t>, 1981-82, p. 99.</w:t>
      </w:r>
    </w:p>
  </w:footnote>
  <w:footnote w:id="68">
    <w:p w:rsidR="003D54BB" w:rsidRPr="008B13C2" w:rsidRDefault="003D54BB" w:rsidP="00FC77CE">
      <w:pPr>
        <w:pStyle w:val="Testonotaapidipagina"/>
        <w:jc w:val="both"/>
        <w:rPr>
          <w:lang w:val="fr-FR"/>
        </w:rPr>
      </w:pPr>
      <w:r>
        <w:rPr>
          <w:rStyle w:val="Rimandonotaapidipagina"/>
        </w:rPr>
        <w:footnoteRef/>
      </w:r>
      <w:r w:rsidRPr="008B13C2">
        <w:rPr>
          <w:lang w:val="fr-FR"/>
        </w:rPr>
        <w:t xml:space="preserve"> </w:t>
      </w:r>
      <w:r w:rsidRPr="008B13C2">
        <w:rPr>
          <w:i/>
          <w:lang w:val="fr-FR"/>
        </w:rPr>
        <w:t>I.C.J. Report</w:t>
      </w:r>
      <w:r>
        <w:rPr>
          <w:i/>
          <w:lang w:val="fr-FR"/>
        </w:rPr>
        <w:t>s</w:t>
      </w:r>
      <w:r w:rsidRPr="008B13C2">
        <w:rPr>
          <w:lang w:val="fr-FR"/>
        </w:rPr>
        <w:t xml:space="preserve"> 1980, p. 29, par. </w:t>
      </w:r>
      <w:r>
        <w:rPr>
          <w:lang w:val="fr-FR"/>
        </w:rPr>
        <w:t>56.</w:t>
      </w:r>
    </w:p>
  </w:footnote>
  <w:footnote w:id="69">
    <w:p w:rsidR="003D54BB" w:rsidRPr="008B13C2" w:rsidRDefault="003D54BB" w:rsidP="00FC77CE">
      <w:pPr>
        <w:pStyle w:val="Testonotaapidipagina"/>
        <w:jc w:val="both"/>
        <w:rPr>
          <w:lang w:val="fr-FR"/>
        </w:rPr>
      </w:pPr>
      <w:r>
        <w:rPr>
          <w:rStyle w:val="Rimandonotaapidipagina"/>
        </w:rPr>
        <w:footnoteRef/>
      </w:r>
      <w:r w:rsidRPr="008B13C2">
        <w:rPr>
          <w:lang w:val="fr-FR"/>
        </w:rPr>
        <w:t xml:space="preserve"> </w:t>
      </w:r>
      <w:r w:rsidRPr="008B13C2">
        <w:rPr>
          <w:i/>
          <w:lang w:val="fr-FR"/>
        </w:rPr>
        <w:t>I.C.J. Report</w:t>
      </w:r>
      <w:r>
        <w:rPr>
          <w:i/>
          <w:lang w:val="fr-FR"/>
        </w:rPr>
        <w:t>s</w:t>
      </w:r>
      <w:r>
        <w:rPr>
          <w:lang w:val="fr-FR"/>
        </w:rPr>
        <w:t xml:space="preserve">, </w:t>
      </w:r>
      <w:r w:rsidRPr="008B13C2">
        <w:rPr>
          <w:lang w:val="fr-FR"/>
        </w:rPr>
        <w:t xml:space="preserve">1986, p. 39, par. </w:t>
      </w:r>
      <w:r>
        <w:rPr>
          <w:lang w:val="fr-FR"/>
        </w:rPr>
        <w:t>57.</w:t>
      </w:r>
    </w:p>
  </w:footnote>
  <w:footnote w:id="70">
    <w:p w:rsidR="003D54BB" w:rsidRPr="008B13C2" w:rsidRDefault="003D54BB" w:rsidP="00181B12">
      <w:pPr>
        <w:pStyle w:val="Testonotaapidipagina"/>
        <w:jc w:val="both"/>
        <w:rPr>
          <w:lang w:val="fr-FR"/>
        </w:rPr>
      </w:pPr>
      <w:r>
        <w:rPr>
          <w:rStyle w:val="Rimandonotaapidipagina"/>
        </w:rPr>
        <w:footnoteRef/>
      </w:r>
      <w:r w:rsidRPr="008B13C2">
        <w:rPr>
          <w:lang w:val="fr-FR"/>
        </w:rPr>
        <w:t xml:space="preserve"> </w:t>
      </w:r>
      <w:r w:rsidRPr="007A1944">
        <w:rPr>
          <w:i/>
          <w:lang w:val="fr-FR"/>
        </w:rPr>
        <w:t>I.C.J. Report</w:t>
      </w:r>
      <w:r>
        <w:rPr>
          <w:i/>
          <w:lang w:val="fr-FR"/>
        </w:rPr>
        <w:t xml:space="preserve">s, </w:t>
      </w:r>
      <w:r>
        <w:rPr>
          <w:lang w:val="fr-FR"/>
        </w:rPr>
        <w:t>2007</w:t>
      </w:r>
      <w:r w:rsidRPr="008B13C2">
        <w:rPr>
          <w:lang w:val="fr-FR"/>
        </w:rPr>
        <w:t xml:space="preserve">, p. 23, par. </w:t>
      </w:r>
      <w:r>
        <w:rPr>
          <w:lang w:val="fr-FR"/>
        </w:rPr>
        <w:t>108.</w:t>
      </w:r>
    </w:p>
  </w:footnote>
  <w:footnote w:id="71">
    <w:p w:rsidR="003D54BB" w:rsidRPr="001F5CBF" w:rsidRDefault="003D54BB" w:rsidP="009F5FCC">
      <w:pPr>
        <w:pStyle w:val="Testonotaapidipagina"/>
        <w:jc w:val="both"/>
      </w:pPr>
      <w:r>
        <w:rPr>
          <w:rStyle w:val="Rimandonotaapidipagina"/>
        </w:rPr>
        <w:footnoteRef/>
      </w:r>
      <w:r w:rsidRPr="001F5CBF">
        <w:t xml:space="preserve"> AGO, </w:t>
      </w:r>
      <w:r w:rsidRPr="001F5CBF">
        <w:rPr>
          <w:i/>
        </w:rPr>
        <w:t>Troisième rapport</w:t>
      </w:r>
      <w:r w:rsidRPr="001F5CBF">
        <w:t xml:space="preserve">, cit., p. 245 ss.; AMERASINGHE, </w:t>
      </w:r>
      <w:r w:rsidRPr="001F5CBF">
        <w:rPr>
          <w:i/>
        </w:rPr>
        <w:t>Imputability in the law of State responsibility for injuries to aliens</w:t>
      </w:r>
      <w:r w:rsidRPr="001F5CBF">
        <w:t>, cit</w:t>
      </w:r>
      <w:r w:rsidRPr="001F5CBF">
        <w:rPr>
          <w:i/>
        </w:rPr>
        <w:t>.,</w:t>
      </w:r>
      <w:r w:rsidRPr="001F5CBF">
        <w:t xml:space="preserve"> p. 92; ID., </w:t>
      </w:r>
      <w:r w:rsidRPr="001F5CBF">
        <w:rPr>
          <w:i/>
        </w:rPr>
        <w:t>State Responsibility for Injuries to Aliens</w:t>
      </w:r>
      <w:r w:rsidRPr="001F5CBF">
        <w:t xml:space="preserve">, cit., p. 49; CHENG, op. cit.,  pp. 180 – 181; SALERNO, </w:t>
      </w:r>
      <w:r w:rsidRPr="001F5CBF">
        <w:rPr>
          <w:i/>
        </w:rPr>
        <w:t>Genesi e usi della nozione di organo nella dottrina internazionalista italiana</w:t>
      </w:r>
      <w:r>
        <w:t xml:space="preserve">, </w:t>
      </w:r>
      <w:r>
        <w:rPr>
          <w:i/>
        </w:rPr>
        <w:t xml:space="preserve">Rivista </w:t>
      </w:r>
      <w:r w:rsidRPr="001F5CBF">
        <w:rPr>
          <w:i/>
        </w:rPr>
        <w:t>di diritto internazionale</w:t>
      </w:r>
      <w:r>
        <w:t>, 2009, p. 921 ss.</w:t>
      </w:r>
    </w:p>
  </w:footnote>
  <w:footnote w:id="72">
    <w:p w:rsidR="003D54BB" w:rsidRPr="003E7727" w:rsidRDefault="003D54BB" w:rsidP="009F5FCC">
      <w:pPr>
        <w:pStyle w:val="Testonotaapidipagina"/>
        <w:jc w:val="both"/>
      </w:pPr>
      <w:r>
        <w:rPr>
          <w:rStyle w:val="Rimandonotaapidipagina"/>
        </w:rPr>
        <w:footnoteRef/>
      </w:r>
      <w:r w:rsidRPr="00C07939">
        <w:rPr>
          <w:lang w:val="fr-FR"/>
        </w:rPr>
        <w:t xml:space="preserve"> </w:t>
      </w:r>
      <w:r w:rsidRPr="00AD3683">
        <w:rPr>
          <w:lang w:val="fr-FR"/>
        </w:rPr>
        <w:t>“…la condition nécessaire pour que le droit des gens impute un tort à l’État, c’est qu’il se trouve en face d’une conduite d’une personne physique qui dans l’organisation interne de l’État, soit qualifiée d’organe”</w:t>
      </w:r>
      <w:r w:rsidRPr="00E52967">
        <w:rPr>
          <w:lang w:val="fr-FR"/>
        </w:rPr>
        <w:t>.</w:t>
      </w:r>
      <w:r>
        <w:rPr>
          <w:lang w:val="fr-FR"/>
        </w:rPr>
        <w:t> </w:t>
      </w:r>
      <w:r w:rsidRPr="003E7727">
        <w:rPr>
          <w:lang w:val="fr-FR"/>
        </w:rPr>
        <w:t xml:space="preserve">Cfr. AGO, </w:t>
      </w:r>
      <w:r w:rsidRPr="003E7727">
        <w:rPr>
          <w:i/>
          <w:lang w:val="fr-FR"/>
        </w:rPr>
        <w:t>Le délit international</w:t>
      </w:r>
      <w:r w:rsidRPr="003E7727">
        <w:rPr>
          <w:lang w:val="fr-FR"/>
        </w:rPr>
        <w:t xml:space="preserve">, in </w:t>
      </w:r>
      <w:r w:rsidRPr="003E7727">
        <w:rPr>
          <w:i/>
          <w:lang w:val="fr-FR"/>
        </w:rPr>
        <w:t>Recueil des cours de la Académie de droit international</w:t>
      </w:r>
      <w:r w:rsidRPr="003E7727">
        <w:rPr>
          <w:lang w:val="fr-FR"/>
        </w:rPr>
        <w:t xml:space="preserve">, vol. 68 (1939-II), p. 465. </w:t>
      </w:r>
      <w:r w:rsidRPr="00E84168">
        <w:t>Ago ripropone tale concetto nel 1971, quando presenta il suo terzo rapporto sulla responsabilità internazionale alla Commissione di diritto internazionale</w:t>
      </w:r>
      <w:r>
        <w:t xml:space="preserve">. ID., </w:t>
      </w:r>
      <w:r>
        <w:rPr>
          <w:i/>
        </w:rPr>
        <w:t>Troisiéme rapport</w:t>
      </w:r>
      <w:r>
        <w:t>, cit., p. 198 ss.</w:t>
      </w:r>
    </w:p>
  </w:footnote>
  <w:footnote w:id="73">
    <w:p w:rsidR="003D54BB" w:rsidRPr="00C412A3" w:rsidRDefault="003D54BB" w:rsidP="009F5FCC">
      <w:pPr>
        <w:pStyle w:val="Testonotaapidipagina"/>
        <w:jc w:val="both"/>
      </w:pPr>
      <w:r>
        <w:rPr>
          <w:rStyle w:val="Rimandonotaapidipagina"/>
        </w:rPr>
        <w:footnoteRef/>
      </w:r>
      <w:r w:rsidRPr="008E3450">
        <w:t xml:space="preserve"> La tesi secondo cui la condotta di un individuo che abbia la qualità di organo secondo il diritto interno deve essere in ogni caso attribuita allo Stato sembra corrispondere alla posizione della Commissione del diritto internazionale.</w:t>
      </w:r>
      <w:r>
        <w:t xml:space="preserve"> Nel corso del dibattito che ha portato all’adozione in prima lettura dell’art. 5, alcuni membri hanno sollevato la questione circa la possibilità di riconoscere la qualità organica indipendentemente dalla circostanza che trovasse corrispondenza nella realtà effettiva. </w:t>
      </w:r>
      <w:r w:rsidRPr="00A451DD">
        <w:rPr>
          <w:lang w:val="en-US"/>
        </w:rPr>
        <w:t xml:space="preserve">In paricolare Hambro ha osservato come </w:t>
      </w:r>
      <w:r w:rsidRPr="00AD3683">
        <w:rPr>
          <w:lang w:val="en-US"/>
        </w:rPr>
        <w:t>“by contrast with article 8, article 5 dealt with acts which would always be attributed to the State, because the person or group of persons performing them was categorized as a State organ by the internal law of the State concerned”.</w:t>
      </w:r>
      <w:r>
        <w:rPr>
          <w:lang w:val="en-US"/>
        </w:rPr>
        <w:t xml:space="preserve"> In </w:t>
      </w:r>
      <w:r w:rsidRPr="009D35E3">
        <w:rPr>
          <w:i/>
          <w:lang w:val="en-US"/>
        </w:rPr>
        <w:t>Yearbook of the International Law Commission</w:t>
      </w:r>
      <w:r>
        <w:rPr>
          <w:lang w:val="en-US"/>
        </w:rPr>
        <w:t xml:space="preserve">, 1973-I, p. 51, par. 31. </w:t>
      </w:r>
      <w:r w:rsidRPr="00C21F5C">
        <w:t>Una identica indicazione è contenuta anche nel progetto adottato in seconda lettura</w:t>
      </w:r>
      <w:r>
        <w:t>. Su questa problematica il commentario dell’art. 4 si limita a rilevare che “</w:t>
      </w:r>
      <w:r w:rsidRPr="008B3423">
        <w:rPr>
          <w:i/>
        </w:rPr>
        <w:t>when the law of a State characterizes an entity as an organ, no difficulty will arise</w:t>
      </w:r>
      <w:r>
        <w:t xml:space="preserve">”. </w:t>
      </w:r>
      <w:r w:rsidRPr="00C412A3">
        <w:t>UN doc. A/56/10, p. 82.</w:t>
      </w:r>
    </w:p>
  </w:footnote>
  <w:footnote w:id="74">
    <w:p w:rsidR="003D54BB" w:rsidRPr="003B47B8" w:rsidRDefault="003D54BB" w:rsidP="009F5FCC">
      <w:pPr>
        <w:pStyle w:val="Testonotaapidipagina"/>
        <w:jc w:val="both"/>
      </w:pPr>
      <w:r>
        <w:rPr>
          <w:rStyle w:val="Rimandonotaapidipagina"/>
        </w:rPr>
        <w:footnoteRef/>
      </w:r>
      <w:r w:rsidRPr="003B47B8">
        <w:t xml:space="preserve"> Per approfondire il ruolo giocato dall’esigenza di garantire la certezza delle relazioni internazionali con riferimento al principio dell’attribuzione allo Stato dei fatti </w:t>
      </w:r>
      <w:r w:rsidRPr="003B47B8">
        <w:rPr>
          <w:i/>
        </w:rPr>
        <w:t xml:space="preserve">ultra </w:t>
      </w:r>
      <w:r w:rsidRPr="002D6C60">
        <w:rPr>
          <w:i/>
        </w:rPr>
        <w:t xml:space="preserve">vires </w:t>
      </w:r>
      <w:r w:rsidRPr="002D6C60">
        <w:t xml:space="preserve">vedi </w:t>
      </w:r>
      <w:r w:rsidRPr="002D6C60">
        <w:rPr>
          <w:i/>
        </w:rPr>
        <w:t>infra</w:t>
      </w:r>
      <w:r>
        <w:t>, p. 36</w:t>
      </w:r>
      <w:r w:rsidRPr="002D6C60">
        <w:t xml:space="preserve"> ss.</w:t>
      </w:r>
    </w:p>
  </w:footnote>
  <w:footnote w:id="75">
    <w:p w:rsidR="003D54BB" w:rsidRPr="00486F6E" w:rsidRDefault="003D54BB" w:rsidP="009F5FCC">
      <w:pPr>
        <w:pStyle w:val="Testonotaapidipagina"/>
        <w:jc w:val="both"/>
        <w:rPr>
          <w:lang w:val="fr-FR"/>
        </w:rPr>
      </w:pPr>
      <w:r>
        <w:rPr>
          <w:rStyle w:val="Rimandonotaapidipagina"/>
        </w:rPr>
        <w:footnoteRef/>
      </w:r>
      <w:r w:rsidRPr="00486F6E">
        <w:rPr>
          <w:lang w:val="fr-FR"/>
        </w:rPr>
        <w:t xml:space="preserve"> CONDORELLI, </w:t>
      </w:r>
      <w:r w:rsidRPr="00486F6E">
        <w:rPr>
          <w:i/>
          <w:lang w:val="fr-FR"/>
        </w:rPr>
        <w:t>L’imputation à l’État d’un fait internationalement illicite: solutions classiques et nouvelles tendances</w:t>
      </w:r>
      <w:r w:rsidRPr="00486F6E">
        <w:rPr>
          <w:lang w:val="fr-FR"/>
        </w:rPr>
        <w:t xml:space="preserve">, in </w:t>
      </w:r>
      <w:r w:rsidRPr="00486F6E">
        <w:rPr>
          <w:i/>
          <w:lang w:val="fr-FR"/>
        </w:rPr>
        <w:t>Recueil des cours</w:t>
      </w:r>
      <w:r w:rsidRPr="00486F6E">
        <w:rPr>
          <w:lang w:val="fr-FR"/>
        </w:rPr>
        <w:t xml:space="preserve">, vol. </w:t>
      </w:r>
      <w:r>
        <w:rPr>
          <w:lang w:val="fr-FR"/>
        </w:rPr>
        <w:t>189 (1984-IV), p. 26 ss.</w:t>
      </w:r>
    </w:p>
  </w:footnote>
  <w:footnote w:id="76">
    <w:p w:rsidR="003D54BB" w:rsidRPr="002C5ADC" w:rsidRDefault="003D54BB" w:rsidP="009F5FCC">
      <w:pPr>
        <w:pStyle w:val="Testonotaapidipagina"/>
        <w:jc w:val="both"/>
      </w:pPr>
      <w:r>
        <w:rPr>
          <w:rStyle w:val="Rimandonotaapidipagina"/>
        </w:rPr>
        <w:footnoteRef/>
      </w:r>
      <w:r w:rsidRPr="002C5ADC">
        <w:t xml:space="preserve"> PALCHETTI, </w:t>
      </w:r>
      <w:r w:rsidRPr="00366AC4">
        <w:rPr>
          <w:i/>
        </w:rPr>
        <w:t>L’organo di fatto nell’illecito internazionale</w:t>
      </w:r>
      <w:r>
        <w:t>, cit.,p. 251 ss.</w:t>
      </w:r>
    </w:p>
  </w:footnote>
  <w:footnote w:id="77">
    <w:p w:rsidR="003D54BB" w:rsidRPr="00E43E25" w:rsidRDefault="003D54BB" w:rsidP="00FC77CE">
      <w:pPr>
        <w:pStyle w:val="Testonotaapidipagina"/>
        <w:rPr>
          <w:i/>
          <w:lang w:val="en-US"/>
        </w:rPr>
      </w:pPr>
      <w:r>
        <w:rPr>
          <w:rStyle w:val="Rimandonotaapidipagina"/>
        </w:rPr>
        <w:footnoteRef/>
      </w:r>
      <w:r w:rsidRPr="0064752E">
        <w:rPr>
          <w:lang w:val="en-US"/>
        </w:rPr>
        <w:t xml:space="preserve"> </w:t>
      </w:r>
      <w:r>
        <w:rPr>
          <w:lang w:val="en-US"/>
        </w:rPr>
        <w:t xml:space="preserve">Vedi </w:t>
      </w:r>
      <w:r>
        <w:rPr>
          <w:i/>
          <w:lang w:val="en-US"/>
        </w:rPr>
        <w:t>supra</w:t>
      </w:r>
      <w:r>
        <w:rPr>
          <w:lang w:val="en-US"/>
        </w:rPr>
        <w:t>, p. 24 ss.</w:t>
      </w:r>
    </w:p>
  </w:footnote>
  <w:footnote w:id="78">
    <w:p w:rsidR="003D54BB" w:rsidRPr="008E30C6" w:rsidRDefault="003D54BB" w:rsidP="00FC77CE">
      <w:pPr>
        <w:pStyle w:val="Testonotaapidipagina"/>
        <w:jc w:val="both"/>
        <w:rPr>
          <w:lang w:val="fr-FR"/>
        </w:rPr>
      </w:pPr>
      <w:r>
        <w:rPr>
          <w:rStyle w:val="Rimandonotaapidipagina"/>
        </w:rPr>
        <w:footnoteRef/>
      </w:r>
      <w:r w:rsidRPr="00723D3D">
        <w:rPr>
          <w:lang w:val="en-US"/>
        </w:rPr>
        <w:t xml:space="preserve"> </w:t>
      </w:r>
      <w:r w:rsidRPr="00AD3683">
        <w:rPr>
          <w:lang w:val="en-US"/>
        </w:rPr>
        <w:t>“…on the basis of the premise – in itself irrefutable – that the organization of a State is determined exclusively by the law of that State, wrongly seek to conclude that it is impossible to attribute to the State</w:t>
      </w:r>
      <w:r w:rsidRPr="00CD112B">
        <w:rPr>
          <w:i/>
          <w:lang w:val="en-US"/>
        </w:rPr>
        <w:t xml:space="preserve">, </w:t>
      </w:r>
      <w:r w:rsidRPr="00AD3683">
        <w:rPr>
          <w:lang w:val="en-US"/>
        </w:rPr>
        <w:t>at the international level also, the action of a person who strictly speaking does not possess the character of a State organ under municipal law or who, although possessing such character does not act in accordance with the provisions of municipal law which defines that organ’s scope of action.”</w:t>
      </w:r>
      <w:r>
        <w:rPr>
          <w:lang w:val="en-US"/>
        </w:rPr>
        <w:t xml:space="preserve"> Cfr. </w:t>
      </w:r>
      <w:r w:rsidRPr="00AF08EC">
        <w:rPr>
          <w:bCs/>
          <w:smallCaps/>
          <w:lang w:val="en-US"/>
        </w:rPr>
        <w:t>AGO</w:t>
      </w:r>
      <w:r w:rsidRPr="00AF08EC">
        <w:rPr>
          <w:lang w:val="en-US"/>
        </w:rPr>
        <w:t>,</w:t>
      </w:r>
      <w:r>
        <w:rPr>
          <w:i/>
          <w:lang w:val="en-US"/>
        </w:rPr>
        <w:t xml:space="preserve"> Fourth Report </w:t>
      </w:r>
      <w:r w:rsidRPr="00CD112B">
        <w:rPr>
          <w:i/>
          <w:lang w:val="en-US"/>
        </w:rPr>
        <w:t>on State Responsibility</w:t>
      </w:r>
      <w:r w:rsidRPr="00CD112B">
        <w:rPr>
          <w:lang w:val="en-US"/>
        </w:rPr>
        <w:t xml:space="preserve">, in </w:t>
      </w:r>
      <w:r w:rsidRPr="00CD112B">
        <w:rPr>
          <w:i/>
          <w:lang w:val="en-US"/>
        </w:rPr>
        <w:t>Yearbook of International Law Commission</w:t>
      </w:r>
      <w:r w:rsidRPr="00CD112B">
        <w:rPr>
          <w:lang w:val="en-US"/>
        </w:rPr>
        <w:t xml:space="preserve">, 1972, vol. </w:t>
      </w:r>
      <w:r w:rsidRPr="00CD112B">
        <w:rPr>
          <w:lang w:val="fr-FR"/>
        </w:rPr>
        <w:t>II, p.</w:t>
      </w:r>
      <w:r>
        <w:rPr>
          <w:lang w:val="fr-FR"/>
        </w:rPr>
        <w:t xml:space="preserve"> </w:t>
      </w:r>
      <w:r w:rsidRPr="00CD112B">
        <w:rPr>
          <w:lang w:val="fr-FR"/>
        </w:rPr>
        <w:t>234, par.</w:t>
      </w:r>
      <w:r>
        <w:rPr>
          <w:lang w:val="fr-FR"/>
        </w:rPr>
        <w:t xml:space="preserve"> </w:t>
      </w:r>
      <w:r w:rsidRPr="00CD112B">
        <w:rPr>
          <w:lang w:val="fr-FR"/>
        </w:rPr>
        <w:t>111.</w:t>
      </w:r>
    </w:p>
  </w:footnote>
  <w:footnote w:id="79">
    <w:p w:rsidR="003D54BB" w:rsidRPr="00DD3BB3" w:rsidRDefault="003D54BB" w:rsidP="00262978">
      <w:pPr>
        <w:pStyle w:val="Testonotaapidipagina"/>
        <w:jc w:val="both"/>
        <w:rPr>
          <w:lang w:val="fr-FR"/>
        </w:rPr>
      </w:pPr>
      <w:r>
        <w:rPr>
          <w:rStyle w:val="Rimandonotaapidipagina"/>
        </w:rPr>
        <w:footnoteRef/>
      </w:r>
      <w:r w:rsidRPr="00DD3BB3">
        <w:rPr>
          <w:lang w:val="fr-FR"/>
        </w:rPr>
        <w:t xml:space="preserve"> </w:t>
      </w:r>
      <w:r w:rsidRPr="00DD3BB3">
        <w:rPr>
          <w:i/>
          <w:lang w:val="fr-FR"/>
        </w:rPr>
        <w:t>Le droit international codifié</w:t>
      </w:r>
      <w:r w:rsidRPr="00DD3BB3">
        <w:rPr>
          <w:lang w:val="fr-FR"/>
        </w:rPr>
        <w:t>, 4</w:t>
      </w:r>
      <w:r>
        <w:rPr>
          <w:rFonts w:cstheme="minorHAnsi"/>
        </w:rPr>
        <w:t>ᵃ</w:t>
      </w:r>
      <w:r w:rsidRPr="00DD3BB3">
        <w:rPr>
          <w:lang w:val="fr-FR"/>
        </w:rPr>
        <w:t xml:space="preserve"> edizione, Paris, 1886. </w:t>
      </w:r>
      <w:r>
        <w:rPr>
          <w:lang w:val="fr-FR"/>
        </w:rPr>
        <w:t xml:space="preserve">p. 273, par. 466; </w:t>
      </w:r>
      <w:r w:rsidRPr="00DD3BB3">
        <w:rPr>
          <w:i/>
          <w:lang w:val="fr-FR"/>
        </w:rPr>
        <w:t>Das moderne V</w:t>
      </w:r>
      <w:r w:rsidRPr="00DD3BB3">
        <w:rPr>
          <w:rFonts w:cstheme="minorHAnsi"/>
          <w:i/>
          <w:lang w:val="fr-FR"/>
        </w:rPr>
        <w:t>ö</w:t>
      </w:r>
      <w:r w:rsidRPr="00DD3BB3">
        <w:rPr>
          <w:i/>
          <w:lang w:val="fr-FR"/>
        </w:rPr>
        <w:t>lkerrecht der civilisirten Staten als Rechtbuch dargestellt</w:t>
      </w:r>
      <w:r>
        <w:rPr>
          <w:lang w:val="fr-FR"/>
        </w:rPr>
        <w:t>, 3</w:t>
      </w:r>
      <w:r>
        <w:rPr>
          <w:rFonts w:cstheme="minorHAnsi"/>
          <w:lang w:val="fr-FR"/>
        </w:rPr>
        <w:t>ᵃ</w:t>
      </w:r>
      <w:r>
        <w:rPr>
          <w:lang w:val="fr-FR"/>
        </w:rPr>
        <w:t xml:space="preserve"> edizione, N</w:t>
      </w:r>
      <w:r>
        <w:rPr>
          <w:rFonts w:cstheme="minorHAnsi"/>
          <w:lang w:val="fr-FR"/>
        </w:rPr>
        <w:t>ö</w:t>
      </w:r>
      <w:r>
        <w:rPr>
          <w:lang w:val="fr-FR"/>
        </w:rPr>
        <w:t>rdling, 1878, pp. 261–262.</w:t>
      </w:r>
    </w:p>
  </w:footnote>
  <w:footnote w:id="80">
    <w:p w:rsidR="003D54BB" w:rsidRPr="00346C33" w:rsidRDefault="003D54BB" w:rsidP="00262978">
      <w:pPr>
        <w:pStyle w:val="Testonotaapidipagina"/>
        <w:jc w:val="both"/>
        <w:rPr>
          <w:lang w:val="fr-FR"/>
        </w:rPr>
      </w:pPr>
      <w:r>
        <w:rPr>
          <w:rStyle w:val="Rimandonotaapidipagina"/>
        </w:rPr>
        <w:footnoteRef/>
      </w:r>
      <w:r w:rsidRPr="00346C33">
        <w:rPr>
          <w:lang w:val="fr-FR"/>
        </w:rPr>
        <w:t xml:space="preserve"> </w:t>
      </w:r>
      <w:r w:rsidRPr="00346C33">
        <w:rPr>
          <w:i/>
          <w:lang w:val="fr-FR"/>
        </w:rPr>
        <w:t>Le droit international théorique et pratique</w:t>
      </w:r>
      <w:r w:rsidRPr="00346C33">
        <w:rPr>
          <w:lang w:val="fr-FR"/>
        </w:rPr>
        <w:t xml:space="preserve">, tomo 3, </w:t>
      </w:r>
      <w:r>
        <w:rPr>
          <w:lang w:val="fr-FR"/>
        </w:rPr>
        <w:t>1887, Paris, p. 120, par. 1263 e p. 135, par. 1274.</w:t>
      </w:r>
    </w:p>
  </w:footnote>
  <w:footnote w:id="81">
    <w:p w:rsidR="003D54BB" w:rsidRPr="00125908" w:rsidRDefault="003D54BB" w:rsidP="00262978">
      <w:pPr>
        <w:pStyle w:val="Testonotaapidipagina"/>
        <w:jc w:val="both"/>
        <w:rPr>
          <w:lang w:val="en-US"/>
        </w:rPr>
      </w:pPr>
      <w:r>
        <w:rPr>
          <w:rStyle w:val="Rimandonotaapidipagina"/>
        </w:rPr>
        <w:footnoteRef/>
      </w:r>
      <w:r w:rsidRPr="00125908">
        <w:rPr>
          <w:lang w:val="en-US"/>
        </w:rPr>
        <w:t xml:space="preserve"> </w:t>
      </w:r>
      <w:r w:rsidRPr="00AD3683">
        <w:rPr>
          <w:lang w:val="en-US"/>
        </w:rPr>
        <w:t>“….when the acts done are in excess of the powers of the person doing them the State is not bound or responsible…”.</w:t>
      </w:r>
      <w:r>
        <w:rPr>
          <w:lang w:val="en-US"/>
        </w:rPr>
        <w:t xml:space="preserve"> In </w:t>
      </w:r>
      <w:r w:rsidRPr="001E2ECE">
        <w:rPr>
          <w:i/>
          <w:lang w:val="en-US"/>
        </w:rPr>
        <w:t>A Treatise of International Law</w:t>
      </w:r>
      <w:r>
        <w:rPr>
          <w:lang w:val="en-US"/>
        </w:rPr>
        <w:t>, third edition, Oxford, 1890, p. 322, par. 106.</w:t>
      </w:r>
    </w:p>
  </w:footnote>
  <w:footnote w:id="82">
    <w:p w:rsidR="003D54BB" w:rsidRPr="00172858" w:rsidRDefault="003D54BB" w:rsidP="00262978">
      <w:pPr>
        <w:pStyle w:val="Testonotaapidipagina"/>
        <w:jc w:val="both"/>
        <w:rPr>
          <w:lang w:val="fr-FR"/>
        </w:rPr>
      </w:pPr>
      <w:r>
        <w:rPr>
          <w:rStyle w:val="Rimandonotaapidipagina"/>
        </w:rPr>
        <w:footnoteRef/>
      </w:r>
      <w:r w:rsidRPr="00172858">
        <w:rPr>
          <w:lang w:val="fr-FR"/>
        </w:rPr>
        <w:t xml:space="preserve"> </w:t>
      </w:r>
      <w:r w:rsidRPr="00172858">
        <w:rPr>
          <w:i/>
          <w:lang w:val="fr-FR"/>
        </w:rPr>
        <w:t>Principe de droit international public</w:t>
      </w:r>
      <w:r w:rsidRPr="00172858">
        <w:rPr>
          <w:lang w:val="fr-FR"/>
        </w:rPr>
        <w:t xml:space="preserve">, Paris, 1893, pp. </w:t>
      </w:r>
      <w:r>
        <w:rPr>
          <w:lang w:val="fr-FR"/>
        </w:rPr>
        <w:t>391 – 392, par. 420.</w:t>
      </w:r>
    </w:p>
  </w:footnote>
  <w:footnote w:id="83">
    <w:p w:rsidR="003D54BB" w:rsidRPr="00AC7102" w:rsidRDefault="003D54BB" w:rsidP="00262978">
      <w:pPr>
        <w:pStyle w:val="Testonotaapidipagina"/>
        <w:jc w:val="both"/>
        <w:rPr>
          <w:lang w:val="fr-FR"/>
        </w:rPr>
      </w:pPr>
      <w:r>
        <w:rPr>
          <w:rStyle w:val="Rimandonotaapidipagina"/>
        </w:rPr>
        <w:footnoteRef/>
      </w:r>
      <w:r w:rsidRPr="00AC7102">
        <w:rPr>
          <w:lang w:val="fr-FR"/>
        </w:rPr>
        <w:t xml:space="preserve"> </w:t>
      </w:r>
      <w:r w:rsidRPr="00AC7102">
        <w:rPr>
          <w:i/>
          <w:lang w:val="fr-FR"/>
        </w:rPr>
        <w:t>Précis de droit international public ou droit des gens</w:t>
      </w:r>
      <w:r w:rsidRPr="00AC7102">
        <w:rPr>
          <w:lang w:val="fr-FR"/>
        </w:rPr>
        <w:t xml:space="preserve">, tomo I, Paris, 1894, pp. </w:t>
      </w:r>
      <w:r>
        <w:rPr>
          <w:lang w:val="fr-FR"/>
        </w:rPr>
        <w:t>318 – 319, par. 368.</w:t>
      </w:r>
    </w:p>
  </w:footnote>
  <w:footnote w:id="84">
    <w:p w:rsidR="003D54BB" w:rsidRPr="006762DE" w:rsidRDefault="003D54BB" w:rsidP="00262978">
      <w:pPr>
        <w:pStyle w:val="Testonotaapidipagina"/>
        <w:jc w:val="both"/>
        <w:rPr>
          <w:lang w:val="fr-FR"/>
        </w:rPr>
      </w:pPr>
      <w:r>
        <w:rPr>
          <w:rStyle w:val="Rimandonotaapidipagina"/>
        </w:rPr>
        <w:footnoteRef/>
      </w:r>
      <w:r>
        <w:t xml:space="preserve"> </w:t>
      </w:r>
      <w:r>
        <w:rPr>
          <w:i/>
        </w:rPr>
        <w:t>Trattato di</w:t>
      </w:r>
      <w:r w:rsidRPr="00AC7102">
        <w:rPr>
          <w:i/>
        </w:rPr>
        <w:t xml:space="preserve"> diritto internazionale pubblico </w:t>
      </w:r>
      <w:r w:rsidRPr="00AC7102">
        <w:t xml:space="preserve">3° ed., Milano, 1887, vol. </w:t>
      </w:r>
      <w:r w:rsidRPr="00B07E70">
        <w:rPr>
          <w:lang w:val="fr-FR"/>
        </w:rPr>
        <w:t>I, pp.</w:t>
      </w:r>
      <w:r w:rsidRPr="00B07E70">
        <w:rPr>
          <w:rFonts w:ascii="Times New Roman" w:hAnsi="Times New Roman"/>
          <w:sz w:val="18"/>
          <w:szCs w:val="18"/>
          <w:lang w:val="fr-FR" w:eastAsia="it-IT"/>
        </w:rPr>
        <w:t xml:space="preserve"> </w:t>
      </w:r>
      <w:r>
        <w:rPr>
          <w:lang w:val="fr-FR"/>
        </w:rPr>
        <w:t>426 - 427.</w:t>
      </w:r>
    </w:p>
  </w:footnote>
  <w:footnote w:id="85">
    <w:p w:rsidR="003D54BB" w:rsidRPr="00585ED8" w:rsidRDefault="003D54BB" w:rsidP="00262978">
      <w:pPr>
        <w:pStyle w:val="Testonotaapidipagina"/>
        <w:jc w:val="both"/>
        <w:rPr>
          <w:lang w:val="fr-FR"/>
        </w:rPr>
      </w:pPr>
      <w:r>
        <w:rPr>
          <w:rStyle w:val="Rimandonotaapidipagina"/>
        </w:rPr>
        <w:footnoteRef/>
      </w:r>
      <w:r w:rsidRPr="00585ED8">
        <w:rPr>
          <w:lang w:val="fr-FR"/>
        </w:rPr>
        <w:t xml:space="preserve"> </w:t>
      </w:r>
      <w:r w:rsidRPr="00585ED8">
        <w:rPr>
          <w:i/>
          <w:lang w:val="fr-FR"/>
        </w:rPr>
        <w:t>Cours de droit international public</w:t>
      </w:r>
      <w:r>
        <w:rPr>
          <w:lang w:val="fr-FR"/>
        </w:rPr>
        <w:t>, Paris, 1905, p. 564.</w:t>
      </w:r>
    </w:p>
  </w:footnote>
  <w:footnote w:id="86">
    <w:p w:rsidR="003D54BB" w:rsidRPr="00585ED8" w:rsidRDefault="003D54BB" w:rsidP="00262978">
      <w:pPr>
        <w:pStyle w:val="Testonotaapidipagina"/>
        <w:jc w:val="both"/>
        <w:rPr>
          <w:lang w:val="fr-FR"/>
        </w:rPr>
      </w:pPr>
      <w:r>
        <w:rPr>
          <w:rStyle w:val="Rimandonotaapidipagina"/>
        </w:rPr>
        <w:footnoteRef/>
      </w:r>
      <w:r w:rsidRPr="00585ED8">
        <w:rPr>
          <w:lang w:val="fr-FR"/>
        </w:rPr>
        <w:t xml:space="preserve"> </w:t>
      </w:r>
      <w:r w:rsidRPr="00585ED8">
        <w:rPr>
          <w:i/>
          <w:lang w:val="fr-FR"/>
        </w:rPr>
        <w:t>Traité de droit international public</w:t>
      </w:r>
      <w:r w:rsidRPr="00585ED8">
        <w:rPr>
          <w:lang w:val="fr-FR"/>
        </w:rPr>
        <w:t xml:space="preserve">, </w:t>
      </w:r>
      <w:r>
        <w:rPr>
          <w:lang w:val="fr-FR"/>
        </w:rPr>
        <w:t>8</w:t>
      </w:r>
      <w:r>
        <w:rPr>
          <w:rFonts w:cstheme="minorHAnsi"/>
          <w:lang w:val="fr-FR"/>
        </w:rPr>
        <w:t>ᵃ edizione, Paris, 1922, p. 525, par. 298.</w:t>
      </w:r>
    </w:p>
  </w:footnote>
  <w:footnote w:id="87">
    <w:p w:rsidR="003D54BB" w:rsidRPr="006762DE" w:rsidRDefault="003D54BB" w:rsidP="00262978">
      <w:pPr>
        <w:pStyle w:val="Testonotaapidipagina"/>
        <w:jc w:val="both"/>
      </w:pPr>
      <w:r>
        <w:rPr>
          <w:rStyle w:val="Rimandonotaapidipagina"/>
        </w:rPr>
        <w:footnoteRef/>
      </w:r>
      <w:r w:rsidRPr="00E90833">
        <w:rPr>
          <w:lang w:val="fr-FR"/>
        </w:rPr>
        <w:t xml:space="preserve"> </w:t>
      </w:r>
      <w:r w:rsidRPr="00AD3683">
        <w:rPr>
          <w:lang w:val="fr-FR"/>
        </w:rPr>
        <w:t>“Dans l’intérieur des limites juridictionnelles, les agents de l’autorité de toute classe sont personnellement seuls responsables dans la mesure établie par le droit public interne de chaque Etat. Lorsqu’ils manquent à leurs devoirs, excèdent leurs attributions ou violent la loi, ils créent, selon les circonstances, à ceux dont ils ont lésé les droits un recours légal par les voies administratives ou judiciaires; mais à l’égard des tiers, nationaux ou étrangers, la responsabilité du gouvernement qui les a institués reste purement morale et ne saurait devenir directe et effective qu’en cas de complicité ou de déni de justice manifeste”</w:t>
      </w:r>
      <w:r>
        <w:rPr>
          <w:lang w:val="fr-FR"/>
        </w:rPr>
        <w:t xml:space="preserve">. </w:t>
      </w:r>
      <w:r w:rsidRPr="006A39EE">
        <w:t xml:space="preserve">Cfr. </w:t>
      </w:r>
      <w:r w:rsidRPr="006762DE">
        <w:t xml:space="preserve">CALVO, </w:t>
      </w:r>
      <w:r w:rsidRPr="006762DE">
        <w:rPr>
          <w:i/>
        </w:rPr>
        <w:t>op. cit</w:t>
      </w:r>
      <w:r>
        <w:t xml:space="preserve">.. Si veda anche </w:t>
      </w:r>
      <w:r w:rsidRPr="006762DE">
        <w:t xml:space="preserve">BLUNTSCHLI, </w:t>
      </w:r>
      <w:r w:rsidRPr="006762DE">
        <w:rPr>
          <w:i/>
        </w:rPr>
        <w:t>op. cit</w:t>
      </w:r>
      <w:r w:rsidRPr="006762DE">
        <w:t>., p. 273, par. 466.</w:t>
      </w:r>
    </w:p>
  </w:footnote>
  <w:footnote w:id="88">
    <w:p w:rsidR="003D54BB" w:rsidRPr="00262978" w:rsidRDefault="003D54BB" w:rsidP="00FC77CE">
      <w:pPr>
        <w:pStyle w:val="Testonotaapidipagina"/>
      </w:pPr>
      <w:r>
        <w:rPr>
          <w:rStyle w:val="Rimandonotaapidipagina"/>
        </w:rPr>
        <w:footnoteRef/>
      </w:r>
      <w:r>
        <w:t xml:space="preserve"> Vedi </w:t>
      </w:r>
      <w:r w:rsidRPr="00262978">
        <w:rPr>
          <w:i/>
        </w:rPr>
        <w:t xml:space="preserve">infra, </w:t>
      </w:r>
      <w:r>
        <w:t>p. 89 ss.</w:t>
      </w:r>
    </w:p>
  </w:footnote>
  <w:footnote w:id="89">
    <w:p w:rsidR="003D54BB" w:rsidRPr="007A6999" w:rsidRDefault="003D54BB" w:rsidP="00FC77CE">
      <w:pPr>
        <w:pStyle w:val="Testonotaapidipagina"/>
        <w:jc w:val="both"/>
      </w:pPr>
      <w:r>
        <w:rPr>
          <w:rStyle w:val="Rimandonotaapidipagina"/>
        </w:rPr>
        <w:footnoteRef/>
      </w:r>
      <w:r>
        <w:t xml:space="preserve"> Secondo Quadri, </w:t>
      </w:r>
      <w:r w:rsidRPr="007A6999">
        <w:rPr>
          <w:i/>
        </w:rPr>
        <w:t>Diritto internazionale pubblico</w:t>
      </w:r>
      <w:r w:rsidRPr="007A6999">
        <w:t>, 5</w:t>
      </w:r>
      <w:r>
        <w:rPr>
          <w:rFonts w:cstheme="minorHAnsi"/>
        </w:rPr>
        <w:t>ᵃ</w:t>
      </w:r>
      <w:r w:rsidRPr="007A6999">
        <w:t xml:space="preserve"> edizione, Napoli, 1980, p. 594</w:t>
      </w:r>
      <w:r>
        <w:t xml:space="preserve">, </w:t>
      </w:r>
      <w:r w:rsidRPr="00AD3683">
        <w:t>“quando gli organi superano i limiti della loro competenza, l’obbligo dello Stato di rispondere dei danni causati agli atti degli organi sussiste nella misura in cui lo Stato risponde dei danni prodotti da atti di privati individui, essendochè l’atto dall’organo posto in essere fuori della sua competenza va assimilato ad un atto privato”.</w:t>
      </w:r>
    </w:p>
  </w:footnote>
  <w:footnote w:id="90">
    <w:p w:rsidR="003D54BB" w:rsidRPr="00B42056" w:rsidRDefault="003D54BB" w:rsidP="00761820">
      <w:pPr>
        <w:pStyle w:val="Testonotaapidipagina"/>
        <w:jc w:val="both"/>
        <w:rPr>
          <w:lang w:val="nl-NL"/>
        </w:rPr>
      </w:pPr>
      <w:r>
        <w:rPr>
          <w:rStyle w:val="Rimandonotaapidipagina"/>
        </w:rPr>
        <w:footnoteRef/>
      </w:r>
      <w:r w:rsidRPr="00B42056">
        <w:rPr>
          <w:lang w:val="nl-NL"/>
        </w:rPr>
        <w:t xml:space="preserve"> TRIEPEL, </w:t>
      </w:r>
      <w:r w:rsidRPr="00B42056">
        <w:rPr>
          <w:i/>
          <w:lang w:val="nl-NL"/>
        </w:rPr>
        <w:t>V</w:t>
      </w:r>
      <w:r w:rsidRPr="00B42056">
        <w:rPr>
          <w:rFonts w:cstheme="minorHAnsi"/>
          <w:i/>
          <w:lang w:val="nl-NL"/>
        </w:rPr>
        <w:t>ö</w:t>
      </w:r>
      <w:r w:rsidRPr="00B42056">
        <w:rPr>
          <w:i/>
          <w:lang w:val="nl-NL"/>
        </w:rPr>
        <w:t>lkerrecht und Landesrecht</w:t>
      </w:r>
      <w:r w:rsidRPr="00B42056">
        <w:rPr>
          <w:lang w:val="nl-NL"/>
        </w:rPr>
        <w:t>, Leipzig, 1899, p. 349.</w:t>
      </w:r>
    </w:p>
  </w:footnote>
  <w:footnote w:id="91">
    <w:p w:rsidR="003D54BB" w:rsidRPr="00E16509" w:rsidRDefault="003D54BB" w:rsidP="00761820">
      <w:pPr>
        <w:pStyle w:val="Testonotaapidipagina"/>
        <w:jc w:val="both"/>
      </w:pPr>
      <w:r>
        <w:rPr>
          <w:rStyle w:val="Rimandonotaapidipagina"/>
        </w:rPr>
        <w:footnoteRef/>
      </w:r>
      <w:r w:rsidRPr="00E16509">
        <w:t xml:space="preserve"> ANZILOTTI, </w:t>
      </w:r>
      <w:r w:rsidRPr="00E16509">
        <w:rPr>
          <w:i/>
        </w:rPr>
        <w:t>La responsabilité internationale</w:t>
      </w:r>
      <w:r w:rsidRPr="00E16509">
        <w:t>, cit., p. 289.</w:t>
      </w:r>
    </w:p>
  </w:footnote>
  <w:footnote w:id="92">
    <w:p w:rsidR="003D54BB" w:rsidRPr="00B42056" w:rsidRDefault="003D54BB" w:rsidP="00761820">
      <w:pPr>
        <w:pStyle w:val="Testonotaapidipagina"/>
        <w:jc w:val="both"/>
        <w:rPr>
          <w:lang w:val="nl-NL"/>
        </w:rPr>
      </w:pPr>
      <w:r>
        <w:rPr>
          <w:rStyle w:val="Rimandonotaapidipagina"/>
        </w:rPr>
        <w:footnoteRef/>
      </w:r>
      <w:r w:rsidRPr="00B42056">
        <w:rPr>
          <w:lang w:val="nl-NL"/>
        </w:rPr>
        <w:t xml:space="preserve"> STRUPP, </w:t>
      </w:r>
      <w:r w:rsidRPr="00B42056">
        <w:rPr>
          <w:i/>
          <w:lang w:val="nl-NL"/>
        </w:rPr>
        <w:t>Das v</w:t>
      </w:r>
      <w:r w:rsidRPr="00B42056">
        <w:rPr>
          <w:rFonts w:cstheme="minorHAnsi"/>
          <w:i/>
          <w:lang w:val="nl-NL"/>
        </w:rPr>
        <w:t>ö</w:t>
      </w:r>
      <w:r w:rsidRPr="00B42056">
        <w:rPr>
          <w:i/>
          <w:lang w:val="nl-NL"/>
        </w:rPr>
        <w:t>lkerrechtliche Delikt</w:t>
      </w:r>
      <w:r w:rsidRPr="00B42056">
        <w:rPr>
          <w:lang w:val="nl-NL"/>
        </w:rPr>
        <w:t>, cit., pp. 37–38.</w:t>
      </w:r>
    </w:p>
  </w:footnote>
  <w:footnote w:id="93">
    <w:p w:rsidR="003D54BB" w:rsidRPr="00B42056" w:rsidRDefault="003D54BB" w:rsidP="00761820">
      <w:pPr>
        <w:pStyle w:val="Testonotaapidipagina"/>
        <w:jc w:val="both"/>
        <w:rPr>
          <w:lang w:val="nl-NL"/>
        </w:rPr>
      </w:pPr>
      <w:r>
        <w:rPr>
          <w:rStyle w:val="Rimandonotaapidipagina"/>
        </w:rPr>
        <w:footnoteRef/>
      </w:r>
      <w:r w:rsidRPr="00B42056">
        <w:rPr>
          <w:lang w:val="nl-NL"/>
        </w:rPr>
        <w:t xml:space="preserve"> BURCKHARDT, </w:t>
      </w:r>
      <w:r w:rsidRPr="00B42056">
        <w:rPr>
          <w:i/>
          <w:lang w:val="nl-NL"/>
        </w:rPr>
        <w:t>Die v</w:t>
      </w:r>
      <w:r w:rsidRPr="00B42056">
        <w:rPr>
          <w:rFonts w:cstheme="minorHAnsi"/>
          <w:i/>
          <w:lang w:val="nl-NL"/>
        </w:rPr>
        <w:t>ö</w:t>
      </w:r>
      <w:r w:rsidRPr="00B42056">
        <w:rPr>
          <w:i/>
          <w:lang w:val="nl-NL"/>
        </w:rPr>
        <w:t>lkerrechtliche Verantworlichkeit der Staaten</w:t>
      </w:r>
      <w:r w:rsidRPr="00B42056">
        <w:rPr>
          <w:lang w:val="nl-NL"/>
        </w:rPr>
        <w:t>, Bern, 1924, pp. 10–12.</w:t>
      </w:r>
    </w:p>
  </w:footnote>
  <w:footnote w:id="94">
    <w:p w:rsidR="003D54BB" w:rsidRPr="00B75ED0" w:rsidRDefault="003D54BB" w:rsidP="00761820">
      <w:pPr>
        <w:pStyle w:val="Testonotaapidipagina"/>
        <w:jc w:val="both"/>
        <w:rPr>
          <w:lang w:val="fr-FR"/>
        </w:rPr>
      </w:pPr>
      <w:r>
        <w:rPr>
          <w:rStyle w:val="Rimandonotaapidipagina"/>
        </w:rPr>
        <w:footnoteRef/>
      </w:r>
      <w:r w:rsidRPr="00B75ED0">
        <w:rPr>
          <w:lang w:val="fr-FR"/>
        </w:rPr>
        <w:t xml:space="preserve"> DE VISSCHER, </w:t>
      </w:r>
      <w:r w:rsidRPr="00B75ED0">
        <w:rPr>
          <w:i/>
          <w:lang w:val="fr-FR"/>
        </w:rPr>
        <w:t>La responsabilitédes Etats</w:t>
      </w:r>
      <w:r w:rsidRPr="00B75ED0">
        <w:rPr>
          <w:lang w:val="fr-FR"/>
        </w:rPr>
        <w:t>, cit.,</w:t>
      </w:r>
      <w:r>
        <w:rPr>
          <w:lang w:val="fr-FR"/>
        </w:rPr>
        <w:t xml:space="preserve"> pp. 91–92.</w:t>
      </w:r>
    </w:p>
  </w:footnote>
  <w:footnote w:id="95">
    <w:p w:rsidR="003D54BB" w:rsidRPr="008B46B0" w:rsidRDefault="003D54BB" w:rsidP="00761820">
      <w:pPr>
        <w:pStyle w:val="Testonotaapidipagina"/>
        <w:jc w:val="both"/>
        <w:rPr>
          <w:lang w:val="fr-FR"/>
        </w:rPr>
      </w:pPr>
      <w:r>
        <w:rPr>
          <w:rStyle w:val="Rimandonotaapidipagina"/>
        </w:rPr>
        <w:footnoteRef/>
      </w:r>
      <w:r w:rsidRPr="008B46B0">
        <w:rPr>
          <w:lang w:val="fr-FR"/>
        </w:rPr>
        <w:t xml:space="preserve"> SOLDATI, </w:t>
      </w:r>
      <w:r w:rsidRPr="008B46B0">
        <w:rPr>
          <w:i/>
          <w:lang w:val="fr-FR"/>
        </w:rPr>
        <w:t>La responsabilité des Etats dans le droit international</w:t>
      </w:r>
      <w:r w:rsidRPr="008B46B0">
        <w:rPr>
          <w:lang w:val="fr-FR"/>
        </w:rPr>
        <w:t xml:space="preserve">, </w:t>
      </w:r>
      <w:r>
        <w:rPr>
          <w:lang w:val="fr-FR"/>
        </w:rPr>
        <w:t xml:space="preserve">Duchemin, 1934, </w:t>
      </w:r>
      <w:r w:rsidRPr="008B46B0">
        <w:rPr>
          <w:lang w:val="fr-FR"/>
        </w:rPr>
        <w:t xml:space="preserve">pp. </w:t>
      </w:r>
      <w:r>
        <w:rPr>
          <w:lang w:val="fr-FR"/>
        </w:rPr>
        <w:t>52–62.</w:t>
      </w:r>
    </w:p>
  </w:footnote>
  <w:footnote w:id="96">
    <w:p w:rsidR="003D54BB" w:rsidRPr="008E30C6" w:rsidRDefault="003D54BB" w:rsidP="00761820">
      <w:pPr>
        <w:pStyle w:val="Testonotaapidipagina"/>
        <w:jc w:val="both"/>
      </w:pPr>
      <w:r>
        <w:rPr>
          <w:rStyle w:val="Rimandonotaapidipagina"/>
        </w:rPr>
        <w:footnoteRef/>
      </w:r>
      <w:r w:rsidRPr="008E30C6">
        <w:t xml:space="preserve"> </w:t>
      </w:r>
      <w:r w:rsidRPr="00AD3683">
        <w:t>“Un atto di questo genere non è in alcun modo un atto dello Stato, ma un puro</w:t>
      </w:r>
      <w:r>
        <w:t xml:space="preserve"> atto individuale.</w:t>
      </w:r>
      <m:oMath>
        <m:r>
          <w:rPr>
            <w:rFonts w:ascii="Cambria Math" w:hAnsi="Cambria Math"/>
          </w:rPr>
          <m:t>[…]</m:t>
        </m:r>
      </m:oMath>
      <w:r w:rsidRPr="00AD3683">
        <w:t>Anche qui è assai più razionale e rispondente al vero dire che l’ordine internazionale fa valere le sue esigenze”.</w:t>
      </w:r>
      <w:r>
        <w:rPr>
          <w:i/>
        </w:rPr>
        <w:t xml:space="preserve"> </w:t>
      </w:r>
      <w:r w:rsidRPr="00913D40">
        <w:rPr>
          <w:bCs/>
          <w:smallCaps/>
        </w:rPr>
        <w:t>ANZILOTTI</w:t>
      </w:r>
      <w:r>
        <w:t xml:space="preserve"> </w:t>
      </w:r>
      <w:r w:rsidRPr="00F27E59">
        <w:rPr>
          <w:i/>
        </w:rPr>
        <w:t>Teoria generale della responsabilità dello Stato nel diritto internazionale</w:t>
      </w:r>
      <w:r>
        <w:t xml:space="preserve">, </w:t>
      </w:r>
      <w:r w:rsidRPr="00ED35E8">
        <w:rPr>
          <w:i/>
        </w:rPr>
        <w:t>Scritti di diritto internazionale pubblico</w:t>
      </w:r>
      <w:r>
        <w:t>, vol. I, Padova, 1956, pp. 132-134.</w:t>
      </w:r>
    </w:p>
  </w:footnote>
  <w:footnote w:id="97">
    <w:p w:rsidR="003D54BB" w:rsidRPr="00BD42C9" w:rsidRDefault="003D54BB" w:rsidP="00761820">
      <w:pPr>
        <w:pStyle w:val="Testonotaapidipagina"/>
        <w:jc w:val="both"/>
      </w:pPr>
      <w:r>
        <w:rPr>
          <w:rStyle w:val="Rimandonotaapidipagina"/>
        </w:rPr>
        <w:footnoteRef/>
      </w:r>
      <w:r w:rsidRPr="00BD42C9">
        <w:t xml:space="preserve"> ANZILOTTI, </w:t>
      </w:r>
      <w:r w:rsidRPr="00BD42C9">
        <w:rPr>
          <w:i/>
        </w:rPr>
        <w:t>La responsabilité internationale</w:t>
      </w:r>
      <w:r w:rsidRPr="00BD42C9">
        <w:t xml:space="preserve">, cit., p. 289; DE VISSCHER, </w:t>
      </w:r>
      <w:r w:rsidRPr="00BD42C9">
        <w:rPr>
          <w:i/>
        </w:rPr>
        <w:t>La responsabilité des Etats</w:t>
      </w:r>
      <w:r w:rsidRPr="00BD42C9">
        <w:t>, cit., p. 92.</w:t>
      </w:r>
    </w:p>
  </w:footnote>
  <w:footnote w:id="98">
    <w:p w:rsidR="003D54BB" w:rsidRDefault="003D54BB" w:rsidP="00761820">
      <w:pPr>
        <w:pStyle w:val="Testonotaapidipagina"/>
        <w:jc w:val="both"/>
      </w:pPr>
      <w:r>
        <w:rPr>
          <w:rStyle w:val="Rimandonotaapidipagina"/>
        </w:rPr>
        <w:footnoteRef/>
      </w:r>
      <w:r>
        <w:t xml:space="preserve"> Per ulteriori approfondimenti circa la condizione attributiva dell’apparenza della funzione vedi </w:t>
      </w:r>
      <w:r w:rsidRPr="00AC4A56">
        <w:rPr>
          <w:i/>
        </w:rPr>
        <w:t>infra</w:t>
      </w:r>
      <w:r>
        <w:t>, p. 208 ss.</w:t>
      </w:r>
    </w:p>
  </w:footnote>
  <w:footnote w:id="99">
    <w:p w:rsidR="003D54BB" w:rsidRPr="00E34206" w:rsidRDefault="003D54BB" w:rsidP="00FC77CE">
      <w:pPr>
        <w:pStyle w:val="Testonotaapidipagina"/>
        <w:jc w:val="both"/>
        <w:rPr>
          <w:lang w:val="en-US"/>
        </w:rPr>
      </w:pPr>
      <w:r>
        <w:rPr>
          <w:rStyle w:val="Rimandonotaapidipagina"/>
        </w:rPr>
        <w:footnoteRef/>
      </w:r>
      <w:r w:rsidRPr="00D62593">
        <w:rPr>
          <w:lang w:val="en-US"/>
        </w:rPr>
        <w:t xml:space="preserve"> BORCHARD, </w:t>
      </w:r>
      <w:r>
        <w:rPr>
          <w:i/>
          <w:lang w:val="en-US"/>
        </w:rPr>
        <w:t>The Diplomatic Protection of Citizens A</w:t>
      </w:r>
      <w:r w:rsidRPr="00D62593">
        <w:rPr>
          <w:i/>
          <w:lang w:val="en-US"/>
        </w:rPr>
        <w:t>broa</w:t>
      </w:r>
      <w:r>
        <w:rPr>
          <w:i/>
          <w:lang w:val="en-US"/>
        </w:rPr>
        <w:t>d or the Law of International C</w:t>
      </w:r>
      <w:r w:rsidRPr="00D62593">
        <w:rPr>
          <w:i/>
          <w:lang w:val="en-US"/>
        </w:rPr>
        <w:t>laims</w:t>
      </w:r>
      <w:r>
        <w:rPr>
          <w:lang w:val="en-US"/>
        </w:rPr>
        <w:t>, New York, 1916</w:t>
      </w:r>
      <w:r w:rsidRPr="00D62593">
        <w:rPr>
          <w:lang w:val="en-US"/>
        </w:rPr>
        <w:t>,</w:t>
      </w:r>
      <w:r>
        <w:rPr>
          <w:lang w:val="en-US"/>
        </w:rPr>
        <w:t xml:space="preserve"> pp. 185–186. Si veda anche il commentario relativo all’art. 7 della </w:t>
      </w:r>
      <w:r w:rsidRPr="00E34206">
        <w:rPr>
          <w:i/>
          <w:lang w:val="en-US"/>
        </w:rPr>
        <w:t>Draft Convention on the Responsibility of States for Damage Done in their Territory to the Person or Property of Foreigners</w:t>
      </w:r>
      <w:r>
        <w:rPr>
          <w:lang w:val="en-US"/>
        </w:rPr>
        <w:t xml:space="preserve"> preparata nel 1929 dalla Harvard Law School sotto la direzione di Borchard in </w:t>
      </w:r>
      <w:r w:rsidRPr="00E34206">
        <w:rPr>
          <w:i/>
          <w:lang w:val="en-US"/>
        </w:rPr>
        <w:t>American Journal of International Law</w:t>
      </w:r>
      <w:r>
        <w:rPr>
          <w:lang w:val="en-US"/>
        </w:rPr>
        <w:t>, 1929, Special Supplement vol. 23, p. 163.</w:t>
      </w:r>
    </w:p>
  </w:footnote>
  <w:footnote w:id="100">
    <w:p w:rsidR="003D54BB" w:rsidRPr="000C6CBA" w:rsidRDefault="003D54BB" w:rsidP="00FC77CE">
      <w:pPr>
        <w:pStyle w:val="Testonotaapidipagina"/>
        <w:jc w:val="both"/>
        <w:rPr>
          <w:lang w:val="en-US"/>
        </w:rPr>
      </w:pPr>
      <w:r>
        <w:rPr>
          <w:rStyle w:val="Rimandonotaapidipagina"/>
        </w:rPr>
        <w:footnoteRef/>
      </w:r>
      <w:r w:rsidRPr="000C6CBA">
        <w:rPr>
          <w:lang w:val="en-US"/>
        </w:rPr>
        <w:t xml:space="preserve"> BORCHARD, </w:t>
      </w:r>
      <w:r w:rsidRPr="000C6CBA">
        <w:rPr>
          <w:i/>
          <w:lang w:val="en-US"/>
        </w:rPr>
        <w:t>The Diplomatic Protection</w:t>
      </w:r>
      <w:r w:rsidRPr="000C6CBA">
        <w:rPr>
          <w:lang w:val="en-US"/>
        </w:rPr>
        <w:t xml:space="preserve">, cit., p. </w:t>
      </w:r>
      <w:r>
        <w:rPr>
          <w:lang w:val="en-US"/>
        </w:rPr>
        <w:t>189.</w:t>
      </w:r>
    </w:p>
  </w:footnote>
  <w:footnote w:id="101">
    <w:p w:rsidR="003D54BB" w:rsidRPr="00D539E5" w:rsidRDefault="003D54BB" w:rsidP="00117B2F">
      <w:pPr>
        <w:pStyle w:val="Testonotaapidipagina"/>
        <w:jc w:val="both"/>
        <w:rPr>
          <w:lang w:val="en-US"/>
        </w:rPr>
      </w:pPr>
      <w:r>
        <w:rPr>
          <w:rStyle w:val="Rimandonotaapidipagina"/>
        </w:rPr>
        <w:footnoteRef/>
      </w:r>
      <w:r w:rsidRPr="004C1E48">
        <w:rPr>
          <w:lang w:val="en-US"/>
        </w:rPr>
        <w:t xml:space="preserve"> </w:t>
      </w:r>
      <w:r>
        <w:rPr>
          <w:lang w:val="en-US"/>
        </w:rPr>
        <w:t>“</w:t>
      </w:r>
      <w:r w:rsidRPr="004C1E48">
        <w:rPr>
          <w:i/>
          <w:lang w:val="en-US"/>
        </w:rPr>
        <w:t>A state is responsible if an injury to an alien results from the wrongful act or omission of one of its higher authorities within the scope of the office or function of such authority, if the local remedies have been exhausted without adequate redress</w:t>
      </w:r>
      <w:r>
        <w:rPr>
          <w:lang w:val="en-US"/>
        </w:rPr>
        <w:t>”</w:t>
      </w:r>
      <w:r w:rsidRPr="004C1E48">
        <w:rPr>
          <w:lang w:val="en-US"/>
        </w:rPr>
        <w:t>.</w:t>
      </w:r>
      <w:r w:rsidRPr="004C1E48">
        <w:rPr>
          <w:i/>
          <w:lang w:val="en-US"/>
        </w:rPr>
        <w:t xml:space="preserve"> </w:t>
      </w:r>
      <w:r w:rsidRPr="00D539E5">
        <w:rPr>
          <w:i/>
          <w:lang w:val="en-US"/>
        </w:rPr>
        <w:t>American Journal of International Law</w:t>
      </w:r>
      <w:r w:rsidRPr="00D539E5">
        <w:rPr>
          <w:lang w:val="en-US"/>
        </w:rPr>
        <w:t xml:space="preserve"> 1929, </w:t>
      </w:r>
      <w:r w:rsidRPr="00D539E5">
        <w:rPr>
          <w:i/>
          <w:lang w:val="en-US"/>
        </w:rPr>
        <w:t>Special Supplement</w:t>
      </w:r>
      <w:r w:rsidRPr="00D539E5">
        <w:rPr>
          <w:lang w:val="en-US"/>
        </w:rPr>
        <w:t xml:space="preserve"> vol. 23, p. 136.</w:t>
      </w:r>
    </w:p>
  </w:footnote>
  <w:footnote w:id="102">
    <w:p w:rsidR="003D54BB" w:rsidRPr="00E209D3" w:rsidRDefault="003D54BB" w:rsidP="00117B2F">
      <w:pPr>
        <w:pStyle w:val="Testonotaapidipagina"/>
        <w:jc w:val="both"/>
        <w:rPr>
          <w:lang w:val="en-US"/>
        </w:rPr>
      </w:pPr>
      <w:r>
        <w:rPr>
          <w:rStyle w:val="Rimandonotaapidipagina"/>
        </w:rPr>
        <w:footnoteRef/>
      </w:r>
      <w:r w:rsidRPr="00E209D3">
        <w:rPr>
          <w:lang w:val="en-US"/>
        </w:rPr>
        <w:t xml:space="preserve"> </w:t>
      </w:r>
      <w:r w:rsidRPr="00E209D3">
        <w:rPr>
          <w:i/>
          <w:lang w:val="en-US"/>
        </w:rPr>
        <w:t>Ibid</w:t>
      </w:r>
      <w:r>
        <w:rPr>
          <w:lang w:val="en-US"/>
        </w:rPr>
        <w:t>., p. 163.</w:t>
      </w:r>
    </w:p>
  </w:footnote>
  <w:footnote w:id="103">
    <w:p w:rsidR="003D54BB" w:rsidRPr="00237EC8" w:rsidRDefault="003D54BB" w:rsidP="00FC77CE">
      <w:pPr>
        <w:pStyle w:val="Testonotaapidipagina"/>
        <w:jc w:val="both"/>
        <w:rPr>
          <w:lang w:val="en-US"/>
        </w:rPr>
      </w:pPr>
      <w:r>
        <w:rPr>
          <w:rStyle w:val="Rimandonotaapidipagina"/>
        </w:rPr>
        <w:footnoteRef/>
      </w:r>
      <w:r w:rsidRPr="00237EC8">
        <w:rPr>
          <w:lang w:val="en-US"/>
        </w:rPr>
        <w:t xml:space="preserve"> AGO, </w:t>
      </w:r>
      <w:r w:rsidRPr="00237EC8">
        <w:rPr>
          <w:i/>
          <w:lang w:val="en-US"/>
        </w:rPr>
        <w:t>Troisièmme rapport</w:t>
      </w:r>
      <w:r>
        <w:rPr>
          <w:lang w:val="en-US"/>
        </w:rPr>
        <w:t>, cit., p. 264, par. 153; PRZET</w:t>
      </w:r>
      <w:r w:rsidRPr="00237EC8">
        <w:rPr>
          <w:lang w:val="en-US"/>
        </w:rPr>
        <w:t xml:space="preserve">ACZNIK, </w:t>
      </w:r>
      <w:r w:rsidRPr="00237EC8">
        <w:rPr>
          <w:i/>
          <w:lang w:val="en-US"/>
        </w:rPr>
        <w:t>The International Responsibility of States</w:t>
      </w:r>
      <w:r w:rsidRPr="00237EC8">
        <w:rPr>
          <w:lang w:val="en-US"/>
        </w:rPr>
        <w:t>,</w:t>
      </w:r>
      <w:r>
        <w:rPr>
          <w:lang w:val="en-US"/>
        </w:rPr>
        <w:t xml:space="preserve"> cit., pp. 130–131; QU</w:t>
      </w:r>
      <w:r>
        <w:rPr>
          <w:rFonts w:cstheme="minorHAnsi"/>
          <w:lang w:val="en-US"/>
        </w:rPr>
        <w:t>É</w:t>
      </w:r>
      <w:r>
        <w:rPr>
          <w:lang w:val="en-US"/>
        </w:rPr>
        <w:t xml:space="preserve">NEUDEC, </w:t>
      </w:r>
      <w:r w:rsidRPr="00034972">
        <w:rPr>
          <w:i/>
          <w:lang w:val="en-US"/>
        </w:rPr>
        <w:t>op. cit</w:t>
      </w:r>
      <w:r>
        <w:rPr>
          <w:lang w:val="en-US"/>
        </w:rPr>
        <w:t>., pp. 60–61.</w:t>
      </w:r>
    </w:p>
  </w:footnote>
  <w:footnote w:id="104">
    <w:p w:rsidR="003D54BB" w:rsidRPr="00E53A50" w:rsidRDefault="003D54BB" w:rsidP="00FC77CE">
      <w:pPr>
        <w:pStyle w:val="Testonotaapidipagina"/>
        <w:jc w:val="both"/>
      </w:pPr>
      <w:r>
        <w:rPr>
          <w:rStyle w:val="Rimandonotaapidipagina"/>
        </w:rPr>
        <w:footnoteRef/>
      </w:r>
      <w:r w:rsidRPr="006762DE">
        <w:rPr>
          <w:lang w:val="en-US"/>
        </w:rPr>
        <w:t xml:space="preserve"> Si veda la sentenza resa nel caso</w:t>
      </w:r>
      <w:r w:rsidRPr="006762DE">
        <w:rPr>
          <w:i/>
          <w:lang w:val="en-US"/>
        </w:rPr>
        <w:t xml:space="preserve"> Leichardt</w:t>
      </w:r>
      <w:r w:rsidRPr="006762DE">
        <w:rPr>
          <w:lang w:val="en-US"/>
        </w:rPr>
        <w:t xml:space="preserve"> in cui l</w:t>
      </w:r>
      <w:r>
        <w:rPr>
          <w:lang w:val="en-US"/>
        </w:rPr>
        <w:t>a Commissione mista istituita fra Stati Uniti e Messico ha rigettato</w:t>
      </w:r>
      <w:r w:rsidRPr="006762DE">
        <w:rPr>
          <w:lang w:val="en-US"/>
        </w:rPr>
        <w:t xml:space="preserve"> la richiesta di risarcimento degli Stati Uniti nei confronti del Messico in quanto </w:t>
      </w:r>
      <w:r w:rsidRPr="00AD3683">
        <w:rPr>
          <w:lang w:val="en-US"/>
        </w:rPr>
        <w:t>“…for the wrongs and injuries inflicted by private persons or by paltry petty officers, chest in a little brief authority, like the governor’s secretary, for instance, they must resort to the courts of the country, and in such cases only appeal to their own sovereign when the courts of the country refuse to do their duty…”</w:t>
      </w:r>
      <w:r>
        <w:rPr>
          <w:lang w:val="en-US"/>
        </w:rPr>
        <w:t xml:space="preserve">. </w:t>
      </w:r>
      <w:r w:rsidRPr="001B49AC">
        <w:t xml:space="preserve">Cfr. MOORE, </w:t>
      </w:r>
      <w:r w:rsidRPr="001B49AC">
        <w:rPr>
          <w:i/>
        </w:rPr>
        <w:t>op. cit</w:t>
      </w:r>
      <w:r w:rsidRPr="001B49AC">
        <w:t xml:space="preserve">., vol. III, pp. 3133–3134. </w:t>
      </w:r>
      <w:r w:rsidRPr="00E53A50">
        <w:t>Si t</w:t>
      </w:r>
      <w:r>
        <w:t xml:space="preserve">ratta di una sentenza non datata, resa in virtù di una Convenzione conclusa fra i due Stati il 4 luglio 1868. </w:t>
      </w:r>
      <w:r w:rsidRPr="00E53A50">
        <w:t>Si veda anche il caso</w:t>
      </w:r>
      <w:r w:rsidRPr="00E53A50">
        <w:rPr>
          <w:i/>
        </w:rPr>
        <w:t xml:space="preserve"> Slocum</w:t>
      </w:r>
      <w:r w:rsidRPr="00E53A50">
        <w:t xml:space="preserve">, </w:t>
      </w:r>
      <w:r w:rsidRPr="00E53A50">
        <w:rPr>
          <w:i/>
        </w:rPr>
        <w:t>ibid</w:t>
      </w:r>
      <w:r w:rsidRPr="00E53A50">
        <w:t xml:space="preserve">., p. 3141; </w:t>
      </w:r>
      <w:r w:rsidRPr="00E53A50">
        <w:rPr>
          <w:i/>
        </w:rPr>
        <w:t>Smith</w:t>
      </w:r>
      <w:r w:rsidRPr="00E53A50">
        <w:t xml:space="preserve">, </w:t>
      </w:r>
      <w:r w:rsidRPr="00E53A50">
        <w:rPr>
          <w:i/>
        </w:rPr>
        <w:t>ibid</w:t>
      </w:r>
      <w:r w:rsidRPr="00E53A50">
        <w:t xml:space="preserve">., p. 3146; </w:t>
      </w:r>
      <w:r w:rsidRPr="00E53A50">
        <w:rPr>
          <w:i/>
        </w:rPr>
        <w:t>Burn</w:t>
      </w:r>
      <w:r w:rsidRPr="00E53A50">
        <w:t xml:space="preserve">, </w:t>
      </w:r>
      <w:r w:rsidRPr="00E53A50">
        <w:rPr>
          <w:i/>
        </w:rPr>
        <w:t>ibid</w:t>
      </w:r>
      <w:r w:rsidRPr="00E53A50">
        <w:t>., p. 3140;</w:t>
      </w:r>
      <w:r w:rsidRPr="00E53A50">
        <w:rPr>
          <w:i/>
        </w:rPr>
        <w:t xml:space="preserve"> Bensley</w:t>
      </w:r>
      <w:r w:rsidRPr="00E53A50">
        <w:t xml:space="preserve">, </w:t>
      </w:r>
      <w:r w:rsidRPr="00E53A50">
        <w:rPr>
          <w:i/>
        </w:rPr>
        <w:t>ibid</w:t>
      </w:r>
      <w:r w:rsidRPr="00E53A50">
        <w:t>., pp. 3016–3017.</w:t>
      </w:r>
    </w:p>
  </w:footnote>
  <w:footnote w:id="105">
    <w:p w:rsidR="003D54BB" w:rsidRPr="001B49AC" w:rsidRDefault="003D54BB" w:rsidP="00FC77CE">
      <w:pPr>
        <w:pStyle w:val="Testonotaapidipagina"/>
        <w:jc w:val="both"/>
        <w:rPr>
          <w:lang w:val="en-US"/>
        </w:rPr>
      </w:pPr>
      <w:r>
        <w:rPr>
          <w:rStyle w:val="Rimandonotaapidipagina"/>
        </w:rPr>
        <w:footnoteRef/>
      </w:r>
      <w:r w:rsidRPr="001B49AC">
        <w:rPr>
          <w:lang w:val="en-US"/>
        </w:rPr>
        <w:t xml:space="preserve"> EAGLETON, </w:t>
      </w:r>
      <w:r w:rsidRPr="001B49AC">
        <w:rPr>
          <w:i/>
          <w:lang w:val="en-US"/>
        </w:rPr>
        <w:t>op. cit</w:t>
      </w:r>
      <w:r w:rsidRPr="001B49AC">
        <w:rPr>
          <w:lang w:val="en-US"/>
        </w:rPr>
        <w:t xml:space="preserve">., pp. 48 – 49; FREEMAN, </w:t>
      </w:r>
      <w:r w:rsidRPr="001B49AC">
        <w:rPr>
          <w:i/>
          <w:lang w:val="en-US"/>
        </w:rPr>
        <w:t>op. cit</w:t>
      </w:r>
      <w:r w:rsidRPr="001B49AC">
        <w:rPr>
          <w:lang w:val="en-US"/>
        </w:rPr>
        <w:t>., pp. 284–285.</w:t>
      </w:r>
    </w:p>
  </w:footnote>
  <w:footnote w:id="106">
    <w:p w:rsidR="003D54BB" w:rsidRPr="00F30A60" w:rsidRDefault="003D54BB" w:rsidP="00D03AAA">
      <w:pPr>
        <w:pStyle w:val="Testonotaapidipagina"/>
        <w:jc w:val="both"/>
        <w:rPr>
          <w:lang w:val="fr-FR"/>
        </w:rPr>
      </w:pPr>
      <w:r>
        <w:rPr>
          <w:rStyle w:val="Rimandonotaapidipagina"/>
        </w:rPr>
        <w:footnoteRef/>
      </w:r>
      <w:r w:rsidRPr="004641B6">
        <w:t xml:space="preserve"> In realtà già nell’ultimo decennio del diciannovesimo secolo </w:t>
      </w:r>
      <w:r>
        <w:t xml:space="preserve">in alcune occasioni era stata sottolineata la mancata pertinenza di tale distinzione. Si veda il caso </w:t>
      </w:r>
      <w:r w:rsidRPr="000D6597">
        <w:rPr>
          <w:i/>
        </w:rPr>
        <w:t>Star and Herald</w:t>
      </w:r>
      <w:r>
        <w:t xml:space="preserve">, in cui il governo colombiano ha cercato di negare la riferibilità di un fatto illecito </w:t>
      </w:r>
      <w:r w:rsidRPr="000D6597">
        <w:rPr>
          <w:i/>
        </w:rPr>
        <w:t>ultra vires</w:t>
      </w:r>
      <w:r>
        <w:t xml:space="preserve"> in virtù del grado subordinato dell’organo che aveva tenuto la condotta. </w:t>
      </w:r>
      <w:r w:rsidRPr="00F30A60">
        <w:rPr>
          <w:lang w:val="fr-FR"/>
        </w:rPr>
        <w:t xml:space="preserve">Cfr. MOORE, </w:t>
      </w:r>
      <w:r w:rsidRPr="00F30A60">
        <w:rPr>
          <w:i/>
          <w:lang w:val="fr-FR"/>
        </w:rPr>
        <w:t>op. cit</w:t>
      </w:r>
      <w:r w:rsidRPr="00F30A60">
        <w:rPr>
          <w:lang w:val="fr-FR"/>
        </w:rPr>
        <w:t>. , pp. 779–780.</w:t>
      </w:r>
    </w:p>
  </w:footnote>
  <w:footnote w:id="107">
    <w:p w:rsidR="003D54BB" w:rsidRPr="00D03AAA" w:rsidRDefault="003D54BB" w:rsidP="00D03AAA">
      <w:pPr>
        <w:pStyle w:val="Testonotaapidipagina"/>
        <w:jc w:val="both"/>
        <w:rPr>
          <w:lang w:val="fr-FR"/>
        </w:rPr>
      </w:pPr>
      <w:r>
        <w:rPr>
          <w:rStyle w:val="Rimandonotaapidipagina"/>
        </w:rPr>
        <w:footnoteRef/>
      </w:r>
      <w:r w:rsidRPr="00D03AAA">
        <w:rPr>
          <w:lang w:val="fr-FR"/>
        </w:rPr>
        <w:t xml:space="preserve"> </w:t>
      </w:r>
      <w:r w:rsidRPr="00C12F4D">
        <w:rPr>
          <w:lang w:val="fr-FR"/>
        </w:rPr>
        <w:t>“Un employé subalterne….qui sans posséder les attributions nécessaires pour représenter son Etat à l’extérieur, procède à un acte contraire au droit international en entrant, dans l’exercice de ses fonctions, en contact avec un étranger, engage donc la responsabilité de l’Etat exactement comme un acte contraire au droit international et commis par le gouvernement lui-m</w:t>
      </w:r>
      <w:r w:rsidRPr="00C12F4D">
        <w:rPr>
          <w:rFonts w:cstheme="minorHAnsi"/>
          <w:lang w:val="fr-FR"/>
        </w:rPr>
        <w:t>ê</w:t>
      </w:r>
      <w:r w:rsidRPr="00C12F4D">
        <w:rPr>
          <w:lang w:val="fr-FR"/>
        </w:rPr>
        <w:t>me. Dans l’un comme dans l’autre cas, il s’agit, au sens légal, d’une infraction au droit international commise par l’Etat lui-m</w:t>
      </w:r>
      <w:r w:rsidRPr="00C12F4D">
        <w:rPr>
          <w:rFonts w:cstheme="minorHAnsi"/>
          <w:lang w:val="fr-FR"/>
        </w:rPr>
        <w:t>ê</w:t>
      </w:r>
      <w:r w:rsidRPr="00C12F4D">
        <w:rPr>
          <w:lang w:val="fr-FR"/>
        </w:rPr>
        <w:t>me”</w:t>
      </w:r>
      <w:r>
        <w:rPr>
          <w:lang w:val="fr-FR"/>
        </w:rPr>
        <w:t>. Cfr. Società delle Nazioni</w:t>
      </w:r>
      <w:r w:rsidRPr="009D5308">
        <w:rPr>
          <w:lang w:val="fr-FR"/>
        </w:rPr>
        <w:t xml:space="preserve">, </w:t>
      </w:r>
      <w:r w:rsidRPr="009D5308">
        <w:rPr>
          <w:i/>
          <w:lang w:val="fr-FR"/>
        </w:rPr>
        <w:t>Conférence pour la codification du droit international</w:t>
      </w:r>
      <w:r>
        <w:rPr>
          <w:lang w:val="fr-FR"/>
        </w:rPr>
        <w:t xml:space="preserve">, </w:t>
      </w:r>
      <w:r w:rsidRPr="00022721">
        <w:rPr>
          <w:lang w:val="fr-FR"/>
        </w:rPr>
        <w:t xml:space="preserve"> </w:t>
      </w:r>
      <w:r w:rsidRPr="001C67BA">
        <w:rPr>
          <w:i/>
          <w:lang w:val="fr-FR"/>
        </w:rPr>
        <w:t>Bases de discussion établies par le Comité préparatoire à l’intention de la Conférence, Supplément au tome III, Responsabilité des Etats en ce qui concerne les dommages causés sur leur territoire à la personne au aux biens des étrangers. Réponses des Gouv</w:t>
      </w:r>
      <w:r>
        <w:rPr>
          <w:i/>
          <w:lang w:val="fr-FR"/>
        </w:rPr>
        <w:t xml:space="preserve">ernements à la liste de points, </w:t>
      </w:r>
      <w:r>
        <w:rPr>
          <w:lang w:val="fr-FR"/>
        </w:rPr>
        <w:t>Genève, 1929, p. 52.</w:t>
      </w:r>
    </w:p>
  </w:footnote>
  <w:footnote w:id="108">
    <w:p w:rsidR="003D54BB" w:rsidRPr="00A43ABA" w:rsidRDefault="003D54BB" w:rsidP="007E1E1E">
      <w:pPr>
        <w:pStyle w:val="Testonotaapidipagina"/>
        <w:jc w:val="both"/>
        <w:rPr>
          <w:lang w:val="fr-FR"/>
        </w:rPr>
      </w:pPr>
      <w:r>
        <w:rPr>
          <w:rStyle w:val="Rimandonotaapidipagina"/>
        </w:rPr>
        <w:footnoteRef/>
      </w:r>
      <w:r w:rsidRPr="00A728F7">
        <w:rPr>
          <w:lang w:val="en-US"/>
        </w:rPr>
        <w:t xml:space="preserve"> </w:t>
      </w:r>
      <w:r w:rsidRPr="00AD3683">
        <w:rPr>
          <w:lang w:val="en-US"/>
        </w:rPr>
        <w:t>“I believe that it is undoubtedly a sound general principle that, whenever misconduct on the part of any such persons, whatever may be their particular status or rank under domestic law, results in the failure of a nation to perform its obligations under international law, the nation must bear the responsibility for the wrongful acts of its servants”.</w:t>
      </w:r>
      <w:r>
        <w:rPr>
          <w:lang w:val="en-US"/>
        </w:rPr>
        <w:t xml:space="preserve"> Cfr. </w:t>
      </w:r>
      <w:r>
        <w:rPr>
          <w:i/>
          <w:lang w:val="en-US"/>
        </w:rPr>
        <w:t xml:space="preserve">Report of International Arbitral Awards, </w:t>
      </w:r>
      <w:r>
        <w:rPr>
          <w:lang w:val="en-US"/>
        </w:rPr>
        <w:t>vol. IV,</w:t>
      </w:r>
      <w:r w:rsidRPr="00A728F7">
        <w:rPr>
          <w:lang w:val="en-US"/>
        </w:rPr>
        <w:t xml:space="preserve"> p. 159. </w:t>
      </w:r>
      <w:r w:rsidRPr="00BA1447">
        <w:rPr>
          <w:lang w:val="en-US"/>
        </w:rPr>
        <w:t xml:space="preserve">Si veda anche il caso </w:t>
      </w:r>
      <w:r w:rsidRPr="00BA1447">
        <w:rPr>
          <w:i/>
          <w:lang w:val="en-US"/>
        </w:rPr>
        <w:t>Way</w:t>
      </w:r>
      <w:r w:rsidRPr="00BA1447">
        <w:rPr>
          <w:lang w:val="en-US"/>
        </w:rPr>
        <w:t xml:space="preserve">, </w:t>
      </w:r>
      <w:r w:rsidRPr="00BA1447">
        <w:rPr>
          <w:i/>
          <w:lang w:val="en-US"/>
        </w:rPr>
        <w:t>ibid</w:t>
      </w:r>
      <w:r w:rsidRPr="00BA1447">
        <w:rPr>
          <w:lang w:val="en-US"/>
        </w:rPr>
        <w:t xml:space="preserve">., pp. 391–401; il caso </w:t>
      </w:r>
      <w:r w:rsidRPr="00BA1447">
        <w:rPr>
          <w:i/>
          <w:lang w:val="en-US"/>
        </w:rPr>
        <w:t>Baldwin</w:t>
      </w:r>
      <w:r w:rsidRPr="00BA1447">
        <w:rPr>
          <w:lang w:val="en-US"/>
        </w:rPr>
        <w:t xml:space="preserve">, </w:t>
      </w:r>
      <w:r w:rsidRPr="00BA1447">
        <w:rPr>
          <w:i/>
          <w:lang w:val="en-US"/>
        </w:rPr>
        <w:t>ibid</w:t>
      </w:r>
      <w:r w:rsidRPr="00BA1447">
        <w:rPr>
          <w:lang w:val="en-US"/>
        </w:rPr>
        <w:t xml:space="preserve">., vol. </w:t>
      </w:r>
      <w:r>
        <w:rPr>
          <w:lang w:val="fr-FR"/>
        </w:rPr>
        <w:t>VI, pp. 328–</w:t>
      </w:r>
      <w:r w:rsidRPr="00A43ABA">
        <w:rPr>
          <w:lang w:val="fr-FR"/>
        </w:rPr>
        <w:t xml:space="preserve">333. </w:t>
      </w:r>
    </w:p>
  </w:footnote>
  <w:footnote w:id="109">
    <w:p w:rsidR="003D54BB" w:rsidRPr="009C0D35" w:rsidRDefault="003D54BB" w:rsidP="007E1E1E">
      <w:pPr>
        <w:pStyle w:val="Testonotaapidipagina"/>
        <w:jc w:val="both"/>
      </w:pPr>
      <w:r>
        <w:rPr>
          <w:rStyle w:val="Rimandonotaapidipagina"/>
        </w:rPr>
        <w:footnoteRef/>
      </w:r>
      <w:r>
        <w:rPr>
          <w:lang w:val="fr-FR"/>
        </w:rPr>
        <w:t xml:space="preserve"> </w:t>
      </w:r>
      <w:r w:rsidRPr="00AD3683">
        <w:rPr>
          <w:lang w:val="fr-FR"/>
        </w:rPr>
        <w:t xml:space="preserve">“L’Etat ne peut </w:t>
      </w:r>
      <w:r w:rsidRPr="00AD3683">
        <w:rPr>
          <w:rFonts w:cstheme="minorHAnsi"/>
          <w:lang w:val="fr-FR"/>
        </w:rPr>
        <w:t>ê</w:t>
      </w:r>
      <w:r w:rsidRPr="00AD3683">
        <w:rPr>
          <w:lang w:val="fr-FR"/>
        </w:rPr>
        <w:t>tre engagé pour les actes de tous ses organes, agents et fonctionnaires. Comme pour la responsabilité au regard du droit international en général, le rang de ceux-ci n’importe pas, en ce sens qu’en tout état de cause leurs actes sont imputés à l’Etat.”</w:t>
      </w:r>
      <w:r>
        <w:rPr>
          <w:lang w:val="fr-FR"/>
        </w:rPr>
        <w:t> </w:t>
      </w:r>
      <w:r w:rsidRPr="00141967">
        <w:rPr>
          <w:i/>
        </w:rPr>
        <w:t>CEDH Mém</w:t>
      </w:r>
      <w:r w:rsidRPr="00141967">
        <w:t xml:space="preserve">., vol. 23 – I, p. 393. </w:t>
      </w:r>
      <w:r>
        <w:t>Per una approfondita analisi del caso si veda</w:t>
      </w:r>
      <w:r w:rsidRPr="00E35C7C">
        <w:t xml:space="preserve"> </w:t>
      </w:r>
      <w:r w:rsidRPr="00E35C7C">
        <w:rPr>
          <w:i/>
        </w:rPr>
        <w:t>infra</w:t>
      </w:r>
      <w:r>
        <w:t>, p. 161 ss.</w:t>
      </w:r>
    </w:p>
  </w:footnote>
  <w:footnote w:id="110">
    <w:p w:rsidR="003D54BB" w:rsidRPr="007E1E1E" w:rsidRDefault="003D54BB" w:rsidP="007E1E1E">
      <w:pPr>
        <w:pStyle w:val="Testonotaapidipagina"/>
        <w:jc w:val="both"/>
        <w:rPr>
          <w:lang w:val="en-US"/>
        </w:rPr>
      </w:pPr>
      <w:r>
        <w:rPr>
          <w:rStyle w:val="Rimandonotaapidipagina"/>
        </w:rPr>
        <w:footnoteRef/>
      </w:r>
      <w:r w:rsidRPr="007E1E1E">
        <w:rPr>
          <w:lang w:val="en-US"/>
        </w:rPr>
        <w:t xml:space="preserve"> </w:t>
      </w:r>
      <w:r>
        <w:rPr>
          <w:lang w:val="en-US"/>
        </w:rPr>
        <w:t xml:space="preserve">BORCHARD, </w:t>
      </w:r>
      <w:r w:rsidRPr="007E1E1E">
        <w:rPr>
          <w:i/>
          <w:lang w:val="en-US"/>
        </w:rPr>
        <w:t>Theoretical Aspects of the International Responsibility of States</w:t>
      </w:r>
      <w:r>
        <w:rPr>
          <w:lang w:val="en-US"/>
        </w:rPr>
        <w:t xml:space="preserve">, </w:t>
      </w:r>
      <w:r w:rsidRPr="007E1E1E">
        <w:rPr>
          <w:i/>
          <w:lang w:val="en-US"/>
        </w:rPr>
        <w:t>Zeitschrift für ausländisches öffentliches Recht und Völkerrecht</w:t>
      </w:r>
      <w:r>
        <w:rPr>
          <w:lang w:val="en-US"/>
        </w:rPr>
        <w:t>, 1929, pp. 223-250.</w:t>
      </w:r>
    </w:p>
  </w:footnote>
  <w:footnote w:id="111">
    <w:p w:rsidR="003D54BB" w:rsidRPr="00253730" w:rsidRDefault="003D54BB" w:rsidP="007E1E1E">
      <w:pPr>
        <w:pStyle w:val="Testonotaapidipagina"/>
        <w:jc w:val="both"/>
      </w:pPr>
      <w:r>
        <w:rPr>
          <w:rStyle w:val="Rimandonotaapidipagina"/>
        </w:rPr>
        <w:footnoteRef/>
      </w:r>
      <w:r>
        <w:rPr>
          <w:lang w:val="en-US"/>
        </w:rPr>
        <w:t xml:space="preserve"> </w:t>
      </w:r>
      <w:r w:rsidRPr="00676040">
        <w:rPr>
          <w:lang w:val="en-US"/>
        </w:rPr>
        <w:t>Si veda anche QU</w:t>
      </w:r>
      <w:r w:rsidRPr="00676040">
        <w:rPr>
          <w:rFonts w:cstheme="minorHAnsi"/>
          <w:lang w:val="en-US"/>
        </w:rPr>
        <w:t>É</w:t>
      </w:r>
      <w:r w:rsidRPr="00676040">
        <w:rPr>
          <w:lang w:val="en-US"/>
        </w:rPr>
        <w:t xml:space="preserve">NEUDEC, </w:t>
      </w:r>
      <w:r w:rsidRPr="00676040">
        <w:rPr>
          <w:i/>
          <w:lang w:val="en-US"/>
        </w:rPr>
        <w:t>op. cit</w:t>
      </w:r>
      <w:r>
        <w:rPr>
          <w:lang w:val="en-US"/>
        </w:rPr>
        <w:t>., pp. 55–</w:t>
      </w:r>
      <w:r w:rsidRPr="00676040">
        <w:rPr>
          <w:lang w:val="en-US"/>
        </w:rPr>
        <w:t xml:space="preserve">68; AMERASINGHE, </w:t>
      </w:r>
      <w:r w:rsidRPr="00676040">
        <w:rPr>
          <w:i/>
          <w:lang w:val="en-US"/>
        </w:rPr>
        <w:t>op. cit</w:t>
      </w:r>
      <w:r w:rsidRPr="00676040">
        <w:rPr>
          <w:lang w:val="en-US"/>
        </w:rPr>
        <w:t xml:space="preserve">., p. 106; AGO, </w:t>
      </w:r>
      <w:r w:rsidRPr="00676040">
        <w:rPr>
          <w:i/>
          <w:lang w:val="en-US"/>
        </w:rPr>
        <w:t>Troisième rapport</w:t>
      </w:r>
      <w:r>
        <w:rPr>
          <w:lang w:val="en-US"/>
        </w:rPr>
        <w:t>, cit., pp. 262–</w:t>
      </w:r>
      <w:r w:rsidRPr="00676040">
        <w:rPr>
          <w:lang w:val="en-US"/>
        </w:rPr>
        <w:t xml:space="preserve">267; CHRISTENSON, </w:t>
      </w:r>
      <w:r w:rsidRPr="00676040">
        <w:rPr>
          <w:i/>
          <w:lang w:val="en-US"/>
        </w:rPr>
        <w:t>The Doctrine of Attribution in State Responsibility, International Law of State Responsibility for Injuries to Aliens</w:t>
      </w:r>
      <w:r w:rsidRPr="00676040">
        <w:rPr>
          <w:lang w:val="en-US"/>
        </w:rPr>
        <w:t xml:space="preserve">, Charlottesville, 1983, p. </w:t>
      </w:r>
      <w:r>
        <w:rPr>
          <w:lang w:val="en-US"/>
        </w:rPr>
        <w:t xml:space="preserve">331; PRZETACZNIK, </w:t>
      </w:r>
      <w:r w:rsidRPr="00676040">
        <w:rPr>
          <w:i/>
          <w:lang w:val="en-US"/>
        </w:rPr>
        <w:t>op. cit</w:t>
      </w:r>
      <w:r>
        <w:rPr>
          <w:lang w:val="en-US"/>
        </w:rPr>
        <w:t xml:space="preserve">., pp. 135–136; BROWNLIE, </w:t>
      </w:r>
      <w:r w:rsidRPr="0047599E">
        <w:rPr>
          <w:i/>
          <w:lang w:val="en-US"/>
        </w:rPr>
        <w:t>op. cit</w:t>
      </w:r>
      <w:r>
        <w:rPr>
          <w:lang w:val="en-US"/>
        </w:rPr>
        <w:t xml:space="preserve">., pp. 447–448. </w:t>
      </w:r>
      <w:r w:rsidRPr="00253730">
        <w:t xml:space="preserve">La tesi favorevole ad una distinzione dell’attribuzione dei comportamenti in funzione del rango dell’organo è stata sostenuta anche più avanti nel ventesimo secolo da alcuni autori: FENWICK, </w:t>
      </w:r>
      <w:r w:rsidRPr="00253730">
        <w:rPr>
          <w:i/>
        </w:rPr>
        <w:t>International Law</w:t>
      </w:r>
      <w:r w:rsidRPr="00253730">
        <w:t>, 3</w:t>
      </w:r>
      <w:r>
        <w:rPr>
          <w:rFonts w:cstheme="minorHAnsi"/>
        </w:rPr>
        <w:t>ᵃ</w:t>
      </w:r>
      <w:r w:rsidRPr="00253730">
        <w:t xml:space="preserve"> ed., New York, 1952, pp. 280–281; BRIERLY, </w:t>
      </w:r>
      <w:r w:rsidRPr="00253730">
        <w:rPr>
          <w:i/>
        </w:rPr>
        <w:t>The Law of Nations: an Introduction to the International Law of Peace</w:t>
      </w:r>
      <w:r w:rsidRPr="00253730">
        <w:t>, 6</w:t>
      </w:r>
      <w:r>
        <w:rPr>
          <w:rFonts w:cstheme="minorHAnsi"/>
        </w:rPr>
        <w:t>ᵃ</w:t>
      </w:r>
      <w:r w:rsidRPr="00253730">
        <w:t xml:space="preserve"> ed., Oxford, 1963, pp. 285–286; VON GLAHN, </w:t>
      </w:r>
      <w:r w:rsidRPr="00253730">
        <w:rPr>
          <w:i/>
        </w:rPr>
        <w:t>Law among Nations, an Introduction to Public International Law</w:t>
      </w:r>
      <w:r w:rsidRPr="00253730">
        <w:t>, 5</w:t>
      </w:r>
      <w:r>
        <w:rPr>
          <w:rFonts w:cstheme="minorHAnsi"/>
        </w:rPr>
        <w:t>ᵃ</w:t>
      </w:r>
      <w:r w:rsidRPr="00253730">
        <w:t xml:space="preserve"> ed., New York, 1986, p. 232.</w:t>
      </w:r>
    </w:p>
  </w:footnote>
  <w:footnote w:id="112">
    <w:p w:rsidR="003D54BB" w:rsidRPr="00145475" w:rsidRDefault="003D54BB" w:rsidP="00FC77CE">
      <w:pPr>
        <w:autoSpaceDE w:val="0"/>
        <w:autoSpaceDN w:val="0"/>
        <w:adjustRightInd w:val="0"/>
        <w:spacing w:after="0" w:line="240" w:lineRule="auto"/>
        <w:jc w:val="both"/>
        <w:rPr>
          <w:sz w:val="20"/>
          <w:szCs w:val="20"/>
          <w:lang w:val="fr-FR"/>
        </w:rPr>
      </w:pPr>
      <w:r>
        <w:rPr>
          <w:rStyle w:val="Rimandonotaapidipagina"/>
        </w:rPr>
        <w:footnoteRef/>
      </w:r>
      <w:r w:rsidRPr="00145475">
        <w:rPr>
          <w:lang w:val="fr-FR"/>
        </w:rPr>
        <w:t xml:space="preserve"> </w:t>
      </w:r>
      <w:r w:rsidRPr="00145475">
        <w:rPr>
          <w:sz w:val="20"/>
          <w:szCs w:val="20"/>
          <w:lang w:val="fr-FR"/>
        </w:rPr>
        <w:t>Si veda</w:t>
      </w:r>
      <w:r w:rsidRPr="00145475">
        <w:rPr>
          <w:lang w:val="fr-FR"/>
        </w:rPr>
        <w:t xml:space="preserve"> </w:t>
      </w:r>
      <w:r w:rsidRPr="00145475">
        <w:rPr>
          <w:sz w:val="20"/>
          <w:szCs w:val="20"/>
          <w:lang w:val="fr-FR"/>
        </w:rPr>
        <w:t>AGO,</w:t>
      </w:r>
      <w:r w:rsidRPr="00145475">
        <w:rPr>
          <w:rFonts w:ascii="Times New Roman" w:hAnsi="Times New Roman"/>
          <w:sz w:val="18"/>
          <w:szCs w:val="18"/>
          <w:lang w:val="fr-FR" w:eastAsia="it-IT"/>
        </w:rPr>
        <w:t xml:space="preserve"> </w:t>
      </w:r>
      <w:r w:rsidRPr="00145475">
        <w:rPr>
          <w:i/>
          <w:sz w:val="20"/>
          <w:szCs w:val="20"/>
          <w:lang w:val="fr-FR"/>
        </w:rPr>
        <w:t>Le délit international, Recueil des cours de I'Académie de droit international de La Haye</w:t>
      </w:r>
      <w:r w:rsidRPr="00145475">
        <w:rPr>
          <w:rFonts w:ascii="Times New Roman" w:hAnsi="Times New Roman"/>
          <w:i/>
          <w:iCs/>
          <w:sz w:val="18"/>
          <w:szCs w:val="18"/>
          <w:lang w:val="fr-FR" w:eastAsia="it-IT"/>
        </w:rPr>
        <w:t xml:space="preserve">, </w:t>
      </w:r>
      <w:r w:rsidRPr="00145475">
        <w:rPr>
          <w:sz w:val="20"/>
          <w:szCs w:val="20"/>
          <w:lang w:val="fr-FR"/>
        </w:rPr>
        <w:t>1939, p. 469 ss</w:t>
      </w:r>
      <w:r w:rsidRPr="00145475">
        <w:rPr>
          <w:rFonts w:ascii="Times New Roman" w:hAnsi="Times New Roman"/>
          <w:sz w:val="18"/>
          <w:szCs w:val="18"/>
          <w:lang w:val="fr-FR" w:eastAsia="it-IT"/>
        </w:rPr>
        <w:t>.;</w:t>
      </w:r>
      <w:r w:rsidRPr="00145475">
        <w:rPr>
          <w:i/>
          <w:sz w:val="20"/>
          <w:szCs w:val="20"/>
          <w:lang w:val="fr-FR"/>
        </w:rPr>
        <w:t xml:space="preserve"> </w:t>
      </w:r>
      <w:r w:rsidRPr="00145475">
        <w:rPr>
          <w:sz w:val="20"/>
          <w:szCs w:val="20"/>
          <w:lang w:val="fr-FR"/>
        </w:rPr>
        <w:t>AMERASINGHE</w:t>
      </w:r>
      <w:r w:rsidRPr="00145475">
        <w:rPr>
          <w:i/>
          <w:sz w:val="20"/>
          <w:szCs w:val="20"/>
          <w:lang w:val="fr-FR"/>
        </w:rPr>
        <w:t>, Imputability in the Law of State Responsibility for Injuries to Aliens, Revue egyptienne de droit international</w:t>
      </w:r>
      <w:r w:rsidRPr="00145475">
        <w:rPr>
          <w:rFonts w:ascii="Times New Roman" w:hAnsi="Times New Roman"/>
          <w:i/>
          <w:iCs/>
          <w:sz w:val="16"/>
          <w:szCs w:val="16"/>
          <w:lang w:val="fr-FR" w:eastAsia="it-IT"/>
        </w:rPr>
        <w:t>,</w:t>
      </w:r>
      <w:r w:rsidRPr="00145475">
        <w:rPr>
          <w:i/>
          <w:sz w:val="20"/>
          <w:szCs w:val="20"/>
          <w:lang w:val="fr-FR"/>
        </w:rPr>
        <w:t xml:space="preserve"> </w:t>
      </w:r>
      <w:r w:rsidRPr="00145475">
        <w:rPr>
          <w:sz w:val="20"/>
          <w:szCs w:val="20"/>
          <w:lang w:val="fr-FR"/>
        </w:rPr>
        <w:t>1966, p. 104 ss.;</w:t>
      </w:r>
      <w:r w:rsidRPr="00145475">
        <w:rPr>
          <w:rFonts w:ascii="Times New Roman" w:hAnsi="Times New Roman"/>
          <w:i/>
          <w:iCs/>
          <w:sz w:val="16"/>
          <w:szCs w:val="16"/>
          <w:lang w:val="fr-FR" w:eastAsia="it-IT"/>
        </w:rPr>
        <w:t xml:space="preserve"> </w:t>
      </w:r>
      <w:r w:rsidRPr="00145475">
        <w:rPr>
          <w:sz w:val="20"/>
          <w:szCs w:val="20"/>
          <w:lang w:val="fr-FR"/>
        </w:rPr>
        <w:t>ANZILOTTI,</w:t>
      </w:r>
      <w:r w:rsidRPr="00145475">
        <w:rPr>
          <w:i/>
          <w:sz w:val="20"/>
          <w:szCs w:val="20"/>
          <w:lang w:val="fr-FR"/>
        </w:rPr>
        <w:t xml:space="preserve"> Corso di diritto internazionale,</w:t>
      </w:r>
      <w:r w:rsidRPr="00145475">
        <w:rPr>
          <w:rFonts w:ascii="Times New Roman" w:hAnsi="Times New Roman"/>
          <w:i/>
          <w:iCs/>
          <w:sz w:val="18"/>
          <w:szCs w:val="18"/>
          <w:lang w:val="fr-FR" w:eastAsia="it-IT"/>
        </w:rPr>
        <w:t xml:space="preserve"> </w:t>
      </w:r>
      <w:r w:rsidRPr="00145475">
        <w:rPr>
          <w:sz w:val="20"/>
          <w:szCs w:val="20"/>
          <w:lang w:val="fr-FR"/>
        </w:rPr>
        <w:t>Padova, 1955, pp. 387-388</w:t>
      </w:r>
      <w:r w:rsidRPr="00145475">
        <w:rPr>
          <w:rFonts w:ascii="Times New Roman" w:hAnsi="Times New Roman"/>
          <w:sz w:val="18"/>
          <w:szCs w:val="18"/>
          <w:lang w:val="fr-FR" w:eastAsia="it-IT"/>
        </w:rPr>
        <w:t xml:space="preserve">; </w:t>
      </w:r>
      <w:r w:rsidRPr="00145475">
        <w:rPr>
          <w:sz w:val="20"/>
          <w:szCs w:val="20"/>
          <w:lang w:val="fr-FR"/>
        </w:rPr>
        <w:t>CHENG,</w:t>
      </w:r>
      <w:r w:rsidRPr="00145475">
        <w:rPr>
          <w:i/>
          <w:sz w:val="20"/>
          <w:szCs w:val="20"/>
          <w:lang w:val="fr-FR"/>
        </w:rPr>
        <w:t xml:space="preserve"> General Principles of Law as Applied by International Courts and Tribunals, </w:t>
      </w:r>
      <w:r w:rsidRPr="00145475">
        <w:rPr>
          <w:sz w:val="20"/>
          <w:szCs w:val="20"/>
          <w:lang w:val="fr-FR"/>
        </w:rPr>
        <w:t>London, 1953, p.201 ss.;</w:t>
      </w:r>
      <w:r w:rsidRPr="00145475">
        <w:rPr>
          <w:rFonts w:ascii="Times New Roman" w:hAnsi="Times New Roman"/>
          <w:sz w:val="16"/>
          <w:szCs w:val="16"/>
          <w:lang w:val="fr-FR" w:eastAsia="it-IT"/>
        </w:rPr>
        <w:t xml:space="preserve"> </w:t>
      </w:r>
      <w:r w:rsidRPr="00145475">
        <w:rPr>
          <w:sz w:val="20"/>
          <w:szCs w:val="20"/>
          <w:lang w:val="fr-FR"/>
        </w:rPr>
        <w:t>DAHM,</w:t>
      </w:r>
      <w:r w:rsidRPr="00145475">
        <w:rPr>
          <w:i/>
          <w:sz w:val="20"/>
          <w:szCs w:val="20"/>
          <w:lang w:val="fr-FR"/>
        </w:rPr>
        <w:t xml:space="preserve"> V</w:t>
      </w:r>
      <w:r w:rsidRPr="00145475">
        <w:rPr>
          <w:rFonts w:cstheme="minorHAnsi"/>
          <w:i/>
          <w:sz w:val="20"/>
          <w:szCs w:val="20"/>
          <w:lang w:val="fr-FR"/>
        </w:rPr>
        <w:t>ö</w:t>
      </w:r>
      <w:r w:rsidRPr="00145475">
        <w:rPr>
          <w:i/>
          <w:sz w:val="20"/>
          <w:szCs w:val="20"/>
          <w:lang w:val="fr-FR"/>
        </w:rPr>
        <w:t xml:space="preserve">lkerrecht, </w:t>
      </w:r>
      <w:r w:rsidRPr="00145475">
        <w:rPr>
          <w:sz w:val="20"/>
          <w:szCs w:val="20"/>
          <w:lang w:val="fr-FR"/>
        </w:rPr>
        <w:t>Stuttgart</w:t>
      </w:r>
      <w:r w:rsidRPr="00145475">
        <w:rPr>
          <w:i/>
          <w:sz w:val="20"/>
          <w:szCs w:val="20"/>
          <w:lang w:val="fr-FR"/>
        </w:rPr>
        <w:t xml:space="preserve">, </w:t>
      </w:r>
      <w:r w:rsidRPr="00145475">
        <w:rPr>
          <w:sz w:val="20"/>
          <w:szCs w:val="20"/>
          <w:lang w:val="fr-FR"/>
        </w:rPr>
        <w:t>1961, p. 182</w:t>
      </w:r>
      <w:r w:rsidRPr="00145475">
        <w:rPr>
          <w:rFonts w:ascii="Times New Roman" w:hAnsi="Times New Roman"/>
          <w:sz w:val="16"/>
          <w:szCs w:val="16"/>
          <w:lang w:val="fr-FR" w:eastAsia="it-IT"/>
        </w:rPr>
        <w:t xml:space="preserve">; </w:t>
      </w:r>
      <w:r w:rsidRPr="00145475">
        <w:rPr>
          <w:sz w:val="20"/>
          <w:szCs w:val="20"/>
          <w:lang w:val="fr-FR"/>
        </w:rPr>
        <w:t>DECENCIERE-FERRANDIERE</w:t>
      </w:r>
      <w:r w:rsidRPr="00145475">
        <w:rPr>
          <w:i/>
          <w:sz w:val="20"/>
          <w:szCs w:val="20"/>
          <w:lang w:val="fr-FR"/>
        </w:rPr>
        <w:t xml:space="preserve">, La responsabilité Internationale des Etats à raison des dommages subis par des étrangers, </w:t>
      </w:r>
      <w:r w:rsidRPr="00145475">
        <w:rPr>
          <w:sz w:val="20"/>
          <w:szCs w:val="20"/>
          <w:lang w:val="fr-FR"/>
        </w:rPr>
        <w:t>Paris, 1925, p. 70;</w:t>
      </w:r>
      <w:r w:rsidRPr="00145475">
        <w:rPr>
          <w:rFonts w:ascii="Times New Roman" w:hAnsi="Times New Roman"/>
          <w:sz w:val="18"/>
          <w:szCs w:val="18"/>
          <w:lang w:val="fr-FR" w:eastAsia="it-IT"/>
        </w:rPr>
        <w:t xml:space="preserve"> </w:t>
      </w:r>
      <w:r w:rsidRPr="00145475">
        <w:rPr>
          <w:sz w:val="20"/>
          <w:szCs w:val="20"/>
          <w:lang w:val="fr-FR"/>
        </w:rPr>
        <w:t>EAGLETON,</w:t>
      </w:r>
      <w:r w:rsidRPr="00145475">
        <w:rPr>
          <w:i/>
          <w:sz w:val="20"/>
          <w:szCs w:val="20"/>
          <w:lang w:val="fr-FR"/>
        </w:rPr>
        <w:t xml:space="preserve"> The Responsibility of States in International Law</w:t>
      </w:r>
      <w:r w:rsidRPr="00145475">
        <w:rPr>
          <w:rFonts w:ascii="Times New Roman" w:hAnsi="Times New Roman"/>
          <w:sz w:val="18"/>
          <w:szCs w:val="18"/>
          <w:lang w:val="fr-FR" w:eastAsia="it-IT"/>
        </w:rPr>
        <w:t xml:space="preserve">, </w:t>
      </w:r>
      <w:r w:rsidRPr="00145475">
        <w:rPr>
          <w:sz w:val="20"/>
          <w:szCs w:val="20"/>
          <w:lang w:val="fr-FR"/>
        </w:rPr>
        <w:t>New York, 1928, p. 57;</w:t>
      </w:r>
      <w:r w:rsidRPr="00145475">
        <w:rPr>
          <w:rFonts w:ascii="Times New Roman" w:hAnsi="Times New Roman"/>
          <w:sz w:val="16"/>
          <w:szCs w:val="16"/>
          <w:lang w:val="fr-FR" w:eastAsia="it-IT"/>
        </w:rPr>
        <w:t xml:space="preserve"> </w:t>
      </w:r>
      <w:r>
        <w:rPr>
          <w:sz w:val="20"/>
          <w:szCs w:val="20"/>
          <w:lang w:val="fr-FR"/>
        </w:rPr>
        <w:t xml:space="preserve">FISCHER, </w:t>
      </w:r>
      <w:r w:rsidRPr="00145475">
        <w:rPr>
          <w:i/>
          <w:sz w:val="20"/>
          <w:szCs w:val="20"/>
          <w:lang w:val="fr-FR"/>
        </w:rPr>
        <w:t xml:space="preserve">La Responsabilité internationale de l’Etat pour les comportements </w:t>
      </w:r>
      <w:r w:rsidRPr="00145475">
        <w:rPr>
          <w:sz w:val="20"/>
          <w:szCs w:val="20"/>
          <w:lang w:val="fr-FR"/>
        </w:rPr>
        <w:t>ultra vires</w:t>
      </w:r>
      <w:r w:rsidRPr="00145475">
        <w:rPr>
          <w:i/>
          <w:sz w:val="20"/>
          <w:szCs w:val="20"/>
          <w:lang w:val="fr-FR"/>
        </w:rPr>
        <w:t xml:space="preserve"> de ses organes</w:t>
      </w:r>
      <w:r w:rsidRPr="00145475">
        <w:rPr>
          <w:sz w:val="20"/>
          <w:szCs w:val="20"/>
          <w:lang w:val="fr-FR"/>
        </w:rPr>
        <w:t xml:space="preserve">, Lausanne, 1993, p. </w:t>
      </w:r>
      <w:r>
        <w:rPr>
          <w:sz w:val="20"/>
          <w:szCs w:val="20"/>
          <w:lang w:val="fr-FR"/>
        </w:rPr>
        <w:t xml:space="preserve">165 ; </w:t>
      </w:r>
      <w:r w:rsidRPr="00145475">
        <w:rPr>
          <w:sz w:val="20"/>
          <w:szCs w:val="20"/>
          <w:lang w:val="fr-FR"/>
        </w:rPr>
        <w:t>FREEMAN,</w:t>
      </w:r>
      <w:r w:rsidRPr="00145475">
        <w:rPr>
          <w:i/>
          <w:sz w:val="20"/>
          <w:szCs w:val="20"/>
          <w:lang w:val="fr-FR"/>
        </w:rPr>
        <w:t xml:space="preserve"> Responsibility of States for unlawful acts of their armed forces, </w:t>
      </w:r>
      <w:r w:rsidRPr="00123F9F">
        <w:rPr>
          <w:sz w:val="20"/>
          <w:szCs w:val="20"/>
          <w:lang w:val="fr-FR"/>
        </w:rPr>
        <w:t xml:space="preserve">in </w:t>
      </w:r>
      <w:r w:rsidRPr="00145475">
        <w:rPr>
          <w:i/>
          <w:sz w:val="20"/>
          <w:szCs w:val="20"/>
          <w:lang w:val="fr-FR"/>
        </w:rPr>
        <w:t>Recueil des cours de I'Académie de droit international de La Haye</w:t>
      </w:r>
      <w:r w:rsidRPr="00145475">
        <w:rPr>
          <w:rFonts w:ascii="Times New Roman" w:hAnsi="Times New Roman"/>
          <w:sz w:val="16"/>
          <w:szCs w:val="16"/>
          <w:lang w:val="fr-FR" w:eastAsia="it-IT"/>
        </w:rPr>
        <w:t xml:space="preserve">, </w:t>
      </w:r>
      <w:r w:rsidRPr="00145475">
        <w:rPr>
          <w:sz w:val="20"/>
          <w:szCs w:val="20"/>
          <w:lang w:val="fr-FR"/>
        </w:rPr>
        <w:t>1955-II</w:t>
      </w:r>
      <w:r w:rsidRPr="00145475">
        <w:rPr>
          <w:rFonts w:ascii="Times New Roman" w:hAnsi="Times New Roman"/>
          <w:sz w:val="16"/>
          <w:szCs w:val="16"/>
          <w:lang w:val="fr-FR" w:eastAsia="it-IT"/>
        </w:rPr>
        <w:t xml:space="preserve">, </w:t>
      </w:r>
      <w:r w:rsidRPr="00145475">
        <w:rPr>
          <w:sz w:val="20"/>
          <w:szCs w:val="20"/>
          <w:lang w:val="fr-FR"/>
        </w:rPr>
        <w:t>p. 29</w:t>
      </w:r>
      <w:r w:rsidRPr="00145475">
        <w:rPr>
          <w:rFonts w:ascii="Times New Roman" w:hAnsi="Times New Roman"/>
          <w:sz w:val="16"/>
          <w:szCs w:val="16"/>
          <w:lang w:val="fr-FR" w:eastAsia="it-IT"/>
        </w:rPr>
        <w:t xml:space="preserve">; </w:t>
      </w:r>
      <w:r w:rsidRPr="00145475">
        <w:rPr>
          <w:sz w:val="20"/>
          <w:szCs w:val="20"/>
          <w:lang w:val="fr-FR"/>
        </w:rPr>
        <w:t>FURGLER,</w:t>
      </w:r>
      <w:r w:rsidRPr="00145475">
        <w:rPr>
          <w:i/>
          <w:sz w:val="20"/>
          <w:szCs w:val="20"/>
          <w:lang w:val="fr-FR"/>
        </w:rPr>
        <w:t xml:space="preserve"> Grundprobleme des v</w:t>
      </w:r>
      <w:r w:rsidRPr="00145475">
        <w:rPr>
          <w:rFonts w:cstheme="minorHAnsi"/>
          <w:i/>
          <w:sz w:val="20"/>
          <w:szCs w:val="20"/>
          <w:lang w:val="fr-FR"/>
        </w:rPr>
        <w:t>ö</w:t>
      </w:r>
      <w:r w:rsidRPr="00145475">
        <w:rPr>
          <w:i/>
          <w:sz w:val="20"/>
          <w:szCs w:val="20"/>
          <w:lang w:val="fr-FR"/>
        </w:rPr>
        <w:t xml:space="preserve">lkerrechtlichen Verantwortlichkeit der Staaten unter besonderer Berucksichtigimg der Haager Kodifikationskonferenz, sowie der Praxis der Vereinigten Staaten und der Schweiz, </w:t>
      </w:r>
      <w:r w:rsidRPr="00145475">
        <w:rPr>
          <w:sz w:val="20"/>
          <w:szCs w:val="20"/>
          <w:lang w:val="fr-FR"/>
        </w:rPr>
        <w:t>Zürich, 1948, pp. 25-26; GUGGENHEIM,</w:t>
      </w:r>
      <w:r w:rsidRPr="00145475">
        <w:rPr>
          <w:i/>
          <w:sz w:val="20"/>
          <w:szCs w:val="20"/>
          <w:lang w:val="fr-FR"/>
        </w:rPr>
        <w:t xml:space="preserve"> Traité de droit international public</w:t>
      </w:r>
      <w:r w:rsidRPr="00145475">
        <w:rPr>
          <w:rFonts w:ascii="Times New Roman" w:hAnsi="Times New Roman"/>
          <w:i/>
          <w:iCs/>
          <w:sz w:val="16"/>
          <w:szCs w:val="16"/>
          <w:lang w:val="fr-FR" w:eastAsia="it-IT"/>
        </w:rPr>
        <w:t xml:space="preserve">, </w:t>
      </w:r>
      <w:r w:rsidRPr="00145475">
        <w:rPr>
          <w:sz w:val="20"/>
          <w:szCs w:val="20"/>
          <w:lang w:val="fr-FR"/>
        </w:rPr>
        <w:t>Genève, 1954, p. 5 ss.;</w:t>
      </w:r>
      <w:r w:rsidRPr="00145475">
        <w:rPr>
          <w:rFonts w:ascii="Times New Roman" w:hAnsi="Times New Roman"/>
          <w:i/>
          <w:iCs/>
          <w:sz w:val="16"/>
          <w:szCs w:val="16"/>
          <w:lang w:val="fr-FR" w:eastAsia="it-IT"/>
        </w:rPr>
        <w:t xml:space="preserve"> </w:t>
      </w:r>
      <w:r w:rsidRPr="00145475">
        <w:rPr>
          <w:sz w:val="20"/>
          <w:szCs w:val="20"/>
          <w:lang w:val="fr-FR"/>
        </w:rPr>
        <w:t>MONACO,</w:t>
      </w:r>
      <w:r w:rsidRPr="00145475">
        <w:rPr>
          <w:i/>
          <w:sz w:val="20"/>
          <w:szCs w:val="20"/>
          <w:lang w:val="fr-FR"/>
        </w:rPr>
        <w:t xml:space="preserve"> La responsabilità internazionale dello Stato per fatti degli individui, Rivista di diritto internazionale,</w:t>
      </w:r>
      <w:r w:rsidRPr="00145475">
        <w:rPr>
          <w:rFonts w:ascii="Times New Roman" w:hAnsi="Times New Roman"/>
          <w:sz w:val="18"/>
          <w:szCs w:val="18"/>
          <w:lang w:val="fr-FR" w:eastAsia="it-IT"/>
        </w:rPr>
        <w:t xml:space="preserve"> </w:t>
      </w:r>
      <w:r w:rsidRPr="00145475">
        <w:rPr>
          <w:sz w:val="20"/>
          <w:szCs w:val="20"/>
          <w:lang w:val="fr-FR"/>
        </w:rPr>
        <w:t>1939, p. 22 ss</w:t>
      </w:r>
      <w:r w:rsidRPr="00145475">
        <w:rPr>
          <w:rFonts w:ascii="Times New Roman" w:hAnsi="Times New Roman"/>
          <w:i/>
          <w:iCs/>
          <w:sz w:val="18"/>
          <w:szCs w:val="18"/>
          <w:lang w:val="fr-FR" w:eastAsia="it-IT"/>
        </w:rPr>
        <w:t>.</w:t>
      </w:r>
      <w:r w:rsidRPr="00145475">
        <w:rPr>
          <w:rFonts w:ascii="Times New Roman" w:hAnsi="Times New Roman"/>
          <w:sz w:val="16"/>
          <w:szCs w:val="16"/>
          <w:lang w:val="fr-FR" w:eastAsia="it-IT"/>
        </w:rPr>
        <w:t xml:space="preserve">; </w:t>
      </w:r>
      <w:r w:rsidRPr="00145475">
        <w:rPr>
          <w:sz w:val="20"/>
          <w:szCs w:val="20"/>
          <w:lang w:val="fr-FR"/>
        </w:rPr>
        <w:t>QU</w:t>
      </w:r>
      <w:r w:rsidRPr="00145475">
        <w:rPr>
          <w:rFonts w:cstheme="minorHAnsi"/>
          <w:sz w:val="20"/>
          <w:szCs w:val="20"/>
          <w:lang w:val="fr-FR"/>
        </w:rPr>
        <w:t>É</w:t>
      </w:r>
      <w:r w:rsidRPr="00145475">
        <w:rPr>
          <w:sz w:val="20"/>
          <w:szCs w:val="20"/>
          <w:lang w:val="fr-FR"/>
        </w:rPr>
        <w:t>NEUDEC,</w:t>
      </w:r>
      <w:r w:rsidRPr="00145475">
        <w:rPr>
          <w:i/>
          <w:sz w:val="20"/>
          <w:szCs w:val="20"/>
          <w:lang w:val="fr-FR"/>
        </w:rPr>
        <w:t xml:space="preserve"> La responsabilité Internationale de l’Etat pour les fautes personnelles de ses agents</w:t>
      </w:r>
      <w:r w:rsidRPr="00145475">
        <w:rPr>
          <w:rFonts w:ascii="Times New Roman" w:hAnsi="Times New Roman"/>
          <w:i/>
          <w:iCs/>
          <w:sz w:val="16"/>
          <w:szCs w:val="16"/>
          <w:lang w:val="fr-FR" w:eastAsia="it-IT"/>
        </w:rPr>
        <w:t>,</w:t>
      </w:r>
      <w:r w:rsidRPr="00145475">
        <w:rPr>
          <w:sz w:val="20"/>
          <w:szCs w:val="20"/>
          <w:lang w:val="fr-FR"/>
        </w:rPr>
        <w:t xml:space="preserve"> Paris, 1966,</w:t>
      </w:r>
      <w:r w:rsidRPr="00145475">
        <w:rPr>
          <w:rFonts w:ascii="Times New Roman" w:hAnsi="Times New Roman"/>
          <w:sz w:val="16"/>
          <w:szCs w:val="16"/>
          <w:lang w:val="fr-FR" w:eastAsia="it-IT"/>
        </w:rPr>
        <w:t xml:space="preserve"> </w:t>
      </w:r>
      <w:r w:rsidRPr="00145475">
        <w:rPr>
          <w:sz w:val="20"/>
          <w:szCs w:val="20"/>
          <w:lang w:val="fr-FR"/>
        </w:rPr>
        <w:t>pp. 119-120;</w:t>
      </w:r>
      <w:r w:rsidRPr="00145475">
        <w:rPr>
          <w:rFonts w:ascii="Times New Roman" w:hAnsi="Times New Roman"/>
          <w:i/>
          <w:iCs/>
          <w:sz w:val="18"/>
          <w:szCs w:val="18"/>
          <w:lang w:val="fr-FR" w:eastAsia="it-IT"/>
        </w:rPr>
        <w:t xml:space="preserve"> </w:t>
      </w:r>
      <w:r w:rsidRPr="00145475">
        <w:rPr>
          <w:sz w:val="20"/>
          <w:szCs w:val="20"/>
          <w:lang w:val="fr-FR"/>
        </w:rPr>
        <w:t>REUTER,</w:t>
      </w:r>
      <w:r w:rsidRPr="00145475">
        <w:rPr>
          <w:i/>
          <w:sz w:val="20"/>
          <w:szCs w:val="20"/>
          <w:lang w:val="fr-FR"/>
        </w:rPr>
        <w:t xml:space="preserve"> La responsabilité Internationale, Droit international public (cours</w:t>
      </w:r>
      <w:r w:rsidRPr="00145475">
        <w:rPr>
          <w:sz w:val="20"/>
          <w:szCs w:val="20"/>
          <w:lang w:val="fr-FR"/>
        </w:rPr>
        <w:t>), Paris, 1956, p. 87 ss.;</w:t>
      </w:r>
      <w:r w:rsidRPr="00145475">
        <w:rPr>
          <w:i/>
          <w:sz w:val="20"/>
          <w:szCs w:val="20"/>
          <w:lang w:val="fr-FR"/>
        </w:rPr>
        <w:t xml:space="preserve"> </w:t>
      </w:r>
      <w:r w:rsidRPr="00145475">
        <w:rPr>
          <w:sz w:val="20"/>
          <w:szCs w:val="20"/>
          <w:lang w:val="fr-FR"/>
        </w:rPr>
        <w:t>ROSS,</w:t>
      </w:r>
      <w:r w:rsidRPr="00145475">
        <w:rPr>
          <w:i/>
          <w:sz w:val="20"/>
          <w:szCs w:val="20"/>
          <w:lang w:val="fr-FR"/>
        </w:rPr>
        <w:t xml:space="preserve"> A Textbok of International Law</w:t>
      </w:r>
      <w:r w:rsidRPr="00145475">
        <w:rPr>
          <w:rFonts w:ascii="Times New Roman" w:hAnsi="Times New Roman"/>
          <w:i/>
          <w:iCs/>
          <w:sz w:val="18"/>
          <w:szCs w:val="18"/>
          <w:lang w:val="fr-FR" w:eastAsia="it-IT"/>
        </w:rPr>
        <w:t xml:space="preserve">, </w:t>
      </w:r>
      <w:r w:rsidRPr="00145475">
        <w:rPr>
          <w:sz w:val="20"/>
          <w:szCs w:val="20"/>
          <w:lang w:val="fr-FR"/>
        </w:rPr>
        <w:t>London, 1947, pp. 252-253</w:t>
      </w:r>
      <w:r w:rsidRPr="00145475">
        <w:rPr>
          <w:rFonts w:ascii="Times New Roman" w:hAnsi="Times New Roman"/>
          <w:i/>
          <w:iCs/>
          <w:sz w:val="18"/>
          <w:szCs w:val="18"/>
          <w:lang w:val="fr-FR" w:eastAsia="it-IT"/>
        </w:rPr>
        <w:t xml:space="preserve">; </w:t>
      </w:r>
      <w:r w:rsidRPr="00145475">
        <w:rPr>
          <w:sz w:val="20"/>
          <w:szCs w:val="20"/>
          <w:lang w:val="fr-FR"/>
        </w:rPr>
        <w:t xml:space="preserve">STARKE, </w:t>
      </w:r>
      <w:r w:rsidRPr="00145475">
        <w:rPr>
          <w:i/>
          <w:sz w:val="20"/>
          <w:szCs w:val="20"/>
          <w:lang w:val="fr-FR"/>
        </w:rPr>
        <w:t>Imputability of International Delinquencies, The British Year Book of International Law</w:t>
      </w:r>
      <w:r w:rsidRPr="00145475">
        <w:rPr>
          <w:sz w:val="20"/>
          <w:szCs w:val="20"/>
          <w:lang w:val="fr-FR"/>
        </w:rPr>
        <w:t>, 1938, p. 109 ss.; SCHWARZENBERGER,</w:t>
      </w:r>
      <w:r w:rsidRPr="00145475">
        <w:rPr>
          <w:i/>
          <w:sz w:val="20"/>
          <w:szCs w:val="20"/>
          <w:lang w:val="fr-FR"/>
        </w:rPr>
        <w:t xml:space="preserve"> International Law, </w:t>
      </w:r>
      <w:r w:rsidRPr="00145475">
        <w:rPr>
          <w:sz w:val="20"/>
          <w:szCs w:val="20"/>
          <w:lang w:val="fr-FR"/>
        </w:rPr>
        <w:t>London, 1957, p. 615 ss.;</w:t>
      </w:r>
      <w:r w:rsidRPr="00145475">
        <w:rPr>
          <w:i/>
          <w:sz w:val="20"/>
          <w:szCs w:val="20"/>
          <w:lang w:val="fr-FR"/>
        </w:rPr>
        <w:t xml:space="preserve"> </w:t>
      </w:r>
      <w:r w:rsidRPr="00145475">
        <w:rPr>
          <w:sz w:val="20"/>
          <w:szCs w:val="20"/>
          <w:lang w:val="fr-FR"/>
        </w:rPr>
        <w:t>SERENI,</w:t>
      </w:r>
      <w:r w:rsidRPr="00145475">
        <w:rPr>
          <w:i/>
          <w:sz w:val="20"/>
          <w:szCs w:val="20"/>
          <w:lang w:val="fr-FR"/>
        </w:rPr>
        <w:t xml:space="preserve"> Diritto internazionale</w:t>
      </w:r>
      <w:r w:rsidRPr="00145475">
        <w:rPr>
          <w:rFonts w:ascii="Times New Roman" w:hAnsi="Times New Roman"/>
          <w:i/>
          <w:iCs/>
          <w:sz w:val="16"/>
          <w:szCs w:val="16"/>
          <w:lang w:val="fr-FR" w:eastAsia="it-IT"/>
        </w:rPr>
        <w:t xml:space="preserve">, </w:t>
      </w:r>
      <w:r w:rsidRPr="00145475">
        <w:rPr>
          <w:sz w:val="20"/>
          <w:szCs w:val="20"/>
          <w:lang w:val="fr-FR"/>
        </w:rPr>
        <w:t xml:space="preserve">Milano, 1962, pp.1507-1508; PRZETACZNIK, </w:t>
      </w:r>
      <w:r w:rsidRPr="00145475">
        <w:rPr>
          <w:i/>
          <w:sz w:val="20"/>
          <w:szCs w:val="20"/>
          <w:lang w:val="fr-FR"/>
        </w:rPr>
        <w:t>The International Responsibility of the State</w:t>
      </w:r>
      <w:r w:rsidRPr="00145475">
        <w:rPr>
          <w:sz w:val="20"/>
          <w:szCs w:val="20"/>
          <w:lang w:val="fr-FR"/>
        </w:rPr>
        <w:t xml:space="preserve">, cit., p. 153. </w:t>
      </w:r>
    </w:p>
  </w:footnote>
  <w:footnote w:id="113">
    <w:p w:rsidR="003D54BB" w:rsidRPr="00776B25" w:rsidRDefault="003D54BB" w:rsidP="00FC77CE">
      <w:pPr>
        <w:autoSpaceDE w:val="0"/>
        <w:autoSpaceDN w:val="0"/>
        <w:adjustRightInd w:val="0"/>
        <w:spacing w:after="0" w:line="240" w:lineRule="auto"/>
        <w:jc w:val="both"/>
        <w:rPr>
          <w:sz w:val="20"/>
          <w:szCs w:val="20"/>
          <w:lang w:val="fr-FR"/>
        </w:rPr>
      </w:pPr>
      <w:r>
        <w:rPr>
          <w:rStyle w:val="Rimandonotaapidipagina"/>
        </w:rPr>
        <w:footnoteRef/>
      </w:r>
      <w:r w:rsidRPr="00776B25">
        <w:rPr>
          <w:lang w:val="fr-FR"/>
        </w:rPr>
        <w:t xml:space="preserve"> </w:t>
      </w:r>
      <w:r w:rsidRPr="00776B25">
        <w:rPr>
          <w:sz w:val="20"/>
          <w:szCs w:val="20"/>
          <w:lang w:val="fr-FR"/>
        </w:rPr>
        <w:t xml:space="preserve">CONDORELLI, </w:t>
      </w:r>
      <w:r w:rsidRPr="00776B25">
        <w:rPr>
          <w:i/>
          <w:sz w:val="20"/>
          <w:szCs w:val="20"/>
          <w:lang w:val="fr-FR"/>
        </w:rPr>
        <w:t>L’imputation à l’Etat d’un fait internationalement illicite</w:t>
      </w:r>
      <w:r w:rsidRPr="00776B25">
        <w:rPr>
          <w:sz w:val="20"/>
          <w:szCs w:val="20"/>
          <w:lang w:val="fr-FR"/>
        </w:rPr>
        <w:t>, cit., p. 86.</w:t>
      </w:r>
    </w:p>
  </w:footnote>
  <w:footnote w:id="114">
    <w:p w:rsidR="003D54BB" w:rsidRPr="00EA1F19" w:rsidRDefault="003D54BB" w:rsidP="00FC77CE">
      <w:pPr>
        <w:pStyle w:val="Testonotaapidipagina"/>
        <w:jc w:val="both"/>
        <w:rPr>
          <w:lang w:val="en-US"/>
        </w:rPr>
      </w:pPr>
      <w:r>
        <w:rPr>
          <w:rStyle w:val="Rimandonotaapidipagina"/>
        </w:rPr>
        <w:footnoteRef/>
      </w:r>
      <w:r w:rsidRPr="00EA1F19">
        <w:rPr>
          <w:lang w:val="en-US"/>
        </w:rPr>
        <w:t xml:space="preserve"> BORCHARD, </w:t>
      </w:r>
      <w:r w:rsidRPr="0093334C">
        <w:rPr>
          <w:i/>
          <w:lang w:val="en-US"/>
        </w:rPr>
        <w:t>Theoretical aspects</w:t>
      </w:r>
      <w:r w:rsidRPr="00EA1F19">
        <w:rPr>
          <w:lang w:val="en-US"/>
        </w:rPr>
        <w:t xml:space="preserve">, cit., pp. </w:t>
      </w:r>
      <w:r>
        <w:rPr>
          <w:lang w:val="en-US"/>
        </w:rPr>
        <w:t xml:space="preserve">22 –231; FREEMAN, </w:t>
      </w:r>
      <w:r w:rsidRPr="00EA1F19">
        <w:rPr>
          <w:i/>
          <w:lang w:val="en-US"/>
        </w:rPr>
        <w:t>The International Responsibility</w:t>
      </w:r>
      <w:r>
        <w:rPr>
          <w:lang w:val="en-US"/>
        </w:rPr>
        <w:t>, pp. 23–26; STARKE</w:t>
      </w:r>
      <w:r w:rsidRPr="00EA1F19">
        <w:rPr>
          <w:i/>
          <w:lang w:val="en-US"/>
        </w:rPr>
        <w:t>, Imputability</w:t>
      </w:r>
      <w:r>
        <w:rPr>
          <w:lang w:val="en-US"/>
        </w:rPr>
        <w:t>, cit., pp. 110–111; VON M</w:t>
      </w:r>
      <w:r>
        <w:rPr>
          <w:rFonts w:cstheme="minorHAnsi"/>
          <w:lang w:val="en-US"/>
        </w:rPr>
        <w:t>Ü</w:t>
      </w:r>
      <w:r>
        <w:rPr>
          <w:lang w:val="en-US"/>
        </w:rPr>
        <w:t xml:space="preserve">NCH, op. cit., pp. 172–182; REUTER, op. cit., pp. 602–603; COUSSIRAT – COUSTERE e EISEMANN, op. cit., pp. 365–367; CHRISTENSON, op. cit., p. 621; BROWNLIE, </w:t>
      </w:r>
      <w:r w:rsidRPr="0093334C">
        <w:rPr>
          <w:i/>
          <w:lang w:val="en-US"/>
        </w:rPr>
        <w:t>System of the Law of</w:t>
      </w:r>
      <w:r>
        <w:rPr>
          <w:lang w:val="en-US"/>
        </w:rPr>
        <w:t xml:space="preserve"> </w:t>
      </w:r>
      <w:r w:rsidRPr="0093334C">
        <w:rPr>
          <w:i/>
          <w:lang w:val="en-US"/>
        </w:rPr>
        <w:t>Nations, State Responsibility</w:t>
      </w:r>
      <w:r>
        <w:rPr>
          <w:lang w:val="en-US"/>
        </w:rPr>
        <w:t xml:space="preserve">, Oxford, 1983, pp. 145–150; ZEMANEK, op. cit., p. 367; SMITH, </w:t>
      </w:r>
      <w:r w:rsidRPr="0093334C">
        <w:rPr>
          <w:i/>
          <w:lang w:val="en-US"/>
        </w:rPr>
        <w:t>State Responsibility and</w:t>
      </w:r>
      <w:r>
        <w:rPr>
          <w:lang w:val="en-US"/>
        </w:rPr>
        <w:t xml:space="preserve"> </w:t>
      </w:r>
      <w:r w:rsidRPr="0093334C">
        <w:rPr>
          <w:i/>
          <w:lang w:val="en-US"/>
        </w:rPr>
        <w:t>the Marine Environment</w:t>
      </w:r>
      <w:r>
        <w:rPr>
          <w:lang w:val="en-US"/>
        </w:rPr>
        <w:t>, Oxford, 1988, pp. 31–34.</w:t>
      </w:r>
    </w:p>
  </w:footnote>
  <w:footnote w:id="115">
    <w:p w:rsidR="003D54BB" w:rsidRPr="00253730" w:rsidRDefault="003D54BB" w:rsidP="006E47A5">
      <w:pPr>
        <w:pStyle w:val="Testonotaapidipagina"/>
        <w:jc w:val="both"/>
      </w:pPr>
      <w:r>
        <w:rPr>
          <w:rStyle w:val="Rimandonotaapidipagina"/>
        </w:rPr>
        <w:footnoteRef/>
      </w:r>
      <w:r w:rsidRPr="00253730">
        <w:t xml:space="preserve"> AGO, </w:t>
      </w:r>
      <w:r w:rsidRPr="00253730">
        <w:rPr>
          <w:i/>
        </w:rPr>
        <w:t>Premier rapport</w:t>
      </w:r>
      <w:r w:rsidRPr="00253730">
        <w:t>, cit., allegato II, p. 146.</w:t>
      </w:r>
    </w:p>
  </w:footnote>
  <w:footnote w:id="116">
    <w:p w:rsidR="003D54BB" w:rsidRPr="00F30A60" w:rsidRDefault="003D54BB" w:rsidP="006E47A5">
      <w:pPr>
        <w:spacing w:after="0" w:line="240" w:lineRule="auto"/>
        <w:jc w:val="both"/>
        <w:rPr>
          <w:sz w:val="20"/>
          <w:szCs w:val="20"/>
        </w:rPr>
      </w:pPr>
      <w:r>
        <w:rPr>
          <w:rStyle w:val="Rimandonotaapidipagina"/>
        </w:rPr>
        <w:footnoteRef/>
      </w:r>
      <w:r w:rsidRPr="00BD465E">
        <w:rPr>
          <w:lang w:val="fr-FR"/>
        </w:rPr>
        <w:t> </w:t>
      </w:r>
      <w:r w:rsidRPr="004C1E48">
        <w:rPr>
          <w:i/>
          <w:sz w:val="20"/>
          <w:szCs w:val="20"/>
          <w:lang w:val="fr-FR"/>
        </w:rPr>
        <w:t>Annuaire de l’Institut de droit International</w:t>
      </w:r>
      <w:r w:rsidRPr="004C1E48">
        <w:rPr>
          <w:sz w:val="20"/>
          <w:szCs w:val="20"/>
          <w:lang w:val="fr-FR"/>
        </w:rPr>
        <w:t xml:space="preserve"> 1927, vol. 33, p. 330.</w:t>
      </w:r>
      <w:r>
        <w:rPr>
          <w:lang w:val="fr-FR"/>
        </w:rPr>
        <w:t xml:space="preserve"> </w:t>
      </w:r>
      <w:r w:rsidRPr="004C1E48">
        <w:rPr>
          <w:sz w:val="20"/>
          <w:szCs w:val="20"/>
          <w:lang w:val="fr-FR"/>
        </w:rPr>
        <w:t>Anche l’art. 2 del progetto preparato nel 1927 dal Professor Strupp affermava che : “</w:t>
      </w:r>
      <w:r w:rsidRPr="004C1E48">
        <w:rPr>
          <w:i/>
          <w:sz w:val="20"/>
          <w:szCs w:val="20"/>
          <w:lang w:val="fr-FR"/>
        </w:rPr>
        <w:t>Eine Haftung wird nicht dadurch aufgehoben, dass einer der […] bezeichneten Personen oder Verbände seine Zuständigkeit überschritten hat, sofern er nach den für ihn bestehenden Züständigkeitsvorschriften die in Frage stehende Handlung an sich begehen konnte</w:t>
      </w:r>
      <w:r w:rsidRPr="004C1E48">
        <w:rPr>
          <w:sz w:val="20"/>
          <w:szCs w:val="20"/>
          <w:lang w:val="fr-FR"/>
        </w:rPr>
        <w:t xml:space="preserve">”. </w:t>
      </w:r>
      <w:r w:rsidRPr="00F30A60">
        <w:rPr>
          <w:sz w:val="20"/>
          <w:szCs w:val="20"/>
        </w:rPr>
        <w:t>VON M</w:t>
      </w:r>
      <w:r w:rsidRPr="00F30A60">
        <w:rPr>
          <w:rFonts w:cstheme="minorHAnsi"/>
          <w:sz w:val="20"/>
          <w:szCs w:val="20"/>
        </w:rPr>
        <w:t>Ü</w:t>
      </w:r>
      <w:r w:rsidRPr="00F30A60">
        <w:rPr>
          <w:sz w:val="20"/>
          <w:szCs w:val="20"/>
        </w:rPr>
        <w:t xml:space="preserve">NCH, </w:t>
      </w:r>
      <w:r w:rsidRPr="00F30A60">
        <w:rPr>
          <w:i/>
          <w:sz w:val="20"/>
          <w:szCs w:val="20"/>
        </w:rPr>
        <w:t>op. cit</w:t>
      </w:r>
      <w:r w:rsidRPr="00F30A60">
        <w:rPr>
          <w:sz w:val="20"/>
          <w:szCs w:val="20"/>
        </w:rPr>
        <w:t xml:space="preserve">., allegato 6, p. 333. </w:t>
      </w:r>
    </w:p>
  </w:footnote>
  <w:footnote w:id="117">
    <w:p w:rsidR="003D54BB" w:rsidRPr="007A69E4" w:rsidRDefault="003D54BB" w:rsidP="007A69E4">
      <w:pPr>
        <w:pStyle w:val="Testonotaapidipagina"/>
        <w:jc w:val="both"/>
      </w:pPr>
      <w:r>
        <w:rPr>
          <w:rStyle w:val="Rimandonotaapidipagina"/>
        </w:rPr>
        <w:footnoteRef/>
      </w:r>
      <w:r w:rsidRPr="007A69E4">
        <w:t xml:space="preserve"> AGO, </w:t>
      </w:r>
      <w:r w:rsidRPr="007A69E4">
        <w:rPr>
          <w:i/>
        </w:rPr>
        <w:t>Premier rapport</w:t>
      </w:r>
      <w:r w:rsidRPr="007A69E4">
        <w:t xml:space="preserve">, allegato VIII, p. 155.. </w:t>
      </w:r>
    </w:p>
  </w:footnote>
  <w:footnote w:id="118">
    <w:p w:rsidR="003D54BB" w:rsidRPr="007A69E4" w:rsidRDefault="003D54BB">
      <w:pPr>
        <w:pStyle w:val="Testonotaapidipagina"/>
      </w:pPr>
      <w:r>
        <w:rPr>
          <w:rStyle w:val="Rimandonotaapidipagina"/>
        </w:rPr>
        <w:footnoteRef/>
      </w:r>
      <w:r w:rsidRPr="007A69E4">
        <w:t xml:space="preserve"> Vedi </w:t>
      </w:r>
      <w:r w:rsidRPr="007A69E4">
        <w:rPr>
          <w:i/>
        </w:rPr>
        <w:t>supra</w:t>
      </w:r>
      <w:r>
        <w:t>, p. 11 ss.</w:t>
      </w:r>
    </w:p>
  </w:footnote>
  <w:footnote w:id="119">
    <w:p w:rsidR="003D54BB" w:rsidRDefault="003D54BB" w:rsidP="00685A68">
      <w:pPr>
        <w:pStyle w:val="Testonotaapidipagina"/>
        <w:jc w:val="both"/>
        <w:rPr>
          <w:lang w:val="en-US"/>
        </w:rPr>
      </w:pPr>
      <w:r>
        <w:rPr>
          <w:rStyle w:val="Rimandonotaapidipagina"/>
        </w:rPr>
        <w:footnoteRef/>
      </w:r>
      <w:r w:rsidRPr="00E209D3">
        <w:rPr>
          <w:lang w:val="en-US"/>
        </w:rPr>
        <w:t xml:space="preserve"> </w:t>
      </w:r>
      <w:r w:rsidRPr="00E209D3">
        <w:rPr>
          <w:i/>
          <w:lang w:val="en-US"/>
        </w:rPr>
        <w:t>American Journal of International Law</w:t>
      </w:r>
      <w:r>
        <w:rPr>
          <w:lang w:val="en-US"/>
        </w:rPr>
        <w:t xml:space="preserve">, </w:t>
      </w:r>
      <w:r w:rsidRPr="00E209D3">
        <w:rPr>
          <w:lang w:val="en-US"/>
        </w:rPr>
        <w:t xml:space="preserve">1961, </w:t>
      </w:r>
      <w:r>
        <w:rPr>
          <w:lang w:val="en-US"/>
        </w:rPr>
        <w:t>vol. 55, p. 576.</w:t>
      </w:r>
    </w:p>
  </w:footnote>
  <w:footnote w:id="120">
    <w:p w:rsidR="003D54BB" w:rsidRPr="00103EEB" w:rsidRDefault="003D54BB" w:rsidP="00685A68">
      <w:pPr>
        <w:pStyle w:val="Testonotaapidipagina"/>
        <w:jc w:val="both"/>
      </w:pPr>
      <w:r>
        <w:rPr>
          <w:rStyle w:val="Rimandonotaapidipagina"/>
        </w:rPr>
        <w:footnoteRef/>
      </w:r>
      <w:r w:rsidRPr="00AB79D5">
        <w:rPr>
          <w:lang w:val="en-US"/>
        </w:rPr>
        <w:t xml:space="preserve"> </w:t>
      </w:r>
      <w:r w:rsidRPr="00AB79D5">
        <w:rPr>
          <w:i/>
          <w:lang w:val="en-US"/>
        </w:rPr>
        <w:t>Restatement of the Law</w:t>
      </w:r>
      <w:r w:rsidRPr="00AB79D5">
        <w:rPr>
          <w:lang w:val="en-US"/>
        </w:rPr>
        <w:t xml:space="preserve">, </w:t>
      </w:r>
      <w:r w:rsidRPr="00AB79D5">
        <w:rPr>
          <w:i/>
          <w:lang w:val="en-US"/>
        </w:rPr>
        <w:t>The Foreign Relations Law of the United States</w:t>
      </w:r>
      <w:r w:rsidRPr="00AB79D5">
        <w:rPr>
          <w:lang w:val="en-US"/>
        </w:rPr>
        <w:t>,</w:t>
      </w:r>
      <w:r>
        <w:rPr>
          <w:lang w:val="en-US"/>
        </w:rPr>
        <w:t xml:space="preserve"> Minnesota, </w:t>
      </w:r>
      <w:r w:rsidRPr="00AB79D5">
        <w:rPr>
          <w:i/>
          <w:lang w:val="en-US"/>
        </w:rPr>
        <w:t>American Law Institute Publishers</w:t>
      </w:r>
      <w:r>
        <w:rPr>
          <w:lang w:val="en-US"/>
        </w:rPr>
        <w:t xml:space="preserve">, 1987, vol. </w:t>
      </w:r>
      <w:r w:rsidRPr="00103EEB">
        <w:t>I,  p. 96.</w:t>
      </w:r>
    </w:p>
  </w:footnote>
  <w:footnote w:id="121">
    <w:p w:rsidR="003D54BB" w:rsidRPr="00142009" w:rsidRDefault="003D54BB" w:rsidP="00FC77CE">
      <w:pPr>
        <w:pStyle w:val="Testonotaapidipagina"/>
        <w:jc w:val="both"/>
        <w:rPr>
          <w:lang w:val="fr-FR"/>
        </w:rPr>
      </w:pPr>
      <w:r>
        <w:rPr>
          <w:rStyle w:val="Rimandonotaapidipagina"/>
        </w:rPr>
        <w:footnoteRef/>
      </w:r>
      <w:r w:rsidRPr="00AE62B0">
        <w:t xml:space="preserve"> Questa tesi è stata sostenuta da Ago</w:t>
      </w:r>
      <w:r>
        <w:t xml:space="preserve">, </w:t>
      </w:r>
      <w:r w:rsidRPr="00AE62B0">
        <w:rPr>
          <w:i/>
        </w:rPr>
        <w:t>Quatrième rapport</w:t>
      </w:r>
      <w:r w:rsidRPr="00AE62B0">
        <w:t xml:space="preserve">, cit., p. 78, par. 2, nota 4. </w:t>
      </w:r>
      <w:r>
        <w:rPr>
          <w:lang w:val="fr-FR"/>
        </w:rPr>
        <w:t xml:space="preserve">Secondo Kress, tale osservazione </w:t>
      </w:r>
      <w:r w:rsidRPr="00AD3683">
        <w:rPr>
          <w:lang w:val="fr-FR"/>
        </w:rPr>
        <w:t>“serait sans doute trop formelle et ignorerait la possibilité de l’application de la conception mutatis mutandis”</w:t>
      </w:r>
      <w:r>
        <w:rPr>
          <w:lang w:val="fr-FR"/>
        </w:rPr>
        <w:t xml:space="preserve">, in </w:t>
      </w:r>
      <w:r w:rsidRPr="00D52DC3">
        <w:rPr>
          <w:i/>
          <w:lang w:val="fr-FR"/>
        </w:rPr>
        <w:t xml:space="preserve">L’organe de facto en droit international public. </w:t>
      </w:r>
      <w:r w:rsidRPr="00A0562C">
        <w:rPr>
          <w:i/>
          <w:lang w:val="fr-FR"/>
        </w:rPr>
        <w:t>Réflexions sur l’imputation à l’Etat de l’acte d’un particulier à la lumière des développ</w:t>
      </w:r>
      <w:r>
        <w:rPr>
          <w:i/>
          <w:lang w:val="fr-FR"/>
        </w:rPr>
        <w:t>e</w:t>
      </w:r>
      <w:r w:rsidRPr="00A0562C">
        <w:rPr>
          <w:i/>
          <w:lang w:val="fr-FR"/>
        </w:rPr>
        <w:t>ments récents</w:t>
      </w:r>
      <w:r w:rsidRPr="00A0562C">
        <w:rPr>
          <w:lang w:val="fr-FR"/>
        </w:rPr>
        <w:t xml:space="preserve">, </w:t>
      </w:r>
      <w:r w:rsidRPr="00A0562C">
        <w:rPr>
          <w:i/>
          <w:lang w:val="fr-FR"/>
        </w:rPr>
        <w:t>Revue générale de droit International public</w:t>
      </w:r>
      <w:r>
        <w:rPr>
          <w:lang w:val="fr-FR"/>
        </w:rPr>
        <w:t>,  2001, p. 135.</w:t>
      </w:r>
    </w:p>
  </w:footnote>
  <w:footnote w:id="122">
    <w:p w:rsidR="003D54BB" w:rsidRPr="0010739B" w:rsidRDefault="003D54BB" w:rsidP="00CA5718">
      <w:pPr>
        <w:pStyle w:val="Testonotaapidipagina"/>
        <w:jc w:val="both"/>
      </w:pPr>
      <w:r w:rsidRPr="0010739B">
        <w:rPr>
          <w:rStyle w:val="Rimandonotaapidipagina"/>
        </w:rPr>
        <w:footnoteRef/>
      </w:r>
      <w:r w:rsidRPr="0010739B">
        <w:t xml:space="preserve"> </w:t>
      </w:r>
      <w:r>
        <w:t>I</w:t>
      </w:r>
      <w:r w:rsidRPr="0010739B">
        <w:t>n numerosi casi giurisprudenziali del di</w:t>
      </w:r>
      <w:r>
        <w:t>ciannovesimo secolo in cui viene</w:t>
      </w:r>
      <w:r w:rsidRPr="0010739B">
        <w:t xml:space="preserve"> attestata la responsabilità internazionale dello Stato per illeciti commessi da un proprio organo, la questione del compimento della condotta </w:t>
      </w:r>
      <w:r w:rsidRPr="004938AB">
        <w:rPr>
          <w:i/>
        </w:rPr>
        <w:t>ultra vires</w:t>
      </w:r>
      <w:r>
        <w:t xml:space="preserve"> non viene</w:t>
      </w:r>
      <w:r w:rsidRPr="0010739B">
        <w:t xml:space="preserve"> affrontata nonostante ve ne </w:t>
      </w:r>
      <w:r>
        <w:t>fosse stata</w:t>
      </w:r>
      <w:r w:rsidRPr="0010739B">
        <w:t xml:space="preserve"> l’occasione. Tale silenzio può essere in parte spiegato dalla circostanza che le sentenze erano state rese sulla base di convenzioni in cui venivano esplicitamente indicate le categorie di illeciti per cui lo Stato doveva essere considerato responsabile. </w:t>
      </w:r>
      <w:r w:rsidRPr="0010739B">
        <w:rPr>
          <w:lang w:val="en-US"/>
        </w:rPr>
        <w:t xml:space="preserve">Si veda il caso </w:t>
      </w:r>
      <w:r w:rsidRPr="0010739B">
        <w:rPr>
          <w:i/>
          <w:lang w:val="en-US"/>
        </w:rPr>
        <w:t>Only Son</w:t>
      </w:r>
      <w:r w:rsidRPr="0010739B">
        <w:rPr>
          <w:lang w:val="en-US"/>
        </w:rPr>
        <w:t xml:space="preserve"> del 1853</w:t>
      </w:r>
      <w:r w:rsidRPr="004938AB">
        <w:rPr>
          <w:lang w:val="en-US"/>
        </w:rPr>
        <w:t xml:space="preserve"> in</w:t>
      </w:r>
      <w:r w:rsidRPr="004938AB">
        <w:rPr>
          <w:b/>
          <w:lang w:val="en-US"/>
        </w:rPr>
        <w:t xml:space="preserve"> </w:t>
      </w:r>
      <w:r w:rsidRPr="004938AB">
        <w:rPr>
          <w:rStyle w:val="Titolodellibro"/>
          <w:rFonts w:asciiTheme="minorHAnsi" w:hAnsiTheme="minorHAnsi" w:cstheme="minorHAnsi"/>
          <w:b w:val="0"/>
          <w:lang w:val="en-US"/>
        </w:rPr>
        <w:t>Moore</w:t>
      </w:r>
      <w:r w:rsidRPr="004938AB">
        <w:rPr>
          <w:rFonts w:cstheme="minorHAnsi"/>
          <w:b/>
          <w:i/>
          <w:lang w:val="en-US"/>
        </w:rPr>
        <w:t>,</w:t>
      </w:r>
      <w:r w:rsidRPr="0010739B">
        <w:rPr>
          <w:i/>
          <w:lang w:val="en-US"/>
        </w:rPr>
        <w:t xml:space="preserve"> History and Digest of the International Arbitrations to which the United States has been a party</w:t>
      </w:r>
      <w:r w:rsidRPr="0010739B">
        <w:rPr>
          <w:lang w:val="en-US"/>
        </w:rPr>
        <w:t xml:space="preserve">, 1898, vol. </w:t>
      </w:r>
      <w:r w:rsidRPr="0010739B">
        <w:t xml:space="preserve">IV, pp. 3404–3405; il caso </w:t>
      </w:r>
      <w:r w:rsidRPr="0010739B">
        <w:rPr>
          <w:i/>
        </w:rPr>
        <w:t>William Lee</w:t>
      </w:r>
      <w:r w:rsidRPr="0010739B">
        <w:t xml:space="preserve"> in </w:t>
      </w:r>
      <w:r w:rsidRPr="00D52DC3">
        <w:rPr>
          <w:rStyle w:val="Titolodellibro"/>
          <w:rFonts w:asciiTheme="minorHAnsi" w:hAnsiTheme="minorHAnsi" w:cstheme="minorHAnsi"/>
          <w:b w:val="0"/>
        </w:rPr>
        <w:t>Moore</w:t>
      </w:r>
      <w:r w:rsidRPr="00D52DC3">
        <w:rPr>
          <w:rStyle w:val="Titolodellibro"/>
          <w:rFonts w:asciiTheme="minorHAnsi" w:hAnsiTheme="minorHAnsi" w:cstheme="minorHAnsi"/>
        </w:rPr>
        <w:t>,</w:t>
      </w:r>
      <w:r w:rsidRPr="0010739B">
        <w:t xml:space="preserve"> </w:t>
      </w:r>
      <w:r w:rsidRPr="0010739B">
        <w:rPr>
          <w:i/>
        </w:rPr>
        <w:t>Ibid</w:t>
      </w:r>
      <w:r w:rsidRPr="0010739B">
        <w:t xml:space="preserve">., p. 3405 ss. e il caso </w:t>
      </w:r>
      <w:r w:rsidRPr="0010739B">
        <w:rPr>
          <w:i/>
        </w:rPr>
        <w:t>Donoughho</w:t>
      </w:r>
      <w:r w:rsidRPr="0010739B">
        <w:t xml:space="preserve"> in </w:t>
      </w:r>
      <w:r w:rsidRPr="00D52DC3">
        <w:rPr>
          <w:rStyle w:val="Titolodellibro"/>
          <w:rFonts w:asciiTheme="minorHAnsi" w:hAnsiTheme="minorHAnsi" w:cstheme="minorHAnsi"/>
          <w:b w:val="0"/>
        </w:rPr>
        <w:t>Moore</w:t>
      </w:r>
      <w:r w:rsidRPr="00D52DC3">
        <w:rPr>
          <w:rStyle w:val="Titolodellibro"/>
          <w:rFonts w:asciiTheme="minorHAnsi" w:hAnsiTheme="minorHAnsi" w:cstheme="minorHAnsi"/>
        </w:rPr>
        <w:t>,</w:t>
      </w:r>
      <w:r w:rsidRPr="0010739B">
        <w:t xml:space="preserve"> </w:t>
      </w:r>
      <w:r w:rsidRPr="0010739B">
        <w:rPr>
          <w:i/>
        </w:rPr>
        <w:t>Ibid.,</w:t>
      </w:r>
      <w:r w:rsidRPr="0010739B">
        <w:t xml:space="preserve"> p. 3012 ss. </w:t>
      </w:r>
    </w:p>
  </w:footnote>
  <w:footnote w:id="123">
    <w:p w:rsidR="003D54BB" w:rsidRPr="0010739B" w:rsidRDefault="003D54BB" w:rsidP="00CA5718">
      <w:pPr>
        <w:pStyle w:val="Testonotaapidipagina"/>
        <w:jc w:val="both"/>
        <w:rPr>
          <w:lang w:val="en-US"/>
        </w:rPr>
      </w:pPr>
      <w:r w:rsidRPr="0010739B">
        <w:rPr>
          <w:rStyle w:val="Rimandonotaapidipagina"/>
        </w:rPr>
        <w:footnoteRef/>
      </w:r>
      <w:r w:rsidRPr="0010739B">
        <w:rPr>
          <w:lang w:val="en-US"/>
        </w:rPr>
        <w:t xml:space="preserve"> Vedi </w:t>
      </w:r>
      <w:r w:rsidRPr="003E7976">
        <w:rPr>
          <w:i/>
          <w:lang w:val="en-US"/>
        </w:rPr>
        <w:t>infra</w:t>
      </w:r>
      <w:r w:rsidRPr="003E7976">
        <w:rPr>
          <w:lang w:val="en-US"/>
        </w:rPr>
        <w:t>, sezione 1, par. 5.</w:t>
      </w:r>
    </w:p>
  </w:footnote>
  <w:footnote w:id="124">
    <w:p w:rsidR="003D54BB" w:rsidRPr="00FC3DC6" w:rsidRDefault="003D54BB" w:rsidP="00CA5718">
      <w:pPr>
        <w:pStyle w:val="Testonotaapidipagina"/>
        <w:jc w:val="both"/>
        <w:rPr>
          <w:lang w:val="en-US"/>
        </w:rPr>
      </w:pPr>
      <w:r>
        <w:rPr>
          <w:rStyle w:val="Rimandonotaapidipagina"/>
        </w:rPr>
        <w:footnoteRef/>
      </w:r>
      <w:r w:rsidRPr="00FC3DC6">
        <w:rPr>
          <w:lang w:val="en-US"/>
        </w:rPr>
        <w:t xml:space="preserve"> </w:t>
      </w:r>
      <w:r w:rsidRPr="00164902">
        <w:rPr>
          <w:lang w:val="en-US"/>
        </w:rPr>
        <w:t xml:space="preserve">Il caso è </w:t>
      </w:r>
      <w:r>
        <w:rPr>
          <w:lang w:val="en-US"/>
        </w:rPr>
        <w:t xml:space="preserve">citato </w:t>
      </w:r>
      <w:r w:rsidRPr="00164902">
        <w:rPr>
          <w:lang w:val="en-US"/>
        </w:rPr>
        <w:t xml:space="preserve">da </w:t>
      </w:r>
      <w:r w:rsidRPr="00DA5C2A">
        <w:rPr>
          <w:lang w:val="en-US"/>
        </w:rPr>
        <w:t>MERON,</w:t>
      </w:r>
      <w:r w:rsidRPr="00164902">
        <w:rPr>
          <w:lang w:val="en-US"/>
        </w:rPr>
        <w:t xml:space="preserve"> </w:t>
      </w:r>
      <w:r w:rsidRPr="00164902">
        <w:rPr>
          <w:i/>
          <w:lang w:val="en-US"/>
        </w:rPr>
        <w:t>International responsibility of States for unauthorized acts of their officials</w:t>
      </w:r>
      <w:r>
        <w:rPr>
          <w:lang w:val="en-US"/>
        </w:rPr>
        <w:t xml:space="preserve">, </w:t>
      </w:r>
      <w:r w:rsidRPr="00164902">
        <w:rPr>
          <w:i/>
          <w:lang w:val="en-US"/>
        </w:rPr>
        <w:t>The British Yearbook of International Law</w:t>
      </w:r>
      <w:r>
        <w:rPr>
          <w:lang w:val="en-US"/>
        </w:rPr>
        <w:t>, London, 1957, pp. 106</w:t>
      </w:r>
      <w:r w:rsidRPr="00164902">
        <w:rPr>
          <w:lang w:val="en-US"/>
        </w:rPr>
        <w:t>-107</w:t>
      </w:r>
      <w:r>
        <w:rPr>
          <w:lang w:val="en-US"/>
        </w:rPr>
        <w:t xml:space="preserve">. </w:t>
      </w:r>
    </w:p>
  </w:footnote>
  <w:footnote w:id="125">
    <w:p w:rsidR="003D54BB" w:rsidRPr="00E16509" w:rsidRDefault="003D54BB" w:rsidP="00CA5718">
      <w:pPr>
        <w:pStyle w:val="Testonotaapidipagina"/>
        <w:jc w:val="both"/>
        <w:rPr>
          <w:lang w:val="en-US"/>
        </w:rPr>
      </w:pPr>
      <w:r>
        <w:rPr>
          <w:rStyle w:val="Rimandonotaapidipagina"/>
        </w:rPr>
        <w:footnoteRef/>
      </w:r>
      <w:r>
        <w:t xml:space="preserve"> In SIOI–CNR, </w:t>
      </w:r>
      <w:r w:rsidRPr="00BF745A">
        <w:rPr>
          <w:i/>
        </w:rPr>
        <w:t>La prassi italiana di diritto internazionale</w:t>
      </w:r>
      <w:r>
        <w:t xml:space="preserve">, vol. II, serie 2, n. 36. Si veda anche il caso </w:t>
      </w:r>
      <w:r w:rsidRPr="00AD4EFA">
        <w:rPr>
          <w:i/>
        </w:rPr>
        <w:t>Compagnie Générale des Asphaltes de France</w:t>
      </w:r>
      <w:r>
        <w:t xml:space="preserve"> in cui la Commissione mista dei reclami, istituita tra Venezuela e Regno Unito in base ai Protocolli del 1903,ha considerato il Venezuela responsabile per atti </w:t>
      </w:r>
      <w:r w:rsidRPr="00AD4EFA">
        <w:rPr>
          <w:i/>
        </w:rPr>
        <w:t>ultra vires</w:t>
      </w:r>
      <w:r>
        <w:t xml:space="preserve"> tenuti dal proprio console a Trinidad sulla base </w:t>
      </w:r>
      <w:r w:rsidRPr="00AD3683">
        <w:t xml:space="preserve">“…of the failure of the Government of Venezuela, after knowledge thereof, to make seasonable disclaimer of his acts and seasonable correction of his mistakes. </w:t>
      </w:r>
      <w:r w:rsidRPr="00AD3683">
        <w:rPr>
          <w:lang w:val="en-US"/>
        </w:rPr>
        <w:t>If the respondent Government authorized or directed some of these acts, or only ratified them by silence and acquiescence, its responsibility is the same.”</w:t>
      </w:r>
      <w:r>
        <w:rPr>
          <w:lang w:val="en-US"/>
        </w:rPr>
        <w:t xml:space="preserve"> </w:t>
      </w:r>
      <w:r w:rsidRPr="00E16509">
        <w:rPr>
          <w:lang w:val="en-US"/>
        </w:rPr>
        <w:t xml:space="preserve">Cfr. </w:t>
      </w:r>
      <w:r w:rsidRPr="00E16509">
        <w:rPr>
          <w:i/>
          <w:lang w:val="en-US"/>
        </w:rPr>
        <w:t>Reports of International Arbitral Awards</w:t>
      </w:r>
      <w:r w:rsidRPr="00E16509">
        <w:rPr>
          <w:lang w:val="en-US"/>
        </w:rPr>
        <w:t>, vol. IX, p. 396.</w:t>
      </w:r>
    </w:p>
  </w:footnote>
  <w:footnote w:id="126">
    <w:p w:rsidR="003D54BB" w:rsidRPr="00BD05B4" w:rsidRDefault="003D54BB" w:rsidP="00BD05B4">
      <w:pPr>
        <w:pStyle w:val="Testonotaapidipagina"/>
        <w:jc w:val="both"/>
        <w:rPr>
          <w:lang w:val="en-US"/>
        </w:rPr>
      </w:pPr>
      <w:r>
        <w:rPr>
          <w:rStyle w:val="Rimandonotaapidipagina"/>
        </w:rPr>
        <w:footnoteRef/>
      </w:r>
      <w:r>
        <w:rPr>
          <w:i/>
          <w:lang w:val="en-US"/>
        </w:rPr>
        <w:t xml:space="preserve"> </w:t>
      </w:r>
      <w:r w:rsidRPr="00C028C5">
        <w:rPr>
          <w:lang w:val="en-US"/>
        </w:rPr>
        <w:t>Stati Unitid’America, Dipartimento di Stato</w:t>
      </w:r>
      <w:r w:rsidRPr="00C028C5">
        <w:rPr>
          <w:i/>
          <w:lang w:val="en-US"/>
        </w:rPr>
        <w:t>, Foreign Relations of the United States (Washington, D.C., U.S. Government Printing Office</w:t>
      </w:r>
      <w:r w:rsidRPr="00BD05B4">
        <w:rPr>
          <w:lang w:val="en-US"/>
        </w:rPr>
        <w:t>, 1894), p. 25</w:t>
      </w:r>
      <w:r>
        <w:rPr>
          <w:lang w:val="en-US"/>
        </w:rPr>
        <w:t>.</w:t>
      </w:r>
    </w:p>
  </w:footnote>
  <w:footnote w:id="127">
    <w:p w:rsidR="003D54BB" w:rsidRPr="00253730" w:rsidRDefault="003D54BB">
      <w:pPr>
        <w:pStyle w:val="Testonotaapidipagina"/>
        <w:rPr>
          <w:lang w:val="en-US"/>
        </w:rPr>
      </w:pPr>
      <w:r>
        <w:rPr>
          <w:rStyle w:val="Rimandonotaapidipagina"/>
        </w:rPr>
        <w:footnoteRef/>
      </w:r>
      <w:r w:rsidRPr="00253730">
        <w:rPr>
          <w:lang w:val="en-US"/>
        </w:rPr>
        <w:t xml:space="preserve"> Si veda AGO,</w:t>
      </w:r>
      <w:r w:rsidRPr="00253730">
        <w:rPr>
          <w:i/>
          <w:lang w:val="en-US"/>
        </w:rPr>
        <w:t xml:space="preserve"> Quatrième rapport</w:t>
      </w:r>
      <w:r w:rsidRPr="00253730">
        <w:rPr>
          <w:lang w:val="en-US"/>
        </w:rPr>
        <w:t>, cit., p. 75, par. 10.</w:t>
      </w:r>
    </w:p>
  </w:footnote>
  <w:footnote w:id="128">
    <w:p w:rsidR="003D54BB" w:rsidRPr="00047CAB" w:rsidRDefault="003D54BB" w:rsidP="00CA5718">
      <w:pPr>
        <w:pStyle w:val="Testonotaapidipagina"/>
        <w:jc w:val="both"/>
        <w:rPr>
          <w:lang w:val="en-US"/>
        </w:rPr>
      </w:pPr>
      <w:r>
        <w:rPr>
          <w:rStyle w:val="Rimandonotaapidipagina"/>
        </w:rPr>
        <w:footnoteRef/>
      </w:r>
      <w:r w:rsidRPr="00047CAB">
        <w:rPr>
          <w:lang w:val="en-US"/>
        </w:rPr>
        <w:t xml:space="preserve"> BORCHARD</w:t>
      </w:r>
      <w:r>
        <w:rPr>
          <w:lang w:val="en-US"/>
        </w:rPr>
        <w:t xml:space="preserve">, </w:t>
      </w:r>
      <w:r w:rsidRPr="00047CAB">
        <w:rPr>
          <w:i/>
          <w:lang w:val="en-US"/>
        </w:rPr>
        <w:t>Responsibility of States for Damage Done in their Territories to Person or Property of Foreigners</w:t>
      </w:r>
      <w:r>
        <w:rPr>
          <w:lang w:val="en-US"/>
        </w:rPr>
        <w:t xml:space="preserve">, </w:t>
      </w:r>
      <w:r w:rsidRPr="00047CAB">
        <w:rPr>
          <w:i/>
          <w:lang w:val="en-US"/>
        </w:rPr>
        <w:t xml:space="preserve">American Journal of </w:t>
      </w:r>
      <w:r w:rsidRPr="008E5C5D">
        <w:rPr>
          <w:i/>
          <w:lang w:val="en-US"/>
        </w:rPr>
        <w:t>International Law</w:t>
      </w:r>
      <w:r w:rsidRPr="008E5C5D">
        <w:rPr>
          <w:lang w:val="en-US"/>
        </w:rPr>
        <w:t xml:space="preserve"> 1926, vol. 20, p. 739; FRREMAN, </w:t>
      </w:r>
      <w:r w:rsidRPr="008E5C5D">
        <w:rPr>
          <w:i/>
          <w:lang w:val="en-US"/>
        </w:rPr>
        <w:t>The Contribution of the Inter-American Juridical Committee and the Inter-American Council of Jurists to the Codification and Development of International Law</w:t>
      </w:r>
      <w:r w:rsidRPr="008E5C5D">
        <w:rPr>
          <w:lang w:val="en-US"/>
        </w:rPr>
        <w:t xml:space="preserve">, </w:t>
      </w:r>
      <w:r w:rsidRPr="008E5C5D">
        <w:rPr>
          <w:i/>
          <w:lang w:val="en-US"/>
        </w:rPr>
        <w:t>ASIL</w:t>
      </w:r>
      <w:r w:rsidRPr="008E5C5D">
        <w:rPr>
          <w:lang w:val="en-US"/>
        </w:rPr>
        <w:t>,1965, p. 24.</w:t>
      </w:r>
    </w:p>
  </w:footnote>
  <w:footnote w:id="129">
    <w:p w:rsidR="003D54BB" w:rsidRPr="009D6089" w:rsidRDefault="003D54BB" w:rsidP="00CA5718">
      <w:pPr>
        <w:pStyle w:val="Testonotaapidipagina"/>
        <w:jc w:val="both"/>
        <w:rPr>
          <w:lang w:val="fr-FR"/>
        </w:rPr>
      </w:pPr>
      <w:r>
        <w:rPr>
          <w:rStyle w:val="Rimandonotaapidipagina"/>
        </w:rPr>
        <w:footnoteRef/>
      </w:r>
      <w:r w:rsidRPr="009D6089">
        <w:rPr>
          <w:lang w:val="fr-FR"/>
        </w:rPr>
        <w:t xml:space="preserve"> </w:t>
      </w:r>
      <w:r w:rsidRPr="00601389">
        <w:rPr>
          <w:lang w:val="fr-FR"/>
        </w:rPr>
        <w:t xml:space="preserve">Si veda DIEZ DE VELASCO, </w:t>
      </w:r>
      <w:r w:rsidRPr="00D863B3">
        <w:rPr>
          <w:i/>
          <w:lang w:val="fr-FR"/>
        </w:rPr>
        <w:t>La protection diplomatique des sociétés</w:t>
      </w:r>
      <w:r w:rsidRPr="00601389">
        <w:rPr>
          <w:lang w:val="fr-FR"/>
        </w:rPr>
        <w:t xml:space="preserve"> </w:t>
      </w:r>
      <w:r w:rsidRPr="00D863B3">
        <w:rPr>
          <w:i/>
          <w:lang w:val="fr-FR"/>
        </w:rPr>
        <w:t>et des actio</w:t>
      </w:r>
      <w:r>
        <w:rPr>
          <w:i/>
          <w:lang w:val="fr-FR"/>
        </w:rPr>
        <w:t>n</w:t>
      </w:r>
      <w:r w:rsidRPr="00D863B3">
        <w:rPr>
          <w:i/>
          <w:lang w:val="fr-FR"/>
        </w:rPr>
        <w:t>naires</w:t>
      </w:r>
      <w:r>
        <w:rPr>
          <w:lang w:val="fr-FR"/>
        </w:rPr>
        <w:t xml:space="preserve">, </w:t>
      </w:r>
      <w:r w:rsidRPr="00D863B3">
        <w:rPr>
          <w:i/>
          <w:lang w:val="fr-FR"/>
        </w:rPr>
        <w:t>Recueil des cours</w:t>
      </w:r>
      <w:r>
        <w:rPr>
          <w:lang w:val="fr-FR"/>
        </w:rPr>
        <w:t xml:space="preserve">, </w:t>
      </w:r>
      <w:r w:rsidRPr="00601389">
        <w:rPr>
          <w:lang w:val="fr-FR"/>
        </w:rPr>
        <w:t xml:space="preserve">1974-I, p. </w:t>
      </w:r>
      <w:r>
        <w:rPr>
          <w:lang w:val="fr-FR"/>
        </w:rPr>
        <w:t xml:space="preserve">96 ss.; LLANOS MANSILLA, </w:t>
      </w:r>
      <w:r w:rsidRPr="00767A38">
        <w:rPr>
          <w:i/>
          <w:lang w:val="fr-FR"/>
        </w:rPr>
        <w:t>Theoria y Practica del Derecho International Publico</w:t>
      </w:r>
      <w:r>
        <w:rPr>
          <w:lang w:val="fr-FR"/>
        </w:rPr>
        <w:t xml:space="preserve">, </w:t>
      </w:r>
      <w:r w:rsidRPr="00767A38">
        <w:rPr>
          <w:i/>
          <w:lang w:val="fr-FR"/>
        </w:rPr>
        <w:t>El Estado como Sjeto de Derecho International</w:t>
      </w:r>
      <w:r>
        <w:rPr>
          <w:lang w:val="fr-FR"/>
        </w:rPr>
        <w:t>, Santiago, 1980, p. 514; T</w:t>
      </w:r>
      <w:r>
        <w:rPr>
          <w:rFonts w:cstheme="minorHAnsi"/>
          <w:lang w:val="fr-FR"/>
        </w:rPr>
        <w:t>É</w:t>
      </w:r>
      <w:r>
        <w:rPr>
          <w:lang w:val="fr-FR"/>
        </w:rPr>
        <w:t>N</w:t>
      </w:r>
      <w:r>
        <w:rPr>
          <w:rFonts w:cstheme="minorHAnsi"/>
          <w:lang w:val="fr-FR"/>
        </w:rPr>
        <w:t>É</w:t>
      </w:r>
      <w:r>
        <w:rPr>
          <w:lang w:val="fr-FR"/>
        </w:rPr>
        <w:t xml:space="preserve">KIDES, </w:t>
      </w:r>
      <w:r w:rsidRPr="00FC1A81">
        <w:rPr>
          <w:i/>
          <w:lang w:val="fr-FR"/>
        </w:rPr>
        <w:t>Considérations sur la clause Calvo, essai de justification du système de la nullité intégrale</w:t>
      </w:r>
      <w:r>
        <w:rPr>
          <w:lang w:val="fr-FR"/>
        </w:rPr>
        <w:t xml:space="preserve">, </w:t>
      </w:r>
      <w:r w:rsidRPr="00FC1A81">
        <w:rPr>
          <w:i/>
          <w:lang w:val="fr-FR"/>
        </w:rPr>
        <w:t>R</w:t>
      </w:r>
      <w:r>
        <w:rPr>
          <w:i/>
          <w:lang w:val="fr-FR"/>
        </w:rPr>
        <w:t>evue générale de droit international public,</w:t>
      </w:r>
      <w:r>
        <w:rPr>
          <w:lang w:val="fr-FR"/>
        </w:rPr>
        <w:t xml:space="preserve"> 1936, pp. 278–281.</w:t>
      </w:r>
    </w:p>
  </w:footnote>
  <w:footnote w:id="130">
    <w:p w:rsidR="003D54BB" w:rsidRPr="00177A43" w:rsidRDefault="003D54BB" w:rsidP="00CA5718">
      <w:pPr>
        <w:pStyle w:val="Testonotaapidipagina"/>
        <w:jc w:val="both"/>
        <w:rPr>
          <w:lang w:val="fr-FR"/>
        </w:rPr>
      </w:pPr>
      <w:r>
        <w:rPr>
          <w:rStyle w:val="Rimandonotaapidipagina"/>
        </w:rPr>
        <w:footnoteRef/>
      </w:r>
      <w:r w:rsidRPr="00605693">
        <w:rPr>
          <w:lang w:val="nl-NL"/>
        </w:rPr>
        <w:t xml:space="preserve"> Cfr. MOORE, </w:t>
      </w:r>
      <w:r w:rsidRPr="00605693">
        <w:rPr>
          <w:i/>
          <w:lang w:val="nl-NL"/>
        </w:rPr>
        <w:t>op. cit</w:t>
      </w:r>
      <w:r w:rsidRPr="00605693">
        <w:rPr>
          <w:lang w:val="nl-NL"/>
        </w:rPr>
        <w:t xml:space="preserve">., vol. </w:t>
      </w:r>
      <w:r w:rsidRPr="00FB5B02">
        <w:t>VI,</w:t>
      </w:r>
      <w:r>
        <w:t xml:space="preserve"> Washington, 1906, p.</w:t>
      </w:r>
      <w:r w:rsidRPr="00FB5B02">
        <w:t xml:space="preserve"> 664 e p. 742.</w:t>
      </w:r>
      <w:r>
        <w:t xml:space="preserve"> Tale nota diplomatica è stata citata dal Governo degli Stati Uniti nelle risposte fornite al questionario presentato all’attenzione degli Stati  dalla Società delle Nazioni. </w:t>
      </w:r>
      <w:r w:rsidRPr="00022721">
        <w:rPr>
          <w:lang w:val="fr-FR"/>
        </w:rPr>
        <w:t xml:space="preserve">Si veda Società delle Nazioni, Conferenza per la codificazione del diritto internazionale, </w:t>
      </w:r>
      <w:r w:rsidRPr="001C67BA">
        <w:rPr>
          <w:i/>
          <w:lang w:val="fr-FR"/>
        </w:rPr>
        <w:t>Bases de discussion établies par le Comité préparatoire à l’intention de la Conférence, Supplément au tome III, Responsabilité des Etats en ce qui concerne les dommages causés sur leur territoire à la personne au aux biens des étrangers. Réponses des Gouvernements à la liste de points: Réponses du Canada et des Etats-Unis d’Amérique</w:t>
      </w:r>
      <w:r>
        <w:rPr>
          <w:lang w:val="fr-FR"/>
        </w:rPr>
        <w:t>, Genève, 1929, p. 17.</w:t>
      </w:r>
    </w:p>
  </w:footnote>
  <w:footnote w:id="131">
    <w:p w:rsidR="003D54BB" w:rsidRPr="001C67BA" w:rsidRDefault="003D54BB" w:rsidP="00CA5718">
      <w:pPr>
        <w:pStyle w:val="Testonotaapidipagina"/>
        <w:jc w:val="both"/>
        <w:rPr>
          <w:lang w:val="en-US"/>
        </w:rPr>
      </w:pPr>
      <w:r>
        <w:rPr>
          <w:rStyle w:val="Rimandonotaapidipagina"/>
        </w:rPr>
        <w:footnoteRef/>
      </w:r>
      <w:r w:rsidRPr="001C67BA">
        <w:rPr>
          <w:lang w:val="en-US"/>
        </w:rPr>
        <w:t xml:space="preserve"> “ …</w:t>
      </w:r>
      <w:r w:rsidRPr="007C2F16">
        <w:rPr>
          <w:lang w:val="en-US"/>
        </w:rPr>
        <w:t>it was not an act of the Government. It was executed neither by its orders, nor in any way for its benefit, but, on the contrary, in opposition to its laws and in violation of its peace</w:t>
      </w:r>
      <w:r>
        <w:rPr>
          <w:lang w:val="en-US"/>
        </w:rPr>
        <w:t xml:space="preserve">.” Cfr. MOORE, </w:t>
      </w:r>
      <w:r w:rsidRPr="00D0187D">
        <w:rPr>
          <w:i/>
          <w:lang w:val="en-US"/>
        </w:rPr>
        <w:t>op. cit</w:t>
      </w:r>
      <w:r>
        <w:rPr>
          <w:lang w:val="en-US"/>
        </w:rPr>
        <w:t>., p. 672.</w:t>
      </w:r>
    </w:p>
  </w:footnote>
  <w:footnote w:id="132">
    <w:p w:rsidR="003D54BB" w:rsidRPr="005D4DD3" w:rsidRDefault="003D54BB" w:rsidP="00CA5718">
      <w:pPr>
        <w:pStyle w:val="Testonotaapidipagina"/>
        <w:jc w:val="both"/>
      </w:pPr>
      <w:r>
        <w:rPr>
          <w:rStyle w:val="Rimandonotaapidipagina"/>
        </w:rPr>
        <w:footnoteRef/>
      </w:r>
      <w:r w:rsidRPr="00A50356">
        <w:rPr>
          <w:lang w:val="en-US"/>
        </w:rPr>
        <w:t xml:space="preserve"> </w:t>
      </w:r>
      <w:r w:rsidRPr="00D8464B">
        <w:rPr>
          <w:lang w:val="en-US"/>
        </w:rPr>
        <w:t>“…it is a rule of international law that sovereigns are not liable, in diplomatic protection, for damages to a foreigner when arising from the misconduct of agents acting out of the range not only of their real but of their apparent authority.”</w:t>
      </w:r>
      <w:r>
        <w:rPr>
          <w:lang w:val="en-US"/>
        </w:rPr>
        <w:t xml:space="preserve"> </w:t>
      </w:r>
      <w:r w:rsidRPr="005D4DD3">
        <w:t xml:space="preserve">Cfr. MOORE, </w:t>
      </w:r>
      <w:r w:rsidRPr="005D4DD3">
        <w:rPr>
          <w:i/>
        </w:rPr>
        <w:t>op. cit</w:t>
      </w:r>
      <w:r w:rsidRPr="005D4DD3">
        <w:t>., p. 743.</w:t>
      </w:r>
    </w:p>
  </w:footnote>
  <w:footnote w:id="133">
    <w:p w:rsidR="003D54BB" w:rsidRPr="005D4DD3" w:rsidRDefault="003D54BB" w:rsidP="00CA5718">
      <w:pPr>
        <w:pStyle w:val="Testonotaapidipagina"/>
        <w:jc w:val="both"/>
      </w:pPr>
      <w:r>
        <w:rPr>
          <w:rStyle w:val="Rimandonotaapidipagina"/>
        </w:rPr>
        <w:footnoteRef/>
      </w:r>
      <w:r w:rsidRPr="005D4DD3">
        <w:t xml:space="preserve"> MOORE, </w:t>
      </w:r>
      <w:r w:rsidRPr="005D4DD3">
        <w:rPr>
          <w:i/>
        </w:rPr>
        <w:t>op. cit</w:t>
      </w:r>
      <w:r w:rsidRPr="005D4DD3">
        <w:t>., p. 743.</w:t>
      </w:r>
    </w:p>
  </w:footnote>
  <w:footnote w:id="134">
    <w:p w:rsidR="003D54BB" w:rsidRPr="00EC56A0" w:rsidRDefault="003D54BB" w:rsidP="00CA5718">
      <w:pPr>
        <w:pStyle w:val="Testonotaapidipagina"/>
        <w:jc w:val="both"/>
        <w:rPr>
          <w:lang w:val="en-US"/>
        </w:rPr>
      </w:pPr>
      <w:r>
        <w:rPr>
          <w:rStyle w:val="Rimandonotaapidipagina"/>
        </w:rPr>
        <w:footnoteRef/>
      </w:r>
      <w:r>
        <w:t xml:space="preserve"> Si veda MERON, </w:t>
      </w:r>
      <w:r w:rsidRPr="001A06D6">
        <w:rPr>
          <w:i/>
        </w:rPr>
        <w:t>op. cit</w:t>
      </w:r>
      <w:r>
        <w:t xml:space="preserve">., p. 91. </w:t>
      </w:r>
      <w:r w:rsidRPr="00EC56A0">
        <w:rPr>
          <w:lang w:val="en-US"/>
        </w:rPr>
        <w:t xml:space="preserve">Tale caso è stato citato anche da PRZETACZNIK, </w:t>
      </w:r>
      <w:r w:rsidRPr="00745978">
        <w:rPr>
          <w:i/>
          <w:lang w:val="en-US"/>
        </w:rPr>
        <w:t>The international responsibility of the States for the ultra vires acts of their organs</w:t>
      </w:r>
      <w:r w:rsidRPr="00EC56A0">
        <w:rPr>
          <w:lang w:val="en-US"/>
        </w:rPr>
        <w:t>,</w:t>
      </w:r>
      <w:r>
        <w:rPr>
          <w:lang w:val="en-US"/>
        </w:rPr>
        <w:t xml:space="preserve"> </w:t>
      </w:r>
      <w:r w:rsidRPr="00745978">
        <w:rPr>
          <w:i/>
          <w:lang w:val="en-US"/>
        </w:rPr>
        <w:t>cit</w:t>
      </w:r>
      <w:r>
        <w:rPr>
          <w:lang w:val="en-US"/>
        </w:rPr>
        <w:t xml:space="preserve">., </w:t>
      </w:r>
      <w:r w:rsidRPr="00EC56A0">
        <w:rPr>
          <w:lang w:val="en-US"/>
        </w:rPr>
        <w:t xml:space="preserve"> p. </w:t>
      </w:r>
      <w:r>
        <w:rPr>
          <w:lang w:val="en-US"/>
        </w:rPr>
        <w:t xml:space="preserve">138 e </w:t>
      </w:r>
      <w:r w:rsidRPr="00745978">
        <w:rPr>
          <w:i/>
          <w:lang w:val="en-US"/>
        </w:rPr>
        <w:t>The international responsibility of States for unauthorized acts of their organs</w:t>
      </w:r>
      <w:r>
        <w:rPr>
          <w:lang w:val="en-US"/>
        </w:rPr>
        <w:t xml:space="preserve">, </w:t>
      </w:r>
      <w:r w:rsidRPr="00745978">
        <w:rPr>
          <w:i/>
          <w:lang w:val="en-US"/>
        </w:rPr>
        <w:t>cit</w:t>
      </w:r>
      <w:r>
        <w:rPr>
          <w:lang w:val="en-US"/>
        </w:rPr>
        <w:t>., p. 166.</w:t>
      </w:r>
    </w:p>
  </w:footnote>
  <w:footnote w:id="135">
    <w:p w:rsidR="003D54BB" w:rsidRPr="00BD465E" w:rsidRDefault="003D54BB" w:rsidP="00CA5718">
      <w:pPr>
        <w:pStyle w:val="Testonotaapidipagina"/>
        <w:jc w:val="both"/>
        <w:rPr>
          <w:lang w:val="en-US"/>
        </w:rPr>
      </w:pPr>
      <w:r>
        <w:rPr>
          <w:rStyle w:val="Rimandonotaapidipagina"/>
        </w:rPr>
        <w:footnoteRef/>
      </w:r>
      <w:r w:rsidRPr="00BD465E">
        <w:rPr>
          <w:lang w:val="en-US"/>
        </w:rPr>
        <w:t xml:space="preserve"> </w:t>
      </w:r>
      <w:r w:rsidRPr="00BD465E">
        <w:rPr>
          <w:i/>
          <w:lang w:val="en-US"/>
        </w:rPr>
        <w:t>Ibid</w:t>
      </w:r>
      <w:r w:rsidRPr="00BD465E">
        <w:rPr>
          <w:lang w:val="en-US"/>
        </w:rPr>
        <w:t>., p. 91.</w:t>
      </w:r>
    </w:p>
  </w:footnote>
  <w:footnote w:id="136">
    <w:p w:rsidR="003D54BB" w:rsidRPr="007354D7" w:rsidRDefault="003D54BB" w:rsidP="00CA5718">
      <w:pPr>
        <w:pStyle w:val="Testonotaapidipagina"/>
        <w:jc w:val="both"/>
        <w:rPr>
          <w:lang w:val="en-US"/>
        </w:rPr>
      </w:pPr>
      <w:r>
        <w:rPr>
          <w:rStyle w:val="Rimandonotaapidipagina"/>
        </w:rPr>
        <w:footnoteRef/>
      </w:r>
      <w:r w:rsidRPr="0068736D">
        <w:rPr>
          <w:lang w:val="en-US"/>
        </w:rPr>
        <w:t xml:space="preserve"> </w:t>
      </w:r>
      <w:r>
        <w:rPr>
          <w:lang w:val="en-US"/>
        </w:rPr>
        <w:t xml:space="preserve">Cfr. </w:t>
      </w:r>
      <w:r w:rsidRPr="007354D7">
        <w:rPr>
          <w:lang w:val="en-US"/>
        </w:rPr>
        <w:t xml:space="preserve">MOORE, </w:t>
      </w:r>
      <w:r w:rsidRPr="007354D7">
        <w:rPr>
          <w:i/>
          <w:lang w:val="en-US"/>
        </w:rPr>
        <w:t>op. cit</w:t>
      </w:r>
      <w:r>
        <w:rPr>
          <w:lang w:val="en-US"/>
        </w:rPr>
        <w:t>., pp. 779–</w:t>
      </w:r>
      <w:r w:rsidRPr="007354D7">
        <w:rPr>
          <w:lang w:val="en-US"/>
        </w:rPr>
        <w:t>780. Il Ministro degli affari esteri colombiano reitererà le sue osservazioni in u</w:t>
      </w:r>
      <w:r>
        <w:rPr>
          <w:lang w:val="en-US"/>
        </w:rPr>
        <w:t>n</w:t>
      </w:r>
      <w:r w:rsidRPr="007354D7">
        <w:rPr>
          <w:lang w:val="en-US"/>
        </w:rPr>
        <w:t xml:space="preserve"> successivo rapporto: </w:t>
      </w:r>
      <w:r w:rsidRPr="004009A3">
        <w:rPr>
          <w:lang w:val="en-US"/>
        </w:rPr>
        <w:t>“Neither was it permissible that they should desire to make the National Government responsible for an act executed without its permission or authorization by an agent whose conduct was disapproved afterwards….To give such an extension to the responsibility of governments would have been but little in conformity with what is established by the common consent of natural right and the practice of nations”.</w:t>
      </w:r>
      <w:r>
        <w:rPr>
          <w:lang w:val="en-US"/>
        </w:rPr>
        <w:t xml:space="preserve"> In </w:t>
      </w:r>
      <w:r w:rsidRPr="003A3C8D">
        <w:rPr>
          <w:i/>
          <w:lang w:val="en-US"/>
        </w:rPr>
        <w:t>Papers Relating to the Foreign Relations of the United States</w:t>
      </w:r>
      <w:r>
        <w:rPr>
          <w:lang w:val="en-US"/>
        </w:rPr>
        <w:t>, 1886, Washington, p. 231.</w:t>
      </w:r>
    </w:p>
  </w:footnote>
  <w:footnote w:id="137">
    <w:p w:rsidR="003D54BB" w:rsidRDefault="003D54BB" w:rsidP="00CA5718">
      <w:pPr>
        <w:pStyle w:val="Testonotaapidipagina"/>
      </w:pPr>
      <w:r>
        <w:rPr>
          <w:rStyle w:val="Rimandonotaapidipagina"/>
        </w:rPr>
        <w:footnoteRef/>
      </w:r>
      <w:r>
        <w:t xml:space="preserve"> </w:t>
      </w:r>
      <w:r w:rsidRPr="00E159DE">
        <w:t xml:space="preserve">Nota </w:t>
      </w:r>
      <w:r>
        <w:t>indirizzata al Ministro degli Stati Uniti in Colombia</w:t>
      </w:r>
      <w:r w:rsidRPr="00E159DE">
        <w:t xml:space="preserve">, </w:t>
      </w:r>
      <w:r w:rsidRPr="00E159DE">
        <w:rPr>
          <w:i/>
        </w:rPr>
        <w:t>ibid</w:t>
      </w:r>
      <w:r w:rsidRPr="00E159DE">
        <w:t>., p. 225.</w:t>
      </w:r>
    </w:p>
  </w:footnote>
  <w:footnote w:id="138">
    <w:p w:rsidR="003D54BB" w:rsidRPr="00141967" w:rsidRDefault="003D54BB" w:rsidP="00CA5718">
      <w:pPr>
        <w:pStyle w:val="Testonotaapidipagina"/>
        <w:jc w:val="both"/>
        <w:rPr>
          <w:lang w:val="fr-FR"/>
        </w:rPr>
      </w:pPr>
      <w:r>
        <w:rPr>
          <w:rStyle w:val="Rimandonotaapidipagina"/>
        </w:rPr>
        <w:footnoteRef/>
      </w:r>
      <w:r w:rsidRPr="00F96C5E">
        <w:rPr>
          <w:lang w:val="en-US"/>
        </w:rPr>
        <w:t xml:space="preserve"> </w:t>
      </w:r>
      <w:r>
        <w:rPr>
          <w:lang w:val="en-US"/>
        </w:rPr>
        <w:t xml:space="preserve">In AGO, </w:t>
      </w:r>
      <w:r w:rsidRPr="005109D5">
        <w:rPr>
          <w:i/>
          <w:lang w:val="en-US"/>
        </w:rPr>
        <w:t>Fourth Report on State Responsibility</w:t>
      </w:r>
      <w:r>
        <w:rPr>
          <w:lang w:val="en-US"/>
        </w:rPr>
        <w:t xml:space="preserve">, </w:t>
      </w:r>
      <w:r w:rsidRPr="00E605AD">
        <w:rPr>
          <w:i/>
          <w:lang w:val="en-US"/>
        </w:rPr>
        <w:t>Yearbook of the International Law Commission,</w:t>
      </w:r>
      <w:r w:rsidRPr="00E605AD">
        <w:rPr>
          <w:lang w:val="en-US"/>
        </w:rPr>
        <w:t xml:space="preserve"> 1972, vol.</w:t>
      </w:r>
      <w:r>
        <w:rPr>
          <w:lang w:val="en-US"/>
        </w:rPr>
        <w:t xml:space="preserve"> </w:t>
      </w:r>
      <w:r w:rsidRPr="00141967">
        <w:rPr>
          <w:lang w:val="fr-FR"/>
        </w:rPr>
        <w:t>II, p. 77, par. 17.</w:t>
      </w:r>
    </w:p>
  </w:footnote>
  <w:footnote w:id="139">
    <w:p w:rsidR="003D54BB" w:rsidRPr="003D37F5" w:rsidRDefault="003D54BB">
      <w:pPr>
        <w:pStyle w:val="Testonotaapidipagina"/>
        <w:rPr>
          <w:lang w:val="fr-FR"/>
        </w:rPr>
      </w:pPr>
      <w:r>
        <w:rPr>
          <w:rStyle w:val="Rimandonotaapidipagina"/>
        </w:rPr>
        <w:footnoteRef/>
      </w:r>
      <w:r w:rsidRPr="00E16509">
        <w:rPr>
          <w:lang w:val="fr-FR"/>
        </w:rPr>
        <w:t xml:space="preserve"> </w:t>
      </w:r>
      <w:r w:rsidRPr="003D37F5">
        <w:rPr>
          <w:lang w:val="fr-FR"/>
        </w:rPr>
        <w:t xml:space="preserve">Vedi </w:t>
      </w:r>
      <w:r w:rsidRPr="003D37F5">
        <w:rPr>
          <w:i/>
          <w:lang w:val="fr-FR"/>
        </w:rPr>
        <w:t>infra</w:t>
      </w:r>
      <w:r w:rsidRPr="003D37F5">
        <w:rPr>
          <w:lang w:val="fr-FR"/>
        </w:rPr>
        <w:t>, p. 66 ss.</w:t>
      </w:r>
    </w:p>
  </w:footnote>
  <w:footnote w:id="140">
    <w:p w:rsidR="003D54BB" w:rsidRPr="004509AD" w:rsidRDefault="003D54BB" w:rsidP="00CA5718">
      <w:pPr>
        <w:pStyle w:val="Testonotaapidipagina"/>
        <w:rPr>
          <w:lang w:val="fr-FR"/>
        </w:rPr>
      </w:pPr>
      <w:r w:rsidRPr="003D37F5">
        <w:rPr>
          <w:rStyle w:val="Rimandonotaapidipagina"/>
        </w:rPr>
        <w:footnoteRef/>
      </w:r>
      <w:r w:rsidRPr="003D37F5">
        <w:rPr>
          <w:lang w:val="fr-FR"/>
        </w:rPr>
        <w:t xml:space="preserve"> AGO, </w:t>
      </w:r>
      <w:r w:rsidRPr="003D37F5">
        <w:rPr>
          <w:i/>
          <w:lang w:val="fr-FR"/>
        </w:rPr>
        <w:t>ibid</w:t>
      </w:r>
      <w:r w:rsidRPr="003D37F5">
        <w:rPr>
          <w:lang w:val="fr-FR"/>
        </w:rPr>
        <w:t xml:space="preserve">., p. 78, par. 17. </w:t>
      </w:r>
    </w:p>
  </w:footnote>
  <w:footnote w:id="141">
    <w:p w:rsidR="003D54BB" w:rsidRPr="00E745B1" w:rsidRDefault="003D54BB" w:rsidP="00CA5718">
      <w:pPr>
        <w:pStyle w:val="Testonotaapidipagina"/>
        <w:jc w:val="both"/>
      </w:pPr>
      <w:r w:rsidRPr="003D37F5">
        <w:rPr>
          <w:rStyle w:val="Rimandonotaapidipagina"/>
        </w:rPr>
        <w:footnoteRef/>
      </w:r>
      <w:r w:rsidRPr="003D37F5">
        <w:rPr>
          <w:lang w:val="en-US"/>
        </w:rPr>
        <w:t xml:space="preserve"> AGO, </w:t>
      </w:r>
      <w:r w:rsidRPr="003D37F5">
        <w:rPr>
          <w:i/>
          <w:lang w:val="en-US"/>
        </w:rPr>
        <w:t>Fourth</w:t>
      </w:r>
      <w:r w:rsidRPr="006E1669">
        <w:rPr>
          <w:i/>
          <w:lang w:val="en-US"/>
        </w:rPr>
        <w:t xml:space="preserve"> Report</w:t>
      </w:r>
      <w:r w:rsidRPr="006E1669">
        <w:rPr>
          <w:lang w:val="en-US"/>
        </w:rPr>
        <w:t xml:space="preserve">, cit., p. 83, par. </w:t>
      </w:r>
      <w:r>
        <w:rPr>
          <w:lang w:val="en-US"/>
        </w:rPr>
        <w:t xml:space="preserve"> </w:t>
      </w:r>
      <w:r w:rsidRPr="00E745B1">
        <w:t>33.</w:t>
      </w:r>
    </w:p>
  </w:footnote>
  <w:footnote w:id="142">
    <w:p w:rsidR="003D54BB" w:rsidRDefault="003D54BB" w:rsidP="00CA5718">
      <w:pPr>
        <w:pStyle w:val="Testonotaapidipagina"/>
        <w:jc w:val="both"/>
      </w:pPr>
      <w:r>
        <w:rPr>
          <w:rStyle w:val="Rimandonotaapidipagina"/>
        </w:rPr>
        <w:footnoteRef/>
      </w:r>
      <w:r>
        <w:t xml:space="preserve"> Gli autori di una nota dottrinale che ha accompagnato la pubblicazione di tale caso hanno ritenuto che l’arbitro con tale considerazione avesse voluto sostenere la tesi secondo cui la condotta </w:t>
      </w:r>
      <w:r w:rsidRPr="009D2849">
        <w:rPr>
          <w:i/>
        </w:rPr>
        <w:t>ultra vires</w:t>
      </w:r>
      <w:r>
        <w:t xml:space="preserve"> di un organo subordinato non può essere attribuita allo Stato. Si veda DE LAPRADELLE e POLITIS, </w:t>
      </w:r>
      <w:r w:rsidRPr="009D2849">
        <w:rPr>
          <w:i/>
        </w:rPr>
        <w:t>op. cit</w:t>
      </w:r>
      <w:r>
        <w:t>., pp. 299–304.</w:t>
      </w:r>
    </w:p>
  </w:footnote>
  <w:footnote w:id="143">
    <w:p w:rsidR="003D54BB" w:rsidRDefault="003D54BB" w:rsidP="00CA5718">
      <w:pPr>
        <w:pStyle w:val="Testonotaapidipagina"/>
      </w:pPr>
      <w:r>
        <w:rPr>
          <w:rStyle w:val="Rimandonotaapidipagina"/>
        </w:rPr>
        <w:footnoteRef/>
      </w:r>
      <w:r w:rsidRPr="00941B17">
        <w:rPr>
          <w:i/>
        </w:rPr>
        <w:t xml:space="preserve"> Ibid</w:t>
      </w:r>
      <w:r>
        <w:t>., p. 294.</w:t>
      </w:r>
    </w:p>
  </w:footnote>
  <w:footnote w:id="144">
    <w:p w:rsidR="003D54BB" w:rsidRPr="00B42056" w:rsidRDefault="003D54BB" w:rsidP="00CA5718">
      <w:pPr>
        <w:pStyle w:val="Testonotaapidipagina"/>
        <w:jc w:val="both"/>
        <w:rPr>
          <w:lang w:val="nl-NL"/>
        </w:rPr>
      </w:pPr>
      <w:r>
        <w:rPr>
          <w:rStyle w:val="Rimandonotaapidipagina"/>
        </w:rPr>
        <w:footnoteRef/>
      </w:r>
      <w:r w:rsidRPr="00B42056">
        <w:rPr>
          <w:lang w:val="nl-NL"/>
        </w:rPr>
        <w:t xml:space="preserve"> </w:t>
      </w:r>
      <w:r>
        <w:rPr>
          <w:lang w:val="nl-NL"/>
        </w:rPr>
        <w:t xml:space="preserve">Si tratta di una sentenza non datata, ma resa in virtù della Convenzione del 5 dicembre 1885, p. 70. </w:t>
      </w:r>
      <w:r w:rsidRPr="00B42056">
        <w:rPr>
          <w:lang w:val="nl-NL"/>
        </w:rPr>
        <w:t xml:space="preserve">MOORE, </w:t>
      </w:r>
      <w:r w:rsidRPr="00B42056">
        <w:rPr>
          <w:i/>
          <w:lang w:val="nl-NL"/>
        </w:rPr>
        <w:t>op. cit</w:t>
      </w:r>
      <w:r w:rsidRPr="00B42056">
        <w:rPr>
          <w:lang w:val="nl-NL"/>
        </w:rPr>
        <w:t xml:space="preserve">., p. 2946 ss. </w:t>
      </w:r>
    </w:p>
  </w:footnote>
  <w:footnote w:id="145">
    <w:p w:rsidR="003D54BB" w:rsidRDefault="003D54BB" w:rsidP="00CA5718">
      <w:pPr>
        <w:autoSpaceDE w:val="0"/>
        <w:autoSpaceDN w:val="0"/>
        <w:adjustRightInd w:val="0"/>
        <w:spacing w:after="0" w:line="240" w:lineRule="auto"/>
        <w:jc w:val="both"/>
      </w:pPr>
      <w:r>
        <w:rPr>
          <w:rStyle w:val="Rimandonotaapidipagina"/>
        </w:rPr>
        <w:footnoteRef/>
      </w:r>
      <w:r w:rsidRPr="00C04A1C">
        <w:rPr>
          <w:lang w:val="en-US"/>
        </w:rPr>
        <w:t xml:space="preserve"> </w:t>
      </w:r>
      <w:r w:rsidRPr="00E0101C">
        <w:rPr>
          <w:sz w:val="20"/>
          <w:szCs w:val="20"/>
          <w:lang w:val="en-US"/>
        </w:rPr>
        <w:t>“it is a principle of International law well recognized by civilized nations, that governments are not ordinarily at least, held to be responsible, pecuniarily for the acts of their officers in the exercise of their public duties, a principle more than once supported by the opinion of the most prominent American jurisconsults.”</w:t>
      </w:r>
      <w:r w:rsidRPr="00C04A1C">
        <w:rPr>
          <w:sz w:val="20"/>
          <w:szCs w:val="20"/>
          <w:lang w:val="en-US"/>
        </w:rPr>
        <w:t xml:space="preserve"> </w:t>
      </w:r>
      <w:r>
        <w:rPr>
          <w:sz w:val="20"/>
          <w:szCs w:val="20"/>
        </w:rPr>
        <w:t>Cfr.</w:t>
      </w:r>
      <w:r w:rsidRPr="00C04A1C">
        <w:rPr>
          <w:sz w:val="20"/>
          <w:szCs w:val="20"/>
        </w:rPr>
        <w:t xml:space="preserve"> </w:t>
      </w:r>
      <w:r w:rsidRPr="00C04A1C">
        <w:rPr>
          <w:bCs/>
          <w:smallCaps/>
        </w:rPr>
        <w:t>Moore</w:t>
      </w:r>
      <w:r w:rsidRPr="00C04A1C">
        <w:rPr>
          <w:sz w:val="20"/>
          <w:szCs w:val="20"/>
        </w:rPr>
        <w:t xml:space="preserve">, </w:t>
      </w:r>
      <w:r w:rsidRPr="00C04A1C">
        <w:rPr>
          <w:i/>
          <w:sz w:val="20"/>
          <w:szCs w:val="20"/>
        </w:rPr>
        <w:t>op. cit</w:t>
      </w:r>
      <w:r>
        <w:rPr>
          <w:sz w:val="20"/>
          <w:szCs w:val="20"/>
        </w:rPr>
        <w:t>.</w:t>
      </w:r>
      <w:r w:rsidRPr="00C04A1C">
        <w:rPr>
          <w:sz w:val="20"/>
          <w:szCs w:val="20"/>
        </w:rPr>
        <w:t xml:space="preserve">, vol. </w:t>
      </w:r>
      <w:r w:rsidRPr="00242216">
        <w:rPr>
          <w:sz w:val="20"/>
          <w:szCs w:val="20"/>
        </w:rPr>
        <w:t>III, Washington, 1898, p.</w:t>
      </w:r>
      <w:r>
        <w:rPr>
          <w:sz w:val="20"/>
          <w:szCs w:val="20"/>
        </w:rPr>
        <w:t xml:space="preserve"> </w:t>
      </w:r>
      <w:r w:rsidRPr="00242216">
        <w:rPr>
          <w:sz w:val="20"/>
          <w:szCs w:val="20"/>
        </w:rPr>
        <w:t>2947</w:t>
      </w:r>
      <w:r>
        <w:rPr>
          <w:sz w:val="20"/>
          <w:szCs w:val="20"/>
        </w:rPr>
        <w:t xml:space="preserve">. Il Commissario venezuelano ha espresso la medesima opinione nella sentenza resa nel caso </w:t>
      </w:r>
      <w:r w:rsidRPr="00C04A1C">
        <w:rPr>
          <w:i/>
          <w:sz w:val="20"/>
          <w:szCs w:val="20"/>
        </w:rPr>
        <w:t>De Brissot and others</w:t>
      </w:r>
      <w:r>
        <w:rPr>
          <w:sz w:val="20"/>
          <w:szCs w:val="20"/>
        </w:rPr>
        <w:t>,</w:t>
      </w:r>
      <w:r w:rsidRPr="00C04A1C">
        <w:rPr>
          <w:i/>
          <w:sz w:val="20"/>
          <w:szCs w:val="20"/>
        </w:rPr>
        <w:t xml:space="preserve"> ibid</w:t>
      </w:r>
      <w:r>
        <w:rPr>
          <w:sz w:val="20"/>
          <w:szCs w:val="20"/>
        </w:rPr>
        <w:t>., pp. 2949–2967.</w:t>
      </w:r>
    </w:p>
  </w:footnote>
  <w:footnote w:id="146">
    <w:p w:rsidR="003D54BB" w:rsidRPr="00E90B51" w:rsidRDefault="003D54BB" w:rsidP="00CA5718">
      <w:pPr>
        <w:pStyle w:val="Testonotaapidipagina"/>
        <w:jc w:val="both"/>
        <w:rPr>
          <w:lang w:val="en-US"/>
        </w:rPr>
      </w:pPr>
      <w:r>
        <w:rPr>
          <w:rStyle w:val="Rimandonotaapidipagina"/>
        </w:rPr>
        <w:footnoteRef/>
      </w:r>
      <w:r w:rsidRPr="00AC0E1C">
        <w:rPr>
          <w:lang w:val="fr-FR"/>
        </w:rPr>
        <w:t xml:space="preserve"> </w:t>
      </w:r>
      <w:r w:rsidRPr="00400170">
        <w:rPr>
          <w:lang w:val="fr-FR"/>
        </w:rPr>
        <w:t>“….les coupables ont commis à raison de ces faits une faute grave, cela prouve seulement la volonté qui anima le ministère fiscal de ch</w:t>
      </w:r>
      <w:r w:rsidRPr="00400170">
        <w:rPr>
          <w:rFonts w:cstheme="minorHAnsi"/>
          <w:lang w:val="fr-FR"/>
        </w:rPr>
        <w:t>â</w:t>
      </w:r>
      <w:r w:rsidRPr="00400170">
        <w:rPr>
          <w:lang w:val="fr-FR"/>
        </w:rPr>
        <w:t xml:space="preserve">tier les auteurs des procédés auxquel Jacinto Gadino a été soumis au commissariat, procédés qu’aucune loi n’autorise dans aucun pays civilisé…… ledit certificat prouve l’attentat inqualifiable  commis sur Gadino au commissariat, qu’il n’y avait aucun droit de soumettre à de tels procédés”. </w:t>
      </w:r>
      <w:r w:rsidRPr="00644826">
        <w:rPr>
          <w:lang w:val="en-US"/>
        </w:rPr>
        <w:t xml:space="preserve">Cfr. </w:t>
      </w:r>
      <w:r>
        <w:rPr>
          <w:i/>
          <w:lang w:val="en-US"/>
        </w:rPr>
        <w:t>Report of International Arbitral Awards</w:t>
      </w:r>
      <w:r>
        <w:rPr>
          <w:lang w:val="en-US"/>
        </w:rPr>
        <w:t>, vol. XV, p. 415, par. 7–8.</w:t>
      </w:r>
    </w:p>
  </w:footnote>
  <w:footnote w:id="147">
    <w:p w:rsidR="003D54BB" w:rsidRPr="00E16509" w:rsidRDefault="003D54BB" w:rsidP="00CA5718">
      <w:pPr>
        <w:pStyle w:val="Testonotaapidipagina"/>
        <w:rPr>
          <w:lang w:val="fr-FR"/>
        </w:rPr>
      </w:pPr>
      <w:r>
        <w:rPr>
          <w:rStyle w:val="Rimandonotaapidipagina"/>
        </w:rPr>
        <w:footnoteRef/>
      </w:r>
      <w:r w:rsidRPr="00E16509">
        <w:rPr>
          <w:lang w:val="fr-FR"/>
        </w:rPr>
        <w:t xml:space="preserve"> Ibid., p. 415, par. 9–10.</w:t>
      </w:r>
    </w:p>
  </w:footnote>
  <w:footnote w:id="148">
    <w:p w:rsidR="003D54BB" w:rsidRPr="00E16509" w:rsidRDefault="003D54BB" w:rsidP="00CA5718">
      <w:pPr>
        <w:pStyle w:val="Testonotaapidipagina"/>
        <w:rPr>
          <w:lang w:val="fr-FR"/>
        </w:rPr>
      </w:pPr>
      <w:r>
        <w:rPr>
          <w:rStyle w:val="Rimandonotaapidipagina"/>
        </w:rPr>
        <w:footnoteRef/>
      </w:r>
      <w:r w:rsidRPr="00E16509">
        <w:rPr>
          <w:lang w:val="fr-FR"/>
        </w:rPr>
        <w:t xml:space="preserve"> LAPRADELLE e POLITIS, </w:t>
      </w:r>
      <w:r w:rsidRPr="00E16509">
        <w:rPr>
          <w:i/>
          <w:lang w:val="fr-FR"/>
        </w:rPr>
        <w:t>op. cit</w:t>
      </w:r>
      <w:r w:rsidRPr="00E16509">
        <w:rPr>
          <w:lang w:val="fr-FR"/>
        </w:rPr>
        <w:t>., pp. 622–635.</w:t>
      </w:r>
    </w:p>
  </w:footnote>
  <w:footnote w:id="149">
    <w:p w:rsidR="003D54BB" w:rsidRDefault="003D54BB" w:rsidP="00CA5718">
      <w:pPr>
        <w:pStyle w:val="Testonotaapidipagina"/>
        <w:jc w:val="both"/>
      </w:pPr>
      <w:r>
        <w:rPr>
          <w:rStyle w:val="Rimandonotaapidipagina"/>
        </w:rPr>
        <w:footnoteRef/>
      </w:r>
      <w:r w:rsidRPr="00887A3A">
        <w:rPr>
          <w:i/>
        </w:rPr>
        <w:t xml:space="preserve"> Ibid</w:t>
      </w:r>
      <w:r>
        <w:t>., p. 629.</w:t>
      </w:r>
    </w:p>
  </w:footnote>
  <w:footnote w:id="150">
    <w:p w:rsidR="003D54BB" w:rsidRPr="00484B54" w:rsidRDefault="003D54BB" w:rsidP="00CA5718">
      <w:pPr>
        <w:pStyle w:val="Testonotaapidipagina"/>
        <w:jc w:val="both"/>
        <w:rPr>
          <w:lang w:val="en-US"/>
        </w:rPr>
      </w:pPr>
      <w:r>
        <w:rPr>
          <w:rStyle w:val="Rimandonotaapidipagina"/>
        </w:rPr>
        <w:footnoteRef/>
      </w:r>
      <w:r>
        <w:t xml:space="preserve"> </w:t>
      </w:r>
      <w:r w:rsidRPr="0060222D">
        <w:rPr>
          <w:i/>
        </w:rPr>
        <w:t>Ibid</w:t>
      </w:r>
      <w:r>
        <w:t xml:space="preserve">., p. 633. In numerose sentenze arbitrali rese della seconda metà del diciannovesimo secolo si è avuta l’attribuzione di condotte di organi allo Stato senza che fosse specificata la natura </w:t>
      </w:r>
      <w:r w:rsidRPr="00AB486F">
        <w:rPr>
          <w:i/>
        </w:rPr>
        <w:t>ultra vires</w:t>
      </w:r>
      <w:r>
        <w:t xml:space="preserve"> o meno del comportamento. Si veda anche la sentenza resa nel caso </w:t>
      </w:r>
      <w:r w:rsidRPr="00A43ABA">
        <w:rPr>
          <w:i/>
        </w:rPr>
        <w:t>Donoughho</w:t>
      </w:r>
      <w:r>
        <w:t xml:space="preserve">, MOORE, </w:t>
      </w:r>
      <w:r w:rsidRPr="00AB486F">
        <w:rPr>
          <w:i/>
        </w:rPr>
        <w:t>op. cit</w:t>
      </w:r>
      <w:r>
        <w:t xml:space="preserve">., vol. </w:t>
      </w:r>
      <w:r>
        <w:rPr>
          <w:lang w:val="en-US"/>
        </w:rPr>
        <w:t>III, pp. 3012–</w:t>
      </w:r>
      <w:r w:rsidRPr="00484B54">
        <w:rPr>
          <w:lang w:val="en-US"/>
        </w:rPr>
        <w:t xml:space="preserve">3014; il caso </w:t>
      </w:r>
      <w:r w:rsidRPr="00484B54">
        <w:rPr>
          <w:i/>
          <w:lang w:val="en-US"/>
        </w:rPr>
        <w:t>Only son</w:t>
      </w:r>
      <w:r w:rsidRPr="00484B54">
        <w:rPr>
          <w:lang w:val="en-US"/>
        </w:rPr>
        <w:t xml:space="preserve">, MOORE, op. cit., vol. IV, pp. </w:t>
      </w:r>
      <w:r>
        <w:rPr>
          <w:lang w:val="en-US"/>
        </w:rPr>
        <w:t xml:space="preserve">3404–3405; il caso </w:t>
      </w:r>
      <w:r w:rsidRPr="00484B54">
        <w:rPr>
          <w:i/>
          <w:lang w:val="en-US"/>
        </w:rPr>
        <w:t>William Lee</w:t>
      </w:r>
      <w:r>
        <w:rPr>
          <w:lang w:val="en-US"/>
        </w:rPr>
        <w:t xml:space="preserve">, </w:t>
      </w:r>
      <w:r w:rsidRPr="00484B54">
        <w:rPr>
          <w:i/>
          <w:lang w:val="en-US"/>
        </w:rPr>
        <w:t>ibid</w:t>
      </w:r>
      <w:r>
        <w:rPr>
          <w:lang w:val="en-US"/>
        </w:rPr>
        <w:t>., pp. 3405–3407.</w:t>
      </w:r>
    </w:p>
  </w:footnote>
  <w:footnote w:id="151">
    <w:p w:rsidR="003D54BB" w:rsidRPr="00855D84" w:rsidRDefault="003D54BB" w:rsidP="00CA5718">
      <w:pPr>
        <w:pStyle w:val="Testonotaapidipagina"/>
        <w:rPr>
          <w:lang w:val="en-US"/>
        </w:rPr>
      </w:pPr>
      <w:r>
        <w:rPr>
          <w:rStyle w:val="Rimandonotaapidipagina"/>
        </w:rPr>
        <w:footnoteRef/>
      </w:r>
      <w:r w:rsidRPr="00855D84">
        <w:rPr>
          <w:lang w:val="en-US"/>
        </w:rPr>
        <w:t xml:space="preserve"> MOORE, </w:t>
      </w:r>
      <w:r w:rsidRPr="00855D84">
        <w:rPr>
          <w:i/>
          <w:lang w:val="en-US"/>
        </w:rPr>
        <w:t>op. cit</w:t>
      </w:r>
      <w:r w:rsidRPr="00855D84">
        <w:rPr>
          <w:lang w:val="en-US"/>
        </w:rPr>
        <w:t>., vol. III, p. 2870.</w:t>
      </w:r>
    </w:p>
  </w:footnote>
  <w:footnote w:id="152">
    <w:p w:rsidR="003D54BB" w:rsidRPr="0010224A" w:rsidRDefault="003D54BB" w:rsidP="00CA5718">
      <w:pPr>
        <w:pStyle w:val="Testonotaapidipagina"/>
        <w:jc w:val="both"/>
      </w:pPr>
      <w:r>
        <w:rPr>
          <w:rStyle w:val="Rimandonotaapidipagina"/>
        </w:rPr>
        <w:footnoteRef/>
      </w:r>
      <w:r w:rsidRPr="00B44EF1">
        <w:rPr>
          <w:lang w:val="en-US"/>
        </w:rPr>
        <w:t xml:space="preserve"> </w:t>
      </w:r>
      <w:r w:rsidRPr="007D0B54">
        <w:rPr>
          <w:lang w:val="en-US"/>
        </w:rPr>
        <w:t xml:space="preserve">“The individual, and especially the alien, could not possibly ascertain and distinguish, and therefore was not bound to do so. </w:t>
      </w:r>
      <w:r w:rsidRPr="007D0B54">
        <w:t>Nemo ad impossibilia obligatur.”</w:t>
      </w:r>
      <w:r>
        <w:t xml:space="preserve"> </w:t>
      </w:r>
      <w:r w:rsidRPr="008736D7">
        <w:rPr>
          <w:i/>
        </w:rPr>
        <w:t>Loc. cit</w:t>
      </w:r>
      <w:r>
        <w:t xml:space="preserve">. </w:t>
      </w:r>
      <w:r w:rsidRPr="0010224A">
        <w:t xml:space="preserve">Si veda anche la sentenza resa nel caso </w:t>
      </w:r>
      <w:r w:rsidRPr="0010224A">
        <w:rPr>
          <w:i/>
        </w:rPr>
        <w:t>Parrott</w:t>
      </w:r>
      <w:r>
        <w:t xml:space="preserve">, in cui la Commissione arbitrale istituita tra Stati Uniti e Messico ha ritenuto il Messico responsabile per un sequestro illegittimo avvenuto nei confronti dei beni di un cittadini americano, </w:t>
      </w:r>
      <w:r w:rsidRPr="006F6068">
        <w:rPr>
          <w:i/>
        </w:rPr>
        <w:t>ibid</w:t>
      </w:r>
      <w:r>
        <w:t>., pp. 3009–3011.</w:t>
      </w:r>
    </w:p>
  </w:footnote>
  <w:footnote w:id="153">
    <w:p w:rsidR="003D54BB" w:rsidRPr="00B64677" w:rsidRDefault="003D54BB" w:rsidP="00CA5718">
      <w:pPr>
        <w:pStyle w:val="Testonotaapidipagina"/>
        <w:rPr>
          <w:lang w:val="en-US"/>
        </w:rPr>
      </w:pPr>
      <w:r>
        <w:rPr>
          <w:rStyle w:val="Rimandonotaapidipagina"/>
        </w:rPr>
        <w:footnoteRef/>
      </w:r>
      <w:r w:rsidRPr="00B64677">
        <w:rPr>
          <w:lang w:val="en-US"/>
        </w:rPr>
        <w:t xml:space="preserve"> </w:t>
      </w:r>
      <w:r w:rsidRPr="00B64677">
        <w:rPr>
          <w:i/>
          <w:lang w:val="en-US"/>
        </w:rPr>
        <w:t>Foreign Relations</w:t>
      </w:r>
      <w:r w:rsidRPr="00B64677">
        <w:rPr>
          <w:lang w:val="en-US"/>
        </w:rPr>
        <w:t>, 1899, p. 227.</w:t>
      </w:r>
    </w:p>
  </w:footnote>
  <w:footnote w:id="154">
    <w:p w:rsidR="003D54BB" w:rsidRPr="001841F4" w:rsidRDefault="003D54BB" w:rsidP="00CA5718">
      <w:pPr>
        <w:pStyle w:val="Testonotaapidipagina"/>
        <w:jc w:val="both"/>
      </w:pPr>
      <w:r>
        <w:rPr>
          <w:rStyle w:val="Rimandonotaapidipagina"/>
        </w:rPr>
        <w:footnoteRef/>
      </w:r>
      <w:r w:rsidRPr="00B64677">
        <w:rPr>
          <w:lang w:val="en-US"/>
        </w:rPr>
        <w:t xml:space="preserve"> MOORE, </w:t>
      </w:r>
      <w:r w:rsidRPr="00B64677">
        <w:rPr>
          <w:i/>
          <w:lang w:val="en-US"/>
        </w:rPr>
        <w:t>op. cit</w:t>
      </w:r>
      <w:r w:rsidRPr="00B64677">
        <w:rPr>
          <w:lang w:val="en-US"/>
        </w:rPr>
        <w:t xml:space="preserve">., vol. </w:t>
      </w:r>
      <w:r>
        <w:t>VI, pp. 758–</w:t>
      </w:r>
      <w:r w:rsidRPr="001841F4">
        <w:t xml:space="preserve">759. Si veda anche la sentenza resa nel caso </w:t>
      </w:r>
      <w:r w:rsidRPr="001841F4">
        <w:rPr>
          <w:i/>
        </w:rPr>
        <w:t>Pears</w:t>
      </w:r>
      <w:r>
        <w:t>, ibid., pp. 762–764.</w:t>
      </w:r>
    </w:p>
  </w:footnote>
  <w:footnote w:id="155">
    <w:p w:rsidR="003D54BB" w:rsidRPr="00194AA5" w:rsidRDefault="003D54BB" w:rsidP="00CA5718">
      <w:pPr>
        <w:pStyle w:val="Testonotaapidipagina"/>
        <w:rPr>
          <w:lang w:val="en-US"/>
        </w:rPr>
      </w:pPr>
      <w:r>
        <w:rPr>
          <w:rStyle w:val="Rimandonotaapidipagina"/>
        </w:rPr>
        <w:footnoteRef/>
      </w:r>
      <w:r w:rsidRPr="00194AA5">
        <w:rPr>
          <w:lang w:val="en-US"/>
        </w:rPr>
        <w:t xml:space="preserve"> Vedi </w:t>
      </w:r>
      <w:r w:rsidRPr="00AB4FB1">
        <w:rPr>
          <w:i/>
          <w:lang w:val="en-US"/>
        </w:rPr>
        <w:t>supra</w:t>
      </w:r>
      <w:r>
        <w:rPr>
          <w:lang w:val="en-US"/>
        </w:rPr>
        <w:t>, p. 47</w:t>
      </w:r>
      <w:r w:rsidRPr="00AB4FB1">
        <w:rPr>
          <w:lang w:val="en-US"/>
        </w:rPr>
        <w:t>.</w:t>
      </w:r>
    </w:p>
  </w:footnote>
  <w:footnote w:id="156">
    <w:p w:rsidR="003D54BB" w:rsidRPr="008B4C96" w:rsidRDefault="003D54BB" w:rsidP="00CA5718">
      <w:pPr>
        <w:pStyle w:val="Testonotaapidipagina"/>
        <w:jc w:val="both"/>
        <w:rPr>
          <w:lang w:val="en-US"/>
        </w:rPr>
      </w:pPr>
      <w:r>
        <w:rPr>
          <w:rStyle w:val="Rimandonotaapidipagina"/>
        </w:rPr>
        <w:footnoteRef/>
      </w:r>
      <w:r w:rsidRPr="00E111D5">
        <w:rPr>
          <w:lang w:val="en-US"/>
        </w:rPr>
        <w:t xml:space="preserve">Il Segretario di Stato cubano aveva cercato di giustificare  il suo rifiuto di risarcire l’illecito causato dal proprio organo sulla base del fatto che </w:t>
      </w:r>
      <w:r w:rsidRPr="00493204">
        <w:rPr>
          <w:lang w:val="en-US"/>
        </w:rPr>
        <w:t>“…there is no ground upon which this Government should accept Miller’s claim….because the State is not responsible for the acts of its agents except when deliberately executed by order of the Government – a circumstance which does not attend the case in point…”.</w:t>
      </w:r>
      <w:r>
        <w:rPr>
          <w:lang w:val="en-US"/>
        </w:rPr>
        <w:t xml:space="preserve"> </w:t>
      </w:r>
      <w:r w:rsidRPr="00E111D5">
        <w:rPr>
          <w:lang w:val="en-US"/>
        </w:rPr>
        <w:t xml:space="preserve">HACKWORTH, </w:t>
      </w:r>
      <w:r w:rsidRPr="00E111D5">
        <w:rPr>
          <w:i/>
          <w:lang w:val="en-US"/>
        </w:rPr>
        <w:t>Digest of International Law</w:t>
      </w:r>
      <w:r w:rsidRPr="00E111D5">
        <w:rPr>
          <w:lang w:val="en-US"/>
        </w:rPr>
        <w:t xml:space="preserve">, vol. </w:t>
      </w:r>
      <w:r>
        <w:rPr>
          <w:lang w:val="en-US"/>
        </w:rPr>
        <w:t>V, 1943, pp. 570-</w:t>
      </w:r>
      <w:r w:rsidRPr="008B4C96">
        <w:rPr>
          <w:lang w:val="en-US"/>
        </w:rPr>
        <w:t>571.</w:t>
      </w:r>
    </w:p>
  </w:footnote>
  <w:footnote w:id="157">
    <w:p w:rsidR="003D54BB" w:rsidRPr="003648B6" w:rsidRDefault="003D54BB" w:rsidP="00CA5718">
      <w:pPr>
        <w:pStyle w:val="Testonotaapidipagina"/>
        <w:jc w:val="both"/>
        <w:rPr>
          <w:lang w:val="en-US"/>
        </w:rPr>
      </w:pPr>
      <w:r>
        <w:rPr>
          <w:rStyle w:val="Rimandonotaapidipagina"/>
        </w:rPr>
        <w:footnoteRef/>
      </w:r>
      <w:r w:rsidRPr="003648B6">
        <w:rPr>
          <w:lang w:val="en-US"/>
        </w:rPr>
        <w:t xml:space="preserve"> </w:t>
      </w:r>
      <w:r w:rsidRPr="009E31F7">
        <w:rPr>
          <w:lang w:val="en-US"/>
        </w:rPr>
        <w:t>“The Government of the United States is not liable under its own laws for the alleged illegal and unauthorized acts of its officers, as it has never subjected itself to liability for the torts or wrongful acts of its officers”.</w:t>
      </w:r>
      <w:r>
        <w:rPr>
          <w:lang w:val="en-US"/>
        </w:rPr>
        <w:t xml:space="preserve"> Cfr. </w:t>
      </w:r>
      <w:r w:rsidRPr="000E3937">
        <w:rPr>
          <w:i/>
          <w:lang w:val="en-US"/>
        </w:rPr>
        <w:t>American Journal of International Law</w:t>
      </w:r>
      <w:r>
        <w:rPr>
          <w:lang w:val="en-US"/>
        </w:rPr>
        <w:t xml:space="preserve">, </w:t>
      </w:r>
      <w:r w:rsidRPr="00D16717">
        <w:rPr>
          <w:lang w:val="en-US"/>
        </w:rPr>
        <w:t>vol.26, p</w:t>
      </w:r>
      <w:r>
        <w:rPr>
          <w:lang w:val="en-US"/>
        </w:rPr>
        <w:t>. 399.</w:t>
      </w:r>
    </w:p>
  </w:footnote>
  <w:footnote w:id="158">
    <w:p w:rsidR="003D54BB" w:rsidRPr="00A547C8" w:rsidRDefault="003D54BB" w:rsidP="00CA5718">
      <w:pPr>
        <w:pStyle w:val="Testonotaapidipagina"/>
        <w:jc w:val="both"/>
        <w:rPr>
          <w:lang w:val="en-US"/>
        </w:rPr>
      </w:pPr>
      <w:r>
        <w:rPr>
          <w:rStyle w:val="Rimandonotaapidipagina"/>
        </w:rPr>
        <w:footnoteRef/>
      </w:r>
      <w:r w:rsidRPr="003648B6">
        <w:rPr>
          <w:lang w:val="en-US"/>
        </w:rPr>
        <w:t xml:space="preserve"> </w:t>
      </w:r>
      <w:r>
        <w:rPr>
          <w:lang w:val="en-US"/>
        </w:rPr>
        <w:t>Ibid., pp. 409 – 410.</w:t>
      </w:r>
    </w:p>
  </w:footnote>
  <w:footnote w:id="159">
    <w:p w:rsidR="003D54BB" w:rsidRPr="002B54F1" w:rsidRDefault="003D54BB" w:rsidP="00CA5718">
      <w:pPr>
        <w:pStyle w:val="Testonotaapidipagina"/>
        <w:jc w:val="both"/>
        <w:rPr>
          <w:lang w:val="en-US"/>
        </w:rPr>
      </w:pPr>
      <w:r>
        <w:rPr>
          <w:rStyle w:val="Rimandonotaapidipagina"/>
        </w:rPr>
        <w:footnoteRef/>
      </w:r>
      <w:r w:rsidRPr="002B54F1">
        <w:rPr>
          <w:lang w:val="en-US"/>
        </w:rPr>
        <w:t xml:space="preserve"> </w:t>
      </w:r>
      <w:r w:rsidRPr="00917ACA">
        <w:rPr>
          <w:lang w:val="en-US"/>
        </w:rPr>
        <w:t>“…this Government has no other alternative than to hold the Dominican Government responsible for the death of the American citizen in question….it seems to be clearly established in the present case….that the murder was the act of an official of the Government of the Dominican Republic who was charged by that Government with the duty of protecting the life which he destroyed”.</w:t>
      </w:r>
      <w:r>
        <w:rPr>
          <w:lang w:val="en-US"/>
        </w:rPr>
        <w:t xml:space="preserve"> HACKWORTH, </w:t>
      </w:r>
      <w:r w:rsidRPr="00D9435B">
        <w:rPr>
          <w:i/>
          <w:lang w:val="en-US"/>
        </w:rPr>
        <w:t>Digest</w:t>
      </w:r>
      <w:r>
        <w:rPr>
          <w:lang w:val="en-US"/>
        </w:rPr>
        <w:t>, cit., vol. V, p. 570.</w:t>
      </w:r>
    </w:p>
  </w:footnote>
  <w:footnote w:id="160">
    <w:p w:rsidR="003D54BB" w:rsidRPr="004B3C0D" w:rsidRDefault="003D54BB" w:rsidP="00CA5718">
      <w:pPr>
        <w:pStyle w:val="Testonotaapidipagina"/>
        <w:rPr>
          <w:lang w:val="en-US"/>
        </w:rPr>
      </w:pPr>
      <w:r>
        <w:rPr>
          <w:rStyle w:val="Rimandonotaapidipagina"/>
        </w:rPr>
        <w:footnoteRef/>
      </w:r>
      <w:r w:rsidRPr="004B3C0D">
        <w:rPr>
          <w:lang w:val="en-US"/>
        </w:rPr>
        <w:t xml:space="preserve"> WHITEMAN, </w:t>
      </w:r>
      <w:r w:rsidRPr="004B3C0D">
        <w:rPr>
          <w:i/>
          <w:lang w:val="en-US"/>
        </w:rPr>
        <w:t>Digest of International Law</w:t>
      </w:r>
      <w:r w:rsidRPr="004B3C0D">
        <w:rPr>
          <w:lang w:val="en-US"/>
        </w:rPr>
        <w:t xml:space="preserve">, </w:t>
      </w:r>
      <w:r>
        <w:rPr>
          <w:lang w:val="en-US"/>
        </w:rPr>
        <w:t>cit., vol. 8, pp. 898–899.</w:t>
      </w:r>
    </w:p>
  </w:footnote>
  <w:footnote w:id="161">
    <w:p w:rsidR="003D54BB" w:rsidRPr="00605693" w:rsidRDefault="003D54BB" w:rsidP="00CA5718">
      <w:pPr>
        <w:pStyle w:val="Testonotaapidipagina"/>
        <w:jc w:val="both"/>
        <w:rPr>
          <w:lang w:val="nl-NL"/>
        </w:rPr>
      </w:pPr>
      <w:r>
        <w:rPr>
          <w:rStyle w:val="Rimandonotaapidipagina"/>
        </w:rPr>
        <w:footnoteRef/>
      </w:r>
      <w:r>
        <w:t xml:space="preserve"> Il Dipartimento di Stato americano ha inoltre precisato che l’ipotesi che un organo compie un fatto illecito </w:t>
      </w:r>
      <w:r w:rsidRPr="00D25BFB">
        <w:rPr>
          <w:i/>
        </w:rPr>
        <w:t>ultra vires</w:t>
      </w:r>
      <w:r>
        <w:t xml:space="preserve"> deve essere tenuta distinta dal caso in cui un tale comportamento viene adottato da un privato: </w:t>
      </w:r>
      <w:r w:rsidRPr="00010D15">
        <w:t>“…Talamas met death while in custody of local officials, thus differentiating the case from that where an alien meets death at the hands of a private individual”.</w:t>
      </w:r>
      <w:r>
        <w:t xml:space="preserve"> </w:t>
      </w:r>
      <w:r w:rsidRPr="00605693">
        <w:rPr>
          <w:i/>
          <w:lang w:val="nl-NL"/>
        </w:rPr>
        <w:t>Ibid</w:t>
      </w:r>
      <w:r w:rsidRPr="00605693">
        <w:rPr>
          <w:lang w:val="nl-NL"/>
        </w:rPr>
        <w:t>., p. 898.</w:t>
      </w:r>
    </w:p>
  </w:footnote>
  <w:footnote w:id="162">
    <w:p w:rsidR="003D54BB" w:rsidRPr="00605693" w:rsidRDefault="003D54BB" w:rsidP="00CA5718">
      <w:pPr>
        <w:pStyle w:val="Testonotaapidipagina"/>
        <w:jc w:val="both"/>
        <w:rPr>
          <w:lang w:val="nl-NL"/>
        </w:rPr>
      </w:pPr>
      <w:r>
        <w:rPr>
          <w:rStyle w:val="Rimandonotaapidipagina"/>
        </w:rPr>
        <w:footnoteRef/>
      </w:r>
      <w:r w:rsidRPr="00605693">
        <w:rPr>
          <w:lang w:val="nl-NL"/>
        </w:rPr>
        <w:t xml:space="preserve"> MOORE, </w:t>
      </w:r>
      <w:r w:rsidRPr="00605693">
        <w:rPr>
          <w:i/>
          <w:lang w:val="nl-NL"/>
        </w:rPr>
        <w:t>op. cit</w:t>
      </w:r>
      <w:r w:rsidRPr="00605693">
        <w:rPr>
          <w:lang w:val="nl-NL"/>
        </w:rPr>
        <w:t>., vol. VI, pp. 764–765.</w:t>
      </w:r>
    </w:p>
  </w:footnote>
  <w:footnote w:id="163">
    <w:p w:rsidR="003D54BB" w:rsidRPr="0033039A" w:rsidRDefault="003D54BB" w:rsidP="00CA5718">
      <w:pPr>
        <w:pStyle w:val="Testonotaapidipagina"/>
        <w:jc w:val="both"/>
      </w:pPr>
      <w:r>
        <w:rPr>
          <w:rStyle w:val="Rimandonotaapidipagina"/>
        </w:rPr>
        <w:footnoteRef/>
      </w:r>
      <w:r w:rsidRPr="00605693">
        <w:rPr>
          <w:lang w:val="nl-NL"/>
        </w:rPr>
        <w:t xml:space="preserve"> HACKWORTH, </w:t>
      </w:r>
      <w:r w:rsidRPr="00605693">
        <w:rPr>
          <w:i/>
          <w:lang w:val="nl-NL"/>
        </w:rPr>
        <w:t>op. cit.</w:t>
      </w:r>
      <w:r w:rsidRPr="00605693">
        <w:rPr>
          <w:lang w:val="nl-NL"/>
        </w:rPr>
        <w:t xml:space="preserve">, vol. </w:t>
      </w:r>
      <w:r w:rsidRPr="008B4C96">
        <w:t xml:space="preserve">V, p. 575. </w:t>
      </w:r>
      <w:r w:rsidRPr="0033039A">
        <w:t>Sempre il Governo del Guatemala ha riconosciuto la sua responsabilità inte</w:t>
      </w:r>
      <w:r>
        <w:t xml:space="preserve">rnazionale con riferimento ad un’aggressione subita da alcuni stranieri residenti sul proprio territorio ad opera di propri organi nel 1906. Si tratta di un caso senza titolo, rinvenibile </w:t>
      </w:r>
      <w:r w:rsidRPr="0033039A">
        <w:rPr>
          <w:i/>
        </w:rPr>
        <w:t>Ibid</w:t>
      </w:r>
      <w:r>
        <w:t>., p. 571.</w:t>
      </w:r>
    </w:p>
  </w:footnote>
  <w:footnote w:id="164">
    <w:p w:rsidR="003D54BB" w:rsidRPr="00352FC5" w:rsidRDefault="003D54BB" w:rsidP="00CA5718">
      <w:pPr>
        <w:pStyle w:val="Testonotaapidipagina"/>
        <w:jc w:val="both"/>
        <w:rPr>
          <w:lang w:val="en-US"/>
        </w:rPr>
      </w:pPr>
      <w:r>
        <w:rPr>
          <w:rStyle w:val="Rimandonotaapidipagina"/>
        </w:rPr>
        <w:footnoteRef/>
      </w:r>
      <w:r w:rsidRPr="00352FC5">
        <w:rPr>
          <w:lang w:val="en-US"/>
        </w:rPr>
        <w:t xml:space="preserve"> HACKWORTH, </w:t>
      </w:r>
      <w:r w:rsidRPr="00352FC5">
        <w:rPr>
          <w:i/>
          <w:lang w:val="en-US"/>
        </w:rPr>
        <w:t>op. cit</w:t>
      </w:r>
      <w:r w:rsidRPr="00352FC5">
        <w:rPr>
          <w:lang w:val="en-US"/>
        </w:rPr>
        <w:t>.,</w:t>
      </w:r>
      <w:r>
        <w:rPr>
          <w:lang w:val="en-US"/>
        </w:rPr>
        <w:t xml:space="preserve"> pp. 567-568.</w:t>
      </w:r>
    </w:p>
  </w:footnote>
  <w:footnote w:id="165">
    <w:p w:rsidR="003D54BB" w:rsidRPr="00194AA5" w:rsidRDefault="003D54BB" w:rsidP="00CA5718">
      <w:pPr>
        <w:pStyle w:val="Testonotaapidipagina"/>
        <w:jc w:val="both"/>
        <w:rPr>
          <w:lang w:val="fr-FR"/>
        </w:rPr>
      </w:pPr>
      <w:r>
        <w:rPr>
          <w:rStyle w:val="Rimandonotaapidipagina"/>
        </w:rPr>
        <w:footnoteRef/>
      </w:r>
      <w:r w:rsidRPr="00352FC5">
        <w:rPr>
          <w:lang w:val="en-US"/>
        </w:rPr>
        <w:t xml:space="preserve"> HACKWORTH, </w:t>
      </w:r>
      <w:r w:rsidRPr="00352FC5">
        <w:rPr>
          <w:i/>
          <w:lang w:val="en-US"/>
        </w:rPr>
        <w:t>op. cit</w:t>
      </w:r>
      <w:r w:rsidRPr="00352FC5">
        <w:rPr>
          <w:lang w:val="en-US"/>
        </w:rPr>
        <w:t xml:space="preserve">., pp. 609–610. </w:t>
      </w:r>
      <w:r>
        <w:t xml:space="preserve">Si vedano anche il </w:t>
      </w:r>
      <w:r w:rsidRPr="002E5D0F">
        <w:rPr>
          <w:i/>
        </w:rPr>
        <w:t>caso Columbia</w:t>
      </w:r>
      <w:r>
        <w:t xml:space="preserve"> e il </w:t>
      </w:r>
      <w:r w:rsidRPr="002E5D0F">
        <w:rPr>
          <w:i/>
        </w:rPr>
        <w:t>caso Buffalo</w:t>
      </w:r>
      <w:r>
        <w:t xml:space="preserve">. </w:t>
      </w:r>
      <w:r w:rsidRPr="00194AA5">
        <w:rPr>
          <w:i/>
          <w:lang w:val="fr-FR"/>
        </w:rPr>
        <w:t>Ibid</w:t>
      </w:r>
      <w:r>
        <w:rPr>
          <w:lang w:val="fr-FR"/>
        </w:rPr>
        <w:t>., pp. 567-</w:t>
      </w:r>
      <w:r w:rsidRPr="00194AA5">
        <w:rPr>
          <w:lang w:val="fr-FR"/>
        </w:rPr>
        <w:t>568.</w:t>
      </w:r>
    </w:p>
  </w:footnote>
  <w:footnote w:id="166">
    <w:p w:rsidR="003D54BB" w:rsidRPr="00C029A1" w:rsidRDefault="003D54BB" w:rsidP="00CA5718">
      <w:pPr>
        <w:pStyle w:val="Testonotaapidipagina"/>
        <w:jc w:val="both"/>
        <w:rPr>
          <w:lang w:val="fr-FR"/>
        </w:rPr>
      </w:pPr>
      <w:r>
        <w:rPr>
          <w:rStyle w:val="Rimandonotaapidipagina"/>
        </w:rPr>
        <w:footnoteRef/>
      </w:r>
      <w:r w:rsidRPr="00C029A1">
        <w:rPr>
          <w:lang w:val="fr-FR"/>
        </w:rPr>
        <w:t xml:space="preserve"> Il caso </w:t>
      </w:r>
      <w:r w:rsidRPr="00C029A1">
        <w:rPr>
          <w:i/>
          <w:lang w:val="fr-FR"/>
        </w:rPr>
        <w:t>Vexaincourt</w:t>
      </w:r>
      <w:r w:rsidRPr="00C029A1">
        <w:rPr>
          <w:lang w:val="fr-FR"/>
        </w:rPr>
        <w:t xml:space="preserve"> è stato citato da KISS, </w:t>
      </w:r>
      <w:r w:rsidRPr="00C029A1">
        <w:rPr>
          <w:i/>
          <w:lang w:val="fr-FR"/>
        </w:rPr>
        <w:t>Répertoire de la pratique française en matière de droit international public</w:t>
      </w:r>
      <w:r w:rsidRPr="00C029A1">
        <w:rPr>
          <w:lang w:val="fr-FR"/>
        </w:rPr>
        <w:t xml:space="preserve">, tomo III, Paris, 1965, pp. </w:t>
      </w:r>
      <w:r>
        <w:rPr>
          <w:lang w:val="fr-FR"/>
        </w:rPr>
        <w:t>533–538.</w:t>
      </w:r>
    </w:p>
  </w:footnote>
  <w:footnote w:id="167">
    <w:p w:rsidR="003D54BB" w:rsidRPr="005D673A" w:rsidRDefault="003D54BB" w:rsidP="00CA5718">
      <w:pPr>
        <w:pStyle w:val="Testonotaapidipagina"/>
        <w:jc w:val="both"/>
        <w:rPr>
          <w:i/>
          <w:lang w:val="fr-FR"/>
        </w:rPr>
      </w:pPr>
      <w:r>
        <w:rPr>
          <w:rStyle w:val="Rimandonotaapidipagina"/>
        </w:rPr>
        <w:footnoteRef/>
      </w:r>
      <w:r w:rsidRPr="005D673A">
        <w:rPr>
          <w:lang w:val="fr-FR"/>
        </w:rPr>
        <w:t xml:space="preserve"> AGO, </w:t>
      </w:r>
      <w:r w:rsidRPr="005D673A">
        <w:rPr>
          <w:i/>
          <w:lang w:val="fr-FR"/>
        </w:rPr>
        <w:t>Quatrième rapport</w:t>
      </w:r>
      <w:r w:rsidRPr="005D673A">
        <w:rPr>
          <w:lang w:val="fr-FR"/>
        </w:rPr>
        <w:t>, cit., p. 77, par. 17.</w:t>
      </w:r>
    </w:p>
  </w:footnote>
  <w:footnote w:id="168">
    <w:p w:rsidR="003D54BB" w:rsidRDefault="003D54BB" w:rsidP="004F2988">
      <w:pPr>
        <w:pStyle w:val="Testonotaapidipagina"/>
      </w:pPr>
      <w:r>
        <w:rPr>
          <w:rStyle w:val="Rimandonotaapidipagina"/>
        </w:rPr>
        <w:footnoteRef/>
      </w:r>
      <w:r>
        <w:t xml:space="preserve"> </w:t>
      </w:r>
      <w:r w:rsidRPr="004F2988">
        <w:rPr>
          <w:i/>
        </w:rPr>
        <w:t>Archivio del Ministero degli Affari esteri italiano</w:t>
      </w:r>
      <w:r>
        <w:t xml:space="preserve">, serie politica P., No. 43. La traduzione in lingua inglese è rinvenibile in AGO, </w:t>
      </w:r>
      <w:r w:rsidRPr="009A2394">
        <w:rPr>
          <w:i/>
        </w:rPr>
        <w:t>Quatrième rapport</w:t>
      </w:r>
      <w:r>
        <w:t>, cit., p. 77, par. 17.</w:t>
      </w:r>
    </w:p>
  </w:footnote>
  <w:footnote w:id="169">
    <w:p w:rsidR="003D54BB" w:rsidRPr="00C32560" w:rsidRDefault="003D54BB" w:rsidP="00CA5718">
      <w:pPr>
        <w:pStyle w:val="Testonotaapidipagina"/>
        <w:jc w:val="both"/>
      </w:pPr>
      <w:r>
        <w:rPr>
          <w:rStyle w:val="Rimandonotaapidipagina"/>
        </w:rPr>
        <w:footnoteRef/>
      </w:r>
      <w:r w:rsidRPr="00C32560">
        <w:t xml:space="preserve"> AGO, </w:t>
      </w:r>
      <w:r w:rsidRPr="00C32560">
        <w:rPr>
          <w:i/>
        </w:rPr>
        <w:t>ibid.</w:t>
      </w:r>
      <w:r w:rsidRPr="00C32560">
        <w:t xml:space="preserve">, p. 78, par. 17. </w:t>
      </w:r>
    </w:p>
  </w:footnote>
  <w:footnote w:id="170">
    <w:p w:rsidR="003D54BB" w:rsidRPr="00556061" w:rsidRDefault="003D54BB" w:rsidP="00CA5718">
      <w:pPr>
        <w:pStyle w:val="Testonotaapidipagina"/>
        <w:jc w:val="both"/>
        <w:rPr>
          <w:i/>
        </w:rPr>
      </w:pPr>
      <w:r>
        <w:rPr>
          <w:rStyle w:val="Rimandonotaapidipagina"/>
        </w:rPr>
        <w:footnoteRef/>
      </w:r>
      <w:r w:rsidRPr="00556061">
        <w:t xml:space="preserve"> Il tes</w:t>
      </w:r>
      <w:r>
        <w:t xml:space="preserve">to del parere è rinvenibile in lingua inglese in </w:t>
      </w:r>
      <w:r w:rsidRPr="00556061">
        <w:t xml:space="preserve">AGO, </w:t>
      </w:r>
      <w:r w:rsidRPr="00556061">
        <w:rPr>
          <w:i/>
        </w:rPr>
        <w:t>ibid.</w:t>
      </w:r>
      <w:r w:rsidRPr="00556061">
        <w:t>, p. 78, par. 17.</w:t>
      </w:r>
    </w:p>
  </w:footnote>
  <w:footnote w:id="171">
    <w:p w:rsidR="003D54BB" w:rsidRPr="001B49AC" w:rsidRDefault="003D54BB" w:rsidP="00CA5718">
      <w:pPr>
        <w:pStyle w:val="Testonotaapidipagina"/>
        <w:rPr>
          <w:lang w:val="fr-FR"/>
        </w:rPr>
      </w:pPr>
      <w:r>
        <w:rPr>
          <w:rStyle w:val="Rimandonotaapidipagina"/>
        </w:rPr>
        <w:footnoteRef/>
      </w:r>
      <w:r w:rsidRPr="001B49AC">
        <w:rPr>
          <w:lang w:val="fr-FR"/>
        </w:rPr>
        <w:t xml:space="preserve"> </w:t>
      </w:r>
      <w:r w:rsidRPr="001B49AC">
        <w:rPr>
          <w:i/>
          <w:lang w:val="fr-FR"/>
        </w:rPr>
        <w:t>Revue générale de droit international public</w:t>
      </w:r>
      <w:r w:rsidRPr="001B49AC">
        <w:rPr>
          <w:lang w:val="fr-FR"/>
        </w:rPr>
        <w:t>, 1906, pp. 201–202.</w:t>
      </w:r>
    </w:p>
  </w:footnote>
  <w:footnote w:id="172">
    <w:p w:rsidR="003D54BB" w:rsidRPr="00F13748" w:rsidRDefault="003D54BB" w:rsidP="00CA5718">
      <w:pPr>
        <w:pStyle w:val="Testonotaapidipagina"/>
        <w:rPr>
          <w:lang w:val="fr-FR"/>
        </w:rPr>
      </w:pPr>
      <w:r>
        <w:rPr>
          <w:rStyle w:val="Rimandonotaapidipagina"/>
        </w:rPr>
        <w:footnoteRef/>
      </w:r>
      <w:r w:rsidRPr="00F13748">
        <w:rPr>
          <w:lang w:val="fr-FR"/>
        </w:rPr>
        <w:t xml:space="preserve"> Caso </w:t>
      </w:r>
      <w:r w:rsidRPr="00CD0390">
        <w:rPr>
          <w:i/>
          <w:lang w:val="fr-FR"/>
        </w:rPr>
        <w:t>Borchgrave</w:t>
      </w:r>
      <w:r w:rsidRPr="00F13748">
        <w:rPr>
          <w:lang w:val="fr-FR"/>
        </w:rPr>
        <w:t xml:space="preserve">, </w:t>
      </w:r>
      <w:r w:rsidRPr="00F13748">
        <w:rPr>
          <w:i/>
          <w:lang w:val="fr-FR"/>
        </w:rPr>
        <w:t>CPJI plaidoiries</w:t>
      </w:r>
      <w:r w:rsidRPr="00F13748">
        <w:rPr>
          <w:lang w:val="fr-FR"/>
        </w:rPr>
        <w:t xml:space="preserve"> 1937, </w:t>
      </w:r>
      <w:r>
        <w:rPr>
          <w:lang w:val="fr-FR"/>
        </w:rPr>
        <w:t>Serie C, N° 83, pp. 26–</w:t>
      </w:r>
      <w:r w:rsidRPr="00F13748">
        <w:rPr>
          <w:lang w:val="fr-FR"/>
        </w:rPr>
        <w:t>27,</w:t>
      </w:r>
      <w:r>
        <w:rPr>
          <w:lang w:val="fr-FR"/>
        </w:rPr>
        <w:t xml:space="preserve"> par. 38.</w:t>
      </w:r>
    </w:p>
  </w:footnote>
  <w:footnote w:id="173">
    <w:p w:rsidR="003D54BB" w:rsidRPr="0034279F" w:rsidRDefault="003D54BB" w:rsidP="00CA5718">
      <w:pPr>
        <w:pStyle w:val="Testonotaapidipagina"/>
        <w:rPr>
          <w:lang w:val="fr-FR"/>
        </w:rPr>
      </w:pPr>
      <w:r>
        <w:rPr>
          <w:rStyle w:val="Rimandonotaapidipagina"/>
        </w:rPr>
        <w:footnoteRef/>
      </w:r>
      <w:r w:rsidRPr="0034279F">
        <w:rPr>
          <w:lang w:val="fr-FR"/>
        </w:rPr>
        <w:t xml:space="preserve"> </w:t>
      </w:r>
      <w:r w:rsidRPr="0034279F">
        <w:rPr>
          <w:i/>
          <w:lang w:val="fr-FR"/>
        </w:rPr>
        <w:t xml:space="preserve">Ibid., </w:t>
      </w:r>
      <w:r w:rsidRPr="0034279F">
        <w:rPr>
          <w:lang w:val="fr-FR"/>
        </w:rPr>
        <w:t>p. 26, par. 36.</w:t>
      </w:r>
    </w:p>
  </w:footnote>
  <w:footnote w:id="174">
    <w:p w:rsidR="003D54BB" w:rsidRPr="00153409" w:rsidRDefault="003D54BB" w:rsidP="00CA5718">
      <w:pPr>
        <w:pStyle w:val="Testonotaapidipagina"/>
        <w:rPr>
          <w:lang w:val="en-US"/>
        </w:rPr>
      </w:pPr>
      <w:r>
        <w:rPr>
          <w:rStyle w:val="Rimandonotaapidipagina"/>
        </w:rPr>
        <w:footnoteRef/>
      </w:r>
      <w:r w:rsidRPr="00153409">
        <w:rPr>
          <w:lang w:val="en-US"/>
        </w:rPr>
        <w:t xml:space="preserve"> </w:t>
      </w:r>
      <w:r w:rsidRPr="00153409">
        <w:rPr>
          <w:i/>
          <w:lang w:val="en-US"/>
        </w:rPr>
        <w:t>I.C.J. Reports</w:t>
      </w:r>
      <w:r w:rsidRPr="00153409">
        <w:rPr>
          <w:lang w:val="en-US"/>
        </w:rPr>
        <w:t>, 1959, pp. 127-146.</w:t>
      </w:r>
    </w:p>
  </w:footnote>
  <w:footnote w:id="175">
    <w:p w:rsidR="003D54BB" w:rsidRPr="007C2BCD" w:rsidRDefault="003D54BB" w:rsidP="00CA5718">
      <w:pPr>
        <w:pStyle w:val="Testonotaapidipagina"/>
      </w:pPr>
      <w:r>
        <w:rPr>
          <w:rStyle w:val="Rimandonotaapidipagina"/>
        </w:rPr>
        <w:footnoteRef/>
      </w:r>
      <w:r w:rsidRPr="007C2BCD">
        <w:t xml:space="preserve"> Le note di protesta sono riprodotte in WHITEMAN, </w:t>
      </w:r>
      <w:r w:rsidRPr="007C2BCD">
        <w:rPr>
          <w:i/>
        </w:rPr>
        <w:t>Digest of International Law</w:t>
      </w:r>
      <w:r>
        <w:t>, cit., pp. 891</w:t>
      </w:r>
      <w:r w:rsidRPr="007C2BCD">
        <w:t>– 892.</w:t>
      </w:r>
    </w:p>
  </w:footnote>
  <w:footnote w:id="176">
    <w:p w:rsidR="003D54BB" w:rsidRPr="004550D1" w:rsidRDefault="003D54BB" w:rsidP="00CA5718">
      <w:pPr>
        <w:pStyle w:val="Testonotaapidipagina"/>
        <w:rPr>
          <w:lang w:val="en-US"/>
        </w:rPr>
      </w:pPr>
      <w:r>
        <w:rPr>
          <w:rStyle w:val="Rimandonotaapidipagina"/>
        </w:rPr>
        <w:footnoteRef/>
      </w:r>
      <w:r w:rsidRPr="004550D1">
        <w:rPr>
          <w:lang w:val="en-US"/>
        </w:rPr>
        <w:t xml:space="preserve"> AGO, </w:t>
      </w:r>
      <w:r w:rsidRPr="00FC76BE">
        <w:rPr>
          <w:i/>
          <w:lang w:val="en-US"/>
        </w:rPr>
        <w:t>Fourth report on State responsibility</w:t>
      </w:r>
      <w:r>
        <w:rPr>
          <w:lang w:val="en-US"/>
        </w:rPr>
        <w:t>, cit., p. 81, par. 26.</w:t>
      </w:r>
    </w:p>
  </w:footnote>
  <w:footnote w:id="177">
    <w:p w:rsidR="003D54BB" w:rsidRPr="00655040" w:rsidRDefault="003D54BB" w:rsidP="00CA5718">
      <w:pPr>
        <w:pStyle w:val="Testonotaapidipagina"/>
        <w:jc w:val="both"/>
        <w:rPr>
          <w:lang w:val="en-US"/>
        </w:rPr>
      </w:pPr>
      <w:r>
        <w:rPr>
          <w:rStyle w:val="Rimandonotaapidipagina"/>
        </w:rPr>
        <w:footnoteRef/>
      </w:r>
      <w:r>
        <w:t xml:space="preserve"> </w:t>
      </w:r>
      <w:r w:rsidRPr="00CC2635">
        <w:rPr>
          <w:i/>
        </w:rPr>
        <w:t>Ibid</w:t>
      </w:r>
      <w:r>
        <w:t xml:space="preserve">., p. 81, par. 26. </w:t>
      </w:r>
      <w:r w:rsidRPr="007B23D3">
        <w:t>Al fine di stabilire la responsabilità internazionale del Governo bulgaro per l’accaduto, anche lo Stato israeliano ha fatto riferimento alle conclusioni espresse nella suddetta nota diplomatica</w:t>
      </w:r>
      <w:r>
        <w:t xml:space="preserve">. </w:t>
      </w:r>
      <w:r w:rsidRPr="00655040">
        <w:rPr>
          <w:lang w:val="en-US"/>
        </w:rPr>
        <w:t xml:space="preserve">Del medesimo avviso sono AGO, </w:t>
      </w:r>
      <w:r w:rsidRPr="00655040">
        <w:rPr>
          <w:i/>
          <w:lang w:val="en-US"/>
        </w:rPr>
        <w:t>Fourth Report</w:t>
      </w:r>
      <w:r w:rsidRPr="00655040">
        <w:rPr>
          <w:lang w:val="en-US"/>
        </w:rPr>
        <w:t xml:space="preserve">, cit., p. 88, par. 27 e PRZETACZNIK, </w:t>
      </w:r>
      <w:r w:rsidRPr="00655040">
        <w:rPr>
          <w:i/>
          <w:lang w:val="en-US"/>
        </w:rPr>
        <w:t>The International Responsibility of States</w:t>
      </w:r>
      <w:r w:rsidRPr="00655040">
        <w:rPr>
          <w:lang w:val="en-US"/>
        </w:rPr>
        <w:t>, cit., p. 172.</w:t>
      </w:r>
    </w:p>
  </w:footnote>
  <w:footnote w:id="178">
    <w:p w:rsidR="003D54BB" w:rsidRPr="008B4C96" w:rsidRDefault="003D54BB" w:rsidP="00136893">
      <w:pPr>
        <w:pStyle w:val="Testonotaapidipagina"/>
        <w:jc w:val="both"/>
      </w:pPr>
      <w:r>
        <w:rPr>
          <w:rStyle w:val="Rimandonotaapidipagina"/>
        </w:rPr>
        <w:footnoteRef/>
      </w:r>
      <w:r w:rsidRPr="007A3F83">
        <w:rPr>
          <w:lang w:val="en-US"/>
        </w:rPr>
        <w:t xml:space="preserve"> </w:t>
      </w:r>
      <w:r w:rsidRPr="007D0E7E">
        <w:rPr>
          <w:i/>
          <w:lang w:val="en-US"/>
        </w:rPr>
        <w:t>International Court of Justice Memories</w:t>
      </w:r>
      <w:r w:rsidRPr="007A3F83">
        <w:rPr>
          <w:lang w:val="en-US"/>
        </w:rPr>
        <w:t xml:space="preserve"> 1959, p. 30. </w:t>
      </w:r>
      <w:r>
        <w:t xml:space="preserve">I Governi israeliano, britannico e statunitense si sono opposti ad un tale regolamento delle controversie, reputando il Governo bulgaro l’unico responsabile della catastrofe. La questione della responsabilità internazionale della Bulgaria è stata sottomessa alla Corte Internazionale di Giustizia, la quale nella pronuncia del 26 maggio 1959 si è però dichiarata incompetente a pronunciarsi sulla questione. </w:t>
      </w:r>
      <w:r w:rsidRPr="008B4C96">
        <w:rPr>
          <w:i/>
        </w:rPr>
        <w:t>I.C.J. Reports</w:t>
      </w:r>
      <w:r>
        <w:t xml:space="preserve"> 1959, pp. 127–</w:t>
      </w:r>
      <w:r w:rsidRPr="008B4C96">
        <w:t>147.</w:t>
      </w:r>
    </w:p>
  </w:footnote>
  <w:footnote w:id="179">
    <w:p w:rsidR="003D54BB" w:rsidRDefault="003D54BB" w:rsidP="00136893">
      <w:pPr>
        <w:pStyle w:val="Testonotaapidipagina"/>
        <w:jc w:val="both"/>
      </w:pPr>
      <w:r>
        <w:rPr>
          <w:rStyle w:val="Rimandonotaapidipagina"/>
        </w:rPr>
        <w:footnoteRef/>
      </w:r>
      <w:r>
        <w:t xml:space="preserve"> Gli “arbitrati venezuelani” traggono origine da una controversia sorta tra la Repubblica del Venezuela e numerosi cittadini stranieri ivi residenti che reclamavano il pagamento di una somma di denaro a titolo di risarcimento per danni subiti sul suo territorio. Al fine di dirimere la controversia furono create dieci Commissioni miste in virtù della firma di altrettanti protocolli tra il Venezuela e gli Stati Uniti (protocollo del 17 febbraio 1903), il Belgio (7 marzo 1903), il Regno Unito (13 febbraio e 7 maggio 1903), la Francia (19 febbraio 1902 e 27 febbraio 1903), la Germania (13 febbraio e 7 maggio 1903), l’Italia (13 febbraio e 7 maggio 1903), il Messico (26 febbraio 1903), i Paesi Bassi (28 febbraio 1903), la Spagna (2 aprile 1903) e i paesi del Nord Europa (10 marzo 1903).</w:t>
      </w:r>
    </w:p>
  </w:footnote>
  <w:footnote w:id="180">
    <w:p w:rsidR="003D54BB" w:rsidRPr="00CE6422" w:rsidRDefault="003D54BB" w:rsidP="00136893">
      <w:pPr>
        <w:pStyle w:val="Testonotaapidipagina"/>
        <w:jc w:val="both"/>
      </w:pPr>
      <w:r>
        <w:rPr>
          <w:rStyle w:val="Rimandonotaapidipagina"/>
        </w:rPr>
        <w:footnoteRef/>
      </w:r>
      <w:r w:rsidRPr="00CE6422">
        <w:t xml:space="preserve"> </w:t>
      </w:r>
      <w:r w:rsidRPr="00CE6422">
        <w:rPr>
          <w:i/>
        </w:rPr>
        <w:t>RSA</w:t>
      </w:r>
      <w:r w:rsidRPr="00CE6422">
        <w:t xml:space="preserve"> vol. ix, pp. 389 – 398.</w:t>
      </w:r>
    </w:p>
  </w:footnote>
  <w:footnote w:id="181">
    <w:p w:rsidR="003D54BB" w:rsidRPr="005834DE" w:rsidRDefault="003D54BB" w:rsidP="00136893">
      <w:pPr>
        <w:pStyle w:val="Testonotaapidipagina"/>
        <w:jc w:val="both"/>
        <w:rPr>
          <w:lang w:val="en-US"/>
        </w:rPr>
      </w:pPr>
      <w:r>
        <w:rPr>
          <w:rStyle w:val="Rimandonotaapidipagina"/>
        </w:rPr>
        <w:footnoteRef/>
      </w:r>
      <w:r w:rsidRPr="00CE6422">
        <w:t xml:space="preserve"> </w:t>
      </w:r>
      <w:r w:rsidRPr="00AF12D3">
        <w:rPr>
          <w:i/>
        </w:rPr>
        <w:t>Ibid</w:t>
      </w:r>
      <w:r w:rsidRPr="00AF12D3">
        <w:t>., p. 396. Si veda</w:t>
      </w:r>
      <w:r>
        <w:t>no</w:t>
      </w:r>
      <w:r w:rsidRPr="00AF12D3">
        <w:t xml:space="preserve"> anche</w:t>
      </w:r>
      <w:r>
        <w:t xml:space="preserve"> il </w:t>
      </w:r>
      <w:r w:rsidRPr="00AF12D3">
        <w:t xml:space="preserve">caso </w:t>
      </w:r>
      <w:r w:rsidRPr="00AF12D3">
        <w:rPr>
          <w:i/>
        </w:rPr>
        <w:t>Davy</w:t>
      </w:r>
      <w:r>
        <w:t xml:space="preserve">, </w:t>
      </w:r>
      <w:r w:rsidRPr="00ED5FE4">
        <w:rPr>
          <w:i/>
        </w:rPr>
        <w:t>ibid</w:t>
      </w:r>
      <w:r>
        <w:t xml:space="preserve">., pp. 467 – 469, e il caso </w:t>
      </w:r>
      <w:r w:rsidRPr="00E27174">
        <w:rPr>
          <w:i/>
        </w:rPr>
        <w:t>Poggioli</w:t>
      </w:r>
      <w:r>
        <w:t xml:space="preserve">, </w:t>
      </w:r>
      <w:r w:rsidRPr="002C2002">
        <w:rPr>
          <w:i/>
        </w:rPr>
        <w:t>ibid</w:t>
      </w:r>
      <w:r>
        <w:t xml:space="preserve">., vol. </w:t>
      </w:r>
      <w:r>
        <w:rPr>
          <w:lang w:val="en-US"/>
        </w:rPr>
        <w:t>X, pp. 669–</w:t>
      </w:r>
      <w:r w:rsidRPr="005834DE">
        <w:rPr>
          <w:lang w:val="en-US"/>
        </w:rPr>
        <w:t xml:space="preserve">692. </w:t>
      </w:r>
    </w:p>
  </w:footnote>
  <w:footnote w:id="182">
    <w:p w:rsidR="003D54BB" w:rsidRPr="00305F58" w:rsidRDefault="003D54BB" w:rsidP="00136893">
      <w:pPr>
        <w:pStyle w:val="Testonotaapidipagina"/>
        <w:jc w:val="both"/>
        <w:rPr>
          <w:lang w:val="en-US"/>
        </w:rPr>
      </w:pPr>
      <w:r>
        <w:rPr>
          <w:rStyle w:val="Rimandonotaapidipagina"/>
        </w:rPr>
        <w:footnoteRef/>
      </w:r>
      <w:r w:rsidRPr="00305F58">
        <w:rPr>
          <w:lang w:val="en-US"/>
        </w:rPr>
        <w:t xml:space="preserve"> </w:t>
      </w:r>
      <w:r w:rsidRPr="00B131AA">
        <w:rPr>
          <w:i/>
          <w:lang w:val="en-US"/>
        </w:rPr>
        <w:t>Reports of International Arbitral Awards</w:t>
      </w:r>
      <w:r>
        <w:rPr>
          <w:lang w:val="en-US"/>
        </w:rPr>
        <w:t>, vol. X, pp. 732–733.</w:t>
      </w:r>
    </w:p>
  </w:footnote>
  <w:footnote w:id="183">
    <w:p w:rsidR="003D54BB" w:rsidRPr="005834DE" w:rsidRDefault="003D54BB" w:rsidP="00CA5718">
      <w:pPr>
        <w:pStyle w:val="Testonotaapidipagina"/>
        <w:rPr>
          <w:lang w:val="en-US"/>
        </w:rPr>
      </w:pPr>
      <w:r>
        <w:rPr>
          <w:rStyle w:val="Rimandonotaapidipagina"/>
        </w:rPr>
        <w:footnoteRef/>
      </w:r>
      <w:r>
        <w:rPr>
          <w:lang w:val="en-US"/>
        </w:rPr>
        <w:t xml:space="preserve"> </w:t>
      </w:r>
      <w:r w:rsidRPr="00B131AA">
        <w:rPr>
          <w:i/>
          <w:lang w:val="en-US"/>
        </w:rPr>
        <w:t>Reports of International Arbitral Awards</w:t>
      </w:r>
      <w:r>
        <w:rPr>
          <w:lang w:val="en-US"/>
        </w:rPr>
        <w:t>, vol. X, pp. 417–</w:t>
      </w:r>
      <w:r w:rsidRPr="005834DE">
        <w:rPr>
          <w:lang w:val="en-US"/>
        </w:rPr>
        <w:t>420.</w:t>
      </w:r>
    </w:p>
  </w:footnote>
  <w:footnote w:id="184">
    <w:p w:rsidR="003D54BB" w:rsidRPr="00E41DD5" w:rsidRDefault="003D54BB" w:rsidP="00CA5718">
      <w:pPr>
        <w:pStyle w:val="Testonotaapidipagina"/>
        <w:rPr>
          <w:lang w:val="en-US"/>
        </w:rPr>
      </w:pPr>
      <w:r>
        <w:rPr>
          <w:rStyle w:val="Rimandonotaapidipagina"/>
        </w:rPr>
        <w:footnoteRef/>
      </w:r>
      <w:r w:rsidRPr="00E41DD5">
        <w:rPr>
          <w:lang w:val="en-US"/>
        </w:rPr>
        <w:t xml:space="preserve"> AGO, </w:t>
      </w:r>
      <w:r w:rsidRPr="00E41DD5">
        <w:rPr>
          <w:i/>
          <w:lang w:val="en-US"/>
        </w:rPr>
        <w:t>Fourth Report</w:t>
      </w:r>
      <w:r w:rsidRPr="00E41DD5">
        <w:rPr>
          <w:lang w:val="en-US"/>
        </w:rPr>
        <w:t>, cit.,p. 85, p</w:t>
      </w:r>
      <w:r>
        <w:rPr>
          <w:lang w:val="en-US"/>
        </w:rPr>
        <w:t>a</w:t>
      </w:r>
      <w:r w:rsidRPr="00E41DD5">
        <w:rPr>
          <w:lang w:val="en-US"/>
        </w:rPr>
        <w:t xml:space="preserve">r. </w:t>
      </w:r>
      <w:r>
        <w:rPr>
          <w:lang w:val="en-US"/>
        </w:rPr>
        <w:t>38.</w:t>
      </w:r>
    </w:p>
  </w:footnote>
  <w:footnote w:id="185">
    <w:p w:rsidR="003D54BB" w:rsidRPr="004211B8" w:rsidRDefault="003D54BB" w:rsidP="00CA5718">
      <w:pPr>
        <w:pStyle w:val="Testonotaapidipagina"/>
        <w:jc w:val="both"/>
        <w:rPr>
          <w:lang w:val="en-US"/>
        </w:rPr>
      </w:pPr>
      <w:r>
        <w:rPr>
          <w:rStyle w:val="Rimandonotaapidipagina"/>
        </w:rPr>
        <w:footnoteRef/>
      </w:r>
      <w:r w:rsidRPr="00294764">
        <w:rPr>
          <w:lang w:val="en-US"/>
        </w:rPr>
        <w:t xml:space="preserve"> </w:t>
      </w:r>
      <w:r w:rsidRPr="00294764">
        <w:rPr>
          <w:i/>
          <w:lang w:val="en-US"/>
        </w:rPr>
        <w:t xml:space="preserve">Owners of the </w:t>
      </w:r>
      <w:r>
        <w:rPr>
          <w:i/>
          <w:lang w:val="en-US"/>
        </w:rPr>
        <w:t>Cargo “Coquitlam”</w:t>
      </w:r>
      <w:r w:rsidRPr="00294764">
        <w:rPr>
          <w:i/>
          <w:lang w:val="en-US"/>
        </w:rPr>
        <w:t xml:space="preserve"> (Great Britain) v. United States</w:t>
      </w:r>
      <w:r>
        <w:rPr>
          <w:lang w:val="en-US"/>
        </w:rPr>
        <w:t xml:space="preserve">, </w:t>
      </w:r>
      <w:r w:rsidRPr="00B1137B">
        <w:rPr>
          <w:i/>
          <w:lang w:val="en-US"/>
        </w:rPr>
        <w:t>Reports of Internationl Arbitral Awards</w:t>
      </w:r>
      <w:r>
        <w:rPr>
          <w:lang w:val="en-US"/>
        </w:rPr>
        <w:t>, vol. VI, pp. 45–</w:t>
      </w:r>
      <w:r w:rsidRPr="005834DE">
        <w:rPr>
          <w:lang w:val="en-US"/>
        </w:rPr>
        <w:t xml:space="preserve">48. Anche in altre pronunce i tribunali arbitrali hanno affermato la responsabilità internazionale di uno Stato indipendentemente dalla buona fede dell’organo che aveva commesso l’illecito: </w:t>
      </w:r>
      <w:r w:rsidRPr="005834DE">
        <w:rPr>
          <w:i/>
          <w:lang w:val="en-US"/>
        </w:rPr>
        <w:t>Owners of the “Tattler” (United States) v. Great Britain</w:t>
      </w:r>
      <w:r w:rsidRPr="005834DE">
        <w:rPr>
          <w:lang w:val="en-US"/>
        </w:rPr>
        <w:t xml:space="preserve">, </w:t>
      </w:r>
      <w:r w:rsidRPr="005834DE">
        <w:rPr>
          <w:i/>
          <w:lang w:val="en-US"/>
        </w:rPr>
        <w:t>Americ</w:t>
      </w:r>
      <w:r>
        <w:rPr>
          <w:i/>
          <w:lang w:val="en-US"/>
        </w:rPr>
        <w:t xml:space="preserve">an Journal of International Law, </w:t>
      </w:r>
      <w:r>
        <w:rPr>
          <w:lang w:val="en-US"/>
        </w:rPr>
        <w:t>1921, pp. 297–</w:t>
      </w:r>
      <w:r w:rsidRPr="005834DE">
        <w:rPr>
          <w:lang w:val="en-US"/>
        </w:rPr>
        <w:t xml:space="preserve">301; </w:t>
      </w:r>
      <w:r w:rsidRPr="005834DE">
        <w:rPr>
          <w:i/>
          <w:lang w:val="en-US"/>
        </w:rPr>
        <w:t>Charterers and Crew of the “Kate” (Great Britain) v. United States, Americ</w:t>
      </w:r>
      <w:r>
        <w:rPr>
          <w:i/>
          <w:lang w:val="en-US"/>
        </w:rPr>
        <w:t xml:space="preserve">an Journal of </w:t>
      </w:r>
      <w:r w:rsidRPr="004211B8">
        <w:rPr>
          <w:i/>
          <w:lang w:val="en-US"/>
        </w:rPr>
        <w:t xml:space="preserve">International Law, </w:t>
      </w:r>
      <w:r w:rsidRPr="004211B8">
        <w:rPr>
          <w:lang w:val="en-US"/>
        </w:rPr>
        <w:t>1922, vol. 16, pp. 328333.</w:t>
      </w:r>
    </w:p>
  </w:footnote>
  <w:footnote w:id="186">
    <w:p w:rsidR="003D54BB" w:rsidRPr="008B4C96" w:rsidRDefault="003D54BB" w:rsidP="004B262F">
      <w:pPr>
        <w:pStyle w:val="Testonotaapidipagina"/>
        <w:jc w:val="both"/>
        <w:rPr>
          <w:lang w:val="en-US"/>
        </w:rPr>
      </w:pPr>
      <w:r w:rsidRPr="004211B8">
        <w:rPr>
          <w:rStyle w:val="Rimandonotaapidipagina"/>
        </w:rPr>
        <w:footnoteRef/>
      </w:r>
      <w:r w:rsidRPr="004211B8">
        <w:rPr>
          <w:lang w:val="en-US"/>
        </w:rPr>
        <w:t xml:space="preserve"> Vedi </w:t>
      </w:r>
      <w:r w:rsidRPr="004211B8">
        <w:rPr>
          <w:i/>
          <w:lang w:val="en-US"/>
        </w:rPr>
        <w:t>infra</w:t>
      </w:r>
      <w:r>
        <w:rPr>
          <w:lang w:val="en-US"/>
        </w:rPr>
        <w:t>, p. 92 ss</w:t>
      </w:r>
      <w:r w:rsidRPr="004211B8">
        <w:rPr>
          <w:lang w:val="en-US"/>
        </w:rPr>
        <w:t>.</w:t>
      </w:r>
    </w:p>
  </w:footnote>
  <w:footnote w:id="187">
    <w:p w:rsidR="003D54BB" w:rsidRPr="0059101D" w:rsidRDefault="003D54BB" w:rsidP="004B262F">
      <w:pPr>
        <w:pStyle w:val="Testonotaapidipagina"/>
        <w:jc w:val="both"/>
        <w:rPr>
          <w:lang w:val="fr-FR"/>
        </w:rPr>
      </w:pPr>
      <w:r>
        <w:rPr>
          <w:rStyle w:val="Rimandonotaapidipagina"/>
        </w:rPr>
        <w:footnoteRef/>
      </w:r>
      <w:r w:rsidRPr="0067045E">
        <w:rPr>
          <w:lang w:val="en-US"/>
        </w:rPr>
        <w:t xml:space="preserve"> </w:t>
      </w:r>
      <w:r w:rsidRPr="004672F3">
        <w:rPr>
          <w:i/>
          <w:lang w:val="en-US"/>
        </w:rPr>
        <w:t>Thomas H. Youmans (USA) v. United Mexican States</w:t>
      </w:r>
      <w:r>
        <w:rPr>
          <w:lang w:val="en-US"/>
        </w:rPr>
        <w:t xml:space="preserve">, </w:t>
      </w:r>
      <w:r w:rsidRPr="00B1137B">
        <w:rPr>
          <w:i/>
          <w:lang w:val="en-US"/>
        </w:rPr>
        <w:t>Reports of International Arbitral Awards</w:t>
      </w:r>
      <w:r>
        <w:rPr>
          <w:lang w:val="en-US"/>
        </w:rPr>
        <w:t xml:space="preserve">, </w:t>
      </w:r>
      <w:r w:rsidRPr="003D2C2E">
        <w:rPr>
          <w:lang w:val="en-US"/>
        </w:rPr>
        <w:t xml:space="preserve">vol. </w:t>
      </w:r>
      <w:r w:rsidRPr="0059101D">
        <w:rPr>
          <w:lang w:val="fr-FR"/>
        </w:rPr>
        <w:t>IV, p. 115 ss.</w:t>
      </w:r>
    </w:p>
  </w:footnote>
  <w:footnote w:id="188">
    <w:p w:rsidR="003D54BB" w:rsidRPr="004B262F" w:rsidRDefault="003D54BB" w:rsidP="004B262F">
      <w:pPr>
        <w:pStyle w:val="Testonotaapidipagina"/>
        <w:jc w:val="both"/>
        <w:rPr>
          <w:lang w:val="fr-FR"/>
        </w:rPr>
      </w:pPr>
      <w:r>
        <w:rPr>
          <w:rStyle w:val="Rimandonotaapidipagina"/>
        </w:rPr>
        <w:footnoteRef/>
      </w:r>
      <w:r w:rsidRPr="004B262F">
        <w:rPr>
          <w:lang w:val="fr-FR"/>
        </w:rPr>
        <w:t xml:space="preserve"> </w:t>
      </w:r>
      <w:r w:rsidRPr="004B262F">
        <w:rPr>
          <w:i/>
          <w:lang w:val="fr-FR"/>
        </w:rPr>
        <w:t>Ibid</w:t>
      </w:r>
      <w:r>
        <w:rPr>
          <w:lang w:val="fr-FR"/>
        </w:rPr>
        <w:t>., p. 114, par. 8.</w:t>
      </w:r>
    </w:p>
  </w:footnote>
  <w:footnote w:id="189">
    <w:p w:rsidR="003D54BB" w:rsidRPr="004B262F" w:rsidRDefault="003D54BB" w:rsidP="00CA5718">
      <w:pPr>
        <w:pStyle w:val="Testonotaapidipagina"/>
        <w:jc w:val="both"/>
        <w:rPr>
          <w:lang w:val="fr-FR"/>
        </w:rPr>
      </w:pPr>
      <w:r>
        <w:rPr>
          <w:rStyle w:val="Rimandonotaapidipagina"/>
        </w:rPr>
        <w:footnoteRef/>
      </w:r>
      <w:r w:rsidRPr="004B262F">
        <w:rPr>
          <w:lang w:val="fr-FR"/>
        </w:rPr>
        <w:t xml:space="preserve"> </w:t>
      </w:r>
      <w:r w:rsidRPr="004B262F">
        <w:rPr>
          <w:i/>
          <w:lang w:val="fr-FR"/>
        </w:rPr>
        <w:t>Ibid</w:t>
      </w:r>
      <w:r w:rsidRPr="004B262F">
        <w:rPr>
          <w:lang w:val="fr-FR"/>
        </w:rPr>
        <w:t>., p. 115, par. 11 e p. 116, par. 14.</w:t>
      </w:r>
    </w:p>
  </w:footnote>
  <w:footnote w:id="190">
    <w:p w:rsidR="003D54BB" w:rsidRPr="00506D86" w:rsidRDefault="003D54BB" w:rsidP="0053154E">
      <w:pPr>
        <w:pStyle w:val="Testonotaapidipagina"/>
        <w:jc w:val="both"/>
      </w:pPr>
      <w:r>
        <w:rPr>
          <w:rStyle w:val="Rimandonotaapidipagina"/>
        </w:rPr>
        <w:footnoteRef/>
      </w:r>
      <w:r>
        <w:t xml:space="preserve"> La Commissione ha riconosciuto in capo al Messico tre differenti forme di responsabilità internazionale: una responsabilità diretta per la partecipazione dei soldati all’uccisione; una responsabilità per il fatto di altri organi in virtù della mancata adozione di misure preventive da parte delle autorità messicane ed infine una responsabilità per il fatto della mancata cattura e punizione dei responsabili da parte di altri organi.</w:t>
      </w:r>
    </w:p>
  </w:footnote>
  <w:footnote w:id="191">
    <w:p w:rsidR="003D54BB" w:rsidRPr="00BB776E" w:rsidRDefault="003D54BB" w:rsidP="0053154E">
      <w:pPr>
        <w:pStyle w:val="Testonotaapidipagina"/>
        <w:jc w:val="both"/>
        <w:rPr>
          <w:lang w:val="en-US"/>
        </w:rPr>
      </w:pPr>
      <w:r>
        <w:rPr>
          <w:rStyle w:val="Rimandonotaapidipagina"/>
        </w:rPr>
        <w:footnoteRef/>
      </w:r>
      <w:r w:rsidRPr="00BB776E">
        <w:rPr>
          <w:lang w:val="en-US"/>
        </w:rPr>
        <w:t xml:space="preserve"> </w:t>
      </w:r>
      <w:r w:rsidRPr="00BB776E">
        <w:rPr>
          <w:i/>
          <w:lang w:val="en-US"/>
        </w:rPr>
        <w:t>Ibid</w:t>
      </w:r>
      <w:r w:rsidRPr="00BB776E">
        <w:rPr>
          <w:lang w:val="en-US"/>
        </w:rPr>
        <w:t xml:space="preserve">., p. 86, par. 40. </w:t>
      </w:r>
    </w:p>
  </w:footnote>
  <w:footnote w:id="192">
    <w:p w:rsidR="003D54BB" w:rsidRPr="00295FAF" w:rsidRDefault="003D54BB" w:rsidP="0053154E">
      <w:pPr>
        <w:pStyle w:val="Testonotaapidipagina"/>
        <w:jc w:val="both"/>
        <w:rPr>
          <w:lang w:val="fr-FR"/>
        </w:rPr>
      </w:pPr>
      <w:r>
        <w:rPr>
          <w:rStyle w:val="Rimandonotaapidipagina"/>
        </w:rPr>
        <w:footnoteRef/>
      </w:r>
      <w:r w:rsidRPr="00276115">
        <w:rPr>
          <w:lang w:val="en-US"/>
        </w:rPr>
        <w:t xml:space="preserve"> </w:t>
      </w:r>
      <w:r w:rsidRPr="00276115">
        <w:rPr>
          <w:i/>
          <w:lang w:val="en-US"/>
        </w:rPr>
        <w:t>Reports of International Arbitral Awards</w:t>
      </w:r>
      <w:r w:rsidRPr="00276115">
        <w:rPr>
          <w:lang w:val="en-US"/>
        </w:rPr>
        <w:t xml:space="preserve"> , vol. </w:t>
      </w:r>
      <w:r w:rsidRPr="00295FAF">
        <w:rPr>
          <w:lang w:val="fr-FR"/>
        </w:rPr>
        <w:t>V, p. 519 ss.</w:t>
      </w:r>
    </w:p>
  </w:footnote>
  <w:footnote w:id="193">
    <w:p w:rsidR="003D54BB" w:rsidRPr="00FD3080" w:rsidRDefault="003D54BB" w:rsidP="00CA5718">
      <w:pPr>
        <w:autoSpaceDE w:val="0"/>
        <w:autoSpaceDN w:val="0"/>
        <w:adjustRightInd w:val="0"/>
        <w:spacing w:after="0" w:line="240" w:lineRule="auto"/>
        <w:jc w:val="both"/>
        <w:rPr>
          <w:sz w:val="20"/>
          <w:szCs w:val="20"/>
          <w:lang w:val="fr-FR"/>
        </w:rPr>
      </w:pPr>
      <w:r>
        <w:rPr>
          <w:rStyle w:val="Rimandonotaapidipagina"/>
        </w:rPr>
        <w:footnoteRef/>
      </w:r>
      <w:r w:rsidRPr="00295FAF">
        <w:rPr>
          <w:lang w:val="fr-FR"/>
        </w:rPr>
        <w:t xml:space="preserve"> </w:t>
      </w:r>
      <w:r w:rsidRPr="00295FAF">
        <w:rPr>
          <w:i/>
          <w:sz w:val="20"/>
          <w:szCs w:val="20"/>
          <w:lang w:val="fr-FR"/>
        </w:rPr>
        <w:t xml:space="preserve">“ </w:t>
      </w:r>
      <w:r w:rsidRPr="00295FAF">
        <w:rPr>
          <w:sz w:val="20"/>
          <w:szCs w:val="20"/>
          <w:lang w:val="fr-FR"/>
        </w:rPr>
        <w:t>…la responsabilité du Mexique serait exclue pa</w:t>
      </w:r>
      <w:r w:rsidRPr="00FD3080">
        <w:rPr>
          <w:sz w:val="20"/>
          <w:szCs w:val="20"/>
          <w:lang w:val="fr-FR"/>
        </w:rPr>
        <w:t>r les faits suivants: a) les auteurs du crime n'étaient que des militaires isolés;</w:t>
      </w:r>
    </w:p>
    <w:p w:rsidR="003D54BB" w:rsidRPr="00BB776E" w:rsidRDefault="003D54BB" w:rsidP="00CA5718">
      <w:pPr>
        <w:autoSpaceDE w:val="0"/>
        <w:autoSpaceDN w:val="0"/>
        <w:adjustRightInd w:val="0"/>
        <w:spacing w:after="0" w:line="240" w:lineRule="auto"/>
        <w:jc w:val="both"/>
        <w:rPr>
          <w:sz w:val="20"/>
          <w:szCs w:val="20"/>
        </w:rPr>
      </w:pPr>
      <w:r w:rsidRPr="00FD3080">
        <w:rPr>
          <w:sz w:val="20"/>
          <w:szCs w:val="20"/>
          <w:lang w:val="fr-FR"/>
        </w:rPr>
        <w:t>b) ils ont agi, non seulement à l'insu du chef des troupes villistes, mais encore à l'encontre d'un mandat exprès de mise en liberté…</w:t>
      </w:r>
      <w:r w:rsidRPr="00FD3080">
        <w:rPr>
          <w:rFonts w:ascii="Times New Roman" w:hAnsi="Times New Roman" w:cs="Times New Roman"/>
          <w:sz w:val="18"/>
          <w:szCs w:val="18"/>
          <w:lang w:val="fr-FR"/>
        </w:rPr>
        <w:t>”</w:t>
      </w:r>
      <w:r>
        <w:rPr>
          <w:i/>
          <w:sz w:val="20"/>
          <w:szCs w:val="20"/>
          <w:lang w:val="fr-FR"/>
        </w:rPr>
        <w:t> </w:t>
      </w:r>
      <w:r w:rsidRPr="00BB776E">
        <w:rPr>
          <w:i/>
          <w:sz w:val="20"/>
          <w:szCs w:val="20"/>
        </w:rPr>
        <w:t xml:space="preserve">Ibid., </w:t>
      </w:r>
      <w:r w:rsidRPr="00BB776E">
        <w:rPr>
          <w:sz w:val="20"/>
          <w:szCs w:val="20"/>
        </w:rPr>
        <w:t>p. 519.</w:t>
      </w:r>
    </w:p>
  </w:footnote>
  <w:footnote w:id="194">
    <w:p w:rsidR="003D54BB" w:rsidRPr="00BB776E" w:rsidRDefault="003D54BB" w:rsidP="00CA5718">
      <w:pPr>
        <w:pStyle w:val="Testonotaapidipagina"/>
      </w:pPr>
      <w:r>
        <w:rPr>
          <w:rStyle w:val="Rimandonotaapidipagina"/>
        </w:rPr>
        <w:footnoteRef/>
      </w:r>
      <w:r w:rsidRPr="00BB776E">
        <w:t xml:space="preserve"> </w:t>
      </w:r>
      <w:r w:rsidRPr="00BB776E">
        <w:rPr>
          <w:i/>
        </w:rPr>
        <w:t>Ibid</w:t>
      </w:r>
      <w:r w:rsidRPr="00BB776E">
        <w:t>., pp. 529-530.</w:t>
      </w:r>
    </w:p>
  </w:footnote>
  <w:footnote w:id="195">
    <w:p w:rsidR="003D54BB" w:rsidRPr="00BB776E" w:rsidRDefault="003D54BB" w:rsidP="00CA5718">
      <w:pPr>
        <w:pStyle w:val="Testonotaapidipagina"/>
      </w:pPr>
      <w:r>
        <w:rPr>
          <w:rStyle w:val="Rimandonotaapidipagina"/>
        </w:rPr>
        <w:footnoteRef/>
      </w:r>
      <w:r w:rsidRPr="00BB776E">
        <w:t xml:space="preserve"> </w:t>
      </w:r>
      <w:r w:rsidRPr="00BB776E">
        <w:rPr>
          <w:i/>
        </w:rPr>
        <w:t>Ibid</w:t>
      </w:r>
      <w:r w:rsidRPr="00BB776E">
        <w:t>., p. 530.</w:t>
      </w:r>
    </w:p>
  </w:footnote>
  <w:footnote w:id="196">
    <w:p w:rsidR="003D54BB" w:rsidRPr="007C2E32" w:rsidRDefault="003D54BB" w:rsidP="00515336">
      <w:pPr>
        <w:pStyle w:val="Testonotaapidipagina"/>
        <w:jc w:val="both"/>
        <w:rPr>
          <w:lang w:val="fr-FR"/>
        </w:rPr>
      </w:pPr>
      <w:r>
        <w:rPr>
          <w:rStyle w:val="Rimandonotaapidipagina"/>
        </w:rPr>
        <w:footnoteRef/>
      </w:r>
      <w:r w:rsidRPr="00515336">
        <w:t xml:space="preserve"> A </w:t>
      </w:r>
      <w:r w:rsidRPr="00F93647">
        <w:t>sostegno della sua tesi, l’arbitro Verzijil ha inoltre fatto m</w:t>
      </w:r>
      <w:r>
        <w:t>enzione della risoluzione dell’</w:t>
      </w:r>
      <w:r w:rsidRPr="00481DA3">
        <w:t>’</w:t>
      </w:r>
      <w:r w:rsidRPr="00481DA3">
        <w:rPr>
          <w:i/>
        </w:rPr>
        <w:t xml:space="preserve">Institut de Droit International </w:t>
      </w:r>
      <w:r w:rsidRPr="00F93647">
        <w:t xml:space="preserve">adottata a Losanna nel </w:t>
      </w:r>
      <w:r w:rsidRPr="00A3533E">
        <w:t xml:space="preserve">1927. </w:t>
      </w:r>
      <w:r w:rsidRPr="00A3533E">
        <w:rPr>
          <w:lang w:val="fr-FR"/>
        </w:rPr>
        <w:t xml:space="preserve">Vedi </w:t>
      </w:r>
      <w:r w:rsidRPr="00A3533E">
        <w:rPr>
          <w:i/>
          <w:lang w:val="fr-FR"/>
        </w:rPr>
        <w:t>supra</w:t>
      </w:r>
      <w:r w:rsidRPr="00A3533E">
        <w:rPr>
          <w:lang w:val="fr-FR"/>
        </w:rPr>
        <w:t>, p. 38 ss.</w:t>
      </w:r>
    </w:p>
  </w:footnote>
  <w:footnote w:id="197">
    <w:p w:rsidR="003D54BB" w:rsidRPr="003A3E33" w:rsidRDefault="003D54BB" w:rsidP="00886576">
      <w:pPr>
        <w:pStyle w:val="Testonotaapidipagina"/>
        <w:jc w:val="both"/>
        <w:rPr>
          <w:lang w:val="en-US"/>
        </w:rPr>
      </w:pPr>
      <w:r>
        <w:rPr>
          <w:rStyle w:val="Rimandonotaapidipagina"/>
        </w:rPr>
        <w:footnoteRef/>
      </w:r>
      <w:r w:rsidRPr="003A3E33">
        <w:rPr>
          <w:lang w:val="fr-FR"/>
        </w:rPr>
        <w:t xml:space="preserve"> </w:t>
      </w:r>
      <w:r w:rsidRPr="00FD3080">
        <w:rPr>
          <w:lang w:val="fr-FR"/>
        </w:rPr>
        <w:t>“…le fait pour un fonctionnaire d’agir en dehors de sa compétence n’exempte pas l’Etat de sa responsabilité internationale, toutes les fois que ce fonctionnaire s’est autorisé de sa qualité officielle, l’Etat n’étant pas responsable dans le seul cas où l’acte n’a eu aucun rapport avec la fonction officielle et n’a été, en réalité, qu’un acte d’un particulier</w:t>
      </w:r>
      <w:r w:rsidRPr="00FD3080">
        <w:rPr>
          <w:rFonts w:ascii="Times New Roman" w:hAnsi="Times New Roman" w:cs="Times New Roman"/>
          <w:sz w:val="18"/>
          <w:szCs w:val="18"/>
          <w:lang w:val="fr-FR"/>
        </w:rPr>
        <w:t>”</w:t>
      </w:r>
      <w:r>
        <w:rPr>
          <w:rFonts w:ascii="Times New Roman" w:hAnsi="Times New Roman" w:cs="Times New Roman"/>
          <w:sz w:val="18"/>
          <w:szCs w:val="18"/>
          <w:lang w:val="fr-FR"/>
        </w:rPr>
        <w:t> </w:t>
      </w:r>
      <w:r w:rsidRPr="00FD3080">
        <w:rPr>
          <w:lang w:val="fr-FR"/>
        </w:rPr>
        <w:t>.</w:t>
      </w:r>
      <w:r>
        <w:rPr>
          <w:lang w:val="fr-FR"/>
        </w:rPr>
        <w:t> </w:t>
      </w:r>
      <w:r w:rsidRPr="00814D56">
        <w:rPr>
          <w:i/>
          <w:lang w:val="en-US"/>
        </w:rPr>
        <w:t>Ibid</w:t>
      </w:r>
      <w:r>
        <w:rPr>
          <w:lang w:val="en-US"/>
        </w:rPr>
        <w:t>., pp. 530–</w:t>
      </w:r>
      <w:r w:rsidRPr="00814D56">
        <w:rPr>
          <w:lang w:val="en-US"/>
        </w:rPr>
        <w:t>531.</w:t>
      </w:r>
    </w:p>
  </w:footnote>
  <w:footnote w:id="198">
    <w:p w:rsidR="003D54BB" w:rsidRPr="007A633D" w:rsidRDefault="003D54BB" w:rsidP="003A3E33">
      <w:pPr>
        <w:pStyle w:val="Testonotaapidipagina"/>
        <w:jc w:val="both"/>
        <w:rPr>
          <w:lang w:val="en-US"/>
        </w:rPr>
      </w:pPr>
      <w:r>
        <w:rPr>
          <w:rStyle w:val="Rimandonotaapidipagina"/>
        </w:rPr>
        <w:footnoteRef/>
      </w:r>
      <w:r w:rsidRPr="00D43DBA">
        <w:rPr>
          <w:lang w:val="en-US"/>
        </w:rPr>
        <w:t xml:space="preserve"> </w:t>
      </w:r>
      <w:r w:rsidRPr="00D43DBA">
        <w:rPr>
          <w:i/>
          <w:lang w:val="en-US"/>
        </w:rPr>
        <w:t>D. Guerrrero</w:t>
      </w:r>
      <w:r>
        <w:rPr>
          <w:i/>
          <w:lang w:val="en-US"/>
        </w:rPr>
        <w:t xml:space="preserve"> Vda D</w:t>
      </w:r>
      <w:r w:rsidRPr="00D43DBA">
        <w:rPr>
          <w:i/>
          <w:lang w:val="en-US"/>
        </w:rPr>
        <w:t>e Falc</w:t>
      </w:r>
      <w:r w:rsidRPr="00D43DBA">
        <w:rPr>
          <w:rFonts w:cstheme="minorHAnsi"/>
          <w:i/>
          <w:lang w:val="en-US"/>
        </w:rPr>
        <w:t>ó</w:t>
      </w:r>
      <w:r w:rsidRPr="00D43DBA">
        <w:rPr>
          <w:i/>
          <w:lang w:val="en-US"/>
        </w:rPr>
        <w:t>n (United Mexican States) v. United States of America</w:t>
      </w:r>
      <w:r>
        <w:rPr>
          <w:lang w:val="en-US"/>
        </w:rPr>
        <w:t xml:space="preserve">, </w:t>
      </w:r>
      <w:r w:rsidRPr="00A23C27">
        <w:rPr>
          <w:i/>
          <w:lang w:val="en-US"/>
        </w:rPr>
        <w:t>Reports of International Arbitral Awards</w:t>
      </w:r>
      <w:r>
        <w:rPr>
          <w:lang w:val="en-US"/>
        </w:rPr>
        <w:t>, vol. IV, pp. 104–106.</w:t>
      </w:r>
    </w:p>
  </w:footnote>
  <w:footnote w:id="199">
    <w:p w:rsidR="003D54BB" w:rsidRPr="00D11009" w:rsidRDefault="003D54BB" w:rsidP="003A3E33">
      <w:pPr>
        <w:pStyle w:val="Testonotaapidipagina"/>
        <w:jc w:val="both"/>
        <w:rPr>
          <w:lang w:val="en-US"/>
        </w:rPr>
      </w:pPr>
      <w:r>
        <w:rPr>
          <w:rStyle w:val="Rimandonotaapidipagina"/>
        </w:rPr>
        <w:footnoteRef/>
      </w:r>
      <w:r w:rsidRPr="00D11009">
        <w:rPr>
          <w:lang w:val="en-US"/>
        </w:rPr>
        <w:t xml:space="preserve"> </w:t>
      </w:r>
      <w:r w:rsidRPr="00D11009">
        <w:rPr>
          <w:i/>
          <w:lang w:val="en-US"/>
        </w:rPr>
        <w:t>Teodoro Garcìa and M.A. Garza (United Mexican States) v. United States of America</w:t>
      </w:r>
      <w:r>
        <w:rPr>
          <w:lang w:val="en-US"/>
        </w:rPr>
        <w:t xml:space="preserve">, </w:t>
      </w:r>
      <w:r w:rsidRPr="00255FAF">
        <w:rPr>
          <w:i/>
          <w:lang w:val="en-US"/>
        </w:rPr>
        <w:t>Reports of International Arbitral Awards</w:t>
      </w:r>
      <w:r>
        <w:rPr>
          <w:lang w:val="en-US"/>
        </w:rPr>
        <w:t xml:space="preserve">, </w:t>
      </w:r>
      <w:r w:rsidRPr="00D11009">
        <w:rPr>
          <w:i/>
          <w:lang w:val="en-US"/>
        </w:rPr>
        <w:t>ibid</w:t>
      </w:r>
      <w:r>
        <w:rPr>
          <w:lang w:val="en-US"/>
        </w:rPr>
        <w:t>., pp. 119–123.</w:t>
      </w:r>
    </w:p>
  </w:footnote>
  <w:footnote w:id="200">
    <w:p w:rsidR="003D54BB" w:rsidRPr="0032319C" w:rsidRDefault="003D54BB" w:rsidP="002D6E1D">
      <w:pPr>
        <w:pStyle w:val="Testonotaapidipagina"/>
        <w:jc w:val="both"/>
        <w:rPr>
          <w:lang w:val="en-US"/>
        </w:rPr>
      </w:pPr>
      <w:r>
        <w:rPr>
          <w:rStyle w:val="Rimandonotaapidipagina"/>
        </w:rPr>
        <w:footnoteRef/>
      </w:r>
      <w:r w:rsidRPr="003F23FD">
        <w:rPr>
          <w:lang w:val="en-US"/>
        </w:rPr>
        <w:t xml:space="preserve"> “</w:t>
      </w:r>
      <w:r w:rsidRPr="00FD3080">
        <w:rPr>
          <w:lang w:val="en-US"/>
        </w:rPr>
        <w:t>A foreigner is taken into custody by a State official. It would go too far to hold that the Government is liable for everything which may befall him. But it has to account for him. The Government can be held liable if it is proven that it has treated him cruelly, harshly, unlawfully”.</w:t>
      </w:r>
      <w:r>
        <w:rPr>
          <w:i/>
          <w:lang w:val="en-US"/>
        </w:rPr>
        <w:t xml:space="preserve"> </w:t>
      </w:r>
      <w:r w:rsidRPr="003F23FD">
        <w:rPr>
          <w:i/>
          <w:lang w:val="en-US"/>
        </w:rPr>
        <w:t>Francisco Quintanilla (United Mexican States) v. United States of America</w:t>
      </w:r>
      <w:r>
        <w:rPr>
          <w:lang w:val="en-US"/>
        </w:rPr>
        <w:t xml:space="preserve">, </w:t>
      </w:r>
      <w:r w:rsidRPr="0032319C">
        <w:rPr>
          <w:i/>
          <w:lang w:val="en-US"/>
        </w:rPr>
        <w:t>ibid</w:t>
      </w:r>
      <w:r>
        <w:rPr>
          <w:lang w:val="en-US"/>
        </w:rPr>
        <w:t>., p. 103, par. 3.</w:t>
      </w:r>
    </w:p>
  </w:footnote>
  <w:footnote w:id="201">
    <w:p w:rsidR="003D54BB" w:rsidRPr="00DB41FC" w:rsidRDefault="003D54BB" w:rsidP="002D6E1D">
      <w:pPr>
        <w:pStyle w:val="Testonotaapidipagina"/>
        <w:jc w:val="both"/>
        <w:rPr>
          <w:lang w:val="en-US"/>
        </w:rPr>
      </w:pPr>
      <w:r>
        <w:rPr>
          <w:rStyle w:val="Rimandonotaapidipagina"/>
        </w:rPr>
        <w:footnoteRef/>
      </w:r>
      <w:r w:rsidRPr="00DB41FC">
        <w:rPr>
          <w:lang w:val="en-US"/>
        </w:rPr>
        <w:t xml:space="preserve"> </w:t>
      </w:r>
      <w:r w:rsidRPr="00FC2801">
        <w:rPr>
          <w:i/>
          <w:lang w:val="en-US"/>
        </w:rPr>
        <w:t>Francisco Mallén (United Mexican States) v. United States of America,</w:t>
      </w:r>
      <w:r>
        <w:rPr>
          <w:lang w:val="en-US"/>
        </w:rPr>
        <w:t xml:space="preserve"> </w:t>
      </w:r>
      <w:r w:rsidRPr="00FC2801">
        <w:rPr>
          <w:i/>
          <w:lang w:val="en-US"/>
        </w:rPr>
        <w:t>ibid</w:t>
      </w:r>
      <w:r>
        <w:rPr>
          <w:lang w:val="en-US"/>
        </w:rPr>
        <w:t>., pp. 173–190.</w:t>
      </w:r>
    </w:p>
  </w:footnote>
  <w:footnote w:id="202">
    <w:p w:rsidR="003D54BB" w:rsidRPr="00A43ED1" w:rsidRDefault="003D54BB" w:rsidP="002D6E1D">
      <w:pPr>
        <w:pStyle w:val="Testonotaapidipagina"/>
        <w:jc w:val="both"/>
        <w:rPr>
          <w:lang w:val="en-US"/>
        </w:rPr>
      </w:pPr>
      <w:r>
        <w:rPr>
          <w:rStyle w:val="Rimandonotaapidipagina"/>
        </w:rPr>
        <w:footnoteRef/>
      </w:r>
      <w:r w:rsidRPr="00A43ED1">
        <w:rPr>
          <w:lang w:val="en-US"/>
        </w:rPr>
        <w:t xml:space="preserve"> </w:t>
      </w:r>
      <w:r w:rsidRPr="009C259E">
        <w:rPr>
          <w:lang w:val="en-US"/>
        </w:rPr>
        <w:t>“ The evidence as to the first assault on Consul Mallén…..clearly indicates a malevolent and unlawful act of a private individual who happened to be an official; not the act of an official”</w:t>
      </w:r>
      <w:r w:rsidRPr="00A43ED1">
        <w:rPr>
          <w:i/>
          <w:lang w:val="en-US"/>
        </w:rPr>
        <w:t>.</w:t>
      </w:r>
      <w:r>
        <w:rPr>
          <w:i/>
          <w:lang w:val="en-US"/>
        </w:rPr>
        <w:t xml:space="preserve"> </w:t>
      </w:r>
      <w:r w:rsidRPr="00A43ED1">
        <w:rPr>
          <w:i/>
          <w:lang w:val="en-US"/>
        </w:rPr>
        <w:t>Ibid</w:t>
      </w:r>
      <w:r>
        <w:rPr>
          <w:lang w:val="en-US"/>
        </w:rPr>
        <w:t>., vol. IV, p. 174, par. 4.</w:t>
      </w:r>
    </w:p>
  </w:footnote>
  <w:footnote w:id="203">
    <w:p w:rsidR="003D54BB" w:rsidRPr="00B87B82" w:rsidRDefault="003D54BB" w:rsidP="002D6E1D">
      <w:pPr>
        <w:pStyle w:val="Testonotaapidipagina"/>
        <w:rPr>
          <w:lang w:val="en-US"/>
        </w:rPr>
      </w:pPr>
      <w:r>
        <w:rPr>
          <w:rStyle w:val="Rimandonotaapidipagina"/>
        </w:rPr>
        <w:footnoteRef/>
      </w:r>
      <w:r w:rsidRPr="00B87B82">
        <w:rPr>
          <w:i/>
          <w:lang w:val="en-US"/>
        </w:rPr>
        <w:t xml:space="preserve"> Ibid</w:t>
      </w:r>
      <w:r>
        <w:rPr>
          <w:lang w:val="en-US"/>
        </w:rPr>
        <w:t>., p. 177, par. 7.</w:t>
      </w:r>
    </w:p>
  </w:footnote>
  <w:footnote w:id="204">
    <w:p w:rsidR="003D54BB" w:rsidRPr="00FB1FE2" w:rsidRDefault="003D54BB" w:rsidP="002D6E1D">
      <w:pPr>
        <w:autoSpaceDE w:val="0"/>
        <w:autoSpaceDN w:val="0"/>
        <w:adjustRightInd w:val="0"/>
        <w:spacing w:after="0" w:line="240" w:lineRule="auto"/>
        <w:jc w:val="both"/>
        <w:rPr>
          <w:i/>
          <w:sz w:val="20"/>
          <w:szCs w:val="20"/>
          <w:lang w:val="en-US"/>
        </w:rPr>
      </w:pPr>
      <w:r>
        <w:rPr>
          <w:rStyle w:val="Rimandonotaapidipagina"/>
        </w:rPr>
        <w:footnoteRef/>
      </w:r>
      <w:r w:rsidRPr="00BD5892">
        <w:rPr>
          <w:lang w:val="en-US"/>
        </w:rPr>
        <w:t xml:space="preserve"> “</w:t>
      </w:r>
      <w:r w:rsidRPr="005D7341">
        <w:rPr>
          <w:sz w:val="20"/>
          <w:szCs w:val="20"/>
          <w:lang w:val="en-US"/>
        </w:rPr>
        <w:t>The circumstance that within two months Franco, using the very same uncouth words to show his aversion for Mallen, availed himself of another opportunity to "get" Mallen, this second time misusing his official capacity, shows how imprudently and improperly the authorities acted in maintaining such a man, without any preventive measure, in a position in which he might easily cause great harm to peaceful residents. Mallen not long after August 25, 1907, applied to the county attorney at El Paso in order to inquire whether he was authorized to carry a pistol. The authorities of Texas therefore should have realized the risks they incurred by maintaining Franco in office and by not protecting Mallen from violence at the hands of Franco, and they must bear the full responsibility for their action..</w:t>
      </w:r>
      <w:r w:rsidRPr="005D7341">
        <w:rPr>
          <w:lang w:val="en-US"/>
        </w:rPr>
        <w:t xml:space="preserve">” </w:t>
      </w:r>
      <w:r w:rsidRPr="00E42F63">
        <w:rPr>
          <w:i/>
          <w:lang w:val="en-US"/>
        </w:rPr>
        <w:t xml:space="preserve">Ibid., </w:t>
      </w:r>
      <w:r w:rsidRPr="00E42F63">
        <w:rPr>
          <w:lang w:val="en-US"/>
        </w:rPr>
        <w:t>p. 175, par. 5.</w:t>
      </w:r>
    </w:p>
  </w:footnote>
  <w:footnote w:id="205">
    <w:p w:rsidR="003D54BB" w:rsidRPr="009E65B6" w:rsidRDefault="003D54BB" w:rsidP="002D6E1D">
      <w:pPr>
        <w:pStyle w:val="Testonotaapidipagina"/>
        <w:rPr>
          <w:lang w:val="en-US"/>
        </w:rPr>
      </w:pPr>
      <w:r>
        <w:rPr>
          <w:rStyle w:val="Rimandonotaapidipagina"/>
        </w:rPr>
        <w:footnoteRef/>
      </w:r>
      <w:r w:rsidRPr="009E65B6">
        <w:rPr>
          <w:lang w:val="en-US"/>
        </w:rPr>
        <w:t xml:space="preserve"> </w:t>
      </w:r>
      <w:r w:rsidRPr="009E65B6">
        <w:rPr>
          <w:i/>
          <w:lang w:val="en-US"/>
        </w:rPr>
        <w:t>Ibid</w:t>
      </w:r>
      <w:r w:rsidRPr="009E65B6">
        <w:rPr>
          <w:lang w:val="en-US"/>
        </w:rPr>
        <w:t>., p. 177, par. 9.</w:t>
      </w:r>
    </w:p>
  </w:footnote>
  <w:footnote w:id="206">
    <w:p w:rsidR="003D54BB" w:rsidRPr="00A70040" w:rsidRDefault="003D54BB" w:rsidP="002D6E1D">
      <w:pPr>
        <w:pStyle w:val="Testonotaapidipagina"/>
        <w:jc w:val="both"/>
        <w:rPr>
          <w:lang w:val="en-US"/>
        </w:rPr>
      </w:pPr>
      <w:r>
        <w:rPr>
          <w:rStyle w:val="Rimandonotaapidipagina"/>
        </w:rPr>
        <w:footnoteRef/>
      </w:r>
      <w:r w:rsidRPr="00A70040">
        <w:rPr>
          <w:lang w:val="en-US"/>
        </w:rPr>
        <w:t xml:space="preserve"> </w:t>
      </w:r>
      <w:r w:rsidRPr="00A70040">
        <w:rPr>
          <w:i/>
          <w:lang w:val="en-US"/>
        </w:rPr>
        <w:t>William T. Way (USA) v. United Mexican States</w:t>
      </w:r>
      <w:r>
        <w:rPr>
          <w:lang w:val="en-US"/>
        </w:rPr>
        <w:t xml:space="preserve">, </w:t>
      </w:r>
      <w:r w:rsidRPr="006D1912">
        <w:rPr>
          <w:i/>
          <w:lang w:val="en-US"/>
        </w:rPr>
        <w:t>ibid</w:t>
      </w:r>
      <w:r>
        <w:rPr>
          <w:lang w:val="en-US"/>
        </w:rPr>
        <w:t>., pp. 391– 401.</w:t>
      </w:r>
    </w:p>
  </w:footnote>
  <w:footnote w:id="207">
    <w:p w:rsidR="003D54BB" w:rsidRPr="00605693" w:rsidRDefault="003D54BB" w:rsidP="002D6E1D">
      <w:pPr>
        <w:pStyle w:val="Testonotaapidipagina"/>
        <w:jc w:val="both"/>
        <w:rPr>
          <w:lang w:val="nl-NL"/>
        </w:rPr>
      </w:pPr>
      <w:r>
        <w:rPr>
          <w:rStyle w:val="Rimandonotaapidipagina"/>
        </w:rPr>
        <w:footnoteRef/>
      </w:r>
      <w:r>
        <w:rPr>
          <w:lang w:val="en-US"/>
        </w:rPr>
        <w:t xml:space="preserve"> </w:t>
      </w:r>
      <w:r w:rsidRPr="00810AEB">
        <w:rPr>
          <w:i/>
          <w:lang w:val="en-US"/>
        </w:rPr>
        <w:t>Reports of International Arbitral Awards</w:t>
      </w:r>
      <w:r w:rsidRPr="00814D56">
        <w:rPr>
          <w:lang w:val="en-US"/>
        </w:rPr>
        <w:t xml:space="preserve">, vol. </w:t>
      </w:r>
      <w:r w:rsidRPr="00605693">
        <w:rPr>
          <w:lang w:val="nl-NL"/>
        </w:rPr>
        <w:t>IV, p. 393.</w:t>
      </w:r>
    </w:p>
  </w:footnote>
  <w:footnote w:id="208">
    <w:p w:rsidR="003D54BB" w:rsidRPr="00B64677" w:rsidRDefault="003D54BB" w:rsidP="002D6E1D">
      <w:pPr>
        <w:pStyle w:val="Testonotaapidipagina"/>
        <w:jc w:val="both"/>
        <w:rPr>
          <w:lang w:val="en-US"/>
        </w:rPr>
      </w:pPr>
      <w:r>
        <w:rPr>
          <w:rStyle w:val="Rimandonotaapidipagina"/>
        </w:rPr>
        <w:footnoteRef/>
      </w:r>
      <w:r w:rsidRPr="00B64677">
        <w:rPr>
          <w:lang w:val="en-US"/>
        </w:rPr>
        <w:t xml:space="preserve"> </w:t>
      </w:r>
      <w:r w:rsidRPr="00B64677">
        <w:rPr>
          <w:i/>
          <w:lang w:val="en-US"/>
        </w:rPr>
        <w:t>Ibid</w:t>
      </w:r>
      <w:r w:rsidRPr="00B64677">
        <w:rPr>
          <w:lang w:val="en-US"/>
        </w:rPr>
        <w:t xml:space="preserve">., vol. IV, p.401. </w:t>
      </w:r>
      <w:r w:rsidRPr="004A4D20">
        <w:t xml:space="preserve">Con riferimento a fatti illeciti </w:t>
      </w:r>
      <w:r w:rsidRPr="004A4D20">
        <w:rPr>
          <w:i/>
        </w:rPr>
        <w:t>ultra vires</w:t>
      </w:r>
      <w:r w:rsidRPr="004A4D20">
        <w:t xml:space="preserve"> </w:t>
      </w:r>
      <w:r>
        <w:t xml:space="preserve">di poliziotti o funzionari di cui il Messico è stato ritenuto responsabile sul piano internazionale si vedano anche il caso </w:t>
      </w:r>
      <w:r w:rsidRPr="00CC7D17">
        <w:rPr>
          <w:i/>
        </w:rPr>
        <w:t>Roper v. United Mexican States</w:t>
      </w:r>
      <w:r>
        <w:t xml:space="preserve">, </w:t>
      </w:r>
      <w:r w:rsidRPr="00CC7D17">
        <w:rPr>
          <w:i/>
        </w:rPr>
        <w:t>AJIL</w:t>
      </w:r>
      <w:r>
        <w:t xml:space="preserve"> 1927, pp. 777-778 e il caso </w:t>
      </w:r>
      <w:r w:rsidRPr="00CC7D17">
        <w:rPr>
          <w:i/>
        </w:rPr>
        <w:t>Putnam v. United Mexican States</w:t>
      </w:r>
      <w:r>
        <w:t xml:space="preserve">, </w:t>
      </w:r>
      <w:r w:rsidRPr="00CC7D17">
        <w:rPr>
          <w:i/>
        </w:rPr>
        <w:t>AJIL</w:t>
      </w:r>
      <w:r>
        <w:t xml:space="preserve"> 1927, vol. 21, pp. 783-791. Per arresti illegali effettuati da funzionari senza una valida ragione si vedano inoltre il caso </w:t>
      </w:r>
      <w:r w:rsidRPr="00CC7D17">
        <w:rPr>
          <w:i/>
        </w:rPr>
        <w:t>Kalklosch v. United Mexican States</w:t>
      </w:r>
      <w:r>
        <w:t xml:space="preserve">, </w:t>
      </w:r>
      <w:r w:rsidRPr="00936C5D">
        <w:rPr>
          <w:i/>
        </w:rPr>
        <w:t>Reports of the International Arbitral Awards</w:t>
      </w:r>
      <w:r>
        <w:t xml:space="preserve">, vol. </w:t>
      </w:r>
      <w:r w:rsidRPr="00343CE6">
        <w:rPr>
          <w:lang w:val="en-US"/>
        </w:rPr>
        <w:t xml:space="preserve">IV, pp. 412-414; </w:t>
      </w:r>
      <w:r w:rsidRPr="00CC7D17">
        <w:rPr>
          <w:i/>
          <w:lang w:val="en-US"/>
        </w:rPr>
        <w:t>Knotts v. United Mexican States</w:t>
      </w:r>
      <w:r w:rsidRPr="00343CE6">
        <w:rPr>
          <w:lang w:val="en-US"/>
        </w:rPr>
        <w:t xml:space="preserve">, </w:t>
      </w:r>
      <w:r w:rsidRPr="00CC7D17">
        <w:rPr>
          <w:i/>
          <w:lang w:val="en-US"/>
        </w:rPr>
        <w:t>RSA</w:t>
      </w:r>
      <w:r w:rsidRPr="00343CE6">
        <w:rPr>
          <w:lang w:val="en-US"/>
        </w:rPr>
        <w:t xml:space="preserve"> ibid., pp. </w:t>
      </w:r>
      <w:r>
        <w:rPr>
          <w:lang w:val="en-US"/>
        </w:rPr>
        <w:t xml:space="preserve">537-538. </w:t>
      </w:r>
      <w:r w:rsidRPr="00343CE6">
        <w:t>In alcune circostanze infine il Messico è stato ritenuto internazionalmente responsabile per l’abuso di potere delle pro</w:t>
      </w:r>
      <w:r>
        <w:t>prie autorità amministrative quando</w:t>
      </w:r>
      <w:r w:rsidRPr="00343CE6">
        <w:t xml:space="preserve"> hanno tenuto in carcere dei cittadini americani per un period</w:t>
      </w:r>
      <w:r>
        <w:t>o</w:t>
      </w:r>
      <w:r w:rsidRPr="00343CE6">
        <w:t xml:space="preserve"> eccessivo prima di </w:t>
      </w:r>
      <w:r>
        <w:t>procede</w:t>
      </w:r>
      <w:r w:rsidRPr="00343CE6">
        <w:t xml:space="preserve">re </w:t>
      </w:r>
      <w:r>
        <w:t xml:space="preserve">al loro giudizio. </w:t>
      </w:r>
      <w:r w:rsidRPr="00E071D8">
        <w:rPr>
          <w:lang w:val="en-US"/>
        </w:rPr>
        <w:t xml:space="preserve">Si vedano i casi </w:t>
      </w:r>
      <w:r w:rsidRPr="00CC7D17">
        <w:rPr>
          <w:i/>
          <w:lang w:val="en-US"/>
        </w:rPr>
        <w:t>Roberts v. United Mexican States</w:t>
      </w:r>
      <w:r w:rsidRPr="00E071D8">
        <w:rPr>
          <w:lang w:val="en-US"/>
        </w:rPr>
        <w:t xml:space="preserve">, </w:t>
      </w:r>
      <w:r w:rsidRPr="00CC7D17">
        <w:rPr>
          <w:i/>
          <w:lang w:val="en-US"/>
        </w:rPr>
        <w:t xml:space="preserve">AJIL </w:t>
      </w:r>
      <w:r w:rsidRPr="00E071D8">
        <w:rPr>
          <w:lang w:val="en-US"/>
        </w:rPr>
        <w:t xml:space="preserve">1927, vol. 21, pp. 537-561; </w:t>
      </w:r>
      <w:r w:rsidRPr="00CC7D17">
        <w:rPr>
          <w:i/>
          <w:lang w:val="en-US"/>
        </w:rPr>
        <w:t>Turner v. United Mexican States</w:t>
      </w:r>
      <w:r w:rsidRPr="00E071D8">
        <w:rPr>
          <w:lang w:val="en-US"/>
        </w:rPr>
        <w:t xml:space="preserve">, </w:t>
      </w:r>
      <w:r w:rsidRPr="00CC7D17">
        <w:rPr>
          <w:i/>
          <w:lang w:val="en-US"/>
        </w:rPr>
        <w:t>AJIL</w:t>
      </w:r>
      <w:r w:rsidRPr="00E071D8">
        <w:rPr>
          <w:lang w:val="en-US"/>
        </w:rPr>
        <w:t xml:space="preserve"> 1928, VOL. 22, pp. 663-667 e </w:t>
      </w:r>
      <w:r w:rsidRPr="00CC7D17">
        <w:rPr>
          <w:i/>
          <w:lang w:val="en-US"/>
        </w:rPr>
        <w:t>Chazen v. United Mexican States</w:t>
      </w:r>
      <w:r w:rsidRPr="00E071D8">
        <w:rPr>
          <w:lang w:val="en-US"/>
        </w:rPr>
        <w:t xml:space="preserve">, </w:t>
      </w:r>
      <w:r w:rsidRPr="0016203E">
        <w:rPr>
          <w:i/>
          <w:lang w:val="en-US"/>
        </w:rPr>
        <w:t>Reports of the International Arbitral Awards</w:t>
      </w:r>
      <w:r>
        <w:rPr>
          <w:lang w:val="en-US"/>
        </w:rPr>
        <w:t xml:space="preserve">, vol. </w:t>
      </w:r>
      <w:r w:rsidRPr="00B64677">
        <w:rPr>
          <w:lang w:val="en-US"/>
        </w:rPr>
        <w:t xml:space="preserve">IV, pp. 564-575. </w:t>
      </w:r>
    </w:p>
  </w:footnote>
  <w:footnote w:id="209">
    <w:p w:rsidR="003D54BB" w:rsidRPr="00B64677" w:rsidRDefault="003D54BB" w:rsidP="002D6E1D">
      <w:pPr>
        <w:pStyle w:val="Testonotaapidipagina"/>
        <w:jc w:val="both"/>
        <w:rPr>
          <w:lang w:val="en-US"/>
        </w:rPr>
      </w:pPr>
      <w:r>
        <w:rPr>
          <w:rStyle w:val="Rimandonotaapidipagina"/>
        </w:rPr>
        <w:footnoteRef/>
      </w:r>
      <w:r w:rsidRPr="00B64677">
        <w:rPr>
          <w:lang w:val="en-US"/>
        </w:rPr>
        <w:t xml:space="preserve"> </w:t>
      </w:r>
      <w:r w:rsidRPr="00B64677">
        <w:rPr>
          <w:i/>
          <w:lang w:val="en-US"/>
        </w:rPr>
        <w:t>Lillie S. Kling v. United Mexican States</w:t>
      </w:r>
      <w:r w:rsidRPr="00B64677">
        <w:rPr>
          <w:lang w:val="en-US"/>
        </w:rPr>
        <w:t>, AJIL 1931, vol. 25, pp. 367-380.</w:t>
      </w:r>
    </w:p>
  </w:footnote>
  <w:footnote w:id="210">
    <w:p w:rsidR="003D54BB" w:rsidRPr="009E65B6" w:rsidRDefault="003D54BB" w:rsidP="002D6E1D">
      <w:pPr>
        <w:pStyle w:val="Testonotaapidipagina"/>
        <w:jc w:val="both"/>
      </w:pPr>
      <w:r>
        <w:rPr>
          <w:rStyle w:val="Rimandonotaapidipagina"/>
        </w:rPr>
        <w:footnoteRef/>
      </w:r>
      <w:r w:rsidRPr="009E65B6">
        <w:t xml:space="preserve"> </w:t>
      </w:r>
      <w:r w:rsidRPr="00B46012">
        <w:t xml:space="preserve">Vedi </w:t>
      </w:r>
      <w:r w:rsidRPr="00B46012">
        <w:rPr>
          <w:i/>
        </w:rPr>
        <w:t>supra</w:t>
      </w:r>
      <w:r>
        <w:t>, p. 74 ss.</w:t>
      </w:r>
    </w:p>
  </w:footnote>
  <w:footnote w:id="211">
    <w:p w:rsidR="003D54BB" w:rsidRPr="009E65B6" w:rsidRDefault="003D54BB" w:rsidP="002D6E1D">
      <w:pPr>
        <w:pStyle w:val="Testonotaapidipagina"/>
        <w:jc w:val="both"/>
        <w:rPr>
          <w:lang w:val="en-US"/>
        </w:rPr>
      </w:pPr>
      <w:r>
        <w:rPr>
          <w:rStyle w:val="Rimandonotaapidipagina"/>
        </w:rPr>
        <w:footnoteRef/>
      </w:r>
      <w:r>
        <w:t xml:space="preserve"> </w:t>
      </w:r>
      <w:r w:rsidRPr="00276115">
        <w:t xml:space="preserve">La Commissione dei reclami Stati Uniti/Messico ha reso altre sentenze inerenti l’assassinio da parte di soldati messicani di  cittadini americani nel caso </w:t>
      </w:r>
      <w:r w:rsidRPr="00276115">
        <w:rPr>
          <w:i/>
        </w:rPr>
        <w:t>Agnes Connelly (USA) v. United Mexican  States</w:t>
      </w:r>
      <w:r w:rsidRPr="00276115">
        <w:t xml:space="preserve"> (23 novembre 1926), </w:t>
      </w:r>
      <w:r w:rsidRPr="00276115">
        <w:rPr>
          <w:i/>
        </w:rPr>
        <w:t>American Journal of International Law</w:t>
      </w:r>
      <w:r w:rsidRPr="00276115">
        <w:t xml:space="preserve"> 1927, pp. 579 – 581; </w:t>
      </w:r>
      <w:r w:rsidRPr="00276115">
        <w:rPr>
          <w:i/>
        </w:rPr>
        <w:t>Mary Evangeline Arnold Munroe (USA) v. United Mexican States</w:t>
      </w:r>
      <w:r w:rsidRPr="00276115">
        <w:t xml:space="preserve"> (17 maggio 1929), </w:t>
      </w:r>
      <w:r w:rsidRPr="00276115">
        <w:rPr>
          <w:i/>
        </w:rPr>
        <w:t>Reports of International Arbitral Awards</w:t>
      </w:r>
      <w:r w:rsidRPr="00276115">
        <w:t>, vol. IV, p. 538.</w:t>
      </w:r>
      <w:r>
        <w:t xml:space="preserve"> </w:t>
      </w:r>
      <w:r w:rsidRPr="00FC715C">
        <w:t xml:space="preserve">Per quanto concerne fatti illeciti </w:t>
      </w:r>
      <w:r>
        <w:t xml:space="preserve">non autorizzati </w:t>
      </w:r>
      <w:r w:rsidRPr="00FC715C">
        <w:t>di s</w:t>
      </w:r>
      <w:r>
        <w:t xml:space="preserve">oldati, </w:t>
      </w:r>
      <w:r w:rsidRPr="00FC715C">
        <w:t xml:space="preserve">con riferimento ai quali </w:t>
      </w:r>
      <w:r>
        <w:t xml:space="preserve">il Governo messicano è stato ritenuto internazionalmente responsabile, è possibile ancora citare numerosi casi. Si vedano la sentenza resa il 16 novembre 1926 nel caso </w:t>
      </w:r>
      <w:r>
        <w:rPr>
          <w:i/>
        </w:rPr>
        <w:t>J.W. and N.L. Swinney</w:t>
      </w:r>
      <w:r w:rsidRPr="00FC715C">
        <w:rPr>
          <w:i/>
        </w:rPr>
        <w:t xml:space="preserve"> v. United Mexican States</w:t>
      </w:r>
      <w:r>
        <w:t xml:space="preserve">, </w:t>
      </w:r>
      <w:r w:rsidRPr="00984256">
        <w:rPr>
          <w:i/>
        </w:rPr>
        <w:t>AJIL</w:t>
      </w:r>
      <w:r>
        <w:t xml:space="preserve"> 1927, pp. 562-566 e RSA vol. IV, pp. 98-101. Nell’ambito del caso </w:t>
      </w:r>
      <w:r w:rsidRPr="007C5413">
        <w:rPr>
          <w:i/>
        </w:rPr>
        <w:t>Gordon v. United Mexican States</w:t>
      </w:r>
      <w:r>
        <w:t xml:space="preserve">, il giudice Nielsen ha fatto riferimento alla pronuncia resa dalla medesima Commissione nel caso </w:t>
      </w:r>
      <w:r w:rsidRPr="001D1AA4">
        <w:rPr>
          <w:i/>
        </w:rPr>
        <w:t>Youmans</w:t>
      </w:r>
      <w:r>
        <w:t xml:space="preserve"> al fine di sostenere, contrariamente all’opinione della maggioranza dei suoi membri, che il comportamento illecito di due soldati messicani doveva essere attribuito allo Stato: il 23 novembre 1912, un cittadino statunitense di nome Gordon era stato accidentalmente ucciso da due militari messicani che si allenavano a sparare dal recinto di un forte. La maggioranza dei membri della Commissione non ha aderito alle conclusioni del Governo degli Stati Uniti, secondo cui gli organi avevano tenuto tale comportamento nell’esercizio delle proprie funzioni, e ha ritenuto che lo Stato non dovesse risponderne sul piano internazionale in quanto tali spari dovevano essere assimilati ad un atto di natura privata che non aveva alcun legame con l’esercizio della funzione ufficiale.</w:t>
      </w:r>
      <w:r w:rsidRPr="004031B5">
        <w:rPr>
          <w:i/>
        </w:rPr>
        <w:t xml:space="preserve"> </w:t>
      </w:r>
      <w:r w:rsidRPr="009E65B6">
        <w:rPr>
          <w:i/>
          <w:lang w:val="en-US"/>
        </w:rPr>
        <w:t>AJIL</w:t>
      </w:r>
      <w:r w:rsidRPr="009E65B6">
        <w:rPr>
          <w:lang w:val="en-US"/>
        </w:rPr>
        <w:t xml:space="preserve"> 1931, vol. 25, pp. 384-388.</w:t>
      </w:r>
    </w:p>
  </w:footnote>
  <w:footnote w:id="212">
    <w:p w:rsidR="003D54BB" w:rsidRPr="003E0C22" w:rsidRDefault="003D54BB" w:rsidP="002D6E1D">
      <w:pPr>
        <w:pStyle w:val="Testonotaapidipagina"/>
        <w:jc w:val="both"/>
        <w:rPr>
          <w:lang w:val="en-US"/>
        </w:rPr>
      </w:pPr>
      <w:r>
        <w:rPr>
          <w:rStyle w:val="Rimandonotaapidipagina"/>
        </w:rPr>
        <w:footnoteRef/>
      </w:r>
      <w:r w:rsidRPr="00A34747">
        <w:rPr>
          <w:lang w:val="en-US"/>
        </w:rPr>
        <w:t xml:space="preserve"> </w:t>
      </w:r>
      <w:r w:rsidRPr="00A34747">
        <w:rPr>
          <w:i/>
          <w:lang w:val="en-US"/>
        </w:rPr>
        <w:t>Charles S. Stephens and Bowman Stephens (U.S.A.) v. United Mexican States</w:t>
      </w:r>
      <w:r>
        <w:rPr>
          <w:lang w:val="en-US"/>
        </w:rPr>
        <w:t xml:space="preserve">, in </w:t>
      </w:r>
      <w:r w:rsidRPr="003E0C22">
        <w:rPr>
          <w:i/>
          <w:lang w:val="en-US"/>
        </w:rPr>
        <w:t>Reports o</w:t>
      </w:r>
      <w:r>
        <w:rPr>
          <w:i/>
          <w:lang w:val="en-US"/>
        </w:rPr>
        <w:t>f International Arbitral Awards</w:t>
      </w:r>
      <w:r>
        <w:rPr>
          <w:lang w:val="en-US"/>
        </w:rPr>
        <w:t>, vol. IV, pp. 265-268.</w:t>
      </w:r>
    </w:p>
  </w:footnote>
  <w:footnote w:id="213">
    <w:p w:rsidR="003D54BB" w:rsidRPr="007718A0" w:rsidRDefault="003D54BB" w:rsidP="002D6E1D">
      <w:pPr>
        <w:pStyle w:val="Testonotaapidipagina"/>
        <w:jc w:val="both"/>
        <w:rPr>
          <w:lang w:val="en-US"/>
        </w:rPr>
      </w:pPr>
      <w:r>
        <w:rPr>
          <w:rStyle w:val="Rimandonotaapidipagina"/>
        </w:rPr>
        <w:footnoteRef/>
      </w:r>
      <w:r w:rsidRPr="007718A0">
        <w:rPr>
          <w:lang w:val="en-US"/>
        </w:rPr>
        <w:t xml:space="preserve"> </w:t>
      </w:r>
      <w:r w:rsidRPr="007718A0">
        <w:rPr>
          <w:i/>
          <w:lang w:val="en-US"/>
        </w:rPr>
        <w:t>Ibid</w:t>
      </w:r>
      <w:r w:rsidRPr="007718A0">
        <w:rPr>
          <w:lang w:val="en-US"/>
        </w:rPr>
        <w:t>., p. 267, par. 6.</w:t>
      </w:r>
    </w:p>
  </w:footnote>
  <w:footnote w:id="214">
    <w:p w:rsidR="003D54BB" w:rsidRPr="00907AA8" w:rsidRDefault="003D54BB" w:rsidP="002D6E1D">
      <w:pPr>
        <w:pStyle w:val="Testonotaapidipagina"/>
        <w:jc w:val="both"/>
        <w:rPr>
          <w:lang w:val="en-US"/>
        </w:rPr>
      </w:pPr>
      <w:r>
        <w:rPr>
          <w:rStyle w:val="Rimandonotaapidipagina"/>
        </w:rPr>
        <w:footnoteRef/>
      </w:r>
      <w:r w:rsidRPr="00907AA8">
        <w:rPr>
          <w:lang w:val="en-US"/>
        </w:rPr>
        <w:t xml:space="preserve"> “</w:t>
      </w:r>
      <w:r w:rsidRPr="00FD3080">
        <w:rPr>
          <w:lang w:val="en-US"/>
        </w:rPr>
        <w:t>Bringing the facts to the tests expounded in paragraph 5 of the last cited opinion, there can be no doubt about the reckless character of the act. To hold this means a different thing from establishing that Valenzuela's act under Mexican law was punishable, a question which it is not for this Commission to decide…</w:t>
      </w:r>
      <w:r>
        <w:rPr>
          <w:lang w:val="en-US"/>
        </w:rPr>
        <w:t xml:space="preserve">”. </w:t>
      </w:r>
      <w:r w:rsidRPr="00907AA8">
        <w:rPr>
          <w:i/>
          <w:lang w:val="en-US"/>
        </w:rPr>
        <w:t>Ibid</w:t>
      </w:r>
      <w:r>
        <w:rPr>
          <w:lang w:val="en-US"/>
        </w:rPr>
        <w:t>., p. 267.</w:t>
      </w:r>
    </w:p>
  </w:footnote>
  <w:footnote w:id="215">
    <w:p w:rsidR="003D54BB" w:rsidRPr="007718A0" w:rsidRDefault="003D54BB" w:rsidP="002D6E1D">
      <w:pPr>
        <w:pStyle w:val="Testonotaapidipagina"/>
        <w:rPr>
          <w:lang w:val="en-US"/>
        </w:rPr>
      </w:pPr>
      <w:r>
        <w:rPr>
          <w:rStyle w:val="Rimandonotaapidipagina"/>
        </w:rPr>
        <w:footnoteRef/>
      </w:r>
      <w:r w:rsidRPr="007718A0">
        <w:rPr>
          <w:lang w:val="en-US"/>
        </w:rPr>
        <w:t xml:space="preserve"> </w:t>
      </w:r>
      <w:r w:rsidRPr="007718A0">
        <w:rPr>
          <w:i/>
          <w:lang w:val="en-US"/>
        </w:rPr>
        <w:t>Ibid</w:t>
      </w:r>
      <w:r w:rsidRPr="007718A0">
        <w:rPr>
          <w:lang w:val="en-US"/>
        </w:rPr>
        <w:t>., p. 267, par. 7.</w:t>
      </w:r>
    </w:p>
  </w:footnote>
  <w:footnote w:id="216">
    <w:p w:rsidR="003D54BB" w:rsidRPr="00B84989" w:rsidRDefault="003D54BB" w:rsidP="002D6E1D">
      <w:pPr>
        <w:pStyle w:val="Testonotaapidipagina"/>
        <w:jc w:val="both"/>
        <w:rPr>
          <w:lang w:val="en-US"/>
        </w:rPr>
      </w:pPr>
      <w:r>
        <w:rPr>
          <w:rStyle w:val="Rimandonotaapidipagina"/>
        </w:rPr>
        <w:footnoteRef/>
      </w:r>
      <w:r w:rsidRPr="00B84989">
        <w:rPr>
          <w:lang w:val="en-US"/>
        </w:rPr>
        <w:t xml:space="preserve"> </w:t>
      </w:r>
      <w:r w:rsidRPr="00FD3080">
        <w:rPr>
          <w:lang w:val="en-US"/>
        </w:rPr>
        <w:t>“There should be no difficulty for the Commission to hold that Valenzuela when trying to halt the car acted in the line of duty”.</w:t>
      </w:r>
      <w:r>
        <w:rPr>
          <w:lang w:val="en-US"/>
        </w:rPr>
        <w:t xml:space="preserve"> </w:t>
      </w:r>
      <w:r w:rsidRPr="00440241">
        <w:rPr>
          <w:i/>
          <w:lang w:val="en-US"/>
        </w:rPr>
        <w:t>Ibid</w:t>
      </w:r>
      <w:r>
        <w:rPr>
          <w:lang w:val="en-US"/>
        </w:rPr>
        <w:t>., p. 267, par. 6.</w:t>
      </w:r>
    </w:p>
  </w:footnote>
  <w:footnote w:id="217">
    <w:p w:rsidR="003D54BB" w:rsidRPr="00655040" w:rsidRDefault="003D54BB" w:rsidP="00CA5718">
      <w:pPr>
        <w:pStyle w:val="Testonotaapidipagina"/>
        <w:jc w:val="both"/>
        <w:rPr>
          <w:lang w:val="en-US"/>
        </w:rPr>
      </w:pPr>
      <w:r>
        <w:rPr>
          <w:rStyle w:val="Rimandonotaapidipagina"/>
        </w:rPr>
        <w:footnoteRef/>
      </w:r>
      <w:r w:rsidRPr="0016203E">
        <w:rPr>
          <w:lang w:val="en-US"/>
        </w:rPr>
        <w:t xml:space="preserve"> </w:t>
      </w:r>
      <w:r w:rsidRPr="0016203E">
        <w:rPr>
          <w:i/>
          <w:lang w:val="en-US"/>
        </w:rPr>
        <w:t>Guillermo Colunje (Panama) v. United States</w:t>
      </w:r>
      <w:r w:rsidRPr="0016203E">
        <w:rPr>
          <w:lang w:val="en-US"/>
        </w:rPr>
        <w:t xml:space="preserve">, </w:t>
      </w:r>
      <w:r w:rsidRPr="0016203E">
        <w:rPr>
          <w:i/>
          <w:lang w:val="en-US"/>
        </w:rPr>
        <w:t>Reports of the International Arbitral Awards</w:t>
      </w:r>
      <w:r w:rsidRPr="0016203E">
        <w:rPr>
          <w:lang w:val="en-US"/>
        </w:rPr>
        <w:t xml:space="preserve">, vol. </w:t>
      </w:r>
      <w:r w:rsidRPr="00655040">
        <w:rPr>
          <w:lang w:val="en-US"/>
        </w:rPr>
        <w:t>V</w:t>
      </w:r>
      <w:r>
        <w:rPr>
          <w:lang w:val="en-US"/>
        </w:rPr>
        <w:t>I, pp. 342–</w:t>
      </w:r>
      <w:r w:rsidRPr="00655040">
        <w:rPr>
          <w:lang w:val="en-US"/>
        </w:rPr>
        <w:t>344.</w:t>
      </w:r>
    </w:p>
  </w:footnote>
  <w:footnote w:id="218">
    <w:p w:rsidR="003D54BB" w:rsidRPr="00936C5D" w:rsidRDefault="003D54BB" w:rsidP="00CA5718">
      <w:pPr>
        <w:pStyle w:val="Testonotaapidipagina"/>
        <w:jc w:val="both"/>
        <w:rPr>
          <w:lang w:val="en-US"/>
        </w:rPr>
      </w:pPr>
      <w:r>
        <w:rPr>
          <w:rStyle w:val="Rimandonotaapidipagina"/>
        </w:rPr>
        <w:footnoteRef/>
      </w:r>
      <w:r w:rsidRPr="00936C5D">
        <w:rPr>
          <w:lang w:val="en-US"/>
        </w:rPr>
        <w:t xml:space="preserve"> </w:t>
      </w:r>
      <w:r>
        <w:rPr>
          <w:lang w:val="en-US"/>
        </w:rPr>
        <w:t>“</w:t>
      </w:r>
      <w:r w:rsidRPr="00936C5D">
        <w:rPr>
          <w:i/>
          <w:lang w:val="en-US"/>
        </w:rPr>
        <w:t>For this act of a police agent in the performance of his functions, the United States of America should be held liable</w:t>
      </w:r>
      <w:r>
        <w:rPr>
          <w:lang w:val="en-US"/>
        </w:rPr>
        <w:t xml:space="preserve">”. </w:t>
      </w:r>
      <w:r w:rsidRPr="00936C5D">
        <w:rPr>
          <w:i/>
          <w:lang w:val="en-US"/>
        </w:rPr>
        <w:t>Ibid</w:t>
      </w:r>
      <w:r>
        <w:rPr>
          <w:lang w:val="en-US"/>
        </w:rPr>
        <w:t>., p. 534.</w:t>
      </w:r>
    </w:p>
  </w:footnote>
  <w:footnote w:id="219">
    <w:p w:rsidR="003D54BB" w:rsidRPr="00655040" w:rsidRDefault="003D54BB" w:rsidP="005A6826">
      <w:pPr>
        <w:pStyle w:val="Testonotaapidipagina"/>
        <w:jc w:val="both"/>
        <w:rPr>
          <w:lang w:val="en-US"/>
        </w:rPr>
      </w:pPr>
      <w:r>
        <w:rPr>
          <w:rStyle w:val="Rimandonotaapidipagina"/>
        </w:rPr>
        <w:footnoteRef/>
      </w:r>
      <w:r w:rsidRPr="00810AEB">
        <w:rPr>
          <w:lang w:val="en-US"/>
        </w:rPr>
        <w:t xml:space="preserve"> </w:t>
      </w:r>
      <w:r w:rsidRPr="00810AEB">
        <w:rPr>
          <w:i/>
          <w:lang w:val="en-US"/>
        </w:rPr>
        <w:t xml:space="preserve">Reports </w:t>
      </w:r>
      <w:r>
        <w:rPr>
          <w:i/>
          <w:lang w:val="en-US"/>
        </w:rPr>
        <w:t>of International Arbitral Awards</w:t>
      </w:r>
      <w:r w:rsidRPr="00810AEB">
        <w:rPr>
          <w:lang w:val="en-US"/>
        </w:rPr>
        <w:t xml:space="preserve">, vol. </w:t>
      </w:r>
      <w:r w:rsidRPr="00655040">
        <w:rPr>
          <w:lang w:val="en-US"/>
        </w:rPr>
        <w:t>XIII, pp. 486–495.</w:t>
      </w:r>
    </w:p>
  </w:footnote>
  <w:footnote w:id="220">
    <w:p w:rsidR="003D54BB" w:rsidRPr="00874DA6" w:rsidRDefault="003D54BB" w:rsidP="005A6826">
      <w:pPr>
        <w:pStyle w:val="Testonotaapidipagina"/>
        <w:jc w:val="both"/>
        <w:rPr>
          <w:lang w:val="en-US"/>
        </w:rPr>
      </w:pPr>
      <w:r>
        <w:rPr>
          <w:rStyle w:val="Rimandonotaapidipagina"/>
        </w:rPr>
        <w:footnoteRef/>
      </w:r>
      <w:r w:rsidRPr="00874DA6">
        <w:rPr>
          <w:lang w:val="en-US"/>
        </w:rPr>
        <w:t xml:space="preserve"> </w:t>
      </w:r>
      <w:r w:rsidRPr="00874DA6">
        <w:rPr>
          <w:i/>
          <w:lang w:val="en-US"/>
        </w:rPr>
        <w:t>Reports of International Arbitral Awards</w:t>
      </w:r>
      <w:r w:rsidRPr="00874DA6">
        <w:rPr>
          <w:lang w:val="en-US"/>
        </w:rPr>
        <w:t xml:space="preserve">, </w:t>
      </w:r>
      <w:r>
        <w:rPr>
          <w:lang w:val="en-US"/>
        </w:rPr>
        <w:t>vol. XVIII, pp. 258-270.</w:t>
      </w:r>
    </w:p>
  </w:footnote>
  <w:footnote w:id="221">
    <w:p w:rsidR="003D54BB" w:rsidRPr="00B64677" w:rsidRDefault="003D54BB" w:rsidP="005A6826">
      <w:pPr>
        <w:pStyle w:val="Testonotaapidipagina"/>
        <w:jc w:val="both"/>
        <w:rPr>
          <w:lang w:val="en-US"/>
        </w:rPr>
      </w:pPr>
      <w:r>
        <w:rPr>
          <w:rStyle w:val="Rimandonotaapidipagina"/>
        </w:rPr>
        <w:footnoteRef/>
      </w:r>
      <w:r w:rsidRPr="00B64677">
        <w:rPr>
          <w:lang w:val="en-US"/>
        </w:rPr>
        <w:t xml:space="preserve"> </w:t>
      </w:r>
      <w:r w:rsidRPr="00B64677">
        <w:rPr>
          <w:i/>
          <w:lang w:val="en-US"/>
        </w:rPr>
        <w:t>Ibid</w:t>
      </w:r>
      <w:r w:rsidRPr="00B64677">
        <w:rPr>
          <w:lang w:val="en-US"/>
        </w:rPr>
        <w:t xml:space="preserve">., p. 489. </w:t>
      </w:r>
    </w:p>
  </w:footnote>
  <w:footnote w:id="222">
    <w:p w:rsidR="003D54BB" w:rsidRPr="00B64677" w:rsidRDefault="003D54BB" w:rsidP="005A6826">
      <w:pPr>
        <w:pStyle w:val="Testonotaapidipagina"/>
        <w:jc w:val="both"/>
        <w:rPr>
          <w:lang w:val="en-US"/>
        </w:rPr>
      </w:pPr>
      <w:r>
        <w:rPr>
          <w:rStyle w:val="Rimandonotaapidipagina"/>
        </w:rPr>
        <w:footnoteRef/>
      </w:r>
      <w:r w:rsidRPr="00B64677">
        <w:rPr>
          <w:i/>
          <w:lang w:val="en-US"/>
        </w:rPr>
        <w:t xml:space="preserve"> Ibid</w:t>
      </w:r>
      <w:r w:rsidRPr="00B64677">
        <w:rPr>
          <w:lang w:val="en-US"/>
        </w:rPr>
        <w:t>., p. 494.</w:t>
      </w:r>
    </w:p>
  </w:footnote>
  <w:footnote w:id="223">
    <w:p w:rsidR="003D54BB" w:rsidRPr="004509AD" w:rsidRDefault="003D54BB" w:rsidP="005A6826">
      <w:pPr>
        <w:pStyle w:val="Testonotaapidipagina"/>
        <w:jc w:val="both"/>
        <w:rPr>
          <w:lang w:val="en-US"/>
        </w:rPr>
      </w:pPr>
      <w:r>
        <w:rPr>
          <w:rStyle w:val="Rimandonotaapidipagina"/>
        </w:rPr>
        <w:footnoteRef/>
      </w:r>
      <w:r w:rsidRPr="004509AD">
        <w:rPr>
          <w:lang w:val="en-US"/>
        </w:rPr>
        <w:t xml:space="preserve"> Così anche AGO, </w:t>
      </w:r>
      <w:r w:rsidRPr="004509AD">
        <w:rPr>
          <w:i/>
          <w:lang w:val="en-US"/>
        </w:rPr>
        <w:t>Quatrième rapport</w:t>
      </w:r>
      <w:r w:rsidRPr="004509AD">
        <w:rPr>
          <w:lang w:val="en-US"/>
        </w:rPr>
        <w:t xml:space="preserve">, </w:t>
      </w:r>
      <w:r w:rsidRPr="004509AD">
        <w:rPr>
          <w:i/>
          <w:lang w:val="en-US"/>
        </w:rPr>
        <w:t>cit</w:t>
      </w:r>
      <w:r w:rsidRPr="004509AD">
        <w:rPr>
          <w:lang w:val="en-US"/>
        </w:rPr>
        <w:t xml:space="preserve">., p. 84, par. 42.  </w:t>
      </w:r>
    </w:p>
  </w:footnote>
  <w:footnote w:id="224">
    <w:p w:rsidR="003D54BB" w:rsidRPr="004509AD" w:rsidRDefault="003D54BB" w:rsidP="00CA5718">
      <w:pPr>
        <w:pStyle w:val="Testonotaapidipagina"/>
        <w:rPr>
          <w:lang w:val="en-US"/>
        </w:rPr>
      </w:pPr>
      <w:r>
        <w:rPr>
          <w:rStyle w:val="Rimandonotaapidipagina"/>
        </w:rPr>
        <w:footnoteRef/>
      </w:r>
      <w:r w:rsidRPr="004509AD">
        <w:rPr>
          <w:lang w:val="en-US"/>
        </w:rPr>
        <w:t xml:space="preserve"> </w:t>
      </w:r>
      <w:r w:rsidRPr="004509AD">
        <w:rPr>
          <w:i/>
          <w:lang w:val="en-US"/>
        </w:rPr>
        <w:t>Reports of International Arbitral Awards</w:t>
      </w:r>
      <w:r w:rsidRPr="004509AD">
        <w:rPr>
          <w:lang w:val="en-US"/>
        </w:rPr>
        <w:t>, vol. XIII, pp. 258–270.</w:t>
      </w:r>
    </w:p>
  </w:footnote>
  <w:footnote w:id="225">
    <w:p w:rsidR="003D54BB" w:rsidRPr="004509AD" w:rsidRDefault="003D54BB">
      <w:pPr>
        <w:pStyle w:val="Testonotaapidipagina"/>
        <w:rPr>
          <w:lang w:val="en-US"/>
        </w:rPr>
      </w:pPr>
      <w:r>
        <w:rPr>
          <w:rStyle w:val="Rimandonotaapidipagina"/>
        </w:rPr>
        <w:footnoteRef/>
      </w:r>
      <w:r w:rsidRPr="004509AD">
        <w:rPr>
          <w:lang w:val="en-US"/>
        </w:rPr>
        <w:t xml:space="preserve"> Vedi</w:t>
      </w:r>
      <w:r w:rsidRPr="004509AD">
        <w:rPr>
          <w:i/>
          <w:lang w:val="en-US"/>
        </w:rPr>
        <w:t xml:space="preserve"> supra</w:t>
      </w:r>
      <w:r w:rsidRPr="004509AD">
        <w:rPr>
          <w:lang w:val="en-US"/>
        </w:rPr>
        <w:t>, p. 69 ss.</w:t>
      </w:r>
    </w:p>
  </w:footnote>
  <w:footnote w:id="226">
    <w:p w:rsidR="003D54BB" w:rsidRPr="001F0B30" w:rsidRDefault="003D54BB" w:rsidP="00CA5718">
      <w:pPr>
        <w:pStyle w:val="Testonotaapidipagina"/>
        <w:jc w:val="both"/>
        <w:rPr>
          <w:lang w:val="fr-FR"/>
        </w:rPr>
      </w:pPr>
      <w:r>
        <w:rPr>
          <w:rStyle w:val="Rimandonotaapidipagina"/>
        </w:rPr>
        <w:footnoteRef/>
      </w:r>
      <w:r w:rsidRPr="001F0B30">
        <w:rPr>
          <w:lang w:val="fr-FR"/>
        </w:rPr>
        <w:t xml:space="preserve"> </w:t>
      </w:r>
      <w:r w:rsidRPr="001F0B30">
        <w:rPr>
          <w:i/>
          <w:lang w:val="fr-FR"/>
        </w:rPr>
        <w:t>Certaines dépenses des Nations</w:t>
      </w:r>
      <w:r w:rsidRPr="001F0B30">
        <w:rPr>
          <w:lang w:val="fr-FR"/>
        </w:rPr>
        <w:t xml:space="preserve"> </w:t>
      </w:r>
      <w:r w:rsidRPr="00ED498E">
        <w:rPr>
          <w:i/>
          <w:lang w:val="fr-FR"/>
        </w:rPr>
        <w:t>Unies</w:t>
      </w:r>
      <w:r w:rsidRPr="001F0B30">
        <w:rPr>
          <w:lang w:val="fr-FR"/>
        </w:rPr>
        <w:t xml:space="preserve">, </w:t>
      </w:r>
      <w:r w:rsidRPr="00ED498E">
        <w:rPr>
          <w:i/>
          <w:lang w:val="fr-FR"/>
        </w:rPr>
        <w:t>Avis consultatif du 20 juillet 1962</w:t>
      </w:r>
      <w:r>
        <w:rPr>
          <w:lang w:val="fr-FR"/>
        </w:rPr>
        <w:t xml:space="preserve">, </w:t>
      </w:r>
      <w:r w:rsidRPr="00ED498E">
        <w:rPr>
          <w:i/>
          <w:lang w:val="fr-FR"/>
        </w:rPr>
        <w:t>C.I.G. Rec</w:t>
      </w:r>
      <w:r w:rsidRPr="005D2546">
        <w:rPr>
          <w:i/>
          <w:lang w:val="fr-FR"/>
        </w:rPr>
        <w:t>ueil</w:t>
      </w:r>
      <w:r>
        <w:rPr>
          <w:lang w:val="fr-FR"/>
        </w:rPr>
        <w:t>, 1962, pp. 151–180.</w:t>
      </w:r>
    </w:p>
  </w:footnote>
  <w:footnote w:id="227">
    <w:p w:rsidR="003D54BB" w:rsidRPr="002B2B52" w:rsidRDefault="003D54BB" w:rsidP="00CA5718">
      <w:pPr>
        <w:pStyle w:val="Testonotaapidipagina"/>
        <w:rPr>
          <w:lang w:val="en-US"/>
        </w:rPr>
      </w:pPr>
      <w:r>
        <w:rPr>
          <w:rStyle w:val="Rimandonotaapidipagina"/>
        </w:rPr>
        <w:footnoteRef/>
      </w:r>
      <w:r w:rsidRPr="00B163FD">
        <w:rPr>
          <w:lang w:val="en-US"/>
        </w:rPr>
        <w:t xml:space="preserve"> </w:t>
      </w:r>
      <w:r w:rsidRPr="00B163FD">
        <w:rPr>
          <w:i/>
          <w:lang w:val="en-US"/>
        </w:rPr>
        <w:t>Yearbook of th</w:t>
      </w:r>
      <w:r w:rsidRPr="002B2B52">
        <w:rPr>
          <w:i/>
          <w:lang w:val="en-US"/>
        </w:rPr>
        <w:t>e United Nations</w:t>
      </w:r>
      <w:r w:rsidRPr="002B2B52">
        <w:rPr>
          <w:lang w:val="en-US"/>
        </w:rPr>
        <w:t xml:space="preserve"> 1961, pp. </w:t>
      </w:r>
      <w:r>
        <w:rPr>
          <w:lang w:val="en-US"/>
        </w:rPr>
        <w:t>510–511 e pp. 569 –572.</w:t>
      </w:r>
    </w:p>
  </w:footnote>
  <w:footnote w:id="228">
    <w:p w:rsidR="003D54BB" w:rsidRPr="00276115" w:rsidRDefault="003D54BB" w:rsidP="00C45E47">
      <w:pPr>
        <w:pStyle w:val="Testonotaapidipagina"/>
        <w:jc w:val="both"/>
      </w:pPr>
      <w:r>
        <w:rPr>
          <w:rStyle w:val="Rimandonotaapidipagina"/>
        </w:rPr>
        <w:footnoteRef/>
      </w:r>
      <w:r w:rsidRPr="00276115">
        <w:rPr>
          <w:i/>
        </w:rPr>
        <w:t xml:space="preserve"> Ibid</w:t>
      </w:r>
      <w:r w:rsidRPr="00276115">
        <w:t xml:space="preserve">., pp. 473–477, spec. p. 474. </w:t>
      </w:r>
    </w:p>
  </w:footnote>
  <w:footnote w:id="229">
    <w:p w:rsidR="003D54BB" w:rsidRPr="00C45E47" w:rsidRDefault="003D54BB" w:rsidP="00C45E47">
      <w:pPr>
        <w:pStyle w:val="Testonotaapidipagina"/>
        <w:jc w:val="both"/>
      </w:pPr>
      <w:r>
        <w:rPr>
          <w:rStyle w:val="Rimandonotaapidipagina"/>
        </w:rPr>
        <w:footnoteRef/>
      </w:r>
      <w:r w:rsidRPr="00C45E47">
        <w:t xml:space="preserve"> </w:t>
      </w:r>
      <w:r>
        <w:t xml:space="preserve">Si veda </w:t>
      </w:r>
      <w:r w:rsidRPr="009F72FD">
        <w:rPr>
          <w:i/>
        </w:rPr>
        <w:t>supra</w:t>
      </w:r>
      <w:r>
        <w:t>, p. 13 ss. C</w:t>
      </w:r>
      <w:r w:rsidRPr="00C45E47">
        <w:t xml:space="preserve">on riferimento alla questione della responsabilità dello Stato per I fatti illeciti </w:t>
      </w:r>
      <w:r w:rsidRPr="008254CD">
        <w:rPr>
          <w:i/>
        </w:rPr>
        <w:t>ultra vires</w:t>
      </w:r>
      <w:r w:rsidRPr="00C45E47">
        <w:t xml:space="preserve">, </w:t>
      </w:r>
      <w:r>
        <w:t xml:space="preserve">sembra inoltre opportuno puntualizzare che </w:t>
      </w:r>
      <w:r w:rsidRPr="00C45E47">
        <w:t>il rapport</w:t>
      </w:r>
      <w:r>
        <w:t>o</w:t>
      </w:r>
      <w:r w:rsidRPr="00C45E47">
        <w:t xml:space="preserve"> è stato materialmente redatto dal </w:t>
      </w:r>
      <w:r>
        <w:t xml:space="preserve">solo </w:t>
      </w:r>
      <w:r w:rsidRPr="00C45E47">
        <w:t>membro Guerrero.</w:t>
      </w:r>
    </w:p>
  </w:footnote>
  <w:footnote w:id="230">
    <w:p w:rsidR="003D54BB" w:rsidRPr="008C2E86" w:rsidRDefault="003D54BB" w:rsidP="00332098">
      <w:pPr>
        <w:pStyle w:val="Testonotaapidipagina"/>
        <w:jc w:val="both"/>
        <w:rPr>
          <w:lang w:val="en-US"/>
        </w:rPr>
      </w:pPr>
      <w:r>
        <w:rPr>
          <w:rStyle w:val="Rimandonotaapidipagina"/>
        </w:rPr>
        <w:footnoteRef/>
      </w:r>
      <w:r w:rsidRPr="008C2E86">
        <w:rPr>
          <w:lang w:val="en-US"/>
        </w:rPr>
        <w:t xml:space="preserve"> </w:t>
      </w:r>
      <w:r w:rsidRPr="008C2E86">
        <w:rPr>
          <w:i/>
          <w:lang w:val="en-US"/>
        </w:rPr>
        <w:t>Report of the Sub-Committee</w:t>
      </w:r>
      <w:r w:rsidRPr="008C2E86">
        <w:rPr>
          <w:lang w:val="en-US"/>
        </w:rPr>
        <w:t xml:space="preserve"> </w:t>
      </w:r>
      <w:r>
        <w:rPr>
          <w:lang w:val="en-US"/>
        </w:rPr>
        <w:t xml:space="preserve">, riprodotto in lingua inglese </w:t>
      </w:r>
      <w:r w:rsidRPr="008C2E86">
        <w:rPr>
          <w:lang w:val="en-US"/>
        </w:rPr>
        <w:t>in ROSENNE,</w:t>
      </w:r>
      <w:r w:rsidRPr="008C2E86">
        <w:rPr>
          <w:i/>
          <w:lang w:val="en-US"/>
        </w:rPr>
        <w:t xml:space="preserve"> League of Nations</w:t>
      </w:r>
      <w:r w:rsidRPr="008C2E86">
        <w:rPr>
          <w:lang w:val="en-US"/>
        </w:rPr>
        <w:t xml:space="preserve">, </w:t>
      </w:r>
      <w:r w:rsidRPr="008C2E86">
        <w:rPr>
          <w:i/>
          <w:lang w:val="en-US"/>
        </w:rPr>
        <w:t>Committee of Experts for the Progressive Codification of International Law</w:t>
      </w:r>
      <w:r w:rsidRPr="008C2E86">
        <w:rPr>
          <w:lang w:val="en-US"/>
        </w:rPr>
        <w:t xml:space="preserve"> (1925-1928), vol. </w:t>
      </w:r>
      <w:r>
        <w:rPr>
          <w:lang w:val="en-US"/>
        </w:rPr>
        <w:t>2, Documents, p. 123.</w:t>
      </w:r>
    </w:p>
  </w:footnote>
  <w:footnote w:id="231">
    <w:p w:rsidR="003D54BB" w:rsidRPr="00253730" w:rsidRDefault="003D54BB" w:rsidP="00332098">
      <w:pPr>
        <w:pStyle w:val="Testonotaapidipagina"/>
        <w:jc w:val="both"/>
        <w:rPr>
          <w:lang w:val="en-US"/>
        </w:rPr>
      </w:pPr>
      <w:r>
        <w:rPr>
          <w:rStyle w:val="Rimandonotaapidipagina"/>
        </w:rPr>
        <w:footnoteRef/>
      </w:r>
      <w:r w:rsidRPr="008C2E86">
        <w:rPr>
          <w:lang w:val="en-US"/>
        </w:rPr>
        <w:t xml:space="preserve"> </w:t>
      </w:r>
      <w:r w:rsidRPr="00F3255E">
        <w:rPr>
          <w:lang w:val="en-US"/>
        </w:rPr>
        <w:t>“…the act of the official, accomplished within the limit of his competence, is, from the point of view of international law, an act of the State, because it constitutes an application of the national law…”.</w:t>
      </w:r>
      <w:r>
        <w:rPr>
          <w:lang w:val="en-US"/>
        </w:rPr>
        <w:t xml:space="preserve"> </w:t>
      </w:r>
      <w:r w:rsidRPr="00253730">
        <w:rPr>
          <w:i/>
          <w:lang w:val="en-US"/>
        </w:rPr>
        <w:t>Ibid</w:t>
      </w:r>
      <w:r w:rsidRPr="00253730">
        <w:rPr>
          <w:lang w:val="en-US"/>
        </w:rPr>
        <w:t>., p. 123.</w:t>
      </w:r>
    </w:p>
  </w:footnote>
  <w:footnote w:id="232">
    <w:p w:rsidR="003D54BB" w:rsidRPr="00D56FF9" w:rsidRDefault="003D54BB" w:rsidP="00CA5718">
      <w:pPr>
        <w:pStyle w:val="Testonotaapidipagina"/>
        <w:jc w:val="both"/>
      </w:pPr>
      <w:r>
        <w:rPr>
          <w:rStyle w:val="Rimandonotaapidipagina"/>
        </w:rPr>
        <w:footnoteRef/>
      </w:r>
      <w:r w:rsidRPr="00253730">
        <w:rPr>
          <w:lang w:val="en-US"/>
        </w:rPr>
        <w:t xml:space="preserve"> Guerrero ha sostenuto tale opinione anche in </w:t>
      </w:r>
      <w:r w:rsidRPr="00253730">
        <w:rPr>
          <w:i/>
          <w:lang w:val="en-US"/>
        </w:rPr>
        <w:t>La codification du droit international</w:t>
      </w:r>
      <w:r w:rsidRPr="00253730">
        <w:rPr>
          <w:lang w:val="en-US"/>
        </w:rPr>
        <w:t xml:space="preserve">, </w:t>
      </w:r>
      <w:r w:rsidRPr="00253730">
        <w:rPr>
          <w:i/>
          <w:lang w:val="en-US"/>
        </w:rPr>
        <w:t>La Première Conférence (La Haye, 13 mars – 12 avril 1930)</w:t>
      </w:r>
      <w:r w:rsidRPr="00253730">
        <w:rPr>
          <w:lang w:val="en-US"/>
        </w:rPr>
        <w:t xml:space="preserve">, pubblicazioni della </w:t>
      </w:r>
      <w:r w:rsidRPr="00253730">
        <w:rPr>
          <w:i/>
          <w:lang w:val="en-US"/>
        </w:rPr>
        <w:t>Revue générale de droit international public</w:t>
      </w:r>
      <w:r w:rsidRPr="00253730">
        <w:rPr>
          <w:lang w:val="en-US"/>
        </w:rPr>
        <w:t xml:space="preserve">, n. 2, Paris, 1930. </w:t>
      </w:r>
      <w:r>
        <w:rPr>
          <w:lang w:val="en-US"/>
        </w:rPr>
        <w:t xml:space="preserve">Vi si legge: </w:t>
      </w:r>
      <w:r w:rsidRPr="002F77C5">
        <w:rPr>
          <w:lang w:val="en-US"/>
        </w:rPr>
        <w:t>“…an irregularity on the part of an official is an individual act, which is not willed by the State and may even be the result of malice on the part of the official…Act of private persons and acts of officials who exceeded their powers are alike private acts…”.</w:t>
      </w:r>
      <w:r>
        <w:rPr>
          <w:lang w:val="en-US"/>
        </w:rPr>
        <w:t xml:space="preserve"> </w:t>
      </w:r>
      <w:r w:rsidRPr="000D57C8">
        <w:rPr>
          <w:i/>
        </w:rPr>
        <w:t>Ibid</w:t>
      </w:r>
      <w:r>
        <w:t xml:space="preserve">., </w:t>
      </w:r>
      <w:r w:rsidRPr="00CB590A">
        <w:t xml:space="preserve">p. 109. Guerrero ha fortemente difeso la sua tesi durante il dibattito relativo alla base di discussione N° 13. </w:t>
      </w:r>
      <w:r w:rsidRPr="00332098">
        <w:t xml:space="preserve">Vedi </w:t>
      </w:r>
      <w:r>
        <w:rPr>
          <w:i/>
        </w:rPr>
        <w:t>inf</w:t>
      </w:r>
      <w:r w:rsidRPr="00332098">
        <w:rPr>
          <w:i/>
        </w:rPr>
        <w:t>ra</w:t>
      </w:r>
      <w:r>
        <w:t>, p. 97</w:t>
      </w:r>
      <w:r w:rsidRPr="00332098">
        <w:t>.</w:t>
      </w:r>
    </w:p>
  </w:footnote>
  <w:footnote w:id="233">
    <w:p w:rsidR="003D54BB" w:rsidRDefault="003D54BB" w:rsidP="00CA5718">
      <w:pPr>
        <w:pStyle w:val="Testonotaapidipagina"/>
        <w:jc w:val="both"/>
      </w:pPr>
      <w:r>
        <w:rPr>
          <w:rStyle w:val="Rimandonotaapidipagina"/>
        </w:rPr>
        <w:footnoteRef/>
      </w:r>
      <w:r w:rsidRPr="00CB590A">
        <w:t xml:space="preserve"> </w:t>
      </w:r>
      <w:r w:rsidRPr="00CB590A">
        <w:rPr>
          <w:i/>
        </w:rPr>
        <w:t>Ibid</w:t>
      </w:r>
      <w:r w:rsidRPr="00CB590A">
        <w:t xml:space="preserve">., p. 124. </w:t>
      </w:r>
      <w:r>
        <w:t xml:space="preserve">Sostenitore di una definizione restrittiva di diniego di giustizia, Guerrero sosteneva che questo si limitasse al solo rifiuto di permettere ad uno straniero di far valere i suoi diritti. </w:t>
      </w:r>
      <w:r w:rsidRPr="005D35CC">
        <w:rPr>
          <w:i/>
        </w:rPr>
        <w:t>Ibid</w:t>
      </w:r>
      <w:r>
        <w:t>., p. 126  e p. 130.</w:t>
      </w:r>
    </w:p>
  </w:footnote>
  <w:footnote w:id="234">
    <w:p w:rsidR="003D54BB" w:rsidRPr="00E61DEB" w:rsidRDefault="003D54BB" w:rsidP="00CA5718">
      <w:pPr>
        <w:pStyle w:val="Testonotaapidipagina"/>
        <w:jc w:val="both"/>
        <w:rPr>
          <w:i/>
        </w:rPr>
      </w:pPr>
      <w:r>
        <w:rPr>
          <w:rStyle w:val="Rimandonotaapidipagina"/>
        </w:rPr>
        <w:footnoteRef/>
      </w:r>
      <w:r>
        <w:t xml:space="preserve"> Per una critica alla tesi sostenuta da Guerrero si veda BORCHARD, </w:t>
      </w:r>
      <w:r w:rsidRPr="00C52F30">
        <w:rPr>
          <w:i/>
        </w:rPr>
        <w:t>Responsibility of States</w:t>
      </w:r>
      <w:r>
        <w:t xml:space="preserve">, cit., pp. 743–744; MERON,  </w:t>
      </w:r>
      <w:r w:rsidRPr="00532725">
        <w:rPr>
          <w:i/>
        </w:rPr>
        <w:t>op. cit</w:t>
      </w:r>
      <w:r>
        <w:t xml:space="preserve">., p. 92; PRZETACZNIK, </w:t>
      </w:r>
      <w:r w:rsidRPr="00532725">
        <w:rPr>
          <w:i/>
        </w:rPr>
        <w:t>op. cit</w:t>
      </w:r>
      <w:r>
        <w:t xml:space="preserve">., p. 139. </w:t>
      </w:r>
      <w:r w:rsidRPr="00811A2F">
        <w:t>Le conclusioni del Sottocomitato sono state espressamente rigettate nella sentenza resa nel caso</w:t>
      </w:r>
      <w:r w:rsidRPr="00811A2F">
        <w:rPr>
          <w:i/>
        </w:rPr>
        <w:t xml:space="preserve"> Caire</w:t>
      </w:r>
      <w:r w:rsidRPr="00811A2F">
        <w:t xml:space="preserve">, </w:t>
      </w:r>
      <w:r w:rsidRPr="00E61DEB">
        <w:t xml:space="preserve">citata </w:t>
      </w:r>
      <w:r w:rsidRPr="00E61DEB">
        <w:rPr>
          <w:i/>
        </w:rPr>
        <w:t>supra</w:t>
      </w:r>
      <w:r w:rsidRPr="00E61DEB">
        <w:t>, p. 76 ss.</w:t>
      </w:r>
    </w:p>
  </w:footnote>
  <w:footnote w:id="235">
    <w:p w:rsidR="003D54BB" w:rsidRPr="00127F2E" w:rsidRDefault="003D54BB" w:rsidP="00CA5718">
      <w:pPr>
        <w:pStyle w:val="Testonotaapidipagina"/>
        <w:rPr>
          <w:lang w:val="fr-FR"/>
        </w:rPr>
      </w:pPr>
      <w:r w:rsidRPr="00E61DEB">
        <w:rPr>
          <w:rStyle w:val="Rimandonotaapidipagina"/>
        </w:rPr>
        <w:footnoteRef/>
      </w:r>
      <w:r w:rsidRPr="00E61DEB">
        <w:rPr>
          <w:lang w:val="fr-FR"/>
        </w:rPr>
        <w:t xml:space="preserve"> SdN, </w:t>
      </w:r>
      <w:r w:rsidRPr="00E61DEB">
        <w:rPr>
          <w:i/>
          <w:lang w:val="fr-FR"/>
        </w:rPr>
        <w:t>Bases de discussion</w:t>
      </w:r>
      <w:r w:rsidRPr="00E61DEB">
        <w:rPr>
          <w:lang w:val="fr-FR"/>
        </w:rPr>
        <w:t>, cit., p. 74.</w:t>
      </w:r>
    </w:p>
  </w:footnote>
  <w:footnote w:id="236">
    <w:p w:rsidR="003D54BB" w:rsidRPr="00127F2E" w:rsidRDefault="003D54BB" w:rsidP="00CA5718">
      <w:pPr>
        <w:pStyle w:val="Testonotaapidipagina"/>
        <w:rPr>
          <w:lang w:val="fr-FR"/>
        </w:rPr>
      </w:pPr>
      <w:r>
        <w:rPr>
          <w:rStyle w:val="Rimandonotaapidipagina"/>
        </w:rPr>
        <w:footnoteRef/>
      </w:r>
      <w:r w:rsidRPr="00127F2E">
        <w:rPr>
          <w:lang w:val="fr-FR"/>
        </w:rPr>
        <w:t xml:space="preserve"> </w:t>
      </w:r>
      <w:r w:rsidRPr="00127F2E">
        <w:rPr>
          <w:i/>
          <w:lang w:val="fr-FR"/>
        </w:rPr>
        <w:t>Ibid</w:t>
      </w:r>
      <w:r>
        <w:rPr>
          <w:lang w:val="fr-FR"/>
        </w:rPr>
        <w:t>., p. 78.</w:t>
      </w:r>
    </w:p>
  </w:footnote>
  <w:footnote w:id="237">
    <w:p w:rsidR="003D54BB" w:rsidRPr="004652DC" w:rsidRDefault="003D54BB" w:rsidP="00CA5718">
      <w:pPr>
        <w:pStyle w:val="Testonotaapidipagina"/>
        <w:rPr>
          <w:lang w:val="fr-FR"/>
        </w:rPr>
      </w:pPr>
      <w:r>
        <w:rPr>
          <w:rStyle w:val="Rimandonotaapidipagina"/>
        </w:rPr>
        <w:footnoteRef/>
      </w:r>
      <w:r w:rsidRPr="004652DC">
        <w:rPr>
          <w:lang w:val="fr-FR"/>
        </w:rPr>
        <w:t xml:space="preserve"> </w:t>
      </w:r>
      <w:r>
        <w:rPr>
          <w:lang w:val="fr-FR"/>
        </w:rPr>
        <w:t xml:space="preserve">SdN, </w:t>
      </w:r>
      <w:r w:rsidRPr="004652DC">
        <w:rPr>
          <w:i/>
          <w:lang w:val="fr-FR"/>
        </w:rPr>
        <w:t>Bases de discussion</w:t>
      </w:r>
      <w:r>
        <w:rPr>
          <w:lang w:val="fr-FR"/>
        </w:rPr>
        <w:t>, cit., p. 77.</w:t>
      </w:r>
    </w:p>
  </w:footnote>
  <w:footnote w:id="238">
    <w:p w:rsidR="003D54BB" w:rsidRPr="006C155B" w:rsidRDefault="003D54BB" w:rsidP="00CA5718">
      <w:pPr>
        <w:pStyle w:val="Testonotaapidipagina"/>
        <w:jc w:val="both"/>
      </w:pPr>
      <w:r>
        <w:rPr>
          <w:rStyle w:val="Rimandonotaapidipagina"/>
        </w:rPr>
        <w:footnoteRef/>
      </w:r>
      <w:r w:rsidRPr="00ED6ADF">
        <w:rPr>
          <w:lang w:val="fr-FR"/>
        </w:rPr>
        <w:t xml:space="preserve"> Il Governo polacco si è esplicitamente riferito alla quarta conclusione del rapporto del sottocomitato, affermando che “</w:t>
      </w:r>
      <w:r w:rsidRPr="00945853">
        <w:rPr>
          <w:i/>
          <w:lang w:val="fr-FR"/>
        </w:rPr>
        <w:t>L’admission de la responsabilité pourrait survenir dans des cas exceptionnels, prévus au point 4 des thèses du Comité d’expert…</w:t>
      </w:r>
      <w:r>
        <w:rPr>
          <w:lang w:val="fr-FR"/>
        </w:rPr>
        <w:t>.</w:t>
      </w:r>
      <w:r w:rsidRPr="00945853">
        <w:rPr>
          <w:lang w:val="fr-FR"/>
        </w:rPr>
        <w:t>”</w:t>
      </w:r>
      <w:r>
        <w:rPr>
          <w:lang w:val="fr-FR"/>
        </w:rPr>
        <w:t xml:space="preserve">. </w:t>
      </w:r>
      <w:r w:rsidRPr="006C155B">
        <w:rPr>
          <w:i/>
        </w:rPr>
        <w:t>Ibid</w:t>
      </w:r>
      <w:r w:rsidRPr="006C155B">
        <w:t>., p. 77.</w:t>
      </w:r>
    </w:p>
  </w:footnote>
  <w:footnote w:id="239">
    <w:p w:rsidR="003D54BB" w:rsidRPr="006C155B" w:rsidRDefault="003D54BB" w:rsidP="00CA5718">
      <w:pPr>
        <w:pStyle w:val="Testonotaapidipagina"/>
        <w:jc w:val="both"/>
      </w:pPr>
      <w:r>
        <w:rPr>
          <w:rStyle w:val="Rimandonotaapidipagina"/>
        </w:rPr>
        <w:footnoteRef/>
      </w:r>
      <w:r w:rsidRPr="006C155B">
        <w:t xml:space="preserve"> SdN, </w:t>
      </w:r>
      <w:r w:rsidRPr="006C155B">
        <w:rPr>
          <w:i/>
        </w:rPr>
        <w:t>ibid</w:t>
      </w:r>
      <w:r w:rsidRPr="006C155B">
        <w:t>., p. 81.</w:t>
      </w:r>
    </w:p>
  </w:footnote>
  <w:footnote w:id="240">
    <w:p w:rsidR="003D54BB" w:rsidRPr="006C155B" w:rsidRDefault="003D54BB" w:rsidP="00CA5718">
      <w:pPr>
        <w:pStyle w:val="Testonotaapidipagina"/>
        <w:jc w:val="both"/>
      </w:pPr>
      <w:r>
        <w:rPr>
          <w:rStyle w:val="Rimandonotaapidipagina"/>
        </w:rPr>
        <w:footnoteRef/>
      </w:r>
      <w:r w:rsidRPr="006C155B">
        <w:t xml:space="preserve"> </w:t>
      </w:r>
      <w:r w:rsidRPr="006C155B">
        <w:rPr>
          <w:i/>
        </w:rPr>
        <w:t>Ibid</w:t>
      </w:r>
      <w:r w:rsidRPr="006C155B">
        <w:t>., p. 83.</w:t>
      </w:r>
    </w:p>
  </w:footnote>
  <w:footnote w:id="241">
    <w:p w:rsidR="003D54BB" w:rsidRPr="00D90500" w:rsidRDefault="003D54BB" w:rsidP="00CA5718">
      <w:pPr>
        <w:pStyle w:val="Testonotaapidipagina"/>
        <w:jc w:val="both"/>
      </w:pPr>
      <w:r>
        <w:rPr>
          <w:rStyle w:val="Rimandonotaapidipagina"/>
        </w:rPr>
        <w:footnoteRef/>
      </w:r>
      <w:r>
        <w:t xml:space="preserve"> I Governi di dodici Stati si sono esplicitamente espressi in senso favorevole a tale quesito: Africa del Sud, </w:t>
      </w:r>
      <w:r w:rsidRPr="00E14E02">
        <w:rPr>
          <w:i/>
        </w:rPr>
        <w:t>Bases de discussion</w:t>
      </w:r>
      <w:r>
        <w:t xml:space="preserve">, p. 74; Australia, </w:t>
      </w:r>
      <w:r w:rsidRPr="00137960">
        <w:rPr>
          <w:i/>
        </w:rPr>
        <w:t>ibid</w:t>
      </w:r>
      <w:r>
        <w:t>.; Austria,</w:t>
      </w:r>
      <w:r w:rsidRPr="00CF4990">
        <w:rPr>
          <w:i/>
        </w:rPr>
        <w:t xml:space="preserve"> ibid</w:t>
      </w:r>
      <w:r>
        <w:t xml:space="preserve">., p. 75; Belgio, </w:t>
      </w:r>
      <w:r w:rsidRPr="00CF4990">
        <w:rPr>
          <w:i/>
        </w:rPr>
        <w:t>ibid.</w:t>
      </w:r>
      <w:r>
        <w:t xml:space="preserve">; Finlandia, </w:t>
      </w:r>
      <w:r w:rsidRPr="00CF4990">
        <w:rPr>
          <w:i/>
        </w:rPr>
        <w:t>ibid</w:t>
      </w:r>
      <w:r>
        <w:t xml:space="preserve">., p. 76; Gran Bretagna, </w:t>
      </w:r>
      <w:r w:rsidRPr="00CF4990">
        <w:rPr>
          <w:i/>
        </w:rPr>
        <w:t>ibid</w:t>
      </w:r>
      <w:r>
        <w:t xml:space="preserve">.; India, </w:t>
      </w:r>
      <w:r w:rsidRPr="00CF4990">
        <w:rPr>
          <w:i/>
        </w:rPr>
        <w:t>ibid</w:t>
      </w:r>
      <w:r>
        <w:t xml:space="preserve">.; Giappone, </w:t>
      </w:r>
      <w:r w:rsidRPr="00CF4990">
        <w:rPr>
          <w:i/>
        </w:rPr>
        <w:t>ibid</w:t>
      </w:r>
      <w:r>
        <w:t xml:space="preserve">.; Nuova Zelanda, </w:t>
      </w:r>
      <w:r w:rsidRPr="00CF4990">
        <w:rPr>
          <w:i/>
        </w:rPr>
        <w:t>ibid.</w:t>
      </w:r>
      <w:r>
        <w:t xml:space="preserve">, p. 77; Paesi Bassi, </w:t>
      </w:r>
      <w:r w:rsidRPr="00E60B19">
        <w:rPr>
          <w:i/>
        </w:rPr>
        <w:t>ibid</w:t>
      </w:r>
      <w:r>
        <w:t xml:space="preserve">.; Canada, </w:t>
      </w:r>
      <w:r w:rsidRPr="00DD797F">
        <w:rPr>
          <w:i/>
        </w:rPr>
        <w:t>ibid</w:t>
      </w:r>
      <w:r>
        <w:t xml:space="preserve">., </w:t>
      </w:r>
      <w:r w:rsidRPr="00DD797F">
        <w:rPr>
          <w:i/>
        </w:rPr>
        <w:t>supplement au tome III</w:t>
      </w:r>
      <w:r>
        <w:t>, p. 3;</w:t>
      </w:r>
      <w:r w:rsidRPr="00987F33">
        <w:t xml:space="preserve"> </w:t>
      </w:r>
      <w:r>
        <w:t xml:space="preserve">Germania, </w:t>
      </w:r>
      <w:r w:rsidRPr="00E60B19">
        <w:rPr>
          <w:i/>
        </w:rPr>
        <w:t>ibid</w:t>
      </w:r>
      <w:r>
        <w:t>., pp. 168-169.</w:t>
      </w:r>
    </w:p>
  </w:footnote>
  <w:footnote w:id="242">
    <w:p w:rsidR="003D54BB" w:rsidRPr="007C2EBC" w:rsidRDefault="003D54BB" w:rsidP="00CA5718">
      <w:pPr>
        <w:pStyle w:val="Testonotaapidipagina"/>
        <w:jc w:val="both"/>
      </w:pPr>
      <w:r>
        <w:rPr>
          <w:rStyle w:val="Rimandonotaapidipagina"/>
        </w:rPr>
        <w:footnoteRef/>
      </w:r>
      <w:r w:rsidRPr="00292C35">
        <w:rPr>
          <w:lang w:val="fr-FR"/>
        </w:rPr>
        <w:t xml:space="preserve"> SdN, </w:t>
      </w:r>
      <w:r w:rsidRPr="00292C35">
        <w:rPr>
          <w:i/>
          <w:lang w:val="fr-FR"/>
        </w:rPr>
        <w:t>Bases de discussion</w:t>
      </w:r>
      <w:r w:rsidRPr="00292C35">
        <w:rPr>
          <w:lang w:val="fr-FR"/>
        </w:rPr>
        <w:t xml:space="preserve">, pp. 78-81. </w:t>
      </w:r>
      <w:r>
        <w:t xml:space="preserve">Il Governo norvegese ha invece ammesso, come abbiamo visto,  che lo Stato è tenuto a rispondere in ambito internazionale dei comportamenti </w:t>
      </w:r>
      <w:r w:rsidRPr="007C2EBC">
        <w:rPr>
          <w:i/>
        </w:rPr>
        <w:t>ultra vires</w:t>
      </w:r>
      <w:r w:rsidRPr="007C2EBC">
        <w:t xml:space="preserve"> </w:t>
      </w:r>
      <w:r>
        <w:t>dei propri organi all’estero,</w:t>
      </w:r>
      <w:r w:rsidRPr="007C2EBC">
        <w:rPr>
          <w:i/>
        </w:rPr>
        <w:t xml:space="preserve"> ibid</w:t>
      </w:r>
      <w:r>
        <w:t>., p. 81.</w:t>
      </w:r>
    </w:p>
  </w:footnote>
  <w:footnote w:id="243">
    <w:p w:rsidR="003D54BB" w:rsidRPr="0054579D" w:rsidRDefault="003D54BB" w:rsidP="00CA5718">
      <w:pPr>
        <w:pStyle w:val="Testonotaapidipagina"/>
        <w:jc w:val="both"/>
      </w:pPr>
      <w:r>
        <w:rPr>
          <w:rStyle w:val="Rimandonotaapidipagina"/>
        </w:rPr>
        <w:footnoteRef/>
      </w:r>
      <w:r w:rsidRPr="0054579D">
        <w:rPr>
          <w:lang w:val="fr-FR"/>
        </w:rPr>
        <w:t xml:space="preserve"> SdN, </w:t>
      </w:r>
      <w:r w:rsidRPr="0054579D">
        <w:rPr>
          <w:i/>
          <w:lang w:val="fr-FR"/>
        </w:rPr>
        <w:t>Bases de discussion</w:t>
      </w:r>
      <w:r w:rsidRPr="0054579D">
        <w:rPr>
          <w:lang w:val="fr-FR"/>
        </w:rPr>
        <w:t xml:space="preserve">, p. </w:t>
      </w:r>
      <w:r>
        <w:rPr>
          <w:lang w:val="fr-FR"/>
        </w:rPr>
        <w:t xml:space="preserve">75. </w:t>
      </w:r>
      <w:r w:rsidRPr="0054579D">
        <w:t>Il Governo austriaco ha presentato delle osservazioni simili anche con rifer</w:t>
      </w:r>
      <w:r>
        <w:t xml:space="preserve">imento al punto V, N° 2a), SdN, </w:t>
      </w:r>
      <w:r w:rsidRPr="0054579D">
        <w:rPr>
          <w:i/>
        </w:rPr>
        <w:t>ibid</w:t>
      </w:r>
      <w:r>
        <w:t>., p. 71.</w:t>
      </w:r>
    </w:p>
  </w:footnote>
  <w:footnote w:id="244">
    <w:p w:rsidR="003D54BB" w:rsidRPr="00D433D8" w:rsidRDefault="003D54BB" w:rsidP="00CA5718">
      <w:pPr>
        <w:pStyle w:val="Testonotaapidipagina"/>
        <w:jc w:val="both"/>
        <w:rPr>
          <w:lang w:val="fr-FR"/>
        </w:rPr>
      </w:pPr>
      <w:r>
        <w:rPr>
          <w:rStyle w:val="Rimandonotaapidipagina"/>
        </w:rPr>
        <w:footnoteRef/>
      </w:r>
      <w:r>
        <w:rPr>
          <w:lang w:val="fr-FR"/>
        </w:rPr>
        <w:t xml:space="preserve"> SdN, </w:t>
      </w:r>
      <w:r w:rsidRPr="00D433D8">
        <w:rPr>
          <w:i/>
          <w:lang w:val="fr-FR"/>
        </w:rPr>
        <w:t>Bases de discussion</w:t>
      </w:r>
      <w:r>
        <w:rPr>
          <w:lang w:val="fr-FR"/>
        </w:rPr>
        <w:t>, p. 75 e p. 179.</w:t>
      </w:r>
    </w:p>
  </w:footnote>
  <w:footnote w:id="245">
    <w:p w:rsidR="003D54BB" w:rsidRPr="005363A4" w:rsidRDefault="003D54BB" w:rsidP="00CA5718">
      <w:pPr>
        <w:pStyle w:val="Testonotaapidipagina"/>
        <w:jc w:val="both"/>
      </w:pPr>
      <w:r>
        <w:rPr>
          <w:rStyle w:val="Rimandonotaapidipagina"/>
        </w:rPr>
        <w:footnoteRef/>
      </w:r>
      <w:r w:rsidRPr="005363A4">
        <w:t xml:space="preserve"> </w:t>
      </w:r>
      <w:r>
        <w:t xml:space="preserve">Così la risposta del </w:t>
      </w:r>
      <w:r w:rsidRPr="005363A4">
        <w:t xml:space="preserve">Sud Africa, SdN, </w:t>
      </w:r>
      <w:r w:rsidRPr="005363A4">
        <w:rPr>
          <w:i/>
        </w:rPr>
        <w:t>Bases de discussion</w:t>
      </w:r>
      <w:r w:rsidRPr="005363A4">
        <w:t xml:space="preserve">, p. </w:t>
      </w:r>
      <w:r>
        <w:t>78 e quella fornita dal Governo norvegese,</w:t>
      </w:r>
      <w:r w:rsidRPr="005363A4">
        <w:rPr>
          <w:i/>
        </w:rPr>
        <w:t xml:space="preserve"> ibid</w:t>
      </w:r>
      <w:r>
        <w:t>., p. 78.</w:t>
      </w:r>
    </w:p>
  </w:footnote>
  <w:footnote w:id="246">
    <w:p w:rsidR="003D54BB" w:rsidRPr="0041231A" w:rsidRDefault="003D54BB" w:rsidP="00CA5718">
      <w:pPr>
        <w:pStyle w:val="Testonotaapidipagina"/>
        <w:jc w:val="both"/>
        <w:rPr>
          <w:lang w:val="fr-FR"/>
        </w:rPr>
      </w:pPr>
      <w:r>
        <w:rPr>
          <w:rStyle w:val="Rimandonotaapidipagina"/>
        </w:rPr>
        <w:footnoteRef/>
      </w:r>
      <w:r w:rsidRPr="0041231A">
        <w:rPr>
          <w:lang w:val="fr-FR"/>
        </w:rPr>
        <w:t xml:space="preserve"> SdN, </w:t>
      </w:r>
      <w:r w:rsidRPr="0041231A">
        <w:rPr>
          <w:i/>
          <w:lang w:val="fr-FR"/>
        </w:rPr>
        <w:t>Bases de discussion</w:t>
      </w:r>
      <w:r w:rsidRPr="0041231A">
        <w:rPr>
          <w:lang w:val="fr-FR"/>
        </w:rPr>
        <w:t xml:space="preserve">, p. </w:t>
      </w:r>
      <w:r>
        <w:rPr>
          <w:lang w:val="fr-FR"/>
        </w:rPr>
        <w:t>78.</w:t>
      </w:r>
    </w:p>
  </w:footnote>
  <w:footnote w:id="247">
    <w:p w:rsidR="003D54BB" w:rsidRPr="00253730" w:rsidRDefault="003D54BB" w:rsidP="00CA5718">
      <w:pPr>
        <w:pStyle w:val="Testonotaapidipagina"/>
        <w:jc w:val="both"/>
      </w:pPr>
      <w:r>
        <w:rPr>
          <w:rStyle w:val="Rimandonotaapidipagina"/>
        </w:rPr>
        <w:footnoteRef/>
      </w:r>
      <w:r w:rsidRPr="00253730">
        <w:rPr>
          <w:i/>
        </w:rPr>
        <w:t xml:space="preserve"> Ibid</w:t>
      </w:r>
      <w:r w:rsidRPr="00253730">
        <w:t>., p. 78.</w:t>
      </w:r>
    </w:p>
  </w:footnote>
  <w:footnote w:id="248">
    <w:p w:rsidR="003D54BB" w:rsidRDefault="003D54BB" w:rsidP="00CA5718">
      <w:pPr>
        <w:pStyle w:val="Testonotaapidipagina"/>
        <w:jc w:val="both"/>
      </w:pPr>
      <w:r>
        <w:rPr>
          <w:rStyle w:val="Rimandonotaapidipagina"/>
        </w:rPr>
        <w:footnoteRef/>
      </w:r>
      <w:r w:rsidRPr="00B64677">
        <w:t xml:space="preserve"> </w:t>
      </w:r>
      <w:r w:rsidRPr="00B64677">
        <w:rPr>
          <w:i/>
        </w:rPr>
        <w:t>Ibid</w:t>
      </w:r>
      <w:r w:rsidRPr="00B64677">
        <w:t xml:space="preserve">., p. 80. </w:t>
      </w:r>
      <w:r>
        <w:t>I Governi dell’India e della Nuova Zelanda si sono associati all’opinione espressa dal Governo britannico.</w:t>
      </w:r>
    </w:p>
  </w:footnote>
  <w:footnote w:id="249">
    <w:p w:rsidR="003D54BB" w:rsidRPr="00F30A60" w:rsidRDefault="003D54BB" w:rsidP="00CA5718">
      <w:pPr>
        <w:pStyle w:val="Testonotaapidipagina"/>
        <w:jc w:val="both"/>
      </w:pPr>
      <w:r>
        <w:rPr>
          <w:rStyle w:val="Rimandonotaapidipagina"/>
        </w:rPr>
        <w:footnoteRef/>
      </w:r>
      <w:r w:rsidRPr="00F30A60">
        <w:t xml:space="preserve"> </w:t>
      </w:r>
      <w:r w:rsidRPr="00F30A60">
        <w:rPr>
          <w:i/>
        </w:rPr>
        <w:t>Ibid</w:t>
      </w:r>
      <w:r w:rsidRPr="00F30A60">
        <w:t>., p. 80.</w:t>
      </w:r>
    </w:p>
  </w:footnote>
  <w:footnote w:id="250">
    <w:p w:rsidR="003D54BB" w:rsidRPr="002605E7" w:rsidRDefault="003D54BB" w:rsidP="00CA5718">
      <w:pPr>
        <w:pStyle w:val="Testonotaapidipagina"/>
        <w:jc w:val="both"/>
      </w:pPr>
      <w:r>
        <w:rPr>
          <w:rStyle w:val="Rimandonotaapidipagina"/>
        </w:rPr>
        <w:footnoteRef/>
      </w:r>
      <w:r w:rsidRPr="002605E7">
        <w:t xml:space="preserve"> SdN, </w:t>
      </w:r>
      <w:r w:rsidRPr="002605E7">
        <w:rPr>
          <w:i/>
        </w:rPr>
        <w:t>Bases de discussion</w:t>
      </w:r>
      <w:r w:rsidRPr="002605E7">
        <w:t xml:space="preserve">, p. 75 e p. 78 (Bulgaria), p. 75 e pp. </w:t>
      </w:r>
      <w:r>
        <w:t xml:space="preserve">78-79 (Danimarca), p. 77 e p. 81 (Cecoslovacchia) e SdN, </w:t>
      </w:r>
      <w:r w:rsidRPr="002605E7">
        <w:rPr>
          <w:i/>
        </w:rPr>
        <w:t>ibid</w:t>
      </w:r>
      <w:r>
        <w:t xml:space="preserve">., </w:t>
      </w:r>
      <w:r w:rsidRPr="002605E7">
        <w:rPr>
          <w:i/>
        </w:rPr>
        <w:t>supplément au tome III</w:t>
      </w:r>
      <w:r>
        <w:t>, pp. 16-17 (Stati Uniti).</w:t>
      </w:r>
    </w:p>
  </w:footnote>
  <w:footnote w:id="251">
    <w:p w:rsidR="003D54BB" w:rsidRPr="0089399F" w:rsidRDefault="003D54BB" w:rsidP="00A5357E">
      <w:pPr>
        <w:pStyle w:val="Testonotaapidipagina"/>
        <w:jc w:val="both"/>
        <w:rPr>
          <w:lang w:val="fr-FR"/>
        </w:rPr>
      </w:pPr>
      <w:r>
        <w:rPr>
          <w:rStyle w:val="Rimandonotaapidipagina"/>
        </w:rPr>
        <w:footnoteRef/>
      </w:r>
      <w:r>
        <w:t xml:space="preserve"> Osservazioni al punto V, N° 2b), </w:t>
      </w:r>
      <w:r w:rsidRPr="00913152">
        <w:rPr>
          <w:i/>
        </w:rPr>
        <w:t>Bases de discussion</w:t>
      </w:r>
      <w:r w:rsidRPr="00913152">
        <w:t xml:space="preserve">, </w:t>
      </w:r>
      <w:r>
        <w:t xml:space="preserve">p. 78. Sembra interessante notare che in dottrina numerosi autori si sono espressi nello stesso senso. </w:t>
      </w:r>
      <w:r w:rsidRPr="009E716A">
        <w:rPr>
          <w:lang w:val="fr-FR"/>
        </w:rPr>
        <w:t>Così JIMÉ</w:t>
      </w:r>
      <w:r>
        <w:rPr>
          <w:lang w:val="fr-FR"/>
        </w:rPr>
        <w:t>N</w:t>
      </w:r>
      <w:r w:rsidRPr="009E716A">
        <w:rPr>
          <w:lang w:val="fr-FR"/>
        </w:rPr>
        <w:t>EZ DE ARÉCHAGA: “…</w:t>
      </w:r>
      <w:r w:rsidRPr="009E716A">
        <w:rPr>
          <w:i/>
          <w:lang w:val="fr-FR"/>
        </w:rPr>
        <w:t>State responsibility would become illusory since a State official is hardly instructed or authorized to commit wrongful acts</w:t>
      </w:r>
      <w:r w:rsidRPr="009E716A">
        <w:rPr>
          <w:lang w:val="fr-FR"/>
        </w:rPr>
        <w:t xml:space="preserve">..”, in </w:t>
      </w:r>
      <w:r w:rsidRPr="009E716A">
        <w:rPr>
          <w:i/>
          <w:lang w:val="fr-FR"/>
        </w:rPr>
        <w:t>International Law in the Past Third of a Century</w:t>
      </w:r>
      <w:r w:rsidRPr="009E716A">
        <w:rPr>
          <w:lang w:val="fr-FR"/>
        </w:rPr>
        <w:t>, cit., p. 277; CONDORELLI: “…</w:t>
      </w:r>
      <w:r w:rsidRPr="009E716A">
        <w:rPr>
          <w:i/>
          <w:lang w:val="fr-FR"/>
        </w:rPr>
        <w:t>si une telle excuse devait être admise, ceci reviendrait pratiquement à abolir le régime de la responsabilité international</w:t>
      </w:r>
      <w:r>
        <w:rPr>
          <w:i/>
          <w:lang w:val="fr-FR"/>
        </w:rPr>
        <w:t>e</w:t>
      </w:r>
      <w:r w:rsidRPr="009E716A">
        <w:rPr>
          <w:i/>
          <w:lang w:val="fr-FR"/>
        </w:rPr>
        <w:t xml:space="preserve"> tout entier</w:t>
      </w:r>
      <w:r w:rsidRPr="009E716A">
        <w:rPr>
          <w:lang w:val="fr-FR"/>
        </w:rPr>
        <w:t>”, op. cit., p. 81; BRIERLY: “</w:t>
      </w:r>
      <w:r w:rsidRPr="009E716A">
        <w:rPr>
          <w:i/>
          <w:lang w:val="fr-FR"/>
        </w:rPr>
        <w:t>Si l’on adoptait cette règle restrictive, la responsabilité de l’Etat serait grandement limitée, car, dans la plupart des cas</w:t>
      </w:r>
      <w:r>
        <w:rPr>
          <w:i/>
          <w:lang w:val="fr-FR"/>
        </w:rPr>
        <w:t xml:space="preserve"> o</w:t>
      </w:r>
      <w:r w:rsidRPr="009E716A">
        <w:rPr>
          <w:i/>
          <w:lang w:val="fr-FR"/>
        </w:rPr>
        <w:t>ù un dommage est causé à un étranger par l’action d’un fonctionnaire, on trouvera que celui-ci a agi contrairement aux lois de l’Etat auquel il appartient et, par conséquent, en dehors de sa propre compétence ou autorité</w:t>
      </w:r>
      <w:r w:rsidRPr="009E716A">
        <w:rPr>
          <w:lang w:val="fr-FR"/>
        </w:rPr>
        <w:t xml:space="preserve">”, </w:t>
      </w:r>
      <w:r>
        <w:rPr>
          <w:lang w:val="fr-FR"/>
        </w:rPr>
        <w:t xml:space="preserve">in </w:t>
      </w:r>
      <w:r w:rsidRPr="003E5FC0">
        <w:rPr>
          <w:i/>
          <w:lang w:val="fr-FR"/>
        </w:rPr>
        <w:t>Règles générales du droit de la paix</w:t>
      </w:r>
      <w:r w:rsidRPr="003E5FC0">
        <w:rPr>
          <w:lang w:val="fr-FR"/>
        </w:rPr>
        <w:t xml:space="preserve">, </w:t>
      </w:r>
      <w:r>
        <w:rPr>
          <w:lang w:val="fr-FR"/>
        </w:rPr>
        <w:t>p. 172.</w:t>
      </w:r>
    </w:p>
  </w:footnote>
  <w:footnote w:id="252">
    <w:p w:rsidR="003D54BB" w:rsidRPr="000E4DDB" w:rsidRDefault="003D54BB" w:rsidP="00A5357E">
      <w:pPr>
        <w:pStyle w:val="Testonotaapidipagina"/>
        <w:jc w:val="both"/>
        <w:rPr>
          <w:lang w:val="fr-FR"/>
        </w:rPr>
      </w:pPr>
      <w:r>
        <w:rPr>
          <w:rStyle w:val="Rimandonotaapidipagina"/>
        </w:rPr>
        <w:footnoteRef/>
      </w:r>
      <w:r w:rsidRPr="000E4DDB">
        <w:rPr>
          <w:lang w:val="fr-FR"/>
        </w:rPr>
        <w:t xml:space="preserve"> SdN, </w:t>
      </w:r>
      <w:r w:rsidRPr="000E4DDB">
        <w:rPr>
          <w:i/>
          <w:lang w:val="fr-FR"/>
        </w:rPr>
        <w:t>Actes</w:t>
      </w:r>
      <w:r w:rsidRPr="00960DF6">
        <w:rPr>
          <w:i/>
          <w:lang w:val="fr-FR"/>
        </w:rPr>
        <w:t xml:space="preserve"> de la Conférence</w:t>
      </w:r>
      <w:r w:rsidRPr="000E4DDB">
        <w:rPr>
          <w:lang w:val="fr-FR"/>
        </w:rPr>
        <w:t>,</w:t>
      </w:r>
      <w:r>
        <w:rPr>
          <w:lang w:val="fr-FR"/>
        </w:rPr>
        <w:t xml:space="preserve"> cit.,</w:t>
      </w:r>
      <w:r w:rsidRPr="000E4DDB">
        <w:rPr>
          <w:lang w:val="fr-FR"/>
        </w:rPr>
        <w:t xml:space="preserve"> Allegato 1, p. 198.</w:t>
      </w:r>
    </w:p>
  </w:footnote>
  <w:footnote w:id="253">
    <w:p w:rsidR="003D54BB" w:rsidRPr="00253730" w:rsidRDefault="003D54BB" w:rsidP="00A5357E">
      <w:pPr>
        <w:pStyle w:val="Testonotaapidipagina"/>
        <w:jc w:val="both"/>
        <w:rPr>
          <w:lang w:val="en-US"/>
        </w:rPr>
      </w:pPr>
      <w:r>
        <w:rPr>
          <w:rStyle w:val="Rimandonotaapidipagina"/>
        </w:rPr>
        <w:footnoteRef/>
      </w:r>
      <w:r w:rsidRPr="00253730">
        <w:rPr>
          <w:lang w:val="en-US"/>
        </w:rPr>
        <w:t xml:space="preserve"> </w:t>
      </w:r>
      <w:r w:rsidRPr="00253730">
        <w:rPr>
          <w:i/>
          <w:lang w:val="en-US"/>
        </w:rPr>
        <w:t>Ibid</w:t>
      </w:r>
      <w:r w:rsidRPr="00253730">
        <w:rPr>
          <w:lang w:val="en-US"/>
        </w:rPr>
        <w:t>., p. 82.</w:t>
      </w:r>
    </w:p>
  </w:footnote>
  <w:footnote w:id="254">
    <w:p w:rsidR="003D54BB" w:rsidRPr="00253730" w:rsidRDefault="003D54BB" w:rsidP="00A5357E">
      <w:pPr>
        <w:pStyle w:val="Testonotaapidipagina"/>
        <w:jc w:val="both"/>
        <w:rPr>
          <w:lang w:val="en-US"/>
        </w:rPr>
      </w:pPr>
      <w:r>
        <w:rPr>
          <w:rStyle w:val="Rimandonotaapidipagina"/>
        </w:rPr>
        <w:footnoteRef/>
      </w:r>
      <w:r w:rsidRPr="00253730">
        <w:rPr>
          <w:lang w:val="en-US"/>
        </w:rPr>
        <w:t xml:space="preserve"> SdN, </w:t>
      </w:r>
      <w:r w:rsidRPr="00253730">
        <w:rPr>
          <w:i/>
          <w:lang w:val="en-US"/>
        </w:rPr>
        <w:t>ibid</w:t>
      </w:r>
      <w:r w:rsidRPr="00253730">
        <w:rPr>
          <w:lang w:val="en-US"/>
        </w:rPr>
        <w:t>., p. 198.</w:t>
      </w:r>
    </w:p>
  </w:footnote>
  <w:footnote w:id="255">
    <w:p w:rsidR="003D54BB" w:rsidRPr="00646E77" w:rsidRDefault="003D54BB" w:rsidP="003A712E">
      <w:pPr>
        <w:pStyle w:val="Testonotaapidipagina"/>
        <w:rPr>
          <w:lang w:val="fr-FR"/>
        </w:rPr>
      </w:pPr>
      <w:r>
        <w:rPr>
          <w:rStyle w:val="Rimandonotaapidipagina"/>
        </w:rPr>
        <w:footnoteRef/>
      </w:r>
      <w:r w:rsidRPr="00646E77">
        <w:rPr>
          <w:lang w:val="fr-FR"/>
        </w:rPr>
        <w:t xml:space="preserve"> </w:t>
      </w:r>
      <w:r>
        <w:rPr>
          <w:lang w:val="fr-FR"/>
        </w:rPr>
        <w:t xml:space="preserve">SdN, </w:t>
      </w:r>
      <w:r w:rsidRPr="00646E77">
        <w:rPr>
          <w:i/>
          <w:lang w:val="fr-FR"/>
        </w:rPr>
        <w:t>Actes de la Conférence</w:t>
      </w:r>
      <w:r>
        <w:rPr>
          <w:lang w:val="fr-FR"/>
        </w:rPr>
        <w:t>, cit., p. 88.</w:t>
      </w:r>
    </w:p>
  </w:footnote>
  <w:footnote w:id="256">
    <w:p w:rsidR="003D54BB" w:rsidRPr="00245F51" w:rsidRDefault="003D54BB" w:rsidP="00CA5718">
      <w:pPr>
        <w:pStyle w:val="Testonotaapidipagina"/>
        <w:jc w:val="both"/>
      </w:pPr>
      <w:r>
        <w:rPr>
          <w:rStyle w:val="Rimandonotaapidipagina"/>
        </w:rPr>
        <w:footnoteRef/>
      </w:r>
      <w:r w:rsidRPr="000E4DDB">
        <w:rPr>
          <w:lang w:val="fr-FR"/>
        </w:rPr>
        <w:t xml:space="preserve"> SdN, </w:t>
      </w:r>
      <w:r w:rsidRPr="000E4DDB">
        <w:rPr>
          <w:i/>
          <w:lang w:val="fr-FR"/>
        </w:rPr>
        <w:t>Actes</w:t>
      </w:r>
      <w:r w:rsidRPr="006A6F02">
        <w:rPr>
          <w:i/>
          <w:lang w:val="fr-FR"/>
        </w:rPr>
        <w:t xml:space="preserve"> </w:t>
      </w:r>
      <w:r w:rsidRPr="00960DF6">
        <w:rPr>
          <w:i/>
          <w:lang w:val="fr-FR"/>
        </w:rPr>
        <w:t>de la Conférence</w:t>
      </w:r>
      <w:r w:rsidRPr="000E4DDB">
        <w:rPr>
          <w:lang w:val="fr-FR"/>
        </w:rPr>
        <w:t>, cit., pp. 82-83.</w:t>
      </w:r>
      <w:r>
        <w:rPr>
          <w:lang w:val="fr-FR"/>
        </w:rPr>
        <w:t xml:space="preserve"> </w:t>
      </w:r>
      <w:r w:rsidRPr="00245F51">
        <w:t xml:space="preserve">Questa presa di posizione </w:t>
      </w:r>
      <w:r>
        <w:t xml:space="preserve">riflette le argomentazioni </w:t>
      </w:r>
      <w:r w:rsidRPr="00245F51">
        <w:t xml:space="preserve">che il Governo messicano ha tentato di far valere </w:t>
      </w:r>
      <w:r>
        <w:t>in occasione di varie</w:t>
      </w:r>
      <w:r w:rsidRPr="00245F51">
        <w:t xml:space="preserve"> controversie.</w:t>
      </w:r>
      <w:r>
        <w:t xml:space="preserve"> Si vedano ad esempio i casi </w:t>
      </w:r>
      <w:r w:rsidRPr="00E85C54">
        <w:rPr>
          <w:i/>
        </w:rPr>
        <w:t xml:space="preserve">Caire </w:t>
      </w:r>
      <w:r>
        <w:t xml:space="preserve">e </w:t>
      </w:r>
      <w:r w:rsidRPr="005A0CFE">
        <w:rPr>
          <w:i/>
        </w:rPr>
        <w:t>Youmans</w:t>
      </w:r>
      <w:r w:rsidRPr="005A0CFE">
        <w:t xml:space="preserve">, </w:t>
      </w:r>
      <w:r>
        <w:rPr>
          <w:i/>
        </w:rPr>
        <w:t>supra</w:t>
      </w:r>
      <w:r>
        <w:t>, p. 74 ss</w:t>
      </w:r>
      <w:r w:rsidRPr="005A0CFE">
        <w:t>.</w:t>
      </w:r>
    </w:p>
  </w:footnote>
  <w:footnote w:id="257">
    <w:p w:rsidR="003D54BB" w:rsidRPr="00253730" w:rsidRDefault="003D54BB" w:rsidP="00CA5718">
      <w:pPr>
        <w:pStyle w:val="Testonotaapidipagina"/>
        <w:jc w:val="both"/>
        <w:rPr>
          <w:i/>
        </w:rPr>
      </w:pPr>
      <w:r>
        <w:rPr>
          <w:rStyle w:val="Rimandonotaapidipagina"/>
        </w:rPr>
        <w:footnoteRef/>
      </w:r>
      <w:r w:rsidRPr="00253730">
        <w:t xml:space="preserve"> </w:t>
      </w:r>
      <w:r w:rsidRPr="00253730">
        <w:rPr>
          <w:i/>
        </w:rPr>
        <w:t>Ibid</w:t>
      </w:r>
      <w:r w:rsidRPr="00253730">
        <w:t>., p. 97.</w:t>
      </w:r>
    </w:p>
  </w:footnote>
  <w:footnote w:id="258">
    <w:p w:rsidR="003D54BB" w:rsidRPr="00605693" w:rsidRDefault="003D54BB" w:rsidP="00CA5718">
      <w:pPr>
        <w:pStyle w:val="Testonotaapidipagina"/>
        <w:jc w:val="both"/>
        <w:rPr>
          <w:lang w:val="nl-NL"/>
        </w:rPr>
      </w:pPr>
      <w:r>
        <w:rPr>
          <w:rStyle w:val="Rimandonotaapidipagina"/>
        </w:rPr>
        <w:footnoteRef/>
      </w:r>
      <w:r w:rsidRPr="00253730">
        <w:t xml:space="preserve"> SdN, </w:t>
      </w:r>
      <w:r w:rsidRPr="00253730">
        <w:rPr>
          <w:i/>
        </w:rPr>
        <w:t>Actes</w:t>
      </w:r>
      <w:r w:rsidRPr="00253730">
        <w:t xml:space="preserve">, pp. 99-100. </w:t>
      </w:r>
      <w:r>
        <w:t xml:space="preserve">Riprendendo una comparazione fatta da Guerrero durante il dibattito, il delegato rumeno ha sostenuto che, nel caso in cui uno Stato fosse chiamato a rispondere internazionalmente delle condotte </w:t>
      </w:r>
      <w:r w:rsidRPr="009D2E5B">
        <w:rPr>
          <w:i/>
        </w:rPr>
        <w:t>ultra vires</w:t>
      </w:r>
      <w:r>
        <w:t xml:space="preserve"> dei propri organi, esso diverrebbe una sorta di enorme compagnia assicurativa chiamata a risarcire tutti i danni subiti dagli stranieri per mano sia dei propri organi che dei privati.</w:t>
      </w:r>
      <w:r w:rsidRPr="00293697">
        <w:rPr>
          <w:i/>
        </w:rPr>
        <w:t xml:space="preserve"> </w:t>
      </w:r>
      <w:r w:rsidRPr="00605693">
        <w:rPr>
          <w:i/>
          <w:lang w:val="nl-NL"/>
        </w:rPr>
        <w:t>Ibid</w:t>
      </w:r>
      <w:r w:rsidRPr="00605693">
        <w:rPr>
          <w:lang w:val="nl-NL"/>
        </w:rPr>
        <w:t>., p. 99.</w:t>
      </w:r>
    </w:p>
  </w:footnote>
  <w:footnote w:id="259">
    <w:p w:rsidR="003D54BB" w:rsidRPr="00F30A60" w:rsidRDefault="003D54BB" w:rsidP="00CA5718">
      <w:pPr>
        <w:pStyle w:val="Testonotaapidipagina"/>
        <w:jc w:val="both"/>
      </w:pPr>
      <w:r>
        <w:rPr>
          <w:rStyle w:val="Rimandonotaapidipagina"/>
        </w:rPr>
        <w:footnoteRef/>
      </w:r>
      <w:r w:rsidRPr="00F30A60">
        <w:t xml:space="preserve"> </w:t>
      </w:r>
      <w:r w:rsidRPr="00F30A60">
        <w:rPr>
          <w:i/>
        </w:rPr>
        <w:t>Ibid</w:t>
      </w:r>
      <w:r w:rsidRPr="00F30A60">
        <w:t>., p. 88.</w:t>
      </w:r>
    </w:p>
  </w:footnote>
  <w:footnote w:id="260">
    <w:p w:rsidR="003D54BB" w:rsidRPr="00F30A60" w:rsidRDefault="003D54BB" w:rsidP="00CA5718">
      <w:pPr>
        <w:pStyle w:val="Testonotaapidipagina"/>
        <w:jc w:val="both"/>
      </w:pPr>
      <w:r>
        <w:rPr>
          <w:rStyle w:val="Rimandonotaapidipagina"/>
        </w:rPr>
        <w:footnoteRef/>
      </w:r>
      <w:r w:rsidRPr="00F30A60">
        <w:t xml:space="preserve"> SdN, </w:t>
      </w:r>
      <w:r w:rsidRPr="00F30A60">
        <w:rPr>
          <w:i/>
        </w:rPr>
        <w:t>ibid</w:t>
      </w:r>
      <w:r w:rsidRPr="00F30A60">
        <w:t>., p. 102.</w:t>
      </w:r>
    </w:p>
  </w:footnote>
  <w:footnote w:id="261">
    <w:p w:rsidR="003D54BB" w:rsidRPr="00E12E22" w:rsidRDefault="003D54BB" w:rsidP="003A712E">
      <w:pPr>
        <w:pStyle w:val="Testonotaapidipagina"/>
        <w:tabs>
          <w:tab w:val="left" w:pos="1560"/>
        </w:tabs>
        <w:jc w:val="both"/>
      </w:pPr>
      <w:r>
        <w:rPr>
          <w:rStyle w:val="Rimandonotaapidipagina"/>
        </w:rPr>
        <w:footnoteRef/>
      </w:r>
      <w:r>
        <w:t xml:space="preserve"> Alcuni Stati hanno sostenuto</w:t>
      </w:r>
      <w:r w:rsidRPr="00553B43">
        <w:t xml:space="preserve"> il principio enunciato dall</w:t>
      </w:r>
      <w:r>
        <w:t xml:space="preserve">a base di discussione N° 13 senza però motivare la loro posizione. Tra gli altri si veda la Germania, </w:t>
      </w:r>
      <w:r w:rsidRPr="00553B43">
        <w:rPr>
          <w:i/>
        </w:rPr>
        <w:t>ibid.</w:t>
      </w:r>
      <w:r>
        <w:t xml:space="preserve">, p. 87; gli Stati Uniti, </w:t>
      </w:r>
      <w:r w:rsidRPr="00553B43">
        <w:rPr>
          <w:i/>
        </w:rPr>
        <w:t>loc. cit</w:t>
      </w:r>
      <w:r>
        <w:t xml:space="preserve">.; l’Italia, </w:t>
      </w:r>
      <w:r w:rsidRPr="00553B43">
        <w:rPr>
          <w:i/>
        </w:rPr>
        <w:t>ibid</w:t>
      </w:r>
      <w:r>
        <w:t xml:space="preserve">., p. 88; il Portogallo, </w:t>
      </w:r>
      <w:r w:rsidRPr="00553B43">
        <w:rPr>
          <w:i/>
        </w:rPr>
        <w:t>ibid</w:t>
      </w:r>
      <w:r>
        <w:t xml:space="preserve">., p. 93; la Svizzera, </w:t>
      </w:r>
      <w:r w:rsidRPr="00553B43">
        <w:rPr>
          <w:i/>
        </w:rPr>
        <w:t>ibid</w:t>
      </w:r>
      <w:r>
        <w:t xml:space="preserve">., pp. 94-95; i Paesi Bassi, </w:t>
      </w:r>
      <w:r w:rsidRPr="00553B43">
        <w:rPr>
          <w:i/>
        </w:rPr>
        <w:t>ibid</w:t>
      </w:r>
      <w:r>
        <w:t xml:space="preserve">., pp. 97-98; la Gran Bretagna, </w:t>
      </w:r>
      <w:r w:rsidRPr="00553B43">
        <w:rPr>
          <w:i/>
        </w:rPr>
        <w:t>ibid</w:t>
      </w:r>
      <w:r>
        <w:t xml:space="preserve">., p. 100; la Grecia, </w:t>
      </w:r>
      <w:r w:rsidRPr="00553B43">
        <w:rPr>
          <w:i/>
        </w:rPr>
        <w:t>ibid.</w:t>
      </w:r>
      <w:r>
        <w:t xml:space="preserve">, p. 225; la Spagna, </w:t>
      </w:r>
      <w:r w:rsidRPr="00553B43">
        <w:rPr>
          <w:i/>
        </w:rPr>
        <w:t>ibid</w:t>
      </w:r>
      <w:r>
        <w:t>., p. 217.</w:t>
      </w:r>
    </w:p>
  </w:footnote>
  <w:footnote w:id="262">
    <w:p w:rsidR="003D54BB" w:rsidRPr="00FE0FF9" w:rsidRDefault="003D54BB" w:rsidP="00CA5718">
      <w:pPr>
        <w:pStyle w:val="Testonotaapidipagina"/>
        <w:jc w:val="both"/>
        <w:rPr>
          <w:lang w:val="fr-FR"/>
        </w:rPr>
      </w:pPr>
      <w:r>
        <w:rPr>
          <w:rStyle w:val="Rimandonotaapidipagina"/>
        </w:rPr>
        <w:footnoteRef/>
      </w:r>
      <w:r w:rsidRPr="00FE0FF9">
        <w:rPr>
          <w:lang w:val="fr-FR"/>
        </w:rPr>
        <w:t xml:space="preserve"> Secondo la delegazione del Sud Africa, la responsabilità internazionale di uno Stato può sorgere “</w:t>
      </w:r>
      <w:r w:rsidRPr="00F843A9">
        <w:rPr>
          <w:lang w:val="fr-FR"/>
        </w:rPr>
        <w:t>si l’Etat avait le moyen d’empêcher l’abus de pouvoir en montrant, dans la direction de ses services et le contrôle de ses fonctionnaires, la diligence que, compte tenu des circonstances, on pouvait attendre d’un Etat civilisé”</w:t>
      </w:r>
      <w:r>
        <w:rPr>
          <w:lang w:val="fr-FR"/>
        </w:rPr>
        <w:t xml:space="preserve">, </w:t>
      </w:r>
      <w:r w:rsidRPr="00FE0FF9">
        <w:rPr>
          <w:lang w:val="fr-FR"/>
        </w:rPr>
        <w:t>“</w:t>
      </w:r>
      <w:r w:rsidRPr="00FE0FF9">
        <w:rPr>
          <w:i/>
          <w:lang w:val="fr-FR"/>
        </w:rPr>
        <w:t>Observations et propositions</w:t>
      </w:r>
      <w:r w:rsidRPr="00FE0FF9">
        <w:rPr>
          <w:lang w:val="fr-FR"/>
        </w:rPr>
        <w:t>”, cit., pp. 202–203.</w:t>
      </w:r>
    </w:p>
  </w:footnote>
  <w:footnote w:id="263">
    <w:p w:rsidR="003D54BB" w:rsidRPr="009C1B2A" w:rsidRDefault="003D54BB" w:rsidP="00CA5718">
      <w:pPr>
        <w:pStyle w:val="Testonotaapidipagina"/>
        <w:rPr>
          <w:lang w:val="fr-FR"/>
        </w:rPr>
      </w:pPr>
      <w:r>
        <w:rPr>
          <w:rStyle w:val="Rimandonotaapidipagina"/>
        </w:rPr>
        <w:footnoteRef/>
      </w:r>
      <w:r w:rsidRPr="009C1B2A">
        <w:rPr>
          <w:lang w:val="fr-FR"/>
        </w:rPr>
        <w:t xml:space="preserve"> GUERRERO, </w:t>
      </w:r>
      <w:r w:rsidRPr="009C1B2A">
        <w:rPr>
          <w:i/>
          <w:lang w:val="fr-FR"/>
        </w:rPr>
        <w:t>La codification du droit international</w:t>
      </w:r>
      <w:r w:rsidRPr="009C1B2A">
        <w:rPr>
          <w:lang w:val="fr-FR"/>
        </w:rPr>
        <w:t>, cit.,</w:t>
      </w:r>
      <w:r>
        <w:rPr>
          <w:lang w:val="fr-FR"/>
        </w:rPr>
        <w:t xml:space="preserve"> pp. 112-113.</w:t>
      </w:r>
    </w:p>
  </w:footnote>
  <w:footnote w:id="264">
    <w:p w:rsidR="003D54BB" w:rsidRPr="00005090" w:rsidRDefault="003D54BB" w:rsidP="00CA5718">
      <w:pPr>
        <w:pStyle w:val="Testonotaapidipagina"/>
        <w:jc w:val="both"/>
      </w:pPr>
      <w:r>
        <w:rPr>
          <w:rStyle w:val="Rimandonotaapidipagina"/>
        </w:rPr>
        <w:footnoteRef/>
      </w:r>
      <w:r w:rsidRPr="00005090">
        <w:t xml:space="preserve"> Per un approfondimento della teoria del </w:t>
      </w:r>
      <w:r w:rsidRPr="009E079F">
        <w:t>rischio statale si veda VON M</w:t>
      </w:r>
      <w:r w:rsidRPr="009E079F">
        <w:rPr>
          <w:rFonts w:cstheme="minorHAnsi"/>
        </w:rPr>
        <w:t>Ü</w:t>
      </w:r>
      <w:r w:rsidRPr="009E079F">
        <w:t xml:space="preserve">NCH, op. cit., p. 173; GIERKE, </w:t>
      </w:r>
      <w:r w:rsidRPr="009E079F">
        <w:rPr>
          <w:i/>
        </w:rPr>
        <w:t>Die Genossenschaftsttheorie und die deutsche Rechtsprechung</w:t>
      </w:r>
      <w:r w:rsidRPr="009E079F">
        <w:t>, Berlin</w:t>
      </w:r>
      <w:r>
        <w:t xml:space="preserve">, 1887, pp. 743 – 809; BORCHARD, </w:t>
      </w:r>
      <w:r w:rsidRPr="00C4155A">
        <w:rPr>
          <w:i/>
        </w:rPr>
        <w:t>Responsibility of States</w:t>
      </w:r>
      <w:r>
        <w:t>, cit., p. 519.</w:t>
      </w:r>
    </w:p>
  </w:footnote>
  <w:footnote w:id="265">
    <w:p w:rsidR="003D54BB" w:rsidRPr="006A6F02" w:rsidRDefault="003D54BB" w:rsidP="00CA5718">
      <w:pPr>
        <w:pStyle w:val="Testonotaapidipagina"/>
        <w:jc w:val="both"/>
        <w:rPr>
          <w:lang w:val="fr-FR"/>
        </w:rPr>
      </w:pPr>
      <w:r>
        <w:rPr>
          <w:rStyle w:val="Rimandonotaapidipagina"/>
        </w:rPr>
        <w:footnoteRef/>
      </w:r>
      <w:r w:rsidRPr="006A6F02">
        <w:rPr>
          <w:lang w:val="fr-FR"/>
        </w:rPr>
        <w:t xml:space="preserve"> SdN, </w:t>
      </w:r>
      <w:r w:rsidRPr="00960DF6">
        <w:rPr>
          <w:i/>
          <w:lang w:val="fr-FR"/>
        </w:rPr>
        <w:t>Actes de la Conférence</w:t>
      </w:r>
      <w:r w:rsidRPr="006A6F02">
        <w:rPr>
          <w:lang w:val="fr-FR"/>
        </w:rPr>
        <w:t xml:space="preserve">, </w:t>
      </w:r>
      <w:r>
        <w:rPr>
          <w:lang w:val="fr-FR"/>
        </w:rPr>
        <w:t>cit., pp. 93-</w:t>
      </w:r>
      <w:r w:rsidRPr="006A6F02">
        <w:rPr>
          <w:lang w:val="fr-FR"/>
        </w:rPr>
        <w:t>94</w:t>
      </w:r>
    </w:p>
  </w:footnote>
  <w:footnote w:id="266">
    <w:p w:rsidR="003D54BB" w:rsidRPr="002330E0" w:rsidRDefault="003D54BB" w:rsidP="00CA5718">
      <w:pPr>
        <w:pStyle w:val="Testonotaapidipagina"/>
        <w:jc w:val="both"/>
        <w:rPr>
          <w:lang w:val="fr-FR"/>
        </w:rPr>
      </w:pPr>
      <w:r>
        <w:rPr>
          <w:rStyle w:val="Rimandonotaapidipagina"/>
        </w:rPr>
        <w:footnoteRef/>
      </w:r>
      <w:r w:rsidRPr="002330E0">
        <w:rPr>
          <w:lang w:val="fr-FR"/>
        </w:rPr>
        <w:t xml:space="preserve"> </w:t>
      </w:r>
      <w:r w:rsidRPr="006A6F02">
        <w:rPr>
          <w:lang w:val="fr-FR"/>
        </w:rPr>
        <w:t xml:space="preserve">SdN, </w:t>
      </w:r>
      <w:r w:rsidRPr="00960DF6">
        <w:rPr>
          <w:i/>
          <w:lang w:val="fr-FR"/>
        </w:rPr>
        <w:t>Actes de la Conférence</w:t>
      </w:r>
      <w:r w:rsidRPr="006A6F02">
        <w:rPr>
          <w:lang w:val="fr-FR"/>
        </w:rPr>
        <w:t xml:space="preserve">, </w:t>
      </w:r>
      <w:r>
        <w:rPr>
          <w:lang w:val="fr-FR"/>
        </w:rPr>
        <w:t xml:space="preserve">cit., </w:t>
      </w:r>
      <w:r w:rsidRPr="006A6F02">
        <w:rPr>
          <w:lang w:val="fr-FR"/>
        </w:rPr>
        <w:t xml:space="preserve">pp. </w:t>
      </w:r>
      <w:r>
        <w:rPr>
          <w:lang w:val="fr-FR"/>
        </w:rPr>
        <w:t xml:space="preserve">98 – 99. Si veda anche DE VISSCHER, </w:t>
      </w:r>
      <w:r w:rsidRPr="002D7C83">
        <w:rPr>
          <w:i/>
          <w:lang w:val="fr-FR"/>
        </w:rPr>
        <w:t>La responsabilité des Etats</w:t>
      </w:r>
      <w:r>
        <w:rPr>
          <w:lang w:val="fr-FR"/>
        </w:rPr>
        <w:t>, cit., p. 92.</w:t>
      </w:r>
    </w:p>
  </w:footnote>
  <w:footnote w:id="267">
    <w:p w:rsidR="003D54BB" w:rsidRPr="004667F7" w:rsidRDefault="003D54BB" w:rsidP="00CA5718">
      <w:pPr>
        <w:pStyle w:val="Testonotaapidipagina"/>
        <w:rPr>
          <w:lang w:val="fr-FR"/>
        </w:rPr>
      </w:pPr>
      <w:r>
        <w:rPr>
          <w:rStyle w:val="Rimandonotaapidipagina"/>
        </w:rPr>
        <w:footnoteRef/>
      </w:r>
      <w:r w:rsidRPr="004667F7">
        <w:rPr>
          <w:lang w:val="fr-FR"/>
        </w:rPr>
        <w:t xml:space="preserve"> </w:t>
      </w:r>
      <w:r w:rsidRPr="004667F7">
        <w:rPr>
          <w:i/>
          <w:lang w:val="fr-FR"/>
        </w:rPr>
        <w:t>Ibid</w:t>
      </w:r>
      <w:r>
        <w:rPr>
          <w:lang w:val="fr-FR"/>
        </w:rPr>
        <w:t>., p. 92.</w:t>
      </w:r>
    </w:p>
  </w:footnote>
  <w:footnote w:id="268">
    <w:p w:rsidR="003D54BB" w:rsidRPr="00A97FC5" w:rsidRDefault="003D54BB" w:rsidP="00CA5718">
      <w:pPr>
        <w:pStyle w:val="Testonotaapidipagina"/>
        <w:jc w:val="both"/>
        <w:rPr>
          <w:lang w:val="fr-FR"/>
        </w:rPr>
      </w:pPr>
      <w:r>
        <w:rPr>
          <w:rStyle w:val="Rimandonotaapidipagina"/>
        </w:rPr>
        <w:footnoteRef/>
      </w:r>
      <w:r w:rsidRPr="00A97FC5">
        <w:rPr>
          <w:lang w:val="fr-FR"/>
        </w:rPr>
        <w:t xml:space="preserve"> </w:t>
      </w:r>
      <w:r>
        <w:rPr>
          <w:lang w:val="fr-FR"/>
        </w:rPr>
        <w:t xml:space="preserve">SdN, </w:t>
      </w:r>
      <w:r w:rsidRPr="00960DF6">
        <w:rPr>
          <w:i/>
          <w:lang w:val="fr-FR"/>
        </w:rPr>
        <w:t>Actes de la Conférence</w:t>
      </w:r>
      <w:r w:rsidRPr="006A6F02">
        <w:rPr>
          <w:lang w:val="fr-FR"/>
        </w:rPr>
        <w:t xml:space="preserve">, </w:t>
      </w:r>
      <w:r>
        <w:rPr>
          <w:lang w:val="fr-FR"/>
        </w:rPr>
        <w:t>cit., p. 95.</w:t>
      </w:r>
    </w:p>
  </w:footnote>
  <w:footnote w:id="269">
    <w:p w:rsidR="003D54BB" w:rsidRPr="00253730" w:rsidRDefault="003D54BB" w:rsidP="00CA5718">
      <w:pPr>
        <w:pStyle w:val="Testonotaapidipagina"/>
        <w:jc w:val="both"/>
      </w:pPr>
      <w:r>
        <w:rPr>
          <w:rStyle w:val="Rimandonotaapidipagina"/>
        </w:rPr>
        <w:footnoteRef/>
      </w:r>
      <w:r w:rsidRPr="00253730">
        <w:t xml:space="preserve"> SdN, </w:t>
      </w:r>
      <w:r w:rsidRPr="00253730">
        <w:rPr>
          <w:i/>
        </w:rPr>
        <w:t>ibid.,</w:t>
      </w:r>
      <w:r w:rsidRPr="00253730">
        <w:t xml:space="preserve"> p. 94 e p. 234.</w:t>
      </w:r>
    </w:p>
  </w:footnote>
  <w:footnote w:id="270">
    <w:p w:rsidR="003D54BB" w:rsidRPr="00872524" w:rsidRDefault="003D54BB" w:rsidP="00CA5718">
      <w:pPr>
        <w:pStyle w:val="Testonotaapidipagina"/>
        <w:jc w:val="both"/>
        <w:rPr>
          <w:lang w:val="fr-FR"/>
        </w:rPr>
      </w:pPr>
      <w:r>
        <w:rPr>
          <w:rStyle w:val="Rimandonotaapidipagina"/>
        </w:rPr>
        <w:footnoteRef/>
      </w:r>
      <w:r w:rsidRPr="00B42437">
        <w:rPr>
          <w:lang w:val="fr-FR"/>
        </w:rPr>
        <w:t xml:space="preserve"> </w:t>
      </w:r>
      <w:r w:rsidRPr="006A6F02">
        <w:rPr>
          <w:lang w:val="fr-FR"/>
        </w:rPr>
        <w:t xml:space="preserve">SdN, </w:t>
      </w:r>
      <w:r w:rsidRPr="00960DF6">
        <w:rPr>
          <w:i/>
          <w:lang w:val="fr-FR"/>
        </w:rPr>
        <w:t>Actes de la Conférence</w:t>
      </w:r>
      <w:r w:rsidRPr="006A6F02">
        <w:rPr>
          <w:lang w:val="fr-FR"/>
        </w:rPr>
        <w:t xml:space="preserve">, </w:t>
      </w:r>
      <w:r>
        <w:rPr>
          <w:lang w:val="fr-FR"/>
        </w:rPr>
        <w:t xml:space="preserve">cit., p. 96. </w:t>
      </w:r>
      <w:r w:rsidRPr="00B43646">
        <w:t>La teoria della mancata partecipazione dello straniero all’organizzazione interna dello Stato</w:t>
      </w:r>
      <w:r>
        <w:t xml:space="preserve"> al fine di non ammetterne la responsabilità internazionale per fatti illeciti </w:t>
      </w:r>
      <w:r w:rsidRPr="00E77631">
        <w:rPr>
          <w:i/>
        </w:rPr>
        <w:t>ultra vires</w:t>
      </w:r>
      <w:r>
        <w:t xml:space="preserve"> dei propri organi</w:t>
      </w:r>
      <w:r w:rsidRPr="00B43646">
        <w:t xml:space="preserve"> </w:t>
      </w:r>
      <w:r>
        <w:t xml:space="preserve">è stata fortemente criticata da Guerrero. A suo parere se tale teoria fosse stata riconosciuta come valida si sarebbe potuti giungere a sostenere che uno straniero non è tenuto a rispettare le leggi di uno Stato in quanto non ha preso parte alla sua elaborazione. </w:t>
      </w:r>
      <w:r w:rsidRPr="00872524">
        <w:rPr>
          <w:lang w:val="fr-FR"/>
        </w:rPr>
        <w:t xml:space="preserve">GUERRERO, </w:t>
      </w:r>
      <w:r w:rsidRPr="00872524">
        <w:rPr>
          <w:i/>
          <w:lang w:val="fr-FR"/>
        </w:rPr>
        <w:t>La codification du droit international</w:t>
      </w:r>
      <w:r w:rsidRPr="00872524">
        <w:rPr>
          <w:lang w:val="fr-FR"/>
        </w:rPr>
        <w:t>, Paris, Pedone, 1930, pp. 114 -115.</w:t>
      </w:r>
    </w:p>
  </w:footnote>
  <w:footnote w:id="271">
    <w:p w:rsidR="003D54BB" w:rsidRPr="000B7F35" w:rsidRDefault="003D54BB" w:rsidP="00CA5718">
      <w:pPr>
        <w:pStyle w:val="Testonotaapidipagina"/>
        <w:jc w:val="both"/>
        <w:rPr>
          <w:lang w:val="fr-FR"/>
        </w:rPr>
      </w:pPr>
      <w:r>
        <w:rPr>
          <w:rStyle w:val="Rimandonotaapidipagina"/>
        </w:rPr>
        <w:footnoteRef/>
      </w:r>
      <w:r w:rsidRPr="002622ED">
        <w:rPr>
          <w:lang w:val="fr-FR"/>
        </w:rPr>
        <w:t xml:space="preserve"> </w:t>
      </w:r>
      <w:r w:rsidRPr="006A6F02">
        <w:rPr>
          <w:lang w:val="fr-FR"/>
        </w:rPr>
        <w:t xml:space="preserve">SdN, </w:t>
      </w:r>
      <w:r w:rsidRPr="00960DF6">
        <w:rPr>
          <w:i/>
          <w:lang w:val="fr-FR"/>
        </w:rPr>
        <w:t>Actes de la Conférence</w:t>
      </w:r>
      <w:r w:rsidRPr="006A6F02">
        <w:rPr>
          <w:lang w:val="fr-FR"/>
        </w:rPr>
        <w:t xml:space="preserve">, </w:t>
      </w:r>
      <w:r>
        <w:rPr>
          <w:lang w:val="fr-FR"/>
        </w:rPr>
        <w:t xml:space="preserve">cit., p. 97. </w:t>
      </w:r>
      <w:r w:rsidRPr="0002268F">
        <w:t xml:space="preserve">I delegati del Belgio e dell’Italia hanno egualmente approvato la presa di posizione della Svizzera. </w:t>
      </w:r>
      <w:r w:rsidRPr="000B7F35">
        <w:rPr>
          <w:lang w:val="fr-FR"/>
        </w:rPr>
        <w:t xml:space="preserve">Si veda SdN, </w:t>
      </w:r>
      <w:r w:rsidRPr="000B7F35">
        <w:rPr>
          <w:i/>
          <w:lang w:val="fr-FR"/>
        </w:rPr>
        <w:t>ibid</w:t>
      </w:r>
      <w:r w:rsidRPr="000B7F35">
        <w:rPr>
          <w:lang w:val="fr-FR"/>
        </w:rPr>
        <w:t>., pp. 98-99 e p. 101.</w:t>
      </w:r>
    </w:p>
  </w:footnote>
  <w:footnote w:id="272">
    <w:p w:rsidR="003D54BB" w:rsidRPr="00E354B6" w:rsidRDefault="003D54BB" w:rsidP="00CA5718">
      <w:pPr>
        <w:pStyle w:val="Testonotaapidipagina"/>
        <w:jc w:val="both"/>
        <w:rPr>
          <w:lang w:val="fr-FR"/>
        </w:rPr>
      </w:pPr>
      <w:r>
        <w:rPr>
          <w:rStyle w:val="Rimandonotaapidipagina"/>
        </w:rPr>
        <w:footnoteRef/>
      </w:r>
      <w:r w:rsidRPr="00E354B6">
        <w:rPr>
          <w:lang w:val="fr-FR"/>
        </w:rPr>
        <w:t xml:space="preserve"> SdN, </w:t>
      </w:r>
      <w:r w:rsidRPr="00960DF6">
        <w:rPr>
          <w:i/>
          <w:lang w:val="fr-FR"/>
        </w:rPr>
        <w:t>Actes de la Conférence</w:t>
      </w:r>
      <w:r w:rsidRPr="006A6F02">
        <w:rPr>
          <w:lang w:val="fr-FR"/>
        </w:rPr>
        <w:t xml:space="preserve">, </w:t>
      </w:r>
      <w:r>
        <w:rPr>
          <w:lang w:val="fr-FR"/>
        </w:rPr>
        <w:t>cit., p. 87.</w:t>
      </w:r>
    </w:p>
  </w:footnote>
  <w:footnote w:id="273">
    <w:p w:rsidR="003D54BB" w:rsidRPr="00C52B8A" w:rsidRDefault="003D54BB" w:rsidP="00CA5718">
      <w:pPr>
        <w:pStyle w:val="Testonotaapidipagina"/>
        <w:tabs>
          <w:tab w:val="left" w:pos="1560"/>
        </w:tabs>
        <w:jc w:val="both"/>
        <w:rPr>
          <w:lang w:val="fr-FR"/>
        </w:rPr>
      </w:pPr>
      <w:r>
        <w:rPr>
          <w:rStyle w:val="Rimandonotaapidipagina"/>
        </w:rPr>
        <w:footnoteRef/>
      </w:r>
      <w:r w:rsidRPr="00093B88">
        <w:rPr>
          <w:lang w:val="fr-FR"/>
        </w:rPr>
        <w:t xml:space="preserve"> </w:t>
      </w:r>
      <w:r>
        <w:rPr>
          <w:lang w:val="fr-FR"/>
        </w:rPr>
        <w:t xml:space="preserve">SdN, </w:t>
      </w:r>
      <w:r w:rsidRPr="00960DF6">
        <w:rPr>
          <w:i/>
          <w:lang w:val="fr-FR"/>
        </w:rPr>
        <w:t>Actes de la Conférence</w:t>
      </w:r>
      <w:r w:rsidRPr="006A6F02">
        <w:rPr>
          <w:lang w:val="fr-FR"/>
        </w:rPr>
        <w:t xml:space="preserve">, </w:t>
      </w:r>
      <w:r>
        <w:rPr>
          <w:lang w:val="fr-FR"/>
        </w:rPr>
        <w:t>cit., p. 98.</w:t>
      </w:r>
    </w:p>
  </w:footnote>
  <w:footnote w:id="274">
    <w:p w:rsidR="003D54BB" w:rsidRPr="00C826E4" w:rsidRDefault="003D54BB" w:rsidP="00CA5718">
      <w:pPr>
        <w:pStyle w:val="Testonotaapidipagina"/>
        <w:jc w:val="both"/>
        <w:rPr>
          <w:lang w:val="fr-FR"/>
        </w:rPr>
      </w:pPr>
      <w:r>
        <w:rPr>
          <w:rStyle w:val="Rimandonotaapidipagina"/>
        </w:rPr>
        <w:footnoteRef/>
      </w:r>
      <w:r w:rsidRPr="00C826E4">
        <w:rPr>
          <w:lang w:val="fr-FR"/>
        </w:rPr>
        <w:t xml:space="preserve"> </w:t>
      </w:r>
      <w:r>
        <w:rPr>
          <w:lang w:val="fr-FR"/>
        </w:rPr>
        <w:t xml:space="preserve">SdN, </w:t>
      </w:r>
      <w:r w:rsidRPr="00C826E4">
        <w:rPr>
          <w:i/>
          <w:lang w:val="fr-FR"/>
        </w:rPr>
        <w:t>Bases de discussion</w:t>
      </w:r>
      <w:r>
        <w:rPr>
          <w:lang w:val="fr-FR"/>
        </w:rPr>
        <w:t>, cit., p. 75 e p. 179.</w:t>
      </w:r>
    </w:p>
  </w:footnote>
  <w:footnote w:id="275">
    <w:p w:rsidR="003D54BB" w:rsidRPr="00D01341" w:rsidRDefault="003D54BB" w:rsidP="00CA5718">
      <w:pPr>
        <w:pStyle w:val="Testonotaapidipagina"/>
        <w:jc w:val="both"/>
        <w:rPr>
          <w:lang w:val="fr-FR"/>
        </w:rPr>
      </w:pPr>
      <w:r>
        <w:rPr>
          <w:rStyle w:val="Rimandonotaapidipagina"/>
        </w:rPr>
        <w:footnoteRef/>
      </w:r>
      <w:r w:rsidRPr="00D01341">
        <w:rPr>
          <w:lang w:val="fr-FR"/>
        </w:rPr>
        <w:t xml:space="preserve"> </w:t>
      </w:r>
      <w:r>
        <w:rPr>
          <w:lang w:val="fr-FR"/>
        </w:rPr>
        <w:t xml:space="preserve">SdN, </w:t>
      </w:r>
      <w:r w:rsidRPr="00D01341">
        <w:rPr>
          <w:i/>
          <w:lang w:val="fr-FR"/>
        </w:rPr>
        <w:t>Actes</w:t>
      </w:r>
      <w:r>
        <w:rPr>
          <w:lang w:val="fr-FR"/>
        </w:rPr>
        <w:t>, cit., p. 94 e p. 234.</w:t>
      </w:r>
    </w:p>
  </w:footnote>
  <w:footnote w:id="276">
    <w:p w:rsidR="003D54BB" w:rsidRPr="004D6E22" w:rsidRDefault="003D54BB" w:rsidP="00CA5718">
      <w:pPr>
        <w:pStyle w:val="Testonotaapidipagina"/>
        <w:rPr>
          <w:lang w:val="fr-FR"/>
        </w:rPr>
      </w:pPr>
      <w:r>
        <w:rPr>
          <w:rStyle w:val="Rimandonotaapidipagina"/>
        </w:rPr>
        <w:footnoteRef/>
      </w:r>
      <w:r w:rsidRPr="004D6E22">
        <w:rPr>
          <w:lang w:val="fr-FR"/>
        </w:rPr>
        <w:t xml:space="preserve"> </w:t>
      </w:r>
      <w:r w:rsidRPr="00F073B3">
        <w:rPr>
          <w:i/>
          <w:lang w:val="fr-FR"/>
        </w:rPr>
        <w:t>Ibid.,</w:t>
      </w:r>
      <w:r w:rsidRPr="00F073B3">
        <w:rPr>
          <w:lang w:val="fr-FR"/>
        </w:rPr>
        <w:t xml:space="preserve"> p. 95.</w:t>
      </w:r>
    </w:p>
  </w:footnote>
  <w:footnote w:id="277">
    <w:p w:rsidR="003D54BB" w:rsidRPr="00F073B3" w:rsidRDefault="003D54BB" w:rsidP="00CA5718">
      <w:pPr>
        <w:pStyle w:val="Testonotaapidipagina"/>
        <w:jc w:val="both"/>
        <w:rPr>
          <w:lang w:val="fr-FR"/>
        </w:rPr>
      </w:pPr>
      <w:r>
        <w:rPr>
          <w:rStyle w:val="Rimandonotaapidipagina"/>
        </w:rPr>
        <w:footnoteRef/>
      </w:r>
      <w:r w:rsidRPr="00F073B3">
        <w:rPr>
          <w:lang w:val="fr-FR"/>
        </w:rPr>
        <w:t xml:space="preserve"> Il delegato del Governo francese ha proposto una differente formulazione dell’emendamento svizzero: “</w:t>
      </w:r>
      <w:r w:rsidRPr="00F073B3">
        <w:rPr>
          <w:i/>
          <w:lang w:val="fr-FR"/>
        </w:rPr>
        <w:t>Si son erreur (dell’organo) est si grossière, si manifeste, qu’elle éclate à des yeux tant soit peu avertis, il me para</w:t>
      </w:r>
      <w:r w:rsidRPr="00F073B3">
        <w:rPr>
          <w:rFonts w:cstheme="minorHAnsi"/>
          <w:i/>
          <w:lang w:val="fr-FR"/>
        </w:rPr>
        <w:t>î</w:t>
      </w:r>
      <w:r w:rsidRPr="00F073B3">
        <w:rPr>
          <w:i/>
          <w:lang w:val="fr-FR"/>
        </w:rPr>
        <w:t>t constant que la</w:t>
      </w:r>
      <w:r>
        <w:rPr>
          <w:i/>
          <w:lang w:val="fr-FR"/>
        </w:rPr>
        <w:t xml:space="preserve"> responsablité de l’Etat ne peut</w:t>
      </w:r>
      <w:r w:rsidRPr="00F073B3">
        <w:rPr>
          <w:i/>
          <w:lang w:val="fr-FR"/>
        </w:rPr>
        <w:t xml:space="preserve"> </w:t>
      </w:r>
      <w:r w:rsidRPr="00F073B3">
        <w:rPr>
          <w:rFonts w:cstheme="minorHAnsi"/>
          <w:i/>
          <w:lang w:val="fr-FR"/>
        </w:rPr>
        <w:t>ê</w:t>
      </w:r>
      <w:r w:rsidRPr="00F073B3">
        <w:rPr>
          <w:i/>
          <w:lang w:val="fr-FR"/>
        </w:rPr>
        <w:t>tre engagée</w:t>
      </w:r>
      <w:r w:rsidRPr="00F073B3">
        <w:rPr>
          <w:lang w:val="fr-FR"/>
        </w:rPr>
        <w:t xml:space="preserve">”. </w:t>
      </w:r>
      <w:r w:rsidRPr="00F073B3">
        <w:rPr>
          <w:i/>
          <w:lang w:val="fr-FR"/>
        </w:rPr>
        <w:t>Ibid</w:t>
      </w:r>
      <w:r w:rsidRPr="00F073B3">
        <w:rPr>
          <w:lang w:val="fr-FR"/>
        </w:rPr>
        <w:t>., p. 96.</w:t>
      </w:r>
    </w:p>
  </w:footnote>
  <w:footnote w:id="278">
    <w:p w:rsidR="003D54BB" w:rsidRPr="00F073B3" w:rsidRDefault="003D54BB" w:rsidP="00CA5718">
      <w:pPr>
        <w:pStyle w:val="Testonotaapidipagina"/>
        <w:jc w:val="both"/>
      </w:pPr>
      <w:r>
        <w:rPr>
          <w:rStyle w:val="Rimandonotaapidipagina"/>
        </w:rPr>
        <w:footnoteRef/>
      </w:r>
      <w:r w:rsidRPr="00DE5912">
        <w:rPr>
          <w:lang w:val="fr-FR"/>
        </w:rPr>
        <w:t xml:space="preserve"> </w:t>
      </w:r>
      <w:r w:rsidRPr="00B1065D">
        <w:rPr>
          <w:lang w:val="fr-FR"/>
        </w:rPr>
        <w:t>Il delegato del Governo</w:t>
      </w:r>
      <w:r>
        <w:rPr>
          <w:lang w:val="fr-FR"/>
        </w:rPr>
        <w:t xml:space="preserve"> olandese ha dichiarato di essere disposto ad</w:t>
      </w:r>
      <w:r w:rsidRPr="00B1065D">
        <w:rPr>
          <w:lang w:val="fr-FR"/>
        </w:rPr>
        <w:t xml:space="preserve"> accettare l’emendamento svizzero a patto che fosse in tal modo modificato: “</w:t>
      </w:r>
      <w:r w:rsidRPr="00B1065D">
        <w:rPr>
          <w:i/>
          <w:lang w:val="fr-FR"/>
        </w:rPr>
        <w:t>Dans le cas cependant où un fonctionnaire aurait agi en dehors de sa compétence, la responsabilité de l’Et</w:t>
      </w:r>
      <w:r>
        <w:rPr>
          <w:i/>
          <w:lang w:val="fr-FR"/>
        </w:rPr>
        <w:t>at ne serait pas engageé au cas</w:t>
      </w:r>
      <w:r w:rsidRPr="00B1065D">
        <w:rPr>
          <w:i/>
          <w:lang w:val="fr-FR"/>
        </w:rPr>
        <w:t xml:space="preserve"> </w:t>
      </w:r>
      <w:r>
        <w:rPr>
          <w:i/>
          <w:lang w:val="fr-FR"/>
        </w:rPr>
        <w:t>o</w:t>
      </w:r>
      <w:r w:rsidRPr="00B1065D">
        <w:rPr>
          <w:i/>
          <w:lang w:val="fr-FR"/>
        </w:rPr>
        <w:t>ù l’étranger aurait d</w:t>
      </w:r>
      <w:r w:rsidRPr="00B1065D">
        <w:rPr>
          <w:rFonts w:cstheme="minorHAnsi"/>
          <w:i/>
          <w:lang w:val="fr-FR"/>
        </w:rPr>
        <w:t>û</w:t>
      </w:r>
      <w:r w:rsidRPr="00B1065D">
        <w:rPr>
          <w:i/>
          <w:lang w:val="fr-FR"/>
        </w:rPr>
        <w:t xml:space="preserve"> comprendre que l’incompétence du fonctionnaire était manifeste ou que l’acte commis par lui n’avait aucun rapport avec sa fonction</w:t>
      </w:r>
      <w:r w:rsidRPr="00B1065D">
        <w:rPr>
          <w:lang w:val="fr-FR"/>
        </w:rPr>
        <w:t>”.</w:t>
      </w:r>
      <w:r>
        <w:rPr>
          <w:lang w:val="fr-FR"/>
        </w:rPr>
        <w:t xml:space="preserve"> </w:t>
      </w:r>
      <w:r w:rsidRPr="00F073B3">
        <w:rPr>
          <w:i/>
        </w:rPr>
        <w:t>Ibid</w:t>
      </w:r>
      <w:r w:rsidRPr="00F073B3">
        <w:t>., p. 98.</w:t>
      </w:r>
    </w:p>
  </w:footnote>
  <w:footnote w:id="279">
    <w:p w:rsidR="003D54BB" w:rsidRPr="00F073B3" w:rsidRDefault="003D54BB" w:rsidP="00CA5718">
      <w:pPr>
        <w:pStyle w:val="Testonotaapidipagina"/>
        <w:jc w:val="both"/>
      </w:pPr>
      <w:r>
        <w:rPr>
          <w:rStyle w:val="Rimandonotaapidipagina"/>
        </w:rPr>
        <w:footnoteRef/>
      </w:r>
      <w:r w:rsidRPr="00F073B3">
        <w:t xml:space="preserve"> </w:t>
      </w:r>
      <w:r w:rsidRPr="00F073B3">
        <w:rPr>
          <w:i/>
        </w:rPr>
        <w:t>Ibid</w:t>
      </w:r>
      <w:r w:rsidRPr="00F073B3">
        <w:t>., p. 98.</w:t>
      </w:r>
    </w:p>
  </w:footnote>
  <w:footnote w:id="280">
    <w:p w:rsidR="003D54BB" w:rsidRPr="00F073B3" w:rsidRDefault="003D54BB" w:rsidP="00CA5718">
      <w:pPr>
        <w:pStyle w:val="Testonotaapidipagina"/>
        <w:jc w:val="both"/>
      </w:pPr>
      <w:r>
        <w:rPr>
          <w:rStyle w:val="Rimandonotaapidipagina"/>
        </w:rPr>
        <w:footnoteRef/>
      </w:r>
      <w:r w:rsidRPr="00F073B3">
        <w:t xml:space="preserve"> </w:t>
      </w:r>
      <w:r w:rsidRPr="00F073B3">
        <w:rPr>
          <w:i/>
        </w:rPr>
        <w:t>Ibid</w:t>
      </w:r>
      <w:r>
        <w:t>., pp. 98–</w:t>
      </w:r>
      <w:r w:rsidRPr="00F073B3">
        <w:t>99.</w:t>
      </w:r>
    </w:p>
  </w:footnote>
  <w:footnote w:id="281">
    <w:p w:rsidR="003D54BB" w:rsidRPr="00F073B3" w:rsidRDefault="003D54BB" w:rsidP="00CA5718">
      <w:pPr>
        <w:pStyle w:val="Testonotaapidipagina"/>
        <w:jc w:val="both"/>
        <w:rPr>
          <w:lang w:val="fr-FR"/>
        </w:rPr>
      </w:pPr>
      <w:r>
        <w:rPr>
          <w:rStyle w:val="Rimandonotaapidipagina"/>
        </w:rPr>
        <w:footnoteRef/>
      </w:r>
      <w:r>
        <w:t xml:space="preserve"> Secondo il delegato sudafricano, basandosi soltanto sul criterio attributivo della qualità ufficiale, uno Stato riuscirebbe a sfuggire facilmente alla propria responsabilità internazionale nel caso in cui gli organi, abusando dei mezzi messi loro a disposizione in virtù della funzione svolta, fanno chiaramente sapere alla vittima che stanno tenendo la condotta nella propria qualità privata. </w:t>
      </w:r>
      <w:r w:rsidRPr="00F073B3">
        <w:rPr>
          <w:i/>
          <w:lang w:val="fr-FR"/>
        </w:rPr>
        <w:t>Ibid.,</w:t>
      </w:r>
      <w:r w:rsidRPr="00F073B3">
        <w:rPr>
          <w:lang w:val="fr-FR"/>
        </w:rPr>
        <w:t xml:space="preserve"> p. 86.</w:t>
      </w:r>
    </w:p>
  </w:footnote>
  <w:footnote w:id="282">
    <w:p w:rsidR="003D54BB" w:rsidRPr="00900568" w:rsidRDefault="003D54BB" w:rsidP="00CA5718">
      <w:pPr>
        <w:pStyle w:val="Testonotaapidipagina"/>
        <w:jc w:val="both"/>
        <w:rPr>
          <w:lang w:val="fr-FR"/>
        </w:rPr>
      </w:pPr>
      <w:r>
        <w:rPr>
          <w:rStyle w:val="Rimandonotaapidipagina"/>
        </w:rPr>
        <w:footnoteRef/>
      </w:r>
      <w:r w:rsidRPr="00900568">
        <w:rPr>
          <w:lang w:val="fr-FR"/>
        </w:rPr>
        <w:t xml:space="preserve"> </w:t>
      </w:r>
      <w:r w:rsidRPr="00900568">
        <w:rPr>
          <w:i/>
          <w:lang w:val="fr-FR"/>
        </w:rPr>
        <w:t>Ibid</w:t>
      </w:r>
      <w:r>
        <w:rPr>
          <w:lang w:val="fr-FR"/>
        </w:rPr>
        <w:t>., 86.</w:t>
      </w:r>
    </w:p>
  </w:footnote>
  <w:footnote w:id="283">
    <w:p w:rsidR="003D54BB" w:rsidRPr="005D03CE" w:rsidRDefault="003D54BB" w:rsidP="00CA5718">
      <w:pPr>
        <w:pStyle w:val="Testonotaapidipagina"/>
        <w:jc w:val="both"/>
        <w:rPr>
          <w:lang w:val="fr-FR"/>
        </w:rPr>
      </w:pPr>
      <w:r>
        <w:rPr>
          <w:rStyle w:val="Rimandonotaapidipagina"/>
        </w:rPr>
        <w:footnoteRef/>
      </w:r>
      <w:r w:rsidRPr="005D03CE">
        <w:rPr>
          <w:lang w:val="fr-FR"/>
        </w:rPr>
        <w:t xml:space="preserve"> SdN, </w:t>
      </w:r>
      <w:r w:rsidRPr="005D03CE">
        <w:rPr>
          <w:i/>
          <w:lang w:val="fr-FR"/>
        </w:rPr>
        <w:t>Actes de la Conférence</w:t>
      </w:r>
      <w:r w:rsidRPr="005D03CE">
        <w:rPr>
          <w:lang w:val="fr-FR"/>
        </w:rPr>
        <w:t>, cit., p. 238.</w:t>
      </w:r>
    </w:p>
  </w:footnote>
  <w:footnote w:id="284">
    <w:p w:rsidR="003D54BB" w:rsidRDefault="003D54BB" w:rsidP="00CA5718">
      <w:pPr>
        <w:pStyle w:val="Testonotaapidipagina"/>
        <w:jc w:val="both"/>
      </w:pPr>
      <w:r>
        <w:rPr>
          <w:rStyle w:val="Rimandonotaapidipagina"/>
        </w:rPr>
        <w:footnoteRef/>
      </w:r>
      <w:r w:rsidRPr="00BA1447">
        <w:t xml:space="preserve"> </w:t>
      </w:r>
      <w:r w:rsidRPr="00BA1447">
        <w:rPr>
          <w:i/>
        </w:rPr>
        <w:t>Ibid</w:t>
      </w:r>
      <w:r w:rsidRPr="00BA1447">
        <w:t xml:space="preserve">., p. 238. </w:t>
      </w:r>
      <w:r>
        <w:t xml:space="preserve">Secondo Borchard, tale limitazione è stata inserita soltanto per venire incontro alle esigenze degli Stati che si erano opposti al principio della responsabilità internazionale dello Stato per i fatti illeciti </w:t>
      </w:r>
      <w:r w:rsidRPr="00DA383F">
        <w:rPr>
          <w:i/>
        </w:rPr>
        <w:t>ultra vires</w:t>
      </w:r>
      <w:r>
        <w:t xml:space="preserve"> dei propri organi. BORCHARD, </w:t>
      </w:r>
      <w:r w:rsidRPr="00160F44">
        <w:rPr>
          <w:i/>
        </w:rPr>
        <w:t>Responsibility of States</w:t>
      </w:r>
      <w:r>
        <w:t>, cit., p. 531.</w:t>
      </w:r>
    </w:p>
  </w:footnote>
  <w:footnote w:id="285">
    <w:p w:rsidR="003D54BB" w:rsidRPr="00D365DA" w:rsidRDefault="003D54BB" w:rsidP="00CA5718">
      <w:pPr>
        <w:spacing w:after="0" w:line="240" w:lineRule="auto"/>
        <w:jc w:val="both"/>
      </w:pPr>
      <w:r>
        <w:rPr>
          <w:rStyle w:val="Rimandonotaapidipagina"/>
        </w:rPr>
        <w:footnoteRef/>
      </w:r>
      <w:r>
        <w:t xml:space="preserve"> </w:t>
      </w:r>
      <w:r w:rsidRPr="006A3286">
        <w:rPr>
          <w:sz w:val="20"/>
          <w:szCs w:val="20"/>
        </w:rPr>
        <w:t xml:space="preserve">L’attribuzione allo Stato dei comportamenti </w:t>
      </w:r>
      <w:r w:rsidRPr="00630D2C">
        <w:rPr>
          <w:i/>
          <w:sz w:val="20"/>
          <w:szCs w:val="20"/>
        </w:rPr>
        <w:t>ultra vires</w:t>
      </w:r>
      <w:r w:rsidRPr="006A3286">
        <w:rPr>
          <w:sz w:val="20"/>
          <w:szCs w:val="20"/>
        </w:rPr>
        <w:t xml:space="preserve"> dei propri organi è stata una delle questioni che ha maggiormente ostacolato i lavori di codificazione della Conferenza.</w:t>
      </w:r>
      <w:r>
        <w:rPr>
          <w:sz w:val="20"/>
          <w:szCs w:val="20"/>
        </w:rPr>
        <w:t xml:space="preserve"> </w:t>
      </w:r>
      <w:r w:rsidRPr="00D365DA">
        <w:rPr>
          <w:sz w:val="20"/>
          <w:szCs w:val="20"/>
        </w:rPr>
        <w:t>Si veda VON M</w:t>
      </w:r>
      <w:r w:rsidRPr="00D365DA">
        <w:rPr>
          <w:rFonts w:cstheme="minorHAnsi"/>
          <w:sz w:val="20"/>
          <w:szCs w:val="20"/>
        </w:rPr>
        <w:t>Ü</w:t>
      </w:r>
      <w:r w:rsidRPr="00D365DA">
        <w:rPr>
          <w:sz w:val="20"/>
          <w:szCs w:val="20"/>
        </w:rPr>
        <w:t xml:space="preserve">NCH, </w:t>
      </w:r>
      <w:r w:rsidRPr="00D365DA">
        <w:rPr>
          <w:i/>
          <w:sz w:val="20"/>
          <w:szCs w:val="20"/>
        </w:rPr>
        <w:t>op. cit</w:t>
      </w:r>
      <w:r w:rsidRPr="00D365DA">
        <w:rPr>
          <w:sz w:val="20"/>
          <w:szCs w:val="20"/>
        </w:rPr>
        <w:t>., p. 174.</w:t>
      </w:r>
    </w:p>
    <w:p w:rsidR="003D54BB" w:rsidRPr="00D365DA" w:rsidRDefault="003D54BB" w:rsidP="00CA5718">
      <w:pPr>
        <w:pStyle w:val="Testonotaapidipagina"/>
      </w:pPr>
    </w:p>
  </w:footnote>
  <w:footnote w:id="286">
    <w:p w:rsidR="003D54BB" w:rsidRPr="004509AD" w:rsidRDefault="003D54BB">
      <w:pPr>
        <w:pStyle w:val="Testonotaapidipagina"/>
      </w:pPr>
      <w:r>
        <w:rPr>
          <w:rStyle w:val="Rimandonotaapidipagina"/>
        </w:rPr>
        <w:footnoteRef/>
      </w:r>
      <w:r w:rsidRPr="004509AD">
        <w:t xml:space="preserve"> Vedi </w:t>
      </w:r>
      <w:r w:rsidRPr="004509AD">
        <w:rPr>
          <w:i/>
        </w:rPr>
        <w:t>infra</w:t>
      </w:r>
      <w:r w:rsidRPr="004509AD">
        <w:t>, p. 83 ss.</w:t>
      </w:r>
    </w:p>
  </w:footnote>
  <w:footnote w:id="287">
    <w:p w:rsidR="003D54BB" w:rsidRPr="00084967" w:rsidRDefault="003D54BB">
      <w:pPr>
        <w:pStyle w:val="Testonotaapidipagina"/>
        <w:rPr>
          <w:lang w:val="en-US"/>
        </w:rPr>
      </w:pPr>
      <w:r>
        <w:rPr>
          <w:rStyle w:val="Rimandonotaapidipagina"/>
        </w:rPr>
        <w:footnoteRef/>
      </w:r>
      <w:r w:rsidRPr="00084967">
        <w:rPr>
          <w:lang w:val="en-US"/>
        </w:rPr>
        <w:t xml:space="preserve"> </w:t>
      </w:r>
      <w:r w:rsidRPr="00E61DEB">
        <w:rPr>
          <w:lang w:val="en-US"/>
        </w:rPr>
        <w:t xml:space="preserve">Vedi </w:t>
      </w:r>
      <w:r w:rsidRPr="00E61DEB">
        <w:rPr>
          <w:i/>
          <w:lang w:val="en-US"/>
        </w:rPr>
        <w:t>supra</w:t>
      </w:r>
      <w:r w:rsidRPr="00E61DEB">
        <w:rPr>
          <w:lang w:val="en-US"/>
        </w:rPr>
        <w:t>, p. 14 ss.</w:t>
      </w:r>
    </w:p>
  </w:footnote>
  <w:footnote w:id="288">
    <w:p w:rsidR="003D54BB" w:rsidRDefault="003D54BB" w:rsidP="003B501E">
      <w:pPr>
        <w:pStyle w:val="Testonotaapidipagina"/>
        <w:jc w:val="both"/>
      </w:pPr>
      <w:r>
        <w:rPr>
          <w:rStyle w:val="Rimandonotaapidipagina"/>
        </w:rPr>
        <w:footnoteRef/>
      </w:r>
      <w:r w:rsidRPr="00B64677">
        <w:rPr>
          <w:lang w:val="en-US"/>
        </w:rPr>
        <w:t xml:space="preserve"> GARC</w:t>
      </w:r>
      <w:r w:rsidRPr="00B64677">
        <w:rPr>
          <w:rFonts w:cstheme="minorHAnsi"/>
          <w:lang w:val="en-US"/>
        </w:rPr>
        <w:t>Í</w:t>
      </w:r>
      <w:r w:rsidRPr="00B64677">
        <w:rPr>
          <w:lang w:val="en-US"/>
        </w:rPr>
        <w:t xml:space="preserve">A–AMADOR, </w:t>
      </w:r>
      <w:r w:rsidRPr="00B64677">
        <w:rPr>
          <w:i/>
          <w:lang w:val="en-US"/>
        </w:rPr>
        <w:t>Second Report on the International Responsibility of the States for injuries caused in its territory to the person or property of aliens</w:t>
      </w:r>
      <w:r w:rsidRPr="00B64677">
        <w:rPr>
          <w:lang w:val="en-US"/>
        </w:rPr>
        <w:t xml:space="preserve">, </w:t>
      </w:r>
      <w:r w:rsidRPr="00B64677">
        <w:rPr>
          <w:i/>
          <w:lang w:val="en-US"/>
        </w:rPr>
        <w:t>Yearbook of the International Law Commission</w:t>
      </w:r>
      <w:r w:rsidRPr="00B64677">
        <w:rPr>
          <w:lang w:val="en-US"/>
        </w:rPr>
        <w:t xml:space="preserve">, 1957, vol. </w:t>
      </w:r>
      <w:r>
        <w:t xml:space="preserve">II, p. 104 ss. Il primo rapporto, risalente al 1956, aveva un carattere introduttivo e si limitava solamente ad enunciare tra le questioni da esaminare quella dell’attribuzione allo Stato dei comportamenti </w:t>
      </w:r>
      <w:r>
        <w:rPr>
          <w:i/>
        </w:rPr>
        <w:t>ultra vires</w:t>
      </w:r>
      <w:r>
        <w:t xml:space="preserve"> dei propri organi.</w:t>
      </w:r>
    </w:p>
  </w:footnote>
  <w:footnote w:id="289">
    <w:p w:rsidR="003D54BB" w:rsidRDefault="003D54BB" w:rsidP="003B501E">
      <w:pPr>
        <w:pStyle w:val="Testonotaapidipagina"/>
        <w:jc w:val="both"/>
      </w:pPr>
      <w:r>
        <w:rPr>
          <w:rStyle w:val="Rimandonotaapidipagina"/>
        </w:rPr>
        <w:footnoteRef/>
      </w:r>
      <w:r>
        <w:t xml:space="preserve"> Alcuni autori hanno fortemente criticato tale distinzione. Si veda VON M</w:t>
      </w:r>
      <w:r>
        <w:rPr>
          <w:rFonts w:cstheme="minorHAnsi"/>
        </w:rPr>
        <w:t>Ü</w:t>
      </w:r>
      <w:r>
        <w:t>NCH, op. cit., p. 180.</w:t>
      </w:r>
    </w:p>
  </w:footnote>
  <w:footnote w:id="290">
    <w:p w:rsidR="003D54BB" w:rsidRPr="00B64677" w:rsidRDefault="003D54BB" w:rsidP="003B501E">
      <w:pPr>
        <w:pStyle w:val="Testonotaapidipagina"/>
        <w:jc w:val="both"/>
        <w:rPr>
          <w:lang w:val="en-US"/>
        </w:rPr>
      </w:pPr>
      <w:r>
        <w:rPr>
          <w:rStyle w:val="Rimandonotaapidipagina"/>
        </w:rPr>
        <w:footnoteRef/>
      </w:r>
      <w:r w:rsidRPr="00B64677">
        <w:rPr>
          <w:lang w:val="en-US"/>
        </w:rPr>
        <w:t xml:space="preserve"> GARC</w:t>
      </w:r>
      <w:r w:rsidRPr="00B64677">
        <w:rPr>
          <w:rFonts w:cstheme="minorHAnsi"/>
          <w:lang w:val="en-US"/>
        </w:rPr>
        <w:t>Í</w:t>
      </w:r>
      <w:r w:rsidRPr="00B64677">
        <w:rPr>
          <w:lang w:val="en-US"/>
        </w:rPr>
        <w:t xml:space="preserve">A–AMADOR, </w:t>
      </w:r>
      <w:r w:rsidRPr="00B64677">
        <w:rPr>
          <w:i/>
          <w:lang w:val="en-US"/>
        </w:rPr>
        <w:t>Second Report on the International Responsibility of the States</w:t>
      </w:r>
      <w:r>
        <w:rPr>
          <w:lang w:val="en-US"/>
        </w:rPr>
        <w:t>, cit., p. 107</w:t>
      </w:r>
      <w:r w:rsidRPr="00B64677">
        <w:rPr>
          <w:lang w:val="en-US"/>
        </w:rPr>
        <w:t>.</w:t>
      </w:r>
    </w:p>
  </w:footnote>
  <w:footnote w:id="291">
    <w:p w:rsidR="003D54BB" w:rsidRPr="00B64677" w:rsidRDefault="003D54BB" w:rsidP="00333C13">
      <w:pPr>
        <w:pStyle w:val="Testonotaapidipagina"/>
        <w:rPr>
          <w:lang w:val="en-US"/>
        </w:rPr>
      </w:pPr>
      <w:r>
        <w:rPr>
          <w:rStyle w:val="Rimandonotaapidipagina"/>
        </w:rPr>
        <w:footnoteRef/>
      </w:r>
      <w:r w:rsidRPr="00B64677">
        <w:rPr>
          <w:lang w:val="en-US"/>
        </w:rPr>
        <w:t xml:space="preserve"> </w:t>
      </w:r>
      <w:r w:rsidRPr="00B64677">
        <w:rPr>
          <w:i/>
          <w:lang w:val="en-US"/>
        </w:rPr>
        <w:t>Ibid</w:t>
      </w:r>
      <w:r w:rsidRPr="00B64677">
        <w:rPr>
          <w:lang w:val="en-US"/>
        </w:rPr>
        <w:t xml:space="preserve">., p. 145. </w:t>
      </w:r>
    </w:p>
  </w:footnote>
  <w:footnote w:id="292">
    <w:p w:rsidR="003D54BB" w:rsidRPr="00084967" w:rsidRDefault="003D54BB" w:rsidP="00BE494B">
      <w:pPr>
        <w:pStyle w:val="Testonotaapidipagina"/>
        <w:jc w:val="both"/>
        <w:rPr>
          <w:lang w:val="fr-FR"/>
        </w:rPr>
      </w:pPr>
      <w:r>
        <w:rPr>
          <w:rStyle w:val="Rimandonotaapidipagina"/>
        </w:rPr>
        <w:footnoteRef/>
      </w:r>
      <w:r w:rsidRPr="00355466">
        <w:rPr>
          <w:lang w:val="en-US"/>
        </w:rPr>
        <w:t xml:space="preserve"> </w:t>
      </w:r>
      <w:r w:rsidRPr="005C17AE">
        <w:rPr>
          <w:lang w:val="en-US"/>
        </w:rPr>
        <w:t>GARCÍA–AMADOR</w:t>
      </w:r>
      <w:r w:rsidRPr="00B64677">
        <w:rPr>
          <w:lang w:val="en-US"/>
        </w:rPr>
        <w:t xml:space="preserve">, </w:t>
      </w:r>
      <w:r w:rsidRPr="00B64677">
        <w:rPr>
          <w:i/>
          <w:lang w:val="en-US"/>
        </w:rPr>
        <w:t>Sixth Report on the International Responsibility of the States for injuries caused in its territory to the person or property of aliens</w:t>
      </w:r>
      <w:r w:rsidRPr="00B64677">
        <w:rPr>
          <w:lang w:val="en-US"/>
        </w:rPr>
        <w:t xml:space="preserve">, </w:t>
      </w:r>
      <w:r w:rsidRPr="00B64677">
        <w:rPr>
          <w:i/>
          <w:lang w:val="en-US"/>
        </w:rPr>
        <w:t>Yearbook of the International Law Commission</w:t>
      </w:r>
      <w:r w:rsidRPr="00B64677">
        <w:rPr>
          <w:lang w:val="en-US"/>
        </w:rPr>
        <w:t>, 1961, vo</w:t>
      </w:r>
      <w:r>
        <w:rPr>
          <w:lang w:val="en-US"/>
        </w:rPr>
        <w:t>l</w:t>
      </w:r>
      <w:r w:rsidRPr="00B64677">
        <w:rPr>
          <w:lang w:val="en-US"/>
        </w:rPr>
        <w:t xml:space="preserve">. </w:t>
      </w:r>
      <w:r w:rsidRPr="00084967">
        <w:rPr>
          <w:lang w:val="fr-FR"/>
        </w:rPr>
        <w:t>II, pp. 47-48.</w:t>
      </w:r>
    </w:p>
  </w:footnote>
  <w:footnote w:id="293">
    <w:p w:rsidR="003D54BB" w:rsidRPr="00101F8D" w:rsidRDefault="003D54BB" w:rsidP="00716CA4">
      <w:pPr>
        <w:pStyle w:val="Testonotaapidipagina"/>
        <w:jc w:val="both"/>
        <w:rPr>
          <w:lang w:val="fr-FR"/>
        </w:rPr>
      </w:pPr>
      <w:r>
        <w:rPr>
          <w:rStyle w:val="Rimandonotaapidipagina"/>
        </w:rPr>
        <w:footnoteRef/>
      </w:r>
      <w:r w:rsidRPr="00101F8D">
        <w:rPr>
          <w:lang w:val="fr-FR"/>
        </w:rPr>
        <w:t xml:space="preserve"> AGO, </w:t>
      </w:r>
      <w:r w:rsidRPr="00101F8D">
        <w:rPr>
          <w:i/>
          <w:lang w:val="fr-FR"/>
        </w:rPr>
        <w:t>Troisième rapport</w:t>
      </w:r>
      <w:r w:rsidRPr="00101F8D">
        <w:rPr>
          <w:lang w:val="fr-FR"/>
        </w:rPr>
        <w:t xml:space="preserve">, cit., p. </w:t>
      </w:r>
      <w:r>
        <w:rPr>
          <w:lang w:val="fr-FR"/>
        </w:rPr>
        <w:t xml:space="preserve">249. </w:t>
      </w:r>
    </w:p>
  </w:footnote>
  <w:footnote w:id="294">
    <w:p w:rsidR="003D54BB" w:rsidRPr="00084967" w:rsidRDefault="003D54BB" w:rsidP="00333C13">
      <w:pPr>
        <w:pStyle w:val="Testonotaapidipagina"/>
        <w:jc w:val="both"/>
        <w:rPr>
          <w:lang w:val="fr-FR"/>
        </w:rPr>
      </w:pPr>
      <w:r>
        <w:rPr>
          <w:rStyle w:val="Rimandonotaapidipagina"/>
        </w:rPr>
        <w:footnoteRef/>
      </w:r>
      <w:r w:rsidRPr="00996419">
        <w:rPr>
          <w:lang w:val="fr-FR"/>
        </w:rPr>
        <w:t xml:space="preserve"> </w:t>
      </w:r>
      <w:r w:rsidRPr="008B538A">
        <w:rPr>
          <w:lang w:val="fr-FR"/>
        </w:rPr>
        <w:t>“Par organisation de l’Etat il faut entendre l’appareil de ce dernier, l’ensemble des structures concrètes par lesquelles il manifeste son existence et exerce son action. Il va se de soi que la formation de ces structures et la prévision de cette action sont l’objet d’une réglementation juridique, réglementation que l’Etat lui-même et lui seul peut établir ”.</w:t>
      </w:r>
      <w:r>
        <w:rPr>
          <w:lang w:val="fr-FR"/>
        </w:rPr>
        <w:t xml:space="preserve"> </w:t>
      </w:r>
      <w:r w:rsidRPr="00084967">
        <w:rPr>
          <w:lang w:val="fr-FR"/>
        </w:rPr>
        <w:t xml:space="preserve">Così AGO, </w:t>
      </w:r>
      <w:r w:rsidRPr="00084967">
        <w:rPr>
          <w:i/>
          <w:lang w:val="fr-FR"/>
        </w:rPr>
        <w:t>Troisième rapport</w:t>
      </w:r>
      <w:r w:rsidRPr="00084967">
        <w:rPr>
          <w:lang w:val="fr-FR"/>
        </w:rPr>
        <w:t>, cit. p. 249.</w:t>
      </w:r>
    </w:p>
  </w:footnote>
  <w:footnote w:id="295">
    <w:p w:rsidR="003D54BB" w:rsidRPr="00EF0F82" w:rsidRDefault="003D54BB" w:rsidP="00333C13">
      <w:pPr>
        <w:pStyle w:val="Testonotaapidipagina"/>
        <w:jc w:val="both"/>
        <w:rPr>
          <w:lang w:val="fr-FR"/>
        </w:rPr>
      </w:pPr>
      <w:r>
        <w:rPr>
          <w:rStyle w:val="Rimandonotaapidipagina"/>
        </w:rPr>
        <w:footnoteRef/>
      </w:r>
      <w:r w:rsidRPr="00EF0F82">
        <w:rPr>
          <w:lang w:val="fr-FR"/>
        </w:rPr>
        <w:t xml:space="preserve"> L’art. 5 del progetto adottato in prima lettura stabiliva: “Aux fins des présents a</w:t>
      </w:r>
      <w:r>
        <w:rPr>
          <w:lang w:val="fr-FR"/>
        </w:rPr>
        <w:t xml:space="preserve">rticles, est considéré comme un fait de l'Etat d'après le droit </w:t>
      </w:r>
      <w:r w:rsidRPr="00EF0F82">
        <w:rPr>
          <w:lang w:val="fr-FR"/>
        </w:rPr>
        <w:t>i</w:t>
      </w:r>
      <w:r>
        <w:rPr>
          <w:lang w:val="fr-FR"/>
        </w:rPr>
        <w:t xml:space="preserve">nternational le comportement de </w:t>
      </w:r>
      <w:r w:rsidRPr="00EF0F82">
        <w:rPr>
          <w:lang w:val="fr-FR"/>
        </w:rPr>
        <w:t>tout organe de l'Etat ayant ce sta</w:t>
      </w:r>
      <w:r>
        <w:rPr>
          <w:lang w:val="fr-FR"/>
        </w:rPr>
        <w:t xml:space="preserve">tut d'après le droit interne de cet Etat, pour autant que, en </w:t>
      </w:r>
      <w:r w:rsidRPr="00EF0F82">
        <w:rPr>
          <w:lang w:val="fr-FR"/>
        </w:rPr>
        <w:t>l'</w:t>
      </w:r>
      <w:r>
        <w:rPr>
          <w:lang w:val="fr-FR"/>
        </w:rPr>
        <w:t xml:space="preserve">occurrence, il ait agi en cette </w:t>
      </w:r>
      <w:r w:rsidRPr="00EF0F82">
        <w:rPr>
          <w:lang w:val="fr-FR"/>
        </w:rPr>
        <w:t>qualité.”</w:t>
      </w:r>
    </w:p>
  </w:footnote>
  <w:footnote w:id="296">
    <w:p w:rsidR="003D54BB" w:rsidRPr="00001976" w:rsidRDefault="003D54BB" w:rsidP="00B600B9">
      <w:pPr>
        <w:autoSpaceDE w:val="0"/>
        <w:autoSpaceDN w:val="0"/>
        <w:adjustRightInd w:val="0"/>
        <w:spacing w:after="0" w:line="240" w:lineRule="auto"/>
        <w:jc w:val="both"/>
        <w:rPr>
          <w:rFonts w:ascii="Times New Roman" w:hAnsi="Times New Roman"/>
        </w:rPr>
      </w:pPr>
      <w:r>
        <w:rPr>
          <w:rStyle w:val="Rimandonotaapidipagina"/>
        </w:rPr>
        <w:footnoteRef/>
      </w:r>
      <w:r>
        <w:t xml:space="preserve"> </w:t>
      </w:r>
      <w:r>
        <w:rPr>
          <w:sz w:val="20"/>
          <w:szCs w:val="20"/>
        </w:rPr>
        <w:t xml:space="preserve">Il principio in base al quale il comportamento di un individuo o un ente, che non sia formalmente organo dello Stato, è ad esso attribuito nella circostanza in cui gli siano state delegate funzioni di stampo pubblicistico è stato codificato nell’art. 5 del progetto di articoli sulla responsabilità degli Stati adottato in seconda lettura dalla Commissione del diritto internazionale. L’art. 5 ha recentemente assunto una particolare rilevanza al fine di imputare agli Stati le condotte delle </w:t>
      </w:r>
      <w:r>
        <w:rPr>
          <w:i/>
          <w:sz w:val="20"/>
          <w:szCs w:val="20"/>
        </w:rPr>
        <w:t xml:space="preserve">private military and security companies </w:t>
      </w:r>
      <w:r>
        <w:rPr>
          <w:sz w:val="20"/>
          <w:szCs w:val="20"/>
        </w:rPr>
        <w:t xml:space="preserve">impiegate all’estero da taluni Stati in situazioni post-conflittuali. Si vedano SPINEDI, </w:t>
      </w:r>
      <w:r>
        <w:rPr>
          <w:i/>
          <w:sz w:val="20"/>
          <w:szCs w:val="20"/>
        </w:rPr>
        <w:t xml:space="preserve">La responsabilità dello Stato per comportamenti di private contractors, </w:t>
      </w:r>
      <w:r>
        <w:rPr>
          <w:sz w:val="20"/>
          <w:szCs w:val="20"/>
        </w:rPr>
        <w:t xml:space="preserve">in </w:t>
      </w:r>
      <w:r>
        <w:rPr>
          <w:i/>
          <w:sz w:val="20"/>
          <w:szCs w:val="20"/>
        </w:rPr>
        <w:t xml:space="preserve">La codificazione della responsabilità internazionale degli Stati alla prova dei fatti. </w:t>
      </w:r>
      <w:r w:rsidRPr="00C02EF2">
        <w:rPr>
          <w:i/>
          <w:sz w:val="20"/>
          <w:szCs w:val="20"/>
        </w:rPr>
        <w:t>Problemi e spunti di riflessione</w:t>
      </w:r>
      <w:r w:rsidRPr="00C02EF2">
        <w:rPr>
          <w:sz w:val="20"/>
          <w:szCs w:val="20"/>
        </w:rPr>
        <w:t xml:space="preserve">, </w:t>
      </w:r>
      <w:r>
        <w:rPr>
          <w:sz w:val="20"/>
          <w:szCs w:val="20"/>
        </w:rPr>
        <w:t xml:space="preserve">(a cura di Spinedi, Gianelli, </w:t>
      </w:r>
      <w:r w:rsidRPr="00C02EF2">
        <w:rPr>
          <w:sz w:val="20"/>
          <w:szCs w:val="20"/>
        </w:rPr>
        <w:t xml:space="preserve">Alaimo), Giuffré, Milano, 2006. </w:t>
      </w:r>
      <w:r w:rsidRPr="003C67EE">
        <w:rPr>
          <w:sz w:val="20"/>
          <w:szCs w:val="20"/>
          <w:lang w:val="en-US"/>
        </w:rPr>
        <w:t xml:space="preserve">Milano, 2006, pp. 67-103; LEHNARDT, </w:t>
      </w:r>
      <w:r w:rsidRPr="003C67EE">
        <w:rPr>
          <w:i/>
          <w:sz w:val="20"/>
          <w:szCs w:val="20"/>
          <w:lang w:val="en-US"/>
        </w:rPr>
        <w:t>Private Military Companies and State Responsibility</w:t>
      </w:r>
      <w:r w:rsidRPr="003C67EE">
        <w:rPr>
          <w:sz w:val="20"/>
          <w:szCs w:val="20"/>
          <w:lang w:val="en-US"/>
        </w:rPr>
        <w:t xml:space="preserve">, in </w:t>
      </w:r>
      <w:r w:rsidRPr="003C67EE">
        <w:rPr>
          <w:i/>
          <w:sz w:val="20"/>
          <w:szCs w:val="20"/>
          <w:lang w:val="en-US"/>
        </w:rPr>
        <w:t xml:space="preserve">From Mercenaries to Market. </w:t>
      </w:r>
      <w:r>
        <w:rPr>
          <w:i/>
          <w:sz w:val="20"/>
          <w:szCs w:val="20"/>
          <w:lang w:val="en-US"/>
        </w:rPr>
        <w:t>The Rise and Regulation of Private Military Companies</w:t>
      </w:r>
      <w:r>
        <w:rPr>
          <w:sz w:val="20"/>
          <w:szCs w:val="20"/>
          <w:lang w:val="en-US"/>
        </w:rPr>
        <w:t xml:space="preserve">, Oxford, 2007, pp. 139-157. </w:t>
      </w:r>
      <w:r w:rsidRPr="00001976">
        <w:rPr>
          <w:sz w:val="20"/>
          <w:szCs w:val="20"/>
        </w:rPr>
        <w:t>Si veda la sentenza resa dal Tribunale arbitrale dei reclaim tra Iran-Stati Unit</w:t>
      </w:r>
      <w:r>
        <w:rPr>
          <w:sz w:val="20"/>
          <w:szCs w:val="20"/>
        </w:rPr>
        <w:t xml:space="preserve">i </w:t>
      </w:r>
      <w:r w:rsidRPr="00001976">
        <w:rPr>
          <w:sz w:val="20"/>
          <w:szCs w:val="20"/>
        </w:rPr>
        <w:t xml:space="preserve">nel caso </w:t>
      </w:r>
      <w:r w:rsidRPr="00001976">
        <w:rPr>
          <w:i/>
          <w:sz w:val="20"/>
          <w:szCs w:val="20"/>
        </w:rPr>
        <w:t>Hyatt International Corporation v Government of the Islamic Republic of Iran</w:t>
      </w:r>
      <w:r w:rsidRPr="00001976">
        <w:rPr>
          <w:sz w:val="20"/>
          <w:szCs w:val="20"/>
        </w:rPr>
        <w:t xml:space="preserve">, in </w:t>
      </w:r>
      <w:r w:rsidRPr="00001976">
        <w:rPr>
          <w:i/>
          <w:sz w:val="20"/>
          <w:szCs w:val="20"/>
        </w:rPr>
        <w:t>Iran-US CTR</w:t>
      </w:r>
      <w:r w:rsidRPr="00001976">
        <w:rPr>
          <w:sz w:val="20"/>
          <w:szCs w:val="20"/>
        </w:rPr>
        <w:t xml:space="preserve">, vol. 9, p. 93 e la sentenza resa </w:t>
      </w:r>
      <w:r>
        <w:rPr>
          <w:sz w:val="20"/>
          <w:szCs w:val="20"/>
        </w:rPr>
        <w:t xml:space="preserve">dalla Corte internazionale di giustizia </w:t>
      </w:r>
      <w:r w:rsidRPr="00001976">
        <w:rPr>
          <w:sz w:val="20"/>
          <w:szCs w:val="20"/>
        </w:rPr>
        <w:t xml:space="preserve">nel caso </w:t>
      </w:r>
      <w:r w:rsidRPr="00001976">
        <w:rPr>
          <w:i/>
          <w:sz w:val="20"/>
          <w:szCs w:val="20"/>
        </w:rPr>
        <w:t>Military and Paramilitary Activities in and against Nicaragua</w:t>
      </w:r>
      <w:r w:rsidRPr="00001976">
        <w:rPr>
          <w:sz w:val="20"/>
          <w:szCs w:val="20"/>
        </w:rPr>
        <w:t xml:space="preserve">, in </w:t>
      </w:r>
      <w:r w:rsidRPr="00001976">
        <w:rPr>
          <w:i/>
          <w:sz w:val="20"/>
          <w:szCs w:val="20"/>
        </w:rPr>
        <w:t>I.C.J. Reports</w:t>
      </w:r>
      <w:r>
        <w:rPr>
          <w:sz w:val="20"/>
          <w:szCs w:val="20"/>
        </w:rPr>
        <w:t xml:space="preserve">, </w:t>
      </w:r>
      <w:r w:rsidRPr="00001976">
        <w:rPr>
          <w:sz w:val="20"/>
          <w:szCs w:val="20"/>
        </w:rPr>
        <w:t xml:space="preserve">1986, p. 14. </w:t>
      </w:r>
    </w:p>
  </w:footnote>
  <w:footnote w:id="297">
    <w:p w:rsidR="003D54BB" w:rsidRPr="005C17AE" w:rsidRDefault="003D54BB" w:rsidP="00B600B9">
      <w:pPr>
        <w:pStyle w:val="Testonotaapidipagina"/>
        <w:jc w:val="both"/>
        <w:rPr>
          <w:lang w:val="fr-FR"/>
        </w:rPr>
      </w:pPr>
      <w:r>
        <w:rPr>
          <w:rStyle w:val="Rimandonotaapidipagina"/>
        </w:rPr>
        <w:footnoteRef/>
      </w:r>
      <w:r>
        <w:t xml:space="preserve"> Si veda AGO, </w:t>
      </w:r>
      <w:r w:rsidRPr="00FB7535">
        <w:rPr>
          <w:i/>
        </w:rPr>
        <w:t>Troisième rapport</w:t>
      </w:r>
      <w:r>
        <w:t xml:space="preserve">, cit., p. 246.  Ugualmente nell’opinione individuale nel caso </w:t>
      </w:r>
      <w:r>
        <w:rPr>
          <w:i/>
        </w:rPr>
        <w:t>Military and Paramilitary Activities in and against Nicaragua</w:t>
      </w:r>
      <w:r>
        <w:t xml:space="preserve">, il giudice Ago ritenne di non poter qualificare i membri della CIA come organi degli Stati Uniti per il fatto che essa costituiva sul piano del diritto interno un ente </w:t>
      </w:r>
      <w:r w:rsidRPr="00147A39">
        <w:t xml:space="preserve">dotato di personalità giuridica diversa da quella dello Stato. </w:t>
      </w:r>
      <w:r w:rsidRPr="005C17AE">
        <w:rPr>
          <w:lang w:val="fr-FR"/>
        </w:rPr>
        <w:t xml:space="preserve">In </w:t>
      </w:r>
      <w:r w:rsidRPr="005C17AE">
        <w:rPr>
          <w:i/>
          <w:lang w:val="fr-FR"/>
        </w:rPr>
        <w:t>I.C.J. Reports</w:t>
      </w:r>
      <w:r w:rsidRPr="005C17AE">
        <w:rPr>
          <w:lang w:val="fr-FR"/>
        </w:rPr>
        <w:t xml:space="preserve"> 1986, p. 188.</w:t>
      </w:r>
    </w:p>
  </w:footnote>
  <w:footnote w:id="298">
    <w:p w:rsidR="003D54BB" w:rsidRPr="007D0052" w:rsidRDefault="003D54BB" w:rsidP="00B600B9">
      <w:pPr>
        <w:pStyle w:val="Testonotaapidipagina"/>
        <w:jc w:val="both"/>
        <w:rPr>
          <w:lang w:val="fr-FR"/>
        </w:rPr>
      </w:pPr>
      <w:r w:rsidRPr="00147A39">
        <w:rPr>
          <w:rStyle w:val="Rimandonotaapidipagina"/>
        </w:rPr>
        <w:footnoteRef/>
      </w:r>
      <w:r w:rsidRPr="00147A39">
        <w:rPr>
          <w:lang w:val="fr-FR"/>
        </w:rPr>
        <w:t xml:space="preserve"> “La</w:t>
      </w:r>
      <w:r w:rsidRPr="00B27E86">
        <w:rPr>
          <w:lang w:val="fr-FR"/>
        </w:rPr>
        <w:t xml:space="preserve"> justification de l'attribution à l'Etat, d'après le droit international, du comportement d'un organe de l'un</w:t>
      </w:r>
      <w:r>
        <w:rPr>
          <w:lang w:val="fr-FR"/>
        </w:rPr>
        <w:t xml:space="preserve">e ou de l'autre des entités ici </w:t>
      </w:r>
      <w:r w:rsidRPr="00B27E86">
        <w:rPr>
          <w:lang w:val="fr-FR"/>
        </w:rPr>
        <w:t>envisagées réside toujours, en</w:t>
      </w:r>
      <w:r>
        <w:rPr>
          <w:lang w:val="fr-FR"/>
        </w:rPr>
        <w:t xml:space="preserve"> dernière analyse, dans le fait </w:t>
      </w:r>
      <w:r w:rsidRPr="00B27E86">
        <w:rPr>
          <w:lang w:val="fr-FR"/>
        </w:rPr>
        <w:t>que le droit interne de l'Etat a conféré à l'entité en question l'exercice de certain</w:t>
      </w:r>
      <w:r>
        <w:rPr>
          <w:lang w:val="fr-FR"/>
        </w:rPr>
        <w:t xml:space="preserve">es prérogatives de la puissance </w:t>
      </w:r>
      <w:r w:rsidRPr="00B27E86">
        <w:rPr>
          <w:lang w:val="fr-FR"/>
        </w:rPr>
        <w:t>publique. Il va de soi q</w:t>
      </w:r>
      <w:r>
        <w:rPr>
          <w:lang w:val="fr-FR"/>
        </w:rPr>
        <w:t xml:space="preserve">ue, pour pouvoir être considéré </w:t>
      </w:r>
      <w:r w:rsidRPr="00B27E86">
        <w:rPr>
          <w:lang w:val="fr-FR"/>
        </w:rPr>
        <w:t>comme un fait de l'Etat à des fins de responsabilité internationale, le comportement</w:t>
      </w:r>
      <w:r>
        <w:rPr>
          <w:lang w:val="fr-FR"/>
        </w:rPr>
        <w:t xml:space="preserve"> de l'organe d'une entité de ce </w:t>
      </w:r>
      <w:r w:rsidRPr="00B27E86">
        <w:rPr>
          <w:lang w:val="fr-FR"/>
        </w:rPr>
        <w:t>genre doit avoir trait à un secteur d'activité à l'</w:t>
      </w:r>
      <w:r>
        <w:rPr>
          <w:lang w:val="fr-FR"/>
        </w:rPr>
        <w:t xml:space="preserve">égard duquel </w:t>
      </w:r>
      <w:r w:rsidRPr="00B27E86">
        <w:rPr>
          <w:lang w:val="fr-FR"/>
        </w:rPr>
        <w:t>l'entité en question est chargée de l'exercice des prérogatives indiquées. Ainsi, pa</w:t>
      </w:r>
      <w:r>
        <w:rPr>
          <w:lang w:val="fr-FR"/>
        </w:rPr>
        <w:t xml:space="preserve">r exemple, le comportement d'un </w:t>
      </w:r>
      <w:r w:rsidRPr="00B27E86">
        <w:rPr>
          <w:lang w:val="fr-FR"/>
        </w:rPr>
        <w:t>organe d'une société de che</w:t>
      </w:r>
      <w:r>
        <w:rPr>
          <w:lang w:val="fr-FR"/>
        </w:rPr>
        <w:t xml:space="preserve">mins de fer à laquelle certains </w:t>
      </w:r>
      <w:r w:rsidRPr="00B27E86">
        <w:rPr>
          <w:lang w:val="fr-FR"/>
        </w:rPr>
        <w:t>pouvoirs de police ont ét</w:t>
      </w:r>
      <w:r>
        <w:rPr>
          <w:lang w:val="fr-FR"/>
        </w:rPr>
        <w:t xml:space="preserve">é réservés sera considéré comme </w:t>
      </w:r>
      <w:r w:rsidRPr="00B27E86">
        <w:rPr>
          <w:lang w:val="fr-FR"/>
        </w:rPr>
        <w:t>un fait de l'Etat d'après le droi</w:t>
      </w:r>
      <w:r>
        <w:rPr>
          <w:lang w:val="fr-FR"/>
        </w:rPr>
        <w:t xml:space="preserve">t international s'il entre dans </w:t>
      </w:r>
      <w:r w:rsidRPr="00B27E86">
        <w:rPr>
          <w:lang w:val="fr-FR"/>
        </w:rPr>
        <w:t>le cadre de l'exercice de ces pouvoirs</w:t>
      </w:r>
      <w:r w:rsidRPr="00147A39">
        <w:rPr>
          <w:lang w:val="fr-FR"/>
        </w:rPr>
        <w:t xml:space="preserve">". Cfr. </w:t>
      </w:r>
      <w:r w:rsidRPr="00E5762F">
        <w:rPr>
          <w:i/>
          <w:lang w:val="fr-FR"/>
        </w:rPr>
        <w:t>Annuaire de la Commission du droit international</w:t>
      </w:r>
      <w:r w:rsidRPr="00147A39">
        <w:rPr>
          <w:lang w:val="fr-FR"/>
        </w:rPr>
        <w:t xml:space="preserve">, 1996, vol. </w:t>
      </w:r>
      <w:r>
        <w:rPr>
          <w:lang w:val="fr-FR"/>
        </w:rPr>
        <w:t>II – 1, p. 293, par. 17</w:t>
      </w:r>
      <w:r w:rsidRPr="00147A39">
        <w:rPr>
          <w:lang w:val="fr-FR"/>
        </w:rPr>
        <w:t>.</w:t>
      </w:r>
    </w:p>
  </w:footnote>
  <w:footnote w:id="299">
    <w:p w:rsidR="003D54BB" w:rsidRPr="00790E1B" w:rsidRDefault="003D54BB" w:rsidP="00333C13">
      <w:pPr>
        <w:pStyle w:val="Testonotaapidipagina"/>
        <w:jc w:val="both"/>
      </w:pPr>
      <w:r w:rsidRPr="00DE20C1">
        <w:rPr>
          <w:rStyle w:val="Rimandonotaapidipagina"/>
        </w:rPr>
        <w:footnoteRef/>
      </w:r>
      <w:r w:rsidRPr="00DE20C1">
        <w:rPr>
          <w:lang w:val="fr-FR"/>
        </w:rPr>
        <w:t xml:space="preserve"> </w:t>
      </w:r>
      <w:r>
        <w:rPr>
          <w:lang w:val="fr-FR"/>
        </w:rPr>
        <w:t xml:space="preserve">L’art. 8 del progetto adottato in prima lettura prevedeva: </w:t>
      </w:r>
      <w:r w:rsidRPr="00DE20C1">
        <w:rPr>
          <w:lang w:val="fr-FR"/>
        </w:rPr>
        <w:t>“Est aussi</w:t>
      </w:r>
      <w:r>
        <w:rPr>
          <w:lang w:val="fr-FR"/>
        </w:rPr>
        <w:t xml:space="preserve"> considéré comme un fait de l'Etat d'après le droit </w:t>
      </w:r>
      <w:r w:rsidRPr="00DE20C1">
        <w:rPr>
          <w:lang w:val="fr-FR"/>
        </w:rPr>
        <w:t>inte</w:t>
      </w:r>
      <w:r>
        <w:rPr>
          <w:lang w:val="fr-FR"/>
        </w:rPr>
        <w:t xml:space="preserve">rnational le comportement d'une </w:t>
      </w:r>
      <w:r w:rsidRPr="00DE20C1">
        <w:rPr>
          <w:lang w:val="fr-FR"/>
        </w:rPr>
        <w:t>personne ou d'un group</w:t>
      </w:r>
      <w:r>
        <w:rPr>
          <w:lang w:val="fr-FR"/>
        </w:rPr>
        <w:t xml:space="preserve">e de personnes si: a) il est établi que cette personne ou ce groupe de personnes agissait en fait pour le compte de cet Etat; ou b) cette personne ou ce groupe de personnes se trouvait exercer en lait des prérogatives de la puissance publique en cas de carence des autorités officielles et dans des circonstances qui justifiaient l'exercice de </w:t>
      </w:r>
      <w:r w:rsidRPr="009352A9">
        <w:rPr>
          <w:lang w:val="fr-FR"/>
        </w:rPr>
        <w:t>ces prérogatives”.</w:t>
      </w:r>
      <w:r>
        <w:rPr>
          <w:lang w:val="fr-FR"/>
        </w:rPr>
        <w:t xml:space="preserve"> </w:t>
      </w:r>
      <w:r w:rsidRPr="009352A9">
        <w:t xml:space="preserve">L’art. 8, lett. </w:t>
      </w:r>
      <w:r w:rsidRPr="009352A9">
        <w:rPr>
          <w:i/>
        </w:rPr>
        <w:t>a</w:t>
      </w:r>
      <w:r>
        <w:t xml:space="preserve">) </w:t>
      </w:r>
      <w:r w:rsidRPr="009352A9">
        <w:t xml:space="preserve">faceva </w:t>
      </w:r>
      <w:r>
        <w:t xml:space="preserve">genericamente </w:t>
      </w:r>
      <w:r w:rsidRPr="009352A9">
        <w:t>riferimento ad individui che “</w:t>
      </w:r>
      <w:r w:rsidRPr="009352A9">
        <w:rPr>
          <w:i/>
        </w:rPr>
        <w:t>agiscono per conto dello Stato</w:t>
      </w:r>
      <w:r w:rsidRPr="009352A9">
        <w:t>”. Non sembra pertanto da esclude</w:t>
      </w:r>
      <w:r>
        <w:t>re</w:t>
      </w:r>
      <w:r w:rsidRPr="009352A9">
        <w:t xml:space="preserve"> che la possibilità di riferire allo Stato le condotte di individui che non godono dello </w:t>
      </w:r>
      <w:r w:rsidRPr="009352A9">
        <w:rPr>
          <w:i/>
        </w:rPr>
        <w:t xml:space="preserve">status </w:t>
      </w:r>
      <w:r w:rsidRPr="009352A9">
        <w:t xml:space="preserve">organico in base al diritto interno potesse essere interpretata in maniera estensiva. </w:t>
      </w:r>
      <w:r>
        <w:t xml:space="preserve">Così SPINEDI, </w:t>
      </w:r>
      <w:r w:rsidRPr="00AB7461">
        <w:rPr>
          <w:i/>
        </w:rPr>
        <w:t>La responsabilità dello Stato per i comportamenti di private contractors</w:t>
      </w:r>
      <w:r>
        <w:t xml:space="preserve">, in Spinedi, Gianelli, Alaimo (a cura di), </w:t>
      </w:r>
      <w:r w:rsidRPr="00AB7461">
        <w:rPr>
          <w:i/>
        </w:rPr>
        <w:t>La codificazione della responsabilità internazionale degli Stati alla prova dei fatti</w:t>
      </w:r>
      <w:r>
        <w:t>, Milano, 2006, p. 84. Alla luce dei lavori della Commissione del diritto internazionale, l’interpretazione prevalente con riferimento all’ambito di applicazione dell’art. 8, lett.</w:t>
      </w:r>
      <w:r w:rsidRPr="000F4B8A">
        <w:rPr>
          <w:i/>
        </w:rPr>
        <w:t xml:space="preserve"> a</w:t>
      </w:r>
      <w:r>
        <w:t xml:space="preserve">) conduce soltanto all’ipotesi dell’individuo che agisce su istruzioni di organi dello Stato. </w:t>
      </w:r>
      <w:r w:rsidRPr="00AD6991">
        <w:rPr>
          <w:lang w:val="fr-FR"/>
        </w:rPr>
        <w:t xml:space="preserve">Nel commentario della suddetta disposizione si precisa in effetti che </w:t>
      </w:r>
      <w:r w:rsidRPr="00AD6991">
        <w:rPr>
          <w:i/>
          <w:lang w:val="fr-FR"/>
        </w:rPr>
        <w:t>“</w:t>
      </w:r>
      <w:r w:rsidRPr="00AD6991">
        <w:rPr>
          <w:lang w:val="fr-FR"/>
        </w:rPr>
        <w:t xml:space="preserve">[…] </w:t>
      </w:r>
      <w:r w:rsidRPr="00AD6991">
        <w:rPr>
          <w:i/>
          <w:lang w:val="fr-FR"/>
        </w:rPr>
        <w:t>dans chaque hypothèse concrète où il s'agit d'établir une responsabilité internationale de l'Etat, il doit effectivement être prou</w:t>
      </w:r>
      <w:r>
        <w:rPr>
          <w:i/>
          <w:lang w:val="fr-FR"/>
        </w:rPr>
        <w:t xml:space="preserve">vé que la personne ou le groupe </w:t>
      </w:r>
      <w:r w:rsidRPr="00AD6991">
        <w:rPr>
          <w:i/>
          <w:lang w:val="fr-FR"/>
        </w:rPr>
        <w:t>de personnes ont vraim</w:t>
      </w:r>
      <w:r>
        <w:rPr>
          <w:i/>
          <w:lang w:val="fr-FR"/>
        </w:rPr>
        <w:t xml:space="preserve">ent été chargés par des organes </w:t>
      </w:r>
      <w:r w:rsidRPr="00AD6991">
        <w:rPr>
          <w:i/>
          <w:lang w:val="fr-FR"/>
        </w:rPr>
        <w:t xml:space="preserve">de l'Etat de remplir une </w:t>
      </w:r>
      <w:r>
        <w:rPr>
          <w:i/>
          <w:lang w:val="fr-FR"/>
        </w:rPr>
        <w:t xml:space="preserve">certaine fonction ou d'exécuter une certaine tâche, </w:t>
      </w:r>
      <w:r w:rsidRPr="00AD6991">
        <w:rPr>
          <w:i/>
          <w:lang w:val="fr-FR"/>
        </w:rPr>
        <w:t>qu'ils ont accompli une besogn</w:t>
      </w:r>
      <w:r>
        <w:rPr>
          <w:i/>
          <w:lang w:val="fr-FR"/>
        </w:rPr>
        <w:t xml:space="preserve">e donnée </w:t>
      </w:r>
      <w:r w:rsidRPr="00AD6991">
        <w:rPr>
          <w:i/>
          <w:lang w:val="fr-FR"/>
        </w:rPr>
        <w:t>s</w:t>
      </w:r>
      <w:r>
        <w:rPr>
          <w:i/>
          <w:lang w:val="fr-FR"/>
        </w:rPr>
        <w:t>ur l'instigation de ces organes</w:t>
      </w:r>
      <w:r w:rsidRPr="009352A9">
        <w:rPr>
          <w:lang w:val="fr-FR"/>
        </w:rPr>
        <w:t>”.</w:t>
      </w:r>
      <w:r>
        <w:rPr>
          <w:i/>
          <w:lang w:val="fr-FR"/>
        </w:rPr>
        <w:t> </w:t>
      </w:r>
      <w:r w:rsidRPr="00AD6991">
        <w:rPr>
          <w:lang w:val="fr-FR"/>
        </w:rPr>
        <w:t xml:space="preserve">Cfr, </w:t>
      </w:r>
      <w:r w:rsidRPr="00B57DD5">
        <w:rPr>
          <w:i/>
          <w:lang w:val="fr-FR"/>
        </w:rPr>
        <w:t>Annuaire de la Commission du droit international</w:t>
      </w:r>
      <w:r>
        <w:rPr>
          <w:lang w:val="fr-FR"/>
        </w:rPr>
        <w:t>,</w:t>
      </w:r>
      <w:r w:rsidRPr="00AD6991">
        <w:rPr>
          <w:lang w:val="fr-FR"/>
        </w:rPr>
        <w:t xml:space="preserve"> 1974, vol. </w:t>
      </w:r>
      <w:r w:rsidRPr="00084967">
        <w:rPr>
          <w:lang w:val="fr-FR"/>
        </w:rPr>
        <w:t xml:space="preserve">II, p. 296. </w:t>
      </w:r>
      <w:r w:rsidRPr="00C16FE4">
        <w:t xml:space="preserve">A conferma di questa interpretazione restrittiva dell’art. </w:t>
      </w:r>
      <w:r>
        <w:t>8 lett.</w:t>
      </w:r>
      <w:r w:rsidRPr="00C16FE4">
        <w:rPr>
          <w:i/>
        </w:rPr>
        <w:t xml:space="preserve"> a</w:t>
      </w:r>
      <w:r>
        <w:t xml:space="preserve">), viene solitamente richiamata l’argomentazione sostenuta da Ago nella sua opinione separata resa nel caso delle </w:t>
      </w:r>
      <w:r w:rsidRPr="00C16FE4">
        <w:rPr>
          <w:i/>
        </w:rPr>
        <w:t>attività militari e paramilitari degli Stati Uniti in e contro il Nicaragua</w:t>
      </w:r>
      <w:r>
        <w:t xml:space="preserve">, in </w:t>
      </w:r>
      <w:r w:rsidRPr="00C16FE4">
        <w:rPr>
          <w:i/>
        </w:rPr>
        <w:t>I.C.J. Reports</w:t>
      </w:r>
      <w:r>
        <w:t>, 1986, pp. 188-189.</w:t>
      </w:r>
    </w:p>
  </w:footnote>
  <w:footnote w:id="300">
    <w:p w:rsidR="003D54BB" w:rsidRDefault="003D54BB" w:rsidP="00333C13">
      <w:pPr>
        <w:pStyle w:val="Testonotaapidipagina"/>
        <w:jc w:val="both"/>
      </w:pPr>
      <w:r>
        <w:rPr>
          <w:rStyle w:val="Rimandonotaapidipagina"/>
        </w:rPr>
        <w:footnoteRef/>
      </w:r>
      <w:r>
        <w:t xml:space="preserve"> Il criterio dell’organo non si differenzia in maniera sostanziale dai criteri previsti dagli articoli 5 e 6 del progetto di articoli, che si riferiscono rispettivamente all’ipotesi di enti o individui che esercitano prerogative dei pubblici poteri e a quello di organi statali messi a disposizione di un altro Stato.</w:t>
      </w:r>
    </w:p>
  </w:footnote>
  <w:footnote w:id="301">
    <w:p w:rsidR="003D54BB" w:rsidRPr="005C25C0" w:rsidRDefault="003D54BB" w:rsidP="00333C13">
      <w:pPr>
        <w:pStyle w:val="Testonotaapidipagina"/>
        <w:jc w:val="both"/>
      </w:pPr>
      <w:r>
        <w:rPr>
          <w:rStyle w:val="Rimandonotaapidipagina"/>
        </w:rPr>
        <w:footnoteRef/>
      </w:r>
      <w:r>
        <w:t xml:space="preserve"> Per alcuni chiarimenti circa la determinazione degli atti che, a seconda del criterio applicato sono riferibili allo Stato sul piano internazionale, si veda CRAWFORD, </w:t>
      </w:r>
      <w:r>
        <w:rPr>
          <w:i/>
        </w:rPr>
        <w:t>First Report on the Responsibility of the States</w:t>
      </w:r>
      <w:r w:rsidRPr="005C25C0">
        <w:t xml:space="preserve">, </w:t>
      </w:r>
      <w:r>
        <w:t xml:space="preserve">in </w:t>
      </w:r>
      <w:r w:rsidRPr="0052159C">
        <w:rPr>
          <w:i/>
        </w:rPr>
        <w:t>Yearbook of the International Law Commission</w:t>
      </w:r>
      <w:r>
        <w:t>, 1998, vol. 2, p. 78 ss.</w:t>
      </w:r>
    </w:p>
  </w:footnote>
  <w:footnote w:id="302">
    <w:p w:rsidR="003D54BB" w:rsidRPr="00D379DD" w:rsidRDefault="003D54BB" w:rsidP="00333C13">
      <w:pPr>
        <w:pStyle w:val="Testonotaapidipagina"/>
        <w:jc w:val="both"/>
      </w:pPr>
      <w:r w:rsidRPr="00D379DD">
        <w:rPr>
          <w:rStyle w:val="Rimandonotaapidipagina"/>
        </w:rPr>
        <w:footnoteRef/>
      </w:r>
      <w:r w:rsidRPr="00D379DD">
        <w:t xml:space="preserve"> </w:t>
      </w:r>
      <w:r>
        <w:t>Ai fini della presente indagine, s</w:t>
      </w:r>
      <w:r w:rsidRPr="00D379DD">
        <w:t>i utilizzerà il termine “organo” per individuare coloro che sono legati a</w:t>
      </w:r>
      <w:r>
        <w:t xml:space="preserve">llo Stato da un vincolo formale, senza operare una distinzione fra </w:t>
      </w:r>
      <w:r w:rsidRPr="00D379DD">
        <w:t xml:space="preserve">il criterio dell’organo e l’ipotesi di individui o enti che esercitano </w:t>
      </w:r>
      <w:r>
        <w:t>prerogative dei pubblici poteri.</w:t>
      </w:r>
    </w:p>
  </w:footnote>
  <w:footnote w:id="303">
    <w:p w:rsidR="003D54BB" w:rsidRPr="008B538A" w:rsidRDefault="003D54BB" w:rsidP="005559BC">
      <w:pPr>
        <w:pStyle w:val="Testonotaapidipagina"/>
        <w:jc w:val="both"/>
        <w:rPr>
          <w:lang w:val="fr-FR"/>
        </w:rPr>
      </w:pPr>
      <w:r w:rsidRPr="00D379DD">
        <w:rPr>
          <w:rStyle w:val="Rimandonotaapidipagina"/>
        </w:rPr>
        <w:footnoteRef/>
      </w:r>
      <w:r w:rsidRPr="00D379DD">
        <w:rPr>
          <w:lang w:val="fr-FR"/>
        </w:rPr>
        <w:t xml:space="preserve"> “II va de soi qu'un pareil problème ne peut réellement se poser qu'en ce qui concerne des personnes ayant en droit interne la qualité d'organes de l'Etat ou d'une autre institution publique</w:t>
      </w:r>
      <w:r w:rsidRPr="008B538A">
        <w:rPr>
          <w:lang w:val="fr-FR"/>
        </w:rPr>
        <w:t xml:space="preserve"> (c'est-à-dire des personnes qui rentrent dans les catégories envisagées aux sections 2 à 4 du présent chapitre). Par contre, il ne saurait en être question pour des personnes comprises dans les catégories dont on a traité à la section 5. On ne peut même pas envisager l'hypothèse d'un dépassement de compétence ou d'une contradiction avec les prescriptions concernant l'activité de certains organes à propos d'une personne qui, en droit, n'est nullement un organe et ne se trouve amenée qu'à exercer de fait, dans certaines circonstances, une fonction publique. Par contre, il est tout aussi évident qu'une personne qui n'est pas un organe de l'Etat ne pourra pas être considérée comme agissant pour le compte de ce dernier si ses agissements n'ont pas eu lieu sur instructions ou à l'instigation de l'Etat. Pour ce qui est de l'hypothèse prévue à la section 6 (celle d'une personne qui revêt la qualité d'organe dans le cadre de l'ordre juridique d'un Etat donné ou d'une organisation internationale, mais qui est mise à la disposition d'un autre Etat et</w:t>
      </w:r>
    </w:p>
    <w:p w:rsidR="003D54BB" w:rsidRPr="005C17AE" w:rsidRDefault="003D54BB" w:rsidP="005559BC">
      <w:pPr>
        <w:pStyle w:val="Testonotaapidipagina"/>
        <w:jc w:val="both"/>
        <w:rPr>
          <w:lang w:val="fr-FR"/>
        </w:rPr>
      </w:pPr>
      <w:r w:rsidRPr="008B538A">
        <w:rPr>
          <w:lang w:val="fr-FR"/>
        </w:rPr>
        <w:t>agit sous l'autorité et le contrôle de ce dernier), le problème d'un comportement de cette personne dépassant la compétence que cet Etat lui a attribuée ou contrevenant aux prescriptions auxquelles il a soumis son activité trouvera nécessairement la même solution que celui d'un comportement adopté dans des conditions analogues par un organe propre de l'Etat en question. La seule précision qu'il importe d'ajouter, c'est que le problème peut se poser à propos de la violation de prescriptions émanant de l'Etat à la disposition duquel la personne se trouve et de l'autorité duquel elle dépend effectivement, et non pas de l'Etat dont elle est l'organe. L'éventuelle inobservance, par la personne en question, de prescriptions ou instructions émanant de l'Etat d'origine est sans pertinence pour l'attribution d'une telle action à l'Etat à la disposition duquel la personne se trouve”.</w:t>
      </w:r>
      <w:r w:rsidRPr="00B64677">
        <w:rPr>
          <w:lang w:val="fr-FR"/>
        </w:rPr>
        <w:t xml:space="preserve"> </w:t>
      </w:r>
      <w:r w:rsidRPr="005C17AE">
        <w:rPr>
          <w:lang w:val="fr-FR"/>
        </w:rPr>
        <w:t xml:space="preserve">Cfr. AGO, </w:t>
      </w:r>
      <w:r w:rsidRPr="005C17AE">
        <w:rPr>
          <w:i/>
          <w:lang w:val="fr-FR"/>
        </w:rPr>
        <w:t>Quatrième rapport</w:t>
      </w:r>
      <w:r w:rsidRPr="005C17AE">
        <w:rPr>
          <w:lang w:val="fr-FR"/>
        </w:rPr>
        <w:t>, cit., p. 72, par. 2, nota 4.</w:t>
      </w:r>
    </w:p>
  </w:footnote>
  <w:footnote w:id="304">
    <w:p w:rsidR="003D54BB" w:rsidRPr="003A4A79" w:rsidRDefault="003D54BB" w:rsidP="00333C13">
      <w:pPr>
        <w:pStyle w:val="Testonotaapidipagina"/>
        <w:jc w:val="both"/>
        <w:rPr>
          <w:lang w:val="fr-FR"/>
        </w:rPr>
      </w:pPr>
      <w:r>
        <w:rPr>
          <w:rStyle w:val="Rimandonotaapidipagina"/>
        </w:rPr>
        <w:footnoteRef/>
      </w:r>
      <w:r w:rsidRPr="00472DF0">
        <w:rPr>
          <w:lang w:val="fr-FR"/>
        </w:rPr>
        <w:t xml:space="preserve"> Si veda </w:t>
      </w:r>
      <w:r w:rsidRPr="003A4A79">
        <w:rPr>
          <w:lang w:val="fr-FR"/>
        </w:rPr>
        <w:t xml:space="preserve">AGO, </w:t>
      </w:r>
      <w:r w:rsidRPr="003A4A79">
        <w:rPr>
          <w:i/>
          <w:lang w:val="fr-FR"/>
        </w:rPr>
        <w:t>Troisième rapport</w:t>
      </w:r>
      <w:r w:rsidRPr="003A4A79">
        <w:rPr>
          <w:lang w:val="fr-FR"/>
        </w:rPr>
        <w:t>, cit., p. 249.</w:t>
      </w:r>
    </w:p>
  </w:footnote>
  <w:footnote w:id="305">
    <w:p w:rsidR="003D54BB" w:rsidRPr="005C17AE" w:rsidRDefault="003D54BB" w:rsidP="00333C13">
      <w:pPr>
        <w:pStyle w:val="Testonotaapidipagina"/>
        <w:rPr>
          <w:lang w:val="fr-FR"/>
        </w:rPr>
      </w:pPr>
      <w:r>
        <w:rPr>
          <w:rStyle w:val="Rimandonotaapidipagina"/>
        </w:rPr>
        <w:footnoteRef/>
      </w:r>
      <w:r w:rsidRPr="005C17AE">
        <w:rPr>
          <w:lang w:val="fr-FR"/>
        </w:rPr>
        <w:t xml:space="preserve"> Vedi </w:t>
      </w:r>
      <w:r w:rsidRPr="005C17AE">
        <w:rPr>
          <w:i/>
          <w:lang w:val="fr-FR"/>
        </w:rPr>
        <w:t>supra</w:t>
      </w:r>
      <w:r>
        <w:rPr>
          <w:lang w:val="fr-FR"/>
        </w:rPr>
        <w:t>, p. 109 ss</w:t>
      </w:r>
      <w:r w:rsidRPr="005C17AE">
        <w:rPr>
          <w:lang w:val="fr-FR"/>
        </w:rPr>
        <w:t>.</w:t>
      </w:r>
    </w:p>
  </w:footnote>
  <w:footnote w:id="306">
    <w:p w:rsidR="003D54BB" w:rsidRPr="00B64677" w:rsidRDefault="003D54BB" w:rsidP="0006091D">
      <w:pPr>
        <w:autoSpaceDE w:val="0"/>
        <w:autoSpaceDN w:val="0"/>
        <w:adjustRightInd w:val="0"/>
        <w:spacing w:after="0" w:line="240" w:lineRule="auto"/>
        <w:jc w:val="both"/>
        <w:rPr>
          <w:i/>
          <w:sz w:val="20"/>
          <w:szCs w:val="20"/>
          <w:lang w:val="fr-FR"/>
        </w:rPr>
      </w:pPr>
      <w:r>
        <w:rPr>
          <w:rStyle w:val="Rimandonotaapidipagina"/>
        </w:rPr>
        <w:footnoteRef/>
      </w:r>
      <w:r w:rsidRPr="00B64677">
        <w:rPr>
          <w:rFonts w:ascii="Times New Roman" w:hAnsi="Times New Roman" w:cs="Times New Roman"/>
          <w:sz w:val="18"/>
          <w:szCs w:val="18"/>
          <w:lang w:val="fr-FR"/>
        </w:rPr>
        <w:t xml:space="preserve"> </w:t>
      </w:r>
      <w:r w:rsidRPr="003A4CDD">
        <w:rPr>
          <w:lang w:val="fr-FR"/>
        </w:rPr>
        <w:t>“</w:t>
      </w:r>
      <w:r w:rsidRPr="003A4CDD">
        <w:rPr>
          <w:sz w:val="20"/>
          <w:szCs w:val="20"/>
          <w:lang w:val="fr-FR"/>
        </w:rPr>
        <w:t>II faut que ce que l'on désigne par l'adjectif « manifeste » soit entendu comme une qualité ressortant objectivement de la situation concrète. Il est important d'indiquer cela, car certains des textes auxquels on</w:t>
      </w:r>
      <w:r w:rsidRPr="00790E1B">
        <w:rPr>
          <w:sz w:val="20"/>
          <w:szCs w:val="20"/>
          <w:lang w:val="fr-FR"/>
        </w:rPr>
        <w:t xml:space="preserve"> </w:t>
      </w:r>
      <w:r w:rsidRPr="003A4CDD">
        <w:rPr>
          <w:sz w:val="20"/>
          <w:szCs w:val="20"/>
          <w:lang w:val="fr-FR"/>
        </w:rPr>
        <w:t>s'est rapporté — notamment celui de l'article VIII, par. 2 (second alinéa), du projet adopté en 1930 et celui de l'article 12, par. 4, du projet révisé de M. Gar</w:t>
      </w:r>
      <w:r w:rsidRPr="00790E1B">
        <w:rPr>
          <w:sz w:val="20"/>
          <w:szCs w:val="20"/>
          <w:lang w:val="fr-FR"/>
        </w:rPr>
        <w:t>cîa-Amador — introduisaient à ce sujet un élément supplémentaire et typiquement subjectif. L'exclusion de l'attribution à l'Etat en tant que source de responsabilité n'était prévue que pour le cas où l'incompétence de l'organe auteur du fait préjudiciable était tellement manifeste que la partie lésée devait s'en rendre compte et pouvait, de ce fait, éviter le préjudice. Nous ne croyons pas qu'il faille introduire une idée de ce genre dans la règle à définir. On pourrait à la rigueur comprendre qu'elle figure dans des projets qui, comme les deux textes mentionnés, concerneraient les seuls problèmes de la responsabilité internationale pour dommages causés à des particuliers étrangers: sa présence ne s'expliquerait en tout cas pas dans un projet comme le nôtre, visant</w:t>
      </w:r>
      <w:r w:rsidRPr="003A4CDD">
        <w:rPr>
          <w:lang w:val="fr-FR"/>
        </w:rPr>
        <w:t xml:space="preserve"> </w:t>
      </w:r>
      <w:r w:rsidRPr="00930BA7">
        <w:rPr>
          <w:sz w:val="20"/>
          <w:szCs w:val="20"/>
          <w:lang w:val="fr-FR"/>
        </w:rPr>
        <w:t>à couvrir le domaine entier du fait internationalement illicite et de la responsabilité internationale. De toute façon, on a quelque difficulté à admettre que le fait que la partie lésée, avertie du défaut de compétence, ait ou n'ait pas eu en l'espèce la possibilité d'éviter le dommage puisse être déterminant aux fins de l'attribution à l'Etat sujet du droit international du comportement de l'organe. La partie lésée qui avait connaissance de l'incompétence totale de l'organe agissant peut avoir eu — tout comme elle peut ne pas avoir eu — la possibilité d'éviter, grâce à cette connaissance, que l'on ne commette l'action préjudiciable. Or, abstraction faite de la difficulté de spéculer sur cette possibilité hypothétique, il serait illogique de considérer dans le deuxième cas l'action incriminée comme un fait de l'Etat cause de responsabilité alors qu'on n'en ferait pas autant dans le premier. Si l'on choisit d'exclure l'attribution à l'Etat du fait de l'organe agissant en condition d'incompétence manifeste, cette exclusion doit s'opérer dans les deux cas. Cela n'a rien à faire, répétons-le, avec le risque pour l'Etat d'encourir une responsabilité, non pas du fait de l'organe en question, mais du fait d'un autre organe (qui, par exemple, aurait omis d'empêcher l'action préjudiciable alors qu'il pouvait le faire). C'est dans une telle hypothèse que l'éventuelle possibilité de la partie lésée d'éviter le préjudice pourrait être prise en considération comme circonstance susceptible d'exclure ou d'atténuer la responsabilité de l'Etat”. Cfr., AGO,</w:t>
      </w:r>
      <w:r w:rsidRPr="00EE031E">
        <w:rPr>
          <w:lang w:val="fr-FR"/>
        </w:rPr>
        <w:t xml:space="preserve"> </w:t>
      </w:r>
      <w:r w:rsidRPr="00930BA7">
        <w:rPr>
          <w:i/>
          <w:sz w:val="20"/>
          <w:szCs w:val="20"/>
          <w:lang w:val="fr-FR"/>
        </w:rPr>
        <w:t>Quatrième</w:t>
      </w:r>
      <w:r w:rsidRPr="00930BA7">
        <w:rPr>
          <w:i/>
          <w:lang w:val="fr-FR"/>
        </w:rPr>
        <w:t xml:space="preserve"> </w:t>
      </w:r>
      <w:r w:rsidRPr="00930BA7">
        <w:rPr>
          <w:i/>
          <w:sz w:val="20"/>
          <w:szCs w:val="20"/>
          <w:lang w:val="fr-FR"/>
        </w:rPr>
        <w:t>rapport,</w:t>
      </w:r>
      <w:r w:rsidRPr="00EE031E">
        <w:rPr>
          <w:lang w:val="fr-FR"/>
        </w:rPr>
        <w:t xml:space="preserve"> </w:t>
      </w:r>
      <w:r w:rsidRPr="00930BA7">
        <w:rPr>
          <w:sz w:val="20"/>
          <w:szCs w:val="20"/>
          <w:lang w:val="fr-FR"/>
        </w:rPr>
        <w:t>cit., p. 95, par. 59, nota 115.</w:t>
      </w:r>
    </w:p>
  </w:footnote>
  <w:footnote w:id="307">
    <w:p w:rsidR="003D54BB" w:rsidRPr="009278ED" w:rsidRDefault="003D54BB" w:rsidP="00333C13">
      <w:pPr>
        <w:pStyle w:val="Testonotaapidipagina"/>
        <w:rPr>
          <w:lang w:val="fr-FR"/>
        </w:rPr>
      </w:pPr>
      <w:r>
        <w:rPr>
          <w:rStyle w:val="Rimandonotaapidipagina"/>
        </w:rPr>
        <w:footnoteRef/>
      </w:r>
      <w:r w:rsidRPr="009278ED">
        <w:rPr>
          <w:lang w:val="fr-FR"/>
        </w:rPr>
        <w:t xml:space="preserve"> </w:t>
      </w:r>
      <w:r w:rsidRPr="00903BF9">
        <w:rPr>
          <w:lang w:val="fr-FR"/>
        </w:rPr>
        <w:t xml:space="preserve">AGO, </w:t>
      </w:r>
      <w:r w:rsidRPr="00903BF9">
        <w:rPr>
          <w:i/>
          <w:lang w:val="fr-FR"/>
        </w:rPr>
        <w:t>Quatrième rapport</w:t>
      </w:r>
      <w:r>
        <w:rPr>
          <w:lang w:val="fr-FR"/>
        </w:rPr>
        <w:t>, cit., p. 95</w:t>
      </w:r>
      <w:r w:rsidRPr="00903BF9">
        <w:rPr>
          <w:lang w:val="fr-FR"/>
        </w:rPr>
        <w:t>, par. 59.</w:t>
      </w:r>
    </w:p>
  </w:footnote>
  <w:footnote w:id="308">
    <w:p w:rsidR="003D54BB" w:rsidRPr="00EE031E" w:rsidRDefault="003D54BB" w:rsidP="00333C13">
      <w:pPr>
        <w:pStyle w:val="Testonotaapidipagina"/>
        <w:jc w:val="both"/>
        <w:rPr>
          <w:lang w:val="fr-FR"/>
        </w:rPr>
      </w:pPr>
      <w:r>
        <w:rPr>
          <w:rStyle w:val="Rimandonotaapidipagina"/>
        </w:rPr>
        <w:footnoteRef/>
      </w:r>
      <w:r w:rsidRPr="00A10BA4">
        <w:t xml:space="preserve"> La scelta di </w:t>
      </w:r>
      <w:r>
        <w:t xml:space="preserve">codificare in due paragrafi differenti </w:t>
      </w:r>
      <w:r w:rsidRPr="00A10BA4">
        <w:t xml:space="preserve">il </w:t>
      </w:r>
      <w:r>
        <w:t xml:space="preserve">principio generale </w:t>
      </w:r>
      <w:r w:rsidRPr="00A10BA4">
        <w:t xml:space="preserve">e </w:t>
      </w:r>
      <w:r>
        <w:t xml:space="preserve">le sue </w:t>
      </w:r>
      <w:r w:rsidRPr="00A10BA4">
        <w:t xml:space="preserve">limitazioni era volto a sottolineare </w:t>
      </w:r>
      <w:r>
        <w:t>“</w:t>
      </w:r>
      <w:r w:rsidRPr="00A10BA4">
        <w:rPr>
          <w:i/>
        </w:rPr>
        <w:t>le caractère à la fois</w:t>
      </w:r>
      <w:r>
        <w:rPr>
          <w:i/>
        </w:rPr>
        <w:t xml:space="preserve"> limitatif et exceptionnel de la</w:t>
      </w:r>
      <w:r w:rsidRPr="00A10BA4">
        <w:rPr>
          <w:i/>
        </w:rPr>
        <w:t xml:space="preserve"> seconde par opposition à la première</w:t>
      </w:r>
      <w:r>
        <w:t xml:space="preserve">”. </w:t>
      </w:r>
      <w:r w:rsidRPr="00EE031E">
        <w:rPr>
          <w:lang w:val="fr-FR"/>
        </w:rPr>
        <w:t xml:space="preserve">AGO, </w:t>
      </w:r>
      <w:r w:rsidRPr="00EE031E">
        <w:rPr>
          <w:i/>
          <w:lang w:val="fr-FR"/>
        </w:rPr>
        <w:t>Quatrième rapport</w:t>
      </w:r>
      <w:r w:rsidRPr="00EE031E">
        <w:rPr>
          <w:lang w:val="fr-FR"/>
        </w:rPr>
        <w:t>, cit., p. 103, par. 58.</w:t>
      </w:r>
    </w:p>
  </w:footnote>
  <w:footnote w:id="309">
    <w:p w:rsidR="003D54BB" w:rsidRPr="005855AA" w:rsidRDefault="003D54BB" w:rsidP="00333C13">
      <w:pPr>
        <w:pStyle w:val="Testonotaapidipagina"/>
        <w:jc w:val="both"/>
        <w:rPr>
          <w:lang w:val="fr-FR"/>
        </w:rPr>
      </w:pPr>
      <w:r>
        <w:rPr>
          <w:rStyle w:val="Rimandonotaapidipagina"/>
        </w:rPr>
        <w:footnoteRef/>
      </w:r>
      <w:r w:rsidRPr="005855AA">
        <w:rPr>
          <w:lang w:val="fr-FR"/>
        </w:rPr>
        <w:t xml:space="preserve"> AGO, </w:t>
      </w:r>
      <w:r w:rsidRPr="005855AA">
        <w:rPr>
          <w:i/>
          <w:lang w:val="fr-FR"/>
        </w:rPr>
        <w:t>Quatrième rapport</w:t>
      </w:r>
      <w:r w:rsidRPr="005855AA">
        <w:rPr>
          <w:lang w:val="fr-FR"/>
        </w:rPr>
        <w:t xml:space="preserve">, cit., p. 103, par. </w:t>
      </w:r>
      <w:r>
        <w:rPr>
          <w:lang w:val="fr-FR"/>
        </w:rPr>
        <w:t>60.</w:t>
      </w:r>
    </w:p>
  </w:footnote>
  <w:footnote w:id="310">
    <w:p w:rsidR="003D54BB" w:rsidRPr="00B041EF" w:rsidRDefault="003D54BB" w:rsidP="00333C13">
      <w:pPr>
        <w:pStyle w:val="Testonotaapidipagina"/>
        <w:jc w:val="both"/>
        <w:rPr>
          <w:lang w:val="fr-FR"/>
        </w:rPr>
      </w:pPr>
      <w:r>
        <w:rPr>
          <w:rStyle w:val="Rimandonotaapidipagina"/>
        </w:rPr>
        <w:footnoteRef/>
      </w:r>
      <w:r w:rsidRPr="00DE1A6B">
        <w:rPr>
          <w:lang w:val="fr-FR"/>
        </w:rPr>
        <w:t xml:space="preserve"> Per R</w:t>
      </w:r>
      <w:r>
        <w:rPr>
          <w:lang w:val="fr-FR"/>
        </w:rPr>
        <w:t>euter</w:t>
      </w:r>
      <w:r w:rsidRPr="00DE1A6B">
        <w:rPr>
          <w:lang w:val="fr-FR"/>
        </w:rPr>
        <w:t>, “</w:t>
      </w:r>
      <w:r w:rsidRPr="00DE1A6B">
        <w:rPr>
          <w:i/>
          <w:lang w:val="fr-FR"/>
        </w:rPr>
        <w:t>tout</w:t>
      </w:r>
      <w:r>
        <w:rPr>
          <w:i/>
          <w:lang w:val="fr-FR"/>
        </w:rPr>
        <w:t>e</w:t>
      </w:r>
      <w:r w:rsidRPr="00DE1A6B">
        <w:rPr>
          <w:i/>
          <w:lang w:val="fr-FR"/>
        </w:rPr>
        <w:t xml:space="preserve"> règle autre que celle qui est proposée dans le projet d’article 10 aurait pour effet de nier la responsabilité de l’Etat</w:t>
      </w:r>
      <w:r w:rsidRPr="00DE1A6B">
        <w:rPr>
          <w:lang w:val="fr-FR"/>
        </w:rPr>
        <w:t>”,</w:t>
      </w:r>
      <w:r>
        <w:rPr>
          <w:lang w:val="fr-FR"/>
        </w:rPr>
        <w:t xml:space="preserve"> </w:t>
      </w:r>
      <w:r w:rsidRPr="00DE1A6B">
        <w:rPr>
          <w:i/>
          <w:lang w:val="fr-FR"/>
        </w:rPr>
        <w:t>A</w:t>
      </w:r>
      <w:r>
        <w:rPr>
          <w:i/>
          <w:lang w:val="fr-FR"/>
        </w:rPr>
        <w:t xml:space="preserve">nnuaire de la </w:t>
      </w:r>
      <w:r w:rsidRPr="00DE1A6B">
        <w:rPr>
          <w:i/>
          <w:lang w:val="fr-FR"/>
        </w:rPr>
        <w:t>C</w:t>
      </w:r>
      <w:r>
        <w:rPr>
          <w:i/>
          <w:lang w:val="fr-FR"/>
        </w:rPr>
        <w:t xml:space="preserve">ommission du </w:t>
      </w:r>
      <w:r w:rsidRPr="00DE1A6B">
        <w:rPr>
          <w:i/>
          <w:lang w:val="fr-FR"/>
        </w:rPr>
        <w:t>D</w:t>
      </w:r>
      <w:r>
        <w:rPr>
          <w:i/>
          <w:lang w:val="fr-FR"/>
        </w:rPr>
        <w:t xml:space="preserve">roit International, </w:t>
      </w:r>
      <w:r>
        <w:rPr>
          <w:lang w:val="fr-FR"/>
        </w:rPr>
        <w:t xml:space="preserve">1975, vol. </w:t>
      </w:r>
      <w:r w:rsidRPr="00B041EF">
        <w:rPr>
          <w:lang w:val="fr-FR"/>
        </w:rPr>
        <w:t>I, p. 7, par. 2. Hanno inoltre chiaramente approvato tale principio B</w:t>
      </w:r>
      <w:r>
        <w:rPr>
          <w:lang w:val="fr-FR"/>
        </w:rPr>
        <w:t>edjaoui</w:t>
      </w:r>
      <w:r w:rsidRPr="00B041EF">
        <w:rPr>
          <w:lang w:val="fr-FR"/>
        </w:rPr>
        <w:t xml:space="preserve">, </w:t>
      </w:r>
      <w:r w:rsidRPr="00B041EF">
        <w:rPr>
          <w:i/>
          <w:lang w:val="fr-FR"/>
        </w:rPr>
        <w:t>Ibid</w:t>
      </w:r>
      <w:r w:rsidRPr="00B041EF">
        <w:rPr>
          <w:lang w:val="fr-FR"/>
        </w:rPr>
        <w:t>., p. 8, par. 7; K</w:t>
      </w:r>
      <w:r>
        <w:rPr>
          <w:lang w:val="fr-FR"/>
        </w:rPr>
        <w:t>earny</w:t>
      </w:r>
      <w:r w:rsidRPr="00B041EF">
        <w:rPr>
          <w:lang w:val="fr-FR"/>
        </w:rPr>
        <w:t xml:space="preserve">, </w:t>
      </w:r>
      <w:r>
        <w:rPr>
          <w:i/>
          <w:lang w:val="fr-FR"/>
        </w:rPr>
        <w:t>i</w:t>
      </w:r>
      <w:r w:rsidRPr="00B041EF">
        <w:rPr>
          <w:i/>
          <w:lang w:val="fr-FR"/>
        </w:rPr>
        <w:t>bid</w:t>
      </w:r>
      <w:r w:rsidRPr="00B041EF">
        <w:rPr>
          <w:lang w:val="fr-FR"/>
        </w:rPr>
        <w:t>., p. 8, par. 11; E</w:t>
      </w:r>
      <w:r>
        <w:rPr>
          <w:lang w:val="fr-FR"/>
        </w:rPr>
        <w:t>lias</w:t>
      </w:r>
      <w:r w:rsidRPr="00B041EF">
        <w:rPr>
          <w:lang w:val="fr-FR"/>
        </w:rPr>
        <w:t xml:space="preserve">, </w:t>
      </w:r>
      <w:r w:rsidRPr="00B041EF">
        <w:rPr>
          <w:i/>
          <w:lang w:val="fr-FR"/>
        </w:rPr>
        <w:t>ibid</w:t>
      </w:r>
      <w:r w:rsidRPr="00B041EF">
        <w:rPr>
          <w:lang w:val="fr-FR"/>
        </w:rPr>
        <w:t>., p. 9, par. 15; S</w:t>
      </w:r>
      <w:r>
        <w:rPr>
          <w:lang w:val="fr-FR"/>
        </w:rPr>
        <w:t>ahovic</w:t>
      </w:r>
      <w:r w:rsidRPr="00B041EF">
        <w:rPr>
          <w:lang w:val="fr-FR"/>
        </w:rPr>
        <w:t xml:space="preserve">, </w:t>
      </w:r>
      <w:r w:rsidRPr="00B041EF">
        <w:rPr>
          <w:i/>
          <w:lang w:val="fr-FR"/>
        </w:rPr>
        <w:t>ibid</w:t>
      </w:r>
      <w:r w:rsidRPr="00B041EF">
        <w:rPr>
          <w:lang w:val="fr-FR"/>
        </w:rPr>
        <w:t>., p. 9, par. 18; M</w:t>
      </w:r>
      <w:r>
        <w:rPr>
          <w:lang w:val="fr-FR"/>
        </w:rPr>
        <w:t>artinez Moreno</w:t>
      </w:r>
      <w:r w:rsidRPr="00B041EF">
        <w:rPr>
          <w:lang w:val="fr-FR"/>
        </w:rPr>
        <w:t xml:space="preserve">, </w:t>
      </w:r>
      <w:r w:rsidRPr="00B041EF">
        <w:rPr>
          <w:i/>
          <w:lang w:val="fr-FR"/>
        </w:rPr>
        <w:t>ibid</w:t>
      </w:r>
      <w:r w:rsidRPr="00B041EF">
        <w:rPr>
          <w:lang w:val="fr-FR"/>
        </w:rPr>
        <w:t>., p. 9, par. 21; O</w:t>
      </w:r>
      <w:r>
        <w:rPr>
          <w:lang w:val="fr-FR"/>
        </w:rPr>
        <w:t>uchakov</w:t>
      </w:r>
      <w:r w:rsidRPr="00B041EF">
        <w:rPr>
          <w:lang w:val="fr-FR"/>
        </w:rPr>
        <w:t xml:space="preserve">, </w:t>
      </w:r>
      <w:r w:rsidRPr="00B041EF">
        <w:rPr>
          <w:i/>
          <w:lang w:val="fr-FR"/>
        </w:rPr>
        <w:t>ibid.</w:t>
      </w:r>
      <w:r w:rsidRPr="00B041EF">
        <w:rPr>
          <w:lang w:val="fr-FR"/>
        </w:rPr>
        <w:t>, p. 10, par. 24; T</w:t>
      </w:r>
      <w:r>
        <w:rPr>
          <w:lang w:val="fr-FR"/>
        </w:rPr>
        <w:t>suruoka</w:t>
      </w:r>
      <w:r w:rsidRPr="00B041EF">
        <w:rPr>
          <w:lang w:val="fr-FR"/>
        </w:rPr>
        <w:t>,</w:t>
      </w:r>
      <w:r w:rsidRPr="00B041EF">
        <w:rPr>
          <w:i/>
          <w:lang w:val="fr-FR"/>
        </w:rPr>
        <w:t xml:space="preserve"> ibid</w:t>
      </w:r>
      <w:r w:rsidRPr="00B041EF">
        <w:rPr>
          <w:lang w:val="fr-FR"/>
        </w:rPr>
        <w:t>., p. 11, par. 3; H</w:t>
      </w:r>
      <w:r>
        <w:rPr>
          <w:lang w:val="fr-FR"/>
        </w:rPr>
        <w:t>ambro</w:t>
      </w:r>
      <w:r w:rsidRPr="00B041EF">
        <w:rPr>
          <w:lang w:val="fr-FR"/>
        </w:rPr>
        <w:t xml:space="preserve">, </w:t>
      </w:r>
      <w:r w:rsidRPr="00B041EF">
        <w:rPr>
          <w:i/>
          <w:lang w:val="fr-FR"/>
        </w:rPr>
        <w:t>ibid</w:t>
      </w:r>
      <w:r w:rsidRPr="00B041EF">
        <w:rPr>
          <w:lang w:val="fr-FR"/>
        </w:rPr>
        <w:t>., p. 11, par. 6; T</w:t>
      </w:r>
      <w:r>
        <w:rPr>
          <w:lang w:val="fr-FR"/>
        </w:rPr>
        <w:t>ammes</w:t>
      </w:r>
      <w:r w:rsidRPr="00B041EF">
        <w:rPr>
          <w:lang w:val="fr-FR"/>
        </w:rPr>
        <w:t xml:space="preserve">, </w:t>
      </w:r>
      <w:r w:rsidRPr="00B041EF">
        <w:rPr>
          <w:i/>
          <w:lang w:val="fr-FR"/>
        </w:rPr>
        <w:t>ibid</w:t>
      </w:r>
      <w:r w:rsidRPr="00B041EF">
        <w:rPr>
          <w:lang w:val="fr-FR"/>
        </w:rPr>
        <w:t>., p. 12, par. 17; R</w:t>
      </w:r>
      <w:r>
        <w:rPr>
          <w:lang w:val="fr-FR"/>
        </w:rPr>
        <w:t>amangasoavina</w:t>
      </w:r>
      <w:r w:rsidRPr="00B041EF">
        <w:rPr>
          <w:lang w:val="fr-FR"/>
        </w:rPr>
        <w:t xml:space="preserve">, </w:t>
      </w:r>
      <w:r w:rsidRPr="00B041EF">
        <w:rPr>
          <w:i/>
          <w:lang w:val="fr-FR"/>
        </w:rPr>
        <w:t>ibid</w:t>
      </w:r>
      <w:r>
        <w:rPr>
          <w:lang w:val="fr-FR"/>
        </w:rPr>
        <w:t>., p. 13, par. 20; Yasseen</w:t>
      </w:r>
      <w:r w:rsidRPr="00B041EF">
        <w:rPr>
          <w:lang w:val="fr-FR"/>
        </w:rPr>
        <w:t xml:space="preserve">, </w:t>
      </w:r>
      <w:r w:rsidRPr="00B041EF">
        <w:rPr>
          <w:i/>
          <w:lang w:val="fr-FR"/>
        </w:rPr>
        <w:t>ibid</w:t>
      </w:r>
      <w:r w:rsidRPr="00B041EF">
        <w:rPr>
          <w:lang w:val="fr-FR"/>
        </w:rPr>
        <w:t>., p. 13, par. 24; Q</w:t>
      </w:r>
      <w:r>
        <w:rPr>
          <w:lang w:val="fr-FR"/>
        </w:rPr>
        <w:t>uentin-Baxter</w:t>
      </w:r>
      <w:r w:rsidRPr="00B041EF">
        <w:rPr>
          <w:lang w:val="fr-FR"/>
        </w:rPr>
        <w:t xml:space="preserve">, </w:t>
      </w:r>
      <w:r w:rsidRPr="00B041EF">
        <w:rPr>
          <w:i/>
          <w:lang w:val="fr-FR"/>
        </w:rPr>
        <w:t>ibid</w:t>
      </w:r>
      <w:r>
        <w:rPr>
          <w:lang w:val="fr-FR"/>
        </w:rPr>
        <w:t>., p. 14, par. 27; Sette Camara</w:t>
      </w:r>
      <w:r w:rsidRPr="00B041EF">
        <w:rPr>
          <w:lang w:val="fr-FR"/>
        </w:rPr>
        <w:t>,</w:t>
      </w:r>
      <w:r w:rsidRPr="00B041EF">
        <w:rPr>
          <w:i/>
          <w:lang w:val="fr-FR"/>
        </w:rPr>
        <w:t xml:space="preserve"> ibid</w:t>
      </w:r>
      <w:r>
        <w:rPr>
          <w:lang w:val="fr-FR"/>
        </w:rPr>
        <w:t>., p. 16, par. 43; El-Erian</w:t>
      </w:r>
      <w:r w:rsidRPr="00B041EF">
        <w:rPr>
          <w:lang w:val="fr-FR"/>
        </w:rPr>
        <w:t xml:space="preserve">, </w:t>
      </w:r>
      <w:r w:rsidRPr="00B041EF">
        <w:rPr>
          <w:i/>
          <w:lang w:val="fr-FR"/>
        </w:rPr>
        <w:t>ibid</w:t>
      </w:r>
      <w:r w:rsidRPr="00B041EF">
        <w:rPr>
          <w:lang w:val="fr-FR"/>
        </w:rPr>
        <w:t>., p. 16, par. 48; B</w:t>
      </w:r>
      <w:r>
        <w:rPr>
          <w:lang w:val="fr-FR"/>
        </w:rPr>
        <w:t>ilge</w:t>
      </w:r>
      <w:r w:rsidRPr="00B041EF">
        <w:rPr>
          <w:lang w:val="fr-FR"/>
        </w:rPr>
        <w:t xml:space="preserve">, </w:t>
      </w:r>
      <w:r w:rsidRPr="00B041EF">
        <w:rPr>
          <w:i/>
          <w:lang w:val="fr-FR"/>
        </w:rPr>
        <w:t>ibid</w:t>
      </w:r>
      <w:r w:rsidRPr="00B041EF">
        <w:rPr>
          <w:lang w:val="fr-FR"/>
        </w:rPr>
        <w:t>., p. 23, par. 31; U</w:t>
      </w:r>
      <w:r>
        <w:rPr>
          <w:lang w:val="fr-FR"/>
        </w:rPr>
        <w:t>stor</w:t>
      </w:r>
      <w:r w:rsidRPr="00B041EF">
        <w:rPr>
          <w:lang w:val="fr-FR"/>
        </w:rPr>
        <w:t xml:space="preserve">, </w:t>
      </w:r>
      <w:r w:rsidRPr="00B041EF">
        <w:rPr>
          <w:i/>
          <w:lang w:val="fr-FR"/>
        </w:rPr>
        <w:t>ibid</w:t>
      </w:r>
      <w:r w:rsidRPr="00B041EF">
        <w:rPr>
          <w:lang w:val="fr-FR"/>
        </w:rPr>
        <w:t>., p. 23, par. 36.</w:t>
      </w:r>
    </w:p>
  </w:footnote>
  <w:footnote w:id="311">
    <w:p w:rsidR="003D54BB" w:rsidRPr="00CA1DE1" w:rsidRDefault="003D54BB" w:rsidP="00333C13">
      <w:pPr>
        <w:pStyle w:val="Testonotaapidipagina"/>
        <w:rPr>
          <w:lang w:val="fr-FR"/>
        </w:rPr>
      </w:pPr>
      <w:r>
        <w:rPr>
          <w:rStyle w:val="Rimandonotaapidipagina"/>
        </w:rPr>
        <w:footnoteRef/>
      </w:r>
      <w:r>
        <w:rPr>
          <w:lang w:val="fr-FR"/>
        </w:rPr>
        <w:t xml:space="preserve"> Sette Camara</w:t>
      </w:r>
      <w:r w:rsidRPr="00CA1DE1">
        <w:rPr>
          <w:lang w:val="fr-FR"/>
        </w:rPr>
        <w:t>,</w:t>
      </w:r>
      <w:r w:rsidRPr="00CA1DE1">
        <w:rPr>
          <w:i/>
          <w:lang w:val="fr-FR"/>
        </w:rPr>
        <w:t xml:space="preserve"> ibid</w:t>
      </w:r>
      <w:r w:rsidRPr="00CA1DE1">
        <w:rPr>
          <w:lang w:val="fr-FR"/>
        </w:rPr>
        <w:t>., p. 16, par. 45; B</w:t>
      </w:r>
      <w:r>
        <w:rPr>
          <w:lang w:val="fr-FR"/>
        </w:rPr>
        <w:t>edjaoui</w:t>
      </w:r>
      <w:r w:rsidRPr="00CA1DE1">
        <w:rPr>
          <w:lang w:val="fr-FR"/>
        </w:rPr>
        <w:t xml:space="preserve">, </w:t>
      </w:r>
      <w:r w:rsidRPr="00CA1DE1">
        <w:rPr>
          <w:i/>
          <w:lang w:val="fr-FR"/>
        </w:rPr>
        <w:t>Ibid</w:t>
      </w:r>
      <w:r w:rsidRPr="00CA1DE1">
        <w:rPr>
          <w:lang w:val="fr-FR"/>
        </w:rPr>
        <w:t>.,</w:t>
      </w:r>
      <w:r>
        <w:rPr>
          <w:lang w:val="fr-FR"/>
        </w:rPr>
        <w:t xml:space="preserve"> p. 8, par. 8.</w:t>
      </w:r>
    </w:p>
  </w:footnote>
  <w:footnote w:id="312">
    <w:p w:rsidR="003D54BB" w:rsidRPr="00B041EF" w:rsidRDefault="003D54BB" w:rsidP="00333C13">
      <w:pPr>
        <w:pStyle w:val="Testonotaapidipagina"/>
        <w:jc w:val="both"/>
        <w:rPr>
          <w:lang w:val="fr-FR"/>
        </w:rPr>
      </w:pPr>
      <w:r>
        <w:rPr>
          <w:rStyle w:val="Rimandonotaapidipagina"/>
        </w:rPr>
        <w:footnoteRef/>
      </w:r>
      <w:r w:rsidRPr="00956BED">
        <w:rPr>
          <w:lang w:val="fr-FR"/>
        </w:rPr>
        <w:t xml:space="preserve"> </w:t>
      </w:r>
      <w:r w:rsidRPr="00235A2A">
        <w:rPr>
          <w:lang w:val="fr-FR"/>
        </w:rPr>
        <w:t>“…</w:t>
      </w:r>
      <w:r w:rsidRPr="00930BA7">
        <w:rPr>
          <w:i/>
          <w:lang w:val="fr-FR"/>
        </w:rPr>
        <w:t>la restriction introduite au paragraphe 2 est, en tout cas, inacceptable dans le cas des crimes internationaux et des autres violations graves des principes du droit international, car, dans ce cas-là, tout comportement ultra vires d’un organe de l’Etat est un fait de l’Etat. Le cas des dommages causés aux étrangers constitue la seule exception possible au principe énoncé au paragraphe 1, et ce cas n’entre pas vraiment dans le cadre du projet d’article</w:t>
      </w:r>
      <w:r w:rsidRPr="00235A2A">
        <w:rPr>
          <w:lang w:val="fr-FR"/>
        </w:rPr>
        <w:t>s”.</w:t>
      </w:r>
      <w:r>
        <w:rPr>
          <w:lang w:val="fr-FR"/>
        </w:rPr>
        <w:t xml:space="preserve"> </w:t>
      </w:r>
      <w:r w:rsidRPr="00C97AF1">
        <w:t>O</w:t>
      </w:r>
      <w:r>
        <w:t>uchakov</w:t>
      </w:r>
      <w:r w:rsidRPr="00C97AF1">
        <w:t xml:space="preserve">, </w:t>
      </w:r>
      <w:r w:rsidRPr="00C97AF1">
        <w:rPr>
          <w:i/>
        </w:rPr>
        <w:t>ibid</w:t>
      </w:r>
      <w:r w:rsidRPr="00C97AF1">
        <w:t xml:space="preserve">., p. 10, par. 25. </w:t>
      </w:r>
      <w:r>
        <w:t xml:space="preserve">Ugualmente Tammes ha affermato che la non attribuzione allo Stato dei comportamenti manifestamente </w:t>
      </w:r>
      <w:r>
        <w:rPr>
          <w:i/>
        </w:rPr>
        <w:t xml:space="preserve">ultra </w:t>
      </w:r>
      <w:r w:rsidRPr="00054666">
        <w:rPr>
          <w:i/>
        </w:rPr>
        <w:t>vires</w:t>
      </w:r>
      <w:r>
        <w:t xml:space="preserve"> non poteva essere prevista con riferimento alle violazioni delle norme di diritto internazionale volte a salvaguardare la pace e la sicurezza internazionale, bensì </w:t>
      </w:r>
      <w:r w:rsidRPr="00BF4589">
        <w:t>soltanto “aux cas relativement mineurs qui nécessitent l’exercise de la protection diplomatique”.</w:t>
      </w:r>
      <w:r w:rsidRPr="00054666">
        <w:rPr>
          <w:i/>
        </w:rPr>
        <w:t> </w:t>
      </w:r>
      <w:r w:rsidRPr="00B041EF">
        <w:rPr>
          <w:i/>
          <w:lang w:val="fr-FR"/>
        </w:rPr>
        <w:t>Ibid</w:t>
      </w:r>
      <w:r w:rsidRPr="00B041EF">
        <w:rPr>
          <w:lang w:val="fr-FR"/>
        </w:rPr>
        <w:t>., p. 12, par. 19. Si veda anche Y</w:t>
      </w:r>
      <w:r>
        <w:rPr>
          <w:lang w:val="fr-FR"/>
        </w:rPr>
        <w:t>assen</w:t>
      </w:r>
      <w:r w:rsidRPr="00B041EF">
        <w:rPr>
          <w:lang w:val="fr-FR"/>
        </w:rPr>
        <w:t xml:space="preserve">, </w:t>
      </w:r>
      <w:r w:rsidRPr="00B041EF">
        <w:rPr>
          <w:i/>
          <w:lang w:val="fr-FR"/>
        </w:rPr>
        <w:t>ibid</w:t>
      </w:r>
      <w:r w:rsidRPr="00B041EF">
        <w:rPr>
          <w:lang w:val="fr-FR"/>
        </w:rPr>
        <w:t>., p. 13, par. 25.</w:t>
      </w:r>
      <w:r w:rsidRPr="00B041EF">
        <w:rPr>
          <w:i/>
          <w:lang w:val="fr-FR"/>
        </w:rPr>
        <w:t xml:space="preserve"> </w:t>
      </w:r>
    </w:p>
  </w:footnote>
  <w:footnote w:id="313">
    <w:p w:rsidR="003D54BB" w:rsidRPr="00B041EF" w:rsidRDefault="003D54BB" w:rsidP="00333C13">
      <w:pPr>
        <w:pStyle w:val="Testonotaapidipagina"/>
        <w:rPr>
          <w:lang w:val="fr-FR"/>
        </w:rPr>
      </w:pPr>
      <w:r>
        <w:rPr>
          <w:rStyle w:val="Rimandonotaapidipagina"/>
        </w:rPr>
        <w:footnoteRef/>
      </w:r>
      <w:r w:rsidRPr="00B041EF">
        <w:rPr>
          <w:i/>
          <w:lang w:val="fr-FR"/>
        </w:rPr>
        <w:t xml:space="preserve"> Ibid</w:t>
      </w:r>
      <w:r w:rsidRPr="00B041EF">
        <w:rPr>
          <w:lang w:val="fr-FR"/>
        </w:rPr>
        <w:t>., p. 11, par. 29.</w:t>
      </w:r>
    </w:p>
  </w:footnote>
  <w:footnote w:id="314">
    <w:p w:rsidR="003D54BB" w:rsidRPr="00C97AF1" w:rsidRDefault="003D54BB" w:rsidP="00333C13">
      <w:pPr>
        <w:pStyle w:val="Testonotaapidipagina"/>
        <w:jc w:val="both"/>
        <w:rPr>
          <w:lang w:val="fr-FR"/>
        </w:rPr>
      </w:pPr>
      <w:r>
        <w:rPr>
          <w:rStyle w:val="Rimandonotaapidipagina"/>
        </w:rPr>
        <w:footnoteRef/>
      </w:r>
      <w:r w:rsidRPr="00C97AF1">
        <w:rPr>
          <w:lang w:val="fr-FR"/>
        </w:rPr>
        <w:t xml:space="preserve"> </w:t>
      </w:r>
      <w:r w:rsidRPr="00AB5113">
        <w:rPr>
          <w:lang w:val="fr-FR"/>
        </w:rPr>
        <w:t xml:space="preserve">Vedi </w:t>
      </w:r>
      <w:r w:rsidRPr="00AB5113">
        <w:rPr>
          <w:i/>
          <w:lang w:val="fr-FR"/>
        </w:rPr>
        <w:t>supra</w:t>
      </w:r>
      <w:r>
        <w:rPr>
          <w:lang w:val="fr-FR"/>
        </w:rPr>
        <w:t>, p. 7</w:t>
      </w:r>
      <w:r w:rsidRPr="00AB5113">
        <w:rPr>
          <w:lang w:val="fr-FR"/>
        </w:rPr>
        <w:t>4.</w:t>
      </w:r>
    </w:p>
  </w:footnote>
  <w:footnote w:id="315">
    <w:p w:rsidR="003D54BB" w:rsidRPr="00903BF9" w:rsidRDefault="003D54BB" w:rsidP="00333C13">
      <w:pPr>
        <w:pStyle w:val="Testonotaapidipagina"/>
        <w:jc w:val="both"/>
        <w:rPr>
          <w:lang w:val="fr-FR"/>
        </w:rPr>
      </w:pPr>
      <w:r>
        <w:rPr>
          <w:rStyle w:val="Rimandonotaapidipagina"/>
        </w:rPr>
        <w:footnoteRef/>
      </w:r>
      <w:r w:rsidRPr="00317EDF">
        <w:rPr>
          <w:lang w:val="fr-FR"/>
        </w:rPr>
        <w:t xml:space="preserve"> K</w:t>
      </w:r>
      <w:r>
        <w:rPr>
          <w:lang w:val="fr-FR"/>
        </w:rPr>
        <w:t>earny</w:t>
      </w:r>
      <w:r w:rsidRPr="00317EDF">
        <w:rPr>
          <w:lang w:val="fr-FR"/>
        </w:rPr>
        <w:t xml:space="preserve">, </w:t>
      </w:r>
      <w:r w:rsidRPr="00317EDF">
        <w:rPr>
          <w:i/>
          <w:lang w:val="fr-FR"/>
        </w:rPr>
        <w:t>Annuaire de la Commission du Droit International</w:t>
      </w:r>
      <w:r>
        <w:rPr>
          <w:i/>
          <w:lang w:val="fr-FR"/>
        </w:rPr>
        <w:t>,</w:t>
      </w:r>
      <w:r w:rsidRPr="00317EDF">
        <w:rPr>
          <w:lang w:val="fr-FR"/>
        </w:rPr>
        <w:t xml:space="preserve"> 1975, vol. </w:t>
      </w:r>
      <w:r w:rsidRPr="00695927">
        <w:t xml:space="preserve">I, p. 8, </w:t>
      </w:r>
      <w:r>
        <w:t xml:space="preserve">par. 13. Così anche Hambro, </w:t>
      </w:r>
      <w:r w:rsidRPr="005476EC">
        <w:rPr>
          <w:i/>
        </w:rPr>
        <w:t>ibid</w:t>
      </w:r>
      <w:r>
        <w:t xml:space="preserve">., p. 12, par. 10. Quentin-Baxter ha espresso la medesima opinione prendendo ad esempio il caso </w:t>
      </w:r>
      <w:r w:rsidRPr="009941D8">
        <w:rPr>
          <w:i/>
        </w:rPr>
        <w:t>Mantovan</w:t>
      </w:r>
      <w:r>
        <w:t xml:space="preserve">i: il poliziotto italiano che aveva arrestato Mantovani sul territorio svizzero aveva sicuramente agito in maniera incompetente, ma tale circostanza non era stata ritenuta sufficiente ad esentare il Governo italiano dalla sua responsabilità internazionale. </w:t>
      </w:r>
      <w:r w:rsidRPr="00903BF9">
        <w:rPr>
          <w:i/>
          <w:lang w:val="fr-FR"/>
        </w:rPr>
        <w:t>Ibid</w:t>
      </w:r>
      <w:r w:rsidRPr="00903BF9">
        <w:rPr>
          <w:lang w:val="fr-FR"/>
        </w:rPr>
        <w:t>., p. 15, par. 37.</w:t>
      </w:r>
    </w:p>
  </w:footnote>
  <w:footnote w:id="316">
    <w:p w:rsidR="003D54BB" w:rsidRPr="00903BF9" w:rsidRDefault="003D54BB" w:rsidP="00333C13">
      <w:pPr>
        <w:pStyle w:val="Testonotaapidipagina"/>
        <w:rPr>
          <w:lang w:val="fr-FR"/>
        </w:rPr>
      </w:pPr>
      <w:r>
        <w:rPr>
          <w:rStyle w:val="Rimandonotaapidipagina"/>
        </w:rPr>
        <w:footnoteRef/>
      </w:r>
      <w:r>
        <w:rPr>
          <w:lang w:val="fr-FR"/>
        </w:rPr>
        <w:t xml:space="preserve"> Tammes</w:t>
      </w:r>
      <w:r w:rsidRPr="00903BF9">
        <w:rPr>
          <w:lang w:val="fr-FR"/>
        </w:rPr>
        <w:t xml:space="preserve">, </w:t>
      </w:r>
      <w:r>
        <w:rPr>
          <w:i/>
          <w:lang w:val="fr-FR"/>
        </w:rPr>
        <w:t>ibid.</w:t>
      </w:r>
      <w:r w:rsidRPr="00903BF9">
        <w:rPr>
          <w:lang w:val="fr-FR"/>
        </w:rPr>
        <w:t>, vol. I, p. 11, par. 18.</w:t>
      </w:r>
    </w:p>
  </w:footnote>
  <w:footnote w:id="317">
    <w:p w:rsidR="003D54BB" w:rsidRPr="001A1120" w:rsidRDefault="003D54BB" w:rsidP="00333C13">
      <w:pPr>
        <w:pStyle w:val="Testonotaapidipagina"/>
        <w:jc w:val="both"/>
        <w:rPr>
          <w:lang w:val="en-US"/>
        </w:rPr>
      </w:pPr>
      <w:r>
        <w:rPr>
          <w:rStyle w:val="Rimandonotaapidipagina"/>
        </w:rPr>
        <w:footnoteRef/>
      </w:r>
      <w:r>
        <w:rPr>
          <w:lang w:val="fr-FR"/>
        </w:rPr>
        <w:t xml:space="preserve"> Sette Camara</w:t>
      </w:r>
      <w:r w:rsidRPr="00903BF9">
        <w:rPr>
          <w:lang w:val="fr-FR"/>
        </w:rPr>
        <w:t xml:space="preserve">, </w:t>
      </w:r>
      <w:r>
        <w:rPr>
          <w:i/>
          <w:lang w:val="fr-FR"/>
        </w:rPr>
        <w:t>ibid.</w:t>
      </w:r>
      <w:r w:rsidRPr="00903BF9">
        <w:rPr>
          <w:lang w:val="fr-FR"/>
        </w:rPr>
        <w:t xml:space="preserve">, vol. I, p. 16, par. 47. </w:t>
      </w:r>
      <w:r w:rsidRPr="006D1252">
        <w:rPr>
          <w:lang w:val="fr-FR"/>
        </w:rPr>
        <w:t>Eg</w:t>
      </w:r>
      <w:r>
        <w:rPr>
          <w:lang w:val="fr-FR"/>
        </w:rPr>
        <w:t xml:space="preserve">li riteneva inoltre che il paragrafo </w:t>
      </w:r>
      <w:r w:rsidRPr="006D1252">
        <w:rPr>
          <w:lang w:val="fr-FR"/>
        </w:rPr>
        <w:t>2 dell’art. 10 fosse</w:t>
      </w:r>
      <w:r>
        <w:rPr>
          <w:lang w:val="fr-FR"/>
        </w:rPr>
        <w:t> </w:t>
      </w:r>
      <w:r w:rsidRPr="00E5762F">
        <w:rPr>
          <w:lang w:val="fr-FR"/>
        </w:rPr>
        <w:t>“une clause échappatoire pour les Etats désireux de se soustraire à leur responsibilité et s’écarte donc du propos de l’article, qui est de fermer toutes les portes de sortie</w:t>
      </w:r>
      <w:r w:rsidRPr="006D1252">
        <w:rPr>
          <w:lang w:val="fr-FR"/>
        </w:rPr>
        <w:t>”.</w:t>
      </w:r>
      <w:r>
        <w:rPr>
          <w:lang w:val="fr-FR"/>
        </w:rPr>
        <w:t xml:space="preserve"> </w:t>
      </w:r>
      <w:r w:rsidRPr="001A1120">
        <w:rPr>
          <w:i/>
          <w:lang w:val="en-US"/>
        </w:rPr>
        <w:t>Ibid</w:t>
      </w:r>
      <w:r w:rsidRPr="001A1120">
        <w:rPr>
          <w:lang w:val="en-US"/>
        </w:rPr>
        <w:t>. Così anche S</w:t>
      </w:r>
      <w:r>
        <w:rPr>
          <w:lang w:val="en-US"/>
        </w:rPr>
        <w:t>ahovic</w:t>
      </w:r>
      <w:r w:rsidRPr="001A1120">
        <w:rPr>
          <w:lang w:val="en-US"/>
        </w:rPr>
        <w:t>,</w:t>
      </w:r>
      <w:r w:rsidRPr="0010165C">
        <w:rPr>
          <w:i/>
          <w:lang w:val="en-US"/>
        </w:rPr>
        <w:t xml:space="preserve"> ibid</w:t>
      </w:r>
      <w:r w:rsidRPr="001A1120">
        <w:rPr>
          <w:lang w:val="en-US"/>
        </w:rPr>
        <w:t>., p. 9, par. 18; R</w:t>
      </w:r>
      <w:r>
        <w:rPr>
          <w:lang w:val="en-US"/>
        </w:rPr>
        <w:t>amangasoavina</w:t>
      </w:r>
      <w:r w:rsidRPr="001A1120">
        <w:rPr>
          <w:lang w:val="en-US"/>
        </w:rPr>
        <w:t xml:space="preserve">, </w:t>
      </w:r>
      <w:r w:rsidRPr="001A1120">
        <w:rPr>
          <w:i/>
          <w:lang w:val="en-US"/>
        </w:rPr>
        <w:t>ibid</w:t>
      </w:r>
      <w:r>
        <w:rPr>
          <w:lang w:val="en-US"/>
        </w:rPr>
        <w:t>., p. 13, par. 23; El-Erian</w:t>
      </w:r>
      <w:r w:rsidRPr="001A1120">
        <w:rPr>
          <w:lang w:val="en-US"/>
        </w:rPr>
        <w:t xml:space="preserve">, </w:t>
      </w:r>
      <w:r w:rsidRPr="001A1120">
        <w:rPr>
          <w:i/>
          <w:lang w:val="en-US"/>
        </w:rPr>
        <w:t>ibid</w:t>
      </w:r>
      <w:r w:rsidRPr="001A1120">
        <w:rPr>
          <w:lang w:val="en-US"/>
        </w:rPr>
        <w:t>.,</w:t>
      </w:r>
      <w:r>
        <w:rPr>
          <w:lang w:val="en-US"/>
        </w:rPr>
        <w:t xml:space="preserve"> p. 17, par. 51.</w:t>
      </w:r>
    </w:p>
  </w:footnote>
  <w:footnote w:id="318">
    <w:p w:rsidR="003D54BB" w:rsidRPr="00E27373" w:rsidRDefault="003D54BB" w:rsidP="00333C13">
      <w:pPr>
        <w:pStyle w:val="Testonotaapidipagina"/>
        <w:jc w:val="both"/>
      </w:pPr>
      <w:r>
        <w:rPr>
          <w:rStyle w:val="Rimandonotaapidipagina"/>
        </w:rPr>
        <w:footnoteRef/>
      </w:r>
      <w:r w:rsidRPr="00253730">
        <w:rPr>
          <w:lang w:val="en-US"/>
        </w:rPr>
        <w:t xml:space="preserve"> Ago, </w:t>
      </w:r>
      <w:r w:rsidRPr="00253730">
        <w:rPr>
          <w:i/>
          <w:lang w:val="en-US"/>
        </w:rPr>
        <w:t>Ibid.</w:t>
      </w:r>
      <w:r w:rsidRPr="00253730">
        <w:rPr>
          <w:lang w:val="en-US"/>
        </w:rPr>
        <w:t xml:space="preserve">, pp. 19 – 20. </w:t>
      </w:r>
      <w:r>
        <w:t>Si veda Condorelli</w:t>
      </w:r>
      <w:r w:rsidRPr="00E27373">
        <w:t xml:space="preserve">, </w:t>
      </w:r>
      <w:r w:rsidRPr="00E27373">
        <w:rPr>
          <w:i/>
        </w:rPr>
        <w:t>L’imputation à l’Etat d’un fait internationalement illicite</w:t>
      </w:r>
      <w:r w:rsidRPr="00E27373">
        <w:t>, cit., p. 81 ss.</w:t>
      </w:r>
      <w:r>
        <w:t>; Pisillo Mazzeschi</w:t>
      </w:r>
      <w:r w:rsidRPr="00E27373">
        <w:t xml:space="preserve">,  </w:t>
      </w:r>
      <w:r w:rsidRPr="00E27373">
        <w:rPr>
          <w:i/>
        </w:rPr>
        <w:t>“Due diligence” e responsabilità internazionale degli Stati</w:t>
      </w:r>
      <w:r w:rsidRPr="00E27373">
        <w:t>, cit., p. 214 ss.</w:t>
      </w:r>
    </w:p>
  </w:footnote>
  <w:footnote w:id="319">
    <w:p w:rsidR="003D54BB" w:rsidRPr="00695927" w:rsidRDefault="003D54BB" w:rsidP="00333C13">
      <w:pPr>
        <w:pStyle w:val="Testonotaapidipagina"/>
      </w:pPr>
      <w:r>
        <w:rPr>
          <w:rStyle w:val="Rimandonotaapidipagina"/>
        </w:rPr>
        <w:footnoteRef/>
      </w:r>
      <w:r w:rsidRPr="00695927">
        <w:rPr>
          <w:i/>
          <w:lang w:val="fr-FR"/>
        </w:rPr>
        <w:t xml:space="preserve"> Annuaire de la Commission du Droit International,</w:t>
      </w:r>
      <w:r w:rsidRPr="00695927">
        <w:rPr>
          <w:lang w:val="fr-FR"/>
        </w:rPr>
        <w:t xml:space="preserve"> 1975, vol. </w:t>
      </w:r>
      <w:r>
        <w:t>I, p. 18</w:t>
      </w:r>
      <w:r w:rsidRPr="00695927">
        <w:t>, par. 1.</w:t>
      </w:r>
    </w:p>
  </w:footnote>
  <w:footnote w:id="320">
    <w:p w:rsidR="003D54BB" w:rsidRPr="00E27373" w:rsidRDefault="003D54BB" w:rsidP="00333C13">
      <w:pPr>
        <w:pStyle w:val="Testonotaapidipagina"/>
        <w:jc w:val="both"/>
        <w:rPr>
          <w:lang w:val="fr-FR"/>
        </w:rPr>
      </w:pPr>
      <w:r>
        <w:rPr>
          <w:rStyle w:val="Rimandonotaapidipagina"/>
        </w:rPr>
        <w:footnoteRef/>
      </w:r>
      <w:r w:rsidRPr="00E27373">
        <w:t xml:space="preserve"> Ramangasoavina, </w:t>
      </w:r>
      <w:r w:rsidRPr="00E27373">
        <w:rPr>
          <w:i/>
        </w:rPr>
        <w:t xml:space="preserve">ibid., </w:t>
      </w:r>
      <w:r w:rsidRPr="00E27373">
        <w:t xml:space="preserve">vol. </w:t>
      </w:r>
      <w:r w:rsidRPr="00E27373">
        <w:rPr>
          <w:lang w:val="fr-FR"/>
        </w:rPr>
        <w:t>I, p. 21, p</w:t>
      </w:r>
      <w:r>
        <w:rPr>
          <w:lang w:val="fr-FR"/>
        </w:rPr>
        <w:t>ar. 10; Hambro</w:t>
      </w:r>
      <w:r w:rsidRPr="00E27373">
        <w:rPr>
          <w:lang w:val="fr-FR"/>
        </w:rPr>
        <w:t>,</w:t>
      </w:r>
      <w:r w:rsidRPr="00E27373">
        <w:rPr>
          <w:i/>
          <w:lang w:val="fr-FR"/>
        </w:rPr>
        <w:t xml:space="preserve"> ibid</w:t>
      </w:r>
      <w:r w:rsidRPr="00E27373">
        <w:rPr>
          <w:lang w:val="fr-FR"/>
        </w:rPr>
        <w:t>., p. 21, par. 16.</w:t>
      </w:r>
    </w:p>
  </w:footnote>
  <w:footnote w:id="321">
    <w:p w:rsidR="003D54BB" w:rsidRDefault="003D54BB" w:rsidP="00333C13">
      <w:pPr>
        <w:pStyle w:val="Testonotaapidipagina"/>
        <w:jc w:val="both"/>
      </w:pPr>
      <w:r>
        <w:rPr>
          <w:rStyle w:val="Rimandonotaapidipagina"/>
        </w:rPr>
        <w:footnoteRef/>
      </w:r>
      <w:r w:rsidRPr="00E27373">
        <w:t xml:space="preserve"> Sette Camara, </w:t>
      </w:r>
      <w:r w:rsidRPr="00E27373">
        <w:rPr>
          <w:i/>
        </w:rPr>
        <w:t>ibid</w:t>
      </w:r>
      <w:r>
        <w:t>., p. 19</w:t>
      </w:r>
      <w:r w:rsidRPr="00E27373">
        <w:t xml:space="preserve">, par. 4; Pinto, </w:t>
      </w:r>
      <w:r w:rsidRPr="00E27373">
        <w:rPr>
          <w:i/>
        </w:rPr>
        <w:t>ibid</w:t>
      </w:r>
      <w:r>
        <w:t>., p. 20</w:t>
      </w:r>
      <w:r w:rsidRPr="00E27373">
        <w:t xml:space="preserve">, par. 21. </w:t>
      </w:r>
      <w:r>
        <w:t>Si sono pronunciati a favore della soppressione del secondo paragrafo anche Ouchakov,</w:t>
      </w:r>
      <w:r w:rsidRPr="000A2A84">
        <w:rPr>
          <w:i/>
        </w:rPr>
        <w:t xml:space="preserve"> ibid</w:t>
      </w:r>
      <w:r>
        <w:t>., p. 19, par. 6; Sahovic,</w:t>
      </w:r>
      <w:r w:rsidRPr="000A2A84">
        <w:rPr>
          <w:i/>
        </w:rPr>
        <w:t xml:space="preserve"> ibid</w:t>
      </w:r>
      <w:r>
        <w:t xml:space="preserve">., p. 19, par. 7; Yasseen, </w:t>
      </w:r>
      <w:r w:rsidRPr="000A2A84">
        <w:rPr>
          <w:i/>
        </w:rPr>
        <w:t>ibid</w:t>
      </w:r>
      <w:r>
        <w:t xml:space="preserve">., p. 19, par. 8; Kearney, </w:t>
      </w:r>
      <w:r w:rsidRPr="000A2A84">
        <w:rPr>
          <w:i/>
        </w:rPr>
        <w:t>ibid.</w:t>
      </w:r>
      <w:r w:rsidRPr="000A2A84">
        <w:t>,</w:t>
      </w:r>
      <w:r>
        <w:t xml:space="preserve"> p. 19, par. 15; Martinez Moreno, </w:t>
      </w:r>
      <w:r w:rsidRPr="000A2A84">
        <w:rPr>
          <w:i/>
        </w:rPr>
        <w:t>ibid</w:t>
      </w:r>
      <w:r>
        <w:t xml:space="preserve">., p. 20, par. 24 e Quentin-Baxter, </w:t>
      </w:r>
      <w:r w:rsidRPr="000A2A84">
        <w:rPr>
          <w:i/>
        </w:rPr>
        <w:t>ibid</w:t>
      </w:r>
      <w:r>
        <w:t>., p. 20, par. 25.</w:t>
      </w:r>
    </w:p>
  </w:footnote>
  <w:footnote w:id="322">
    <w:p w:rsidR="003D54BB" w:rsidRPr="00605693" w:rsidRDefault="003D54BB" w:rsidP="00333C13">
      <w:pPr>
        <w:pStyle w:val="Testonotaapidipagina"/>
        <w:jc w:val="both"/>
        <w:rPr>
          <w:lang w:val="nl-NL"/>
        </w:rPr>
      </w:pPr>
      <w:r w:rsidRPr="004926E2">
        <w:rPr>
          <w:rStyle w:val="Rimandonotaapidipagina"/>
        </w:rPr>
        <w:footnoteRef/>
      </w:r>
      <w:r>
        <w:rPr>
          <w:i/>
          <w:lang w:val="nl-NL"/>
        </w:rPr>
        <w:t xml:space="preserve"> Annuaire de la Commission du droit international</w:t>
      </w:r>
      <w:r w:rsidRPr="004926E2">
        <w:rPr>
          <w:lang w:val="nl-NL"/>
        </w:rPr>
        <w:t>,</w:t>
      </w:r>
      <w:r>
        <w:rPr>
          <w:lang w:val="nl-NL"/>
        </w:rPr>
        <w:t xml:space="preserve"> 1996, </w:t>
      </w:r>
      <w:r w:rsidRPr="004926E2">
        <w:rPr>
          <w:lang w:val="nl-NL"/>
        </w:rPr>
        <w:t xml:space="preserve"> vol. </w:t>
      </w:r>
      <w:r>
        <w:rPr>
          <w:lang w:val="nl-NL"/>
        </w:rPr>
        <w:t>II, p. 48.</w:t>
      </w:r>
    </w:p>
  </w:footnote>
  <w:footnote w:id="323">
    <w:p w:rsidR="003D54BB" w:rsidRPr="00EC1709" w:rsidRDefault="003D54BB" w:rsidP="00333C13">
      <w:pPr>
        <w:pStyle w:val="Testonotaapidipagina"/>
        <w:jc w:val="both"/>
      </w:pPr>
      <w:r>
        <w:rPr>
          <w:rStyle w:val="Rimandonotaapidipagina"/>
        </w:rPr>
        <w:footnoteRef/>
      </w:r>
      <w:r w:rsidRPr="005C17AE">
        <w:rPr>
          <w:lang w:val="fr-FR"/>
        </w:rPr>
        <w:t xml:space="preserve"> Facendo riferimento alla sentenza arbitrale resa nel caso </w:t>
      </w:r>
      <w:r w:rsidRPr="005C17AE">
        <w:rPr>
          <w:i/>
          <w:lang w:val="fr-FR"/>
        </w:rPr>
        <w:t>Caire</w:t>
      </w:r>
      <w:r>
        <w:rPr>
          <w:lang w:val="fr-FR"/>
        </w:rPr>
        <w:t xml:space="preserve">, Kearney </w:t>
      </w:r>
      <w:r w:rsidRPr="005C17AE">
        <w:rPr>
          <w:lang w:val="fr-FR"/>
        </w:rPr>
        <w:t>a</w:t>
      </w:r>
      <w:r>
        <w:rPr>
          <w:lang w:val="fr-FR"/>
        </w:rPr>
        <w:t>veva</w:t>
      </w:r>
      <w:r w:rsidRPr="005C17AE">
        <w:rPr>
          <w:lang w:val="fr-FR"/>
        </w:rPr>
        <w:t xml:space="preserve"> suggerito di sostituire l’espressione “pour autan</w:t>
      </w:r>
      <w:r w:rsidRPr="003D440B">
        <w:rPr>
          <w:lang w:val="fr-FR"/>
        </w:rPr>
        <w:t>t qu’il ait agi en qualité d’organe”</w:t>
      </w:r>
      <w:r w:rsidRPr="00CE1B89">
        <w:rPr>
          <w:lang w:val="fr-FR"/>
        </w:rPr>
        <w:t xml:space="preserve"> con</w:t>
      </w:r>
      <w:r w:rsidRPr="00CE1B89">
        <w:rPr>
          <w:i/>
          <w:lang w:val="fr-FR"/>
        </w:rPr>
        <w:t xml:space="preserve"> </w:t>
      </w:r>
      <w:r w:rsidRPr="003D440B">
        <w:rPr>
          <w:lang w:val="fr-FR"/>
        </w:rPr>
        <w:t xml:space="preserve">“à moins qu’il ne soit manifeste que, lorsqu’il a agi ainsi, l’organe ou l’entité n’a exercé aucune des prérogatives de la puissance publique et n’a pas utilisé de moyens mis à sa disposition par l’Etat”. </w:t>
      </w:r>
      <w:r>
        <w:rPr>
          <w:lang w:val="fr-FR"/>
        </w:rPr>
        <w:t xml:space="preserve">Cfr. </w:t>
      </w:r>
      <w:r w:rsidRPr="00CE1B89">
        <w:rPr>
          <w:i/>
          <w:lang w:val="fr-FR"/>
        </w:rPr>
        <w:t>Annuaire de la Commission du Droit International</w:t>
      </w:r>
      <w:r>
        <w:rPr>
          <w:i/>
          <w:lang w:val="fr-FR"/>
        </w:rPr>
        <w:t xml:space="preserve"> </w:t>
      </w:r>
      <w:r>
        <w:rPr>
          <w:lang w:val="fr-FR"/>
        </w:rPr>
        <w:t xml:space="preserve">1975, vol. I, p. 21, parr. 14-15. Reuter aveva sostenuto tale proposta dichiarando che </w:t>
      </w:r>
      <w:r w:rsidRPr="003D440B">
        <w:rPr>
          <w:lang w:val="fr-FR"/>
        </w:rPr>
        <w:t>“un acte commis par un agent public qui a perdu la raison est un acte de l’organe dès lors que cet agent a à sa disposition des moyens matériels qui lui sont fournis par l’Etat en tant qu’organe”</w:t>
      </w:r>
      <w:r w:rsidRPr="00CE1B89">
        <w:rPr>
          <w:lang w:val="fr-FR"/>
        </w:rPr>
        <w:t>.</w:t>
      </w:r>
      <w:r>
        <w:rPr>
          <w:lang w:val="fr-FR"/>
        </w:rPr>
        <w:t xml:space="preserve"> </w:t>
      </w:r>
      <w:r w:rsidRPr="00EA54D9">
        <w:rPr>
          <w:i/>
        </w:rPr>
        <w:t>Ibid</w:t>
      </w:r>
      <w:r w:rsidRPr="00EA54D9">
        <w:t xml:space="preserve">., p. 22, parr. 19-20. </w:t>
      </w:r>
      <w:r w:rsidRPr="00EC1709">
        <w:t xml:space="preserve">La formulazione proposta da Kearney </w:t>
      </w:r>
      <w:r>
        <w:t>era stata approvata anche da Pinto</w:t>
      </w:r>
      <w:r w:rsidRPr="00EC1709">
        <w:t>,</w:t>
      </w:r>
      <w:r>
        <w:t xml:space="preserve"> </w:t>
      </w:r>
      <w:r w:rsidRPr="00EC1709">
        <w:rPr>
          <w:i/>
        </w:rPr>
        <w:t>ibid</w:t>
      </w:r>
      <w:r>
        <w:t>.,</w:t>
      </w:r>
      <w:r w:rsidRPr="00EC1709">
        <w:t xml:space="preserve"> p. </w:t>
      </w:r>
      <w:r>
        <w:t xml:space="preserve">22, par. 22 e TABIBI, </w:t>
      </w:r>
      <w:r w:rsidRPr="00EC1709">
        <w:rPr>
          <w:i/>
        </w:rPr>
        <w:t>ibid</w:t>
      </w:r>
      <w:r>
        <w:t>., p. 23, par. 40.</w:t>
      </w:r>
    </w:p>
  </w:footnote>
  <w:footnote w:id="324">
    <w:p w:rsidR="003D54BB" w:rsidRPr="00EA54D9" w:rsidRDefault="003D54BB" w:rsidP="00333C13">
      <w:pPr>
        <w:pStyle w:val="Testonotaapidipagina"/>
        <w:rPr>
          <w:lang w:val="en-US"/>
        </w:rPr>
      </w:pPr>
      <w:r>
        <w:rPr>
          <w:rStyle w:val="Rimandonotaapidipagina"/>
        </w:rPr>
        <w:footnoteRef/>
      </w:r>
      <w:r w:rsidRPr="00994D6F">
        <w:rPr>
          <w:lang w:val="fr-FR"/>
        </w:rPr>
        <w:t xml:space="preserve"> </w:t>
      </w:r>
      <w:r>
        <w:rPr>
          <w:i/>
          <w:lang w:val="fr-FR"/>
        </w:rPr>
        <w:t>Annuaire de la Commission du droit i</w:t>
      </w:r>
      <w:r w:rsidRPr="00994D6F">
        <w:rPr>
          <w:i/>
          <w:lang w:val="fr-FR"/>
        </w:rPr>
        <w:t>nternational</w:t>
      </w:r>
      <w:r>
        <w:rPr>
          <w:lang w:val="fr-FR"/>
        </w:rPr>
        <w:t xml:space="preserve">, 1975, vol. </w:t>
      </w:r>
      <w:r w:rsidRPr="00EA54D9">
        <w:rPr>
          <w:lang w:val="en-US"/>
        </w:rPr>
        <w:t xml:space="preserve">II, p. 75, par. 26. </w:t>
      </w:r>
    </w:p>
  </w:footnote>
  <w:footnote w:id="325">
    <w:p w:rsidR="003D54BB" w:rsidRPr="00695927" w:rsidRDefault="003D54BB" w:rsidP="008429BA">
      <w:pPr>
        <w:autoSpaceDE w:val="0"/>
        <w:autoSpaceDN w:val="0"/>
        <w:adjustRightInd w:val="0"/>
        <w:spacing w:after="0" w:line="240" w:lineRule="auto"/>
        <w:jc w:val="both"/>
        <w:rPr>
          <w:sz w:val="20"/>
          <w:szCs w:val="20"/>
          <w:lang w:val="en-US"/>
        </w:rPr>
      </w:pPr>
      <w:r>
        <w:rPr>
          <w:rStyle w:val="Rimandonotaapidipagina"/>
        </w:rPr>
        <w:footnoteRef/>
      </w:r>
      <w:r w:rsidRPr="00D554D9">
        <w:rPr>
          <w:lang w:val="en-US"/>
        </w:rPr>
        <w:t xml:space="preserve"> </w:t>
      </w:r>
      <w:r w:rsidRPr="00D17C2A">
        <w:rPr>
          <w:lang w:val="en-US"/>
        </w:rPr>
        <w:t>“</w:t>
      </w:r>
      <w:r w:rsidRPr="00D17C2A">
        <w:rPr>
          <w:sz w:val="20"/>
          <w:szCs w:val="20"/>
          <w:lang w:val="en-US"/>
        </w:rPr>
        <w:t>If a policeman off duty uses the weapon supplied to him by the State for the purpose of killing an alien of whom he is jealous, that is not sufficient, in the eyes of the Commission, to justify attributing such action to the State under international law. That does not mean, of course, that the State cannot, in certain circumstances, incur international responsibility in situations of this kind; but then the responsibility must be incurred through the act of organs other than the organ which committed the wrongful act. In other words, the conduct of organs acting in a purely personal capacity is entirely assimilable to the conduct of private persons which is dealt with in article 11 of the draft</w:t>
      </w:r>
      <w:r w:rsidRPr="00D17C2A">
        <w:rPr>
          <w:lang w:val="en-US"/>
        </w:rPr>
        <w:t>”.</w:t>
      </w:r>
      <w:r w:rsidRPr="00EA54D9">
        <w:rPr>
          <w:lang w:val="en-US"/>
        </w:rPr>
        <w:t xml:space="preserve"> </w:t>
      </w:r>
      <w:r w:rsidRPr="00B64677">
        <w:rPr>
          <w:i/>
          <w:sz w:val="20"/>
          <w:szCs w:val="20"/>
          <w:lang w:val="en-US"/>
        </w:rPr>
        <w:t>Yearbook of the International Law Commission</w:t>
      </w:r>
      <w:r w:rsidRPr="00B64677">
        <w:rPr>
          <w:sz w:val="20"/>
          <w:szCs w:val="20"/>
          <w:lang w:val="en-US"/>
        </w:rPr>
        <w:t xml:space="preserve">, 1996, vol. </w:t>
      </w:r>
      <w:r w:rsidRPr="00695927">
        <w:rPr>
          <w:sz w:val="20"/>
          <w:szCs w:val="20"/>
          <w:lang w:val="en-US"/>
        </w:rPr>
        <w:t>II – 2, p. 44, par. 26.</w:t>
      </w:r>
    </w:p>
  </w:footnote>
  <w:footnote w:id="326">
    <w:p w:rsidR="003D54BB" w:rsidRPr="003404A9" w:rsidRDefault="003D54BB" w:rsidP="00333C13">
      <w:pPr>
        <w:pStyle w:val="Testonotaapidipagina"/>
        <w:jc w:val="both"/>
        <w:rPr>
          <w:lang w:val="fr-FR"/>
        </w:rPr>
      </w:pPr>
      <w:r>
        <w:rPr>
          <w:rStyle w:val="Rimandonotaapidipagina"/>
        </w:rPr>
        <w:footnoteRef/>
      </w:r>
      <w:r w:rsidRPr="003404A9">
        <w:rPr>
          <w:lang w:val="fr-FR"/>
        </w:rPr>
        <w:t xml:space="preserve"> Così </w:t>
      </w:r>
      <w:r>
        <w:rPr>
          <w:lang w:val="fr-FR"/>
        </w:rPr>
        <w:t xml:space="preserve">la </w:t>
      </w:r>
      <w:r w:rsidRPr="003404A9">
        <w:rPr>
          <w:lang w:val="fr-FR"/>
        </w:rPr>
        <w:t xml:space="preserve">Finlandia, </w:t>
      </w:r>
      <w:r w:rsidRPr="003404A9">
        <w:rPr>
          <w:i/>
          <w:lang w:val="fr-FR"/>
        </w:rPr>
        <w:t>Documents Officiels de l’Assemblée générale, trentième session, sixième commission, comptes rendus analytiques des séances</w:t>
      </w:r>
      <w:r w:rsidRPr="003404A9">
        <w:rPr>
          <w:lang w:val="fr-FR"/>
        </w:rPr>
        <w:t xml:space="preserve"> (17 septembre – 5 dé</w:t>
      </w:r>
      <w:r>
        <w:rPr>
          <w:lang w:val="fr-FR"/>
        </w:rPr>
        <w:t xml:space="preserve">cembre 1975), p. 42, par. 9; la </w:t>
      </w:r>
      <w:r w:rsidRPr="003404A9">
        <w:rPr>
          <w:lang w:val="fr-FR"/>
        </w:rPr>
        <w:t xml:space="preserve">Germania, </w:t>
      </w:r>
      <w:r w:rsidRPr="003404A9">
        <w:rPr>
          <w:i/>
          <w:lang w:val="fr-FR"/>
        </w:rPr>
        <w:t>ibid</w:t>
      </w:r>
      <w:r w:rsidRPr="003404A9">
        <w:rPr>
          <w:lang w:val="fr-FR"/>
        </w:rPr>
        <w:t>., p. 68, par. 3;</w:t>
      </w:r>
      <w:r>
        <w:rPr>
          <w:lang w:val="fr-FR"/>
        </w:rPr>
        <w:t>l’Argentina</w:t>
      </w:r>
      <w:r w:rsidRPr="003404A9">
        <w:rPr>
          <w:lang w:val="fr-FR"/>
        </w:rPr>
        <w:t xml:space="preserve">, </w:t>
      </w:r>
      <w:r w:rsidRPr="003404A9">
        <w:rPr>
          <w:i/>
          <w:lang w:val="fr-FR"/>
        </w:rPr>
        <w:t>ibid</w:t>
      </w:r>
      <w:r w:rsidRPr="003404A9">
        <w:rPr>
          <w:lang w:val="fr-FR"/>
        </w:rPr>
        <w:t>., p. 74, par. 9</w:t>
      </w:r>
      <w:r>
        <w:rPr>
          <w:lang w:val="fr-FR"/>
        </w:rPr>
        <w:t>; la Giamaica</w:t>
      </w:r>
      <w:r w:rsidRPr="003404A9">
        <w:rPr>
          <w:lang w:val="fr-FR"/>
        </w:rPr>
        <w:t xml:space="preserve">, </w:t>
      </w:r>
      <w:r w:rsidRPr="003404A9">
        <w:rPr>
          <w:i/>
          <w:lang w:val="fr-FR"/>
        </w:rPr>
        <w:t>ibid</w:t>
      </w:r>
      <w:r w:rsidRPr="003404A9">
        <w:rPr>
          <w:lang w:val="fr-FR"/>
        </w:rPr>
        <w:t>., p. 81, par. 20;</w:t>
      </w:r>
      <w:r>
        <w:rPr>
          <w:lang w:val="fr-FR"/>
        </w:rPr>
        <w:t xml:space="preserve"> </w:t>
      </w:r>
      <w:r w:rsidRPr="003404A9">
        <w:rPr>
          <w:lang w:val="fr-FR"/>
        </w:rPr>
        <w:t xml:space="preserve">la Svezia, </w:t>
      </w:r>
      <w:r w:rsidRPr="003404A9">
        <w:rPr>
          <w:i/>
          <w:lang w:val="fr-FR"/>
        </w:rPr>
        <w:t>ibid</w:t>
      </w:r>
      <w:r w:rsidRPr="003404A9">
        <w:rPr>
          <w:lang w:val="fr-FR"/>
        </w:rPr>
        <w:t>.</w:t>
      </w:r>
      <w:r>
        <w:rPr>
          <w:lang w:val="fr-FR"/>
        </w:rPr>
        <w:t xml:space="preserve">, p. 99, par. 22; </w:t>
      </w:r>
      <w:r w:rsidRPr="003404A9">
        <w:rPr>
          <w:lang w:val="fr-FR"/>
        </w:rPr>
        <w:t xml:space="preserve">la Turchia, </w:t>
      </w:r>
      <w:r w:rsidRPr="003404A9">
        <w:rPr>
          <w:i/>
          <w:lang w:val="fr-FR"/>
        </w:rPr>
        <w:t>ibid</w:t>
      </w:r>
      <w:r w:rsidRPr="003404A9">
        <w:rPr>
          <w:lang w:val="fr-FR"/>
        </w:rPr>
        <w:t>.,</w:t>
      </w:r>
      <w:r>
        <w:rPr>
          <w:lang w:val="fr-FR"/>
        </w:rPr>
        <w:t xml:space="preserve"> p. 113, par. 17; il</w:t>
      </w:r>
      <w:r w:rsidRPr="003404A9">
        <w:rPr>
          <w:lang w:val="fr-FR"/>
        </w:rPr>
        <w:t xml:space="preserve"> Cile, </w:t>
      </w:r>
      <w:r w:rsidRPr="003404A9">
        <w:rPr>
          <w:i/>
          <w:lang w:val="fr-FR"/>
        </w:rPr>
        <w:t>ibid</w:t>
      </w:r>
      <w:r w:rsidRPr="003404A9">
        <w:rPr>
          <w:lang w:val="fr-FR"/>
        </w:rPr>
        <w:t xml:space="preserve">., </w:t>
      </w:r>
      <w:r>
        <w:rPr>
          <w:lang w:val="fr-FR"/>
        </w:rPr>
        <w:t>p. 119, par. 65; l</w:t>
      </w:r>
      <w:r w:rsidRPr="003404A9">
        <w:rPr>
          <w:lang w:val="fr-FR"/>
        </w:rPr>
        <w:t xml:space="preserve">a Bolivia, </w:t>
      </w:r>
      <w:r w:rsidRPr="003404A9">
        <w:rPr>
          <w:i/>
          <w:lang w:val="fr-FR"/>
        </w:rPr>
        <w:t>ibid</w:t>
      </w:r>
      <w:r w:rsidRPr="003404A9">
        <w:rPr>
          <w:lang w:val="fr-FR"/>
        </w:rPr>
        <w:t>.,</w:t>
      </w:r>
      <w:r>
        <w:rPr>
          <w:lang w:val="fr-FR"/>
        </w:rPr>
        <w:t xml:space="preserve"> p. 124, par. 30; </w:t>
      </w:r>
      <w:r w:rsidRPr="003404A9">
        <w:rPr>
          <w:lang w:val="fr-FR"/>
        </w:rPr>
        <w:t xml:space="preserve">lo Zambia, </w:t>
      </w:r>
      <w:r w:rsidRPr="003404A9">
        <w:rPr>
          <w:i/>
          <w:lang w:val="fr-FR"/>
        </w:rPr>
        <w:t>ibid</w:t>
      </w:r>
      <w:r w:rsidRPr="003404A9">
        <w:rPr>
          <w:lang w:val="fr-FR"/>
        </w:rPr>
        <w:t xml:space="preserve">., p. 137, par. 2; Israele, </w:t>
      </w:r>
      <w:r w:rsidRPr="003404A9">
        <w:rPr>
          <w:i/>
          <w:lang w:val="fr-FR"/>
        </w:rPr>
        <w:t>Documents Officiels de l’</w:t>
      </w:r>
      <w:r>
        <w:rPr>
          <w:i/>
          <w:lang w:val="fr-FR"/>
        </w:rPr>
        <w:t>Assemblée générale, cinquante-troisième</w:t>
      </w:r>
      <w:r w:rsidRPr="003404A9">
        <w:rPr>
          <w:i/>
          <w:lang w:val="fr-FR"/>
        </w:rPr>
        <w:t xml:space="preserve"> session, sixième commission, comptes rendus analytiques des séances</w:t>
      </w:r>
      <w:r w:rsidRPr="003404A9">
        <w:rPr>
          <w:lang w:val="fr-FR"/>
        </w:rPr>
        <w:t>, p. 8, par. 31.</w:t>
      </w:r>
    </w:p>
  </w:footnote>
  <w:footnote w:id="327">
    <w:p w:rsidR="003D54BB" w:rsidRPr="00AA4CDB" w:rsidRDefault="003D54BB" w:rsidP="00333C13">
      <w:pPr>
        <w:pStyle w:val="Testonotaapidipagina"/>
        <w:jc w:val="both"/>
        <w:rPr>
          <w:lang w:val="fr-FR"/>
        </w:rPr>
      </w:pPr>
      <w:r>
        <w:rPr>
          <w:rStyle w:val="Rimandonotaapidipagina"/>
        </w:rPr>
        <w:footnoteRef/>
      </w:r>
      <w:r w:rsidRPr="002173B2">
        <w:rPr>
          <w:lang w:val="fr-FR"/>
        </w:rPr>
        <w:t xml:space="preserve"> Il delegato dell’Oman, Al-Kindi, </w:t>
      </w:r>
      <w:r w:rsidRPr="008D56ED">
        <w:rPr>
          <w:lang w:val="fr-FR"/>
        </w:rPr>
        <w:t xml:space="preserve">“considère comme essentiel que les Etats souverains assument la responsabilité des actes dommageables commis par leur organes, que ceux–ci aient agi ou non en dépassement de leur compétence ou en contradiction avec les instructions concernant leurs activités. </w:t>
      </w:r>
      <w:r w:rsidRPr="00923461">
        <w:rPr>
          <w:lang w:val="fr-FR"/>
        </w:rPr>
        <w:t>Leur compétence ou leur instructions relèvent du droit interne et non du droit international</w:t>
      </w:r>
      <w:r>
        <w:rPr>
          <w:lang w:val="fr-FR"/>
        </w:rPr>
        <w:t> </w:t>
      </w:r>
      <w:r w:rsidRPr="00AA4CDB">
        <w:rPr>
          <w:lang w:val="fr-FR"/>
        </w:rPr>
        <w:t>”</w:t>
      </w:r>
      <w:r>
        <w:rPr>
          <w:lang w:val="fr-FR"/>
        </w:rPr>
        <w:t xml:space="preserve">, in </w:t>
      </w:r>
      <w:r w:rsidRPr="003404A9">
        <w:rPr>
          <w:i/>
          <w:lang w:val="fr-FR"/>
        </w:rPr>
        <w:t>Documents Officiels de l’Assemblée générale, trentième session, sixième commission, comptes rendus analytiques des séances</w:t>
      </w:r>
      <w:r w:rsidRPr="003404A9">
        <w:rPr>
          <w:lang w:val="fr-FR"/>
        </w:rPr>
        <w:t xml:space="preserve"> (17 septembre – 5 dé</w:t>
      </w:r>
      <w:r>
        <w:rPr>
          <w:lang w:val="fr-FR"/>
        </w:rPr>
        <w:t>cembre 1975)</w:t>
      </w:r>
      <w:r w:rsidRPr="00411A91">
        <w:rPr>
          <w:lang w:val="fr-FR"/>
        </w:rPr>
        <w:t>, p.</w:t>
      </w:r>
      <w:r>
        <w:rPr>
          <w:lang w:val="fr-FR"/>
        </w:rPr>
        <w:t xml:space="preserve"> 108, par. 40. Il delegato del Kuwait, Al-Othman, ha ammesso che </w:t>
      </w:r>
      <w:r w:rsidRPr="00D5266C">
        <w:rPr>
          <w:lang w:val="fr-FR"/>
        </w:rPr>
        <w:t>“l’Etat est responsable des actes commis par ses fonctionnaires dans l’exercice de leur fonctions, qu’ils aient agi ou non en dépassement de leur compétence. Les Etats ne pouvant alléguer les dispositions de leur droit interne pour se soustraire à leur responsabilité internationale…”,</w:t>
      </w:r>
      <w:r w:rsidRPr="00661F1C">
        <w:rPr>
          <w:i/>
          <w:lang w:val="fr-FR"/>
        </w:rPr>
        <w:t xml:space="preserve"> ibid</w:t>
      </w:r>
      <w:r>
        <w:rPr>
          <w:lang w:val="fr-FR"/>
        </w:rPr>
        <w:t>., p. 133,  par. 40.</w:t>
      </w:r>
    </w:p>
  </w:footnote>
  <w:footnote w:id="328">
    <w:p w:rsidR="003D54BB" w:rsidRPr="00D5266C" w:rsidRDefault="003D54BB" w:rsidP="00333C13">
      <w:pPr>
        <w:pStyle w:val="Testonotaapidipagina"/>
        <w:jc w:val="both"/>
      </w:pPr>
      <w:r>
        <w:rPr>
          <w:rStyle w:val="Rimandonotaapidipagina"/>
        </w:rPr>
        <w:footnoteRef/>
      </w:r>
      <w:r w:rsidRPr="00D5266C">
        <w:t xml:space="preserve"> Si veda p. 65, par. 38. La</w:t>
      </w:r>
      <w:r>
        <w:t xml:space="preserve"> medesima difficoltà è stata ri</w:t>
      </w:r>
      <w:r w:rsidRPr="00D5266C">
        <w:t xml:space="preserve">conosciuta dalla Repubblica socialista sovietica della </w:t>
      </w:r>
      <w:r w:rsidRPr="00411A91">
        <w:t xml:space="preserve">Bielorussia, </w:t>
      </w:r>
      <w:r w:rsidRPr="00411A91">
        <w:rPr>
          <w:i/>
        </w:rPr>
        <w:t>ibid.,</w:t>
      </w:r>
      <w:r w:rsidRPr="00411A91">
        <w:t xml:space="preserve"> p. 76, par. 32.</w:t>
      </w:r>
    </w:p>
  </w:footnote>
  <w:footnote w:id="329">
    <w:p w:rsidR="003D54BB" w:rsidRPr="004013A0" w:rsidRDefault="003D54BB" w:rsidP="00333C13">
      <w:pPr>
        <w:pStyle w:val="Testonotaapidipagina"/>
        <w:jc w:val="both"/>
      </w:pPr>
      <w:r w:rsidRPr="00411A91">
        <w:rPr>
          <w:rStyle w:val="Rimandonotaapidipagina"/>
        </w:rPr>
        <w:footnoteRef/>
      </w:r>
      <w:r w:rsidRPr="00411A91">
        <w:t xml:space="preserve"> Cfr,</w:t>
      </w:r>
      <w:r w:rsidRPr="00411A91">
        <w:rPr>
          <w:i/>
        </w:rPr>
        <w:t xml:space="preserve"> ibid</w:t>
      </w:r>
      <w:r w:rsidRPr="00411A91">
        <w:t>., p.</w:t>
      </w:r>
      <w:r w:rsidRPr="00695927">
        <w:t xml:space="preserve"> 106, par. 24. </w:t>
      </w:r>
      <w:r w:rsidRPr="004013A0">
        <w:t>Si è espresso negli stessi termini anche il del</w:t>
      </w:r>
      <w:r>
        <w:t>e</w:t>
      </w:r>
      <w:r w:rsidRPr="004013A0">
        <w:t xml:space="preserve">gato dell’Iran, </w:t>
      </w:r>
      <w:r w:rsidRPr="004013A0">
        <w:rPr>
          <w:i/>
        </w:rPr>
        <w:t>ibid.,</w:t>
      </w:r>
      <w:r w:rsidRPr="004013A0">
        <w:t>p. 120, par. 4.</w:t>
      </w:r>
    </w:p>
  </w:footnote>
  <w:footnote w:id="330">
    <w:p w:rsidR="003D54BB" w:rsidRPr="00B73B3E" w:rsidRDefault="003D54BB" w:rsidP="00333C13">
      <w:pPr>
        <w:pStyle w:val="Testonotaapidipagina"/>
        <w:jc w:val="both"/>
      </w:pPr>
      <w:r>
        <w:rPr>
          <w:rStyle w:val="Rimandonotaapidipagina"/>
        </w:rPr>
        <w:footnoteRef/>
      </w:r>
      <w:r>
        <w:rPr>
          <w:lang w:val="fr-FR"/>
        </w:rPr>
        <w:t xml:space="preserve"> </w:t>
      </w:r>
      <w:r w:rsidRPr="003404A9">
        <w:rPr>
          <w:i/>
          <w:lang w:val="fr-FR"/>
        </w:rPr>
        <w:t>Documents Officiels de l’Assemblée générale, trentième session, sixième commission, comptes rendus analytiques des séances</w:t>
      </w:r>
      <w:r w:rsidRPr="003404A9">
        <w:rPr>
          <w:lang w:val="fr-FR"/>
        </w:rPr>
        <w:t xml:space="preserve"> (17 septembre – 5 dé</w:t>
      </w:r>
      <w:r>
        <w:rPr>
          <w:lang w:val="fr-FR"/>
        </w:rPr>
        <w:t xml:space="preserve">cembre 1975), p. 62, par. 6 -7. </w:t>
      </w:r>
      <w:r w:rsidRPr="00B73B3E">
        <w:t xml:space="preserve">Così anche il delegato delle Filippine, </w:t>
      </w:r>
      <w:r w:rsidRPr="00B73B3E">
        <w:rPr>
          <w:i/>
        </w:rPr>
        <w:t>ibid</w:t>
      </w:r>
      <w:r w:rsidRPr="00B73B3E">
        <w:t>., pp. 135–136, par. 65.</w:t>
      </w:r>
    </w:p>
  </w:footnote>
  <w:footnote w:id="331">
    <w:p w:rsidR="003D54BB" w:rsidRPr="00253730" w:rsidRDefault="003D54BB" w:rsidP="00333C13">
      <w:pPr>
        <w:pStyle w:val="Testonotaapidipagina"/>
        <w:jc w:val="both"/>
      </w:pPr>
      <w:r>
        <w:rPr>
          <w:rStyle w:val="Rimandonotaapidipagina"/>
        </w:rPr>
        <w:footnoteRef/>
      </w:r>
      <w:r w:rsidRPr="00253730">
        <w:rPr>
          <w:i/>
        </w:rPr>
        <w:t xml:space="preserve"> Ibid</w:t>
      </w:r>
      <w:r w:rsidRPr="00253730">
        <w:t>., p. 121, par. 14.</w:t>
      </w:r>
    </w:p>
  </w:footnote>
  <w:footnote w:id="332">
    <w:p w:rsidR="003D54BB" w:rsidRPr="00865580" w:rsidRDefault="003D54BB" w:rsidP="00333C13">
      <w:pPr>
        <w:pStyle w:val="Testonotaapidipagina"/>
        <w:jc w:val="both"/>
        <w:rPr>
          <w:i/>
          <w:lang w:val="fr-FR"/>
        </w:rPr>
      </w:pPr>
      <w:r w:rsidRPr="00865580">
        <w:rPr>
          <w:rStyle w:val="Rimandonotaapidipagina"/>
        </w:rPr>
        <w:footnoteRef/>
      </w:r>
      <w:r w:rsidRPr="00253730">
        <w:t xml:space="preserve"> </w:t>
      </w:r>
      <w:r w:rsidRPr="00253730">
        <w:rPr>
          <w:i/>
        </w:rPr>
        <w:t xml:space="preserve">Idib., </w:t>
      </w:r>
      <w:r w:rsidRPr="00253730">
        <w:t xml:space="preserve">p. 85, par. 18. </w:t>
      </w:r>
      <w:r w:rsidRPr="00865580">
        <w:t xml:space="preserve">La delegazione cubana ha rigettato il principio attributivo codificato all’art. 10 anche l’anno successivo, durante la trentunesima sessione della sesta commissione dell’Assemblea Generale. </w:t>
      </w:r>
      <w:r w:rsidRPr="00865580">
        <w:rPr>
          <w:lang w:val="fr-FR"/>
        </w:rPr>
        <w:t xml:space="preserve">Si veda </w:t>
      </w:r>
      <w:r w:rsidRPr="00865580">
        <w:rPr>
          <w:i/>
          <w:lang w:val="fr-FR"/>
        </w:rPr>
        <w:t>Rapport de la Commission du droit international sur les travaux de sa vingt-huitième session</w:t>
      </w:r>
      <w:r w:rsidRPr="00865580">
        <w:rPr>
          <w:lang w:val="fr-FR"/>
        </w:rPr>
        <w:t>, cit., p. 38, par. 97.</w:t>
      </w:r>
    </w:p>
  </w:footnote>
  <w:footnote w:id="333">
    <w:p w:rsidR="003D54BB" w:rsidRPr="00865580" w:rsidRDefault="003D54BB" w:rsidP="00333C13">
      <w:pPr>
        <w:pStyle w:val="Testonotaapidipagina"/>
        <w:jc w:val="both"/>
        <w:rPr>
          <w:lang w:val="fr-FR"/>
        </w:rPr>
      </w:pPr>
      <w:r w:rsidRPr="00865580">
        <w:rPr>
          <w:rStyle w:val="Rimandonotaapidipagina"/>
        </w:rPr>
        <w:footnoteRef/>
      </w:r>
      <w:r w:rsidRPr="00865580">
        <w:rPr>
          <w:lang w:val="fr-FR"/>
        </w:rPr>
        <w:t xml:space="preserve"> </w:t>
      </w:r>
      <w:r w:rsidRPr="00865580">
        <w:rPr>
          <w:i/>
          <w:lang w:val="fr-FR"/>
        </w:rPr>
        <w:t>Rapport de la Commission du droit international sur les travaux de sa vingt-septième session</w:t>
      </w:r>
      <w:r w:rsidRPr="00865580">
        <w:rPr>
          <w:lang w:val="fr-FR"/>
        </w:rPr>
        <w:t>, cit., p. 112, par. 6.</w:t>
      </w:r>
    </w:p>
  </w:footnote>
  <w:footnote w:id="334">
    <w:p w:rsidR="003D54BB" w:rsidRPr="00865580" w:rsidRDefault="003D54BB" w:rsidP="00333C13">
      <w:pPr>
        <w:pStyle w:val="Testonotaapidipagina"/>
        <w:jc w:val="both"/>
        <w:rPr>
          <w:lang w:val="fr-FR"/>
        </w:rPr>
      </w:pPr>
      <w:r w:rsidRPr="00865580">
        <w:rPr>
          <w:rStyle w:val="Rimandonotaapidipagina"/>
        </w:rPr>
        <w:footnoteRef/>
      </w:r>
      <w:r w:rsidRPr="00865580">
        <w:rPr>
          <w:lang w:val="fr-FR"/>
        </w:rPr>
        <w:t xml:space="preserve"> </w:t>
      </w:r>
      <w:r w:rsidRPr="00865580">
        <w:rPr>
          <w:i/>
          <w:lang w:val="fr-FR"/>
        </w:rPr>
        <w:t>Rapport de la Commission du droit international sur les travaux de sa trente et unième session</w:t>
      </w:r>
      <w:r w:rsidRPr="00865580">
        <w:rPr>
          <w:lang w:val="fr-FR"/>
        </w:rPr>
        <w:t>, cit., p. 10, par. 30.</w:t>
      </w:r>
    </w:p>
  </w:footnote>
  <w:footnote w:id="335">
    <w:p w:rsidR="003D54BB" w:rsidRPr="00865580" w:rsidRDefault="003D54BB" w:rsidP="00333C13">
      <w:pPr>
        <w:pStyle w:val="Testonotaapidipagina"/>
        <w:jc w:val="both"/>
        <w:rPr>
          <w:lang w:val="fr-FR"/>
        </w:rPr>
      </w:pPr>
      <w:r w:rsidRPr="00865580">
        <w:rPr>
          <w:rStyle w:val="Rimandonotaapidipagina"/>
        </w:rPr>
        <w:footnoteRef/>
      </w:r>
      <w:r w:rsidRPr="00865580">
        <w:rPr>
          <w:lang w:val="fr-FR"/>
        </w:rPr>
        <w:t xml:space="preserve"> Si veda </w:t>
      </w:r>
      <w:r w:rsidRPr="00865580">
        <w:rPr>
          <w:i/>
          <w:lang w:val="fr-FR"/>
        </w:rPr>
        <w:t xml:space="preserve">Annuaire de la Commission du droit international, </w:t>
      </w:r>
      <w:r w:rsidRPr="00865580">
        <w:rPr>
          <w:lang w:val="fr-FR"/>
        </w:rPr>
        <w:t>1978, vol. II, deuxième partie, p. 88, par. 92.</w:t>
      </w:r>
    </w:p>
  </w:footnote>
  <w:footnote w:id="336">
    <w:p w:rsidR="003D54BB" w:rsidRPr="00865580" w:rsidRDefault="003D54BB" w:rsidP="00333C13">
      <w:pPr>
        <w:pStyle w:val="Testonotaapidipagina"/>
        <w:jc w:val="both"/>
        <w:rPr>
          <w:lang w:val="fr-FR"/>
        </w:rPr>
      </w:pPr>
      <w:r w:rsidRPr="00865580">
        <w:rPr>
          <w:rStyle w:val="Rimandonotaapidipagina"/>
        </w:rPr>
        <w:footnoteRef/>
      </w:r>
      <w:r w:rsidRPr="00865580">
        <w:rPr>
          <w:lang w:val="fr-FR"/>
        </w:rPr>
        <w:t xml:space="preserve"> </w:t>
      </w:r>
      <w:r w:rsidRPr="00865580">
        <w:rPr>
          <w:i/>
          <w:lang w:val="fr-FR"/>
        </w:rPr>
        <w:t>Observations et Commentaires</w:t>
      </w:r>
      <w:r w:rsidRPr="00865580">
        <w:rPr>
          <w:lang w:val="fr-FR"/>
        </w:rPr>
        <w:t xml:space="preserve">, </w:t>
      </w:r>
      <w:r w:rsidRPr="00865580">
        <w:rPr>
          <w:i/>
          <w:lang w:val="fr-FR"/>
        </w:rPr>
        <w:t>Annuaire de la Commission du droit international</w:t>
      </w:r>
      <w:r w:rsidRPr="00865580">
        <w:rPr>
          <w:lang w:val="fr-FR"/>
        </w:rPr>
        <w:t>, 1980, vol. II, première partie, p. 95, par. 14.</w:t>
      </w:r>
    </w:p>
  </w:footnote>
  <w:footnote w:id="337">
    <w:p w:rsidR="003D54BB" w:rsidRPr="00D9726A" w:rsidRDefault="003D54BB" w:rsidP="00333C13">
      <w:pPr>
        <w:pStyle w:val="Testonotaapidipagina"/>
        <w:jc w:val="both"/>
        <w:rPr>
          <w:lang w:val="fr-FR"/>
        </w:rPr>
      </w:pPr>
      <w:r w:rsidRPr="00865580">
        <w:rPr>
          <w:rStyle w:val="Rimandonotaapidipagina"/>
        </w:rPr>
        <w:footnoteRef/>
      </w:r>
      <w:r w:rsidRPr="00865580">
        <w:rPr>
          <w:i/>
          <w:lang w:val="fr-FR"/>
        </w:rPr>
        <w:t xml:space="preserve"> Ibid</w:t>
      </w:r>
      <w:r w:rsidRPr="00865580">
        <w:rPr>
          <w:lang w:val="fr-FR"/>
        </w:rPr>
        <w:t>., p. 100, par. 8.</w:t>
      </w:r>
    </w:p>
  </w:footnote>
  <w:footnote w:id="338">
    <w:p w:rsidR="003D54BB" w:rsidRPr="00D9726A" w:rsidRDefault="003D54BB" w:rsidP="00333C13">
      <w:pPr>
        <w:pStyle w:val="Testonotaapidipagina"/>
        <w:jc w:val="both"/>
        <w:rPr>
          <w:lang w:val="fr-FR"/>
        </w:rPr>
      </w:pPr>
      <w:r>
        <w:rPr>
          <w:rStyle w:val="Rimandonotaapidipagina"/>
        </w:rPr>
        <w:footnoteRef/>
      </w:r>
      <w:r w:rsidRPr="00D9726A">
        <w:rPr>
          <w:lang w:val="fr-FR"/>
        </w:rPr>
        <w:t xml:space="preserve"> </w:t>
      </w:r>
      <w:r w:rsidRPr="00D9726A">
        <w:rPr>
          <w:i/>
          <w:lang w:val="fr-FR"/>
        </w:rPr>
        <w:t>Ibid</w:t>
      </w:r>
      <w:r w:rsidRPr="00D9726A">
        <w:rPr>
          <w:lang w:val="fr-FR"/>
        </w:rPr>
        <w:t>., p. 103, par. 12.</w:t>
      </w:r>
    </w:p>
  </w:footnote>
  <w:footnote w:id="339">
    <w:p w:rsidR="003D54BB" w:rsidRPr="00612C77" w:rsidRDefault="003D54BB" w:rsidP="00333C13">
      <w:pPr>
        <w:pStyle w:val="Testonotaapidipagina"/>
        <w:jc w:val="both"/>
        <w:rPr>
          <w:lang w:val="en-US"/>
        </w:rPr>
      </w:pPr>
      <w:r>
        <w:rPr>
          <w:rStyle w:val="Rimandonotaapidipagina"/>
        </w:rPr>
        <w:footnoteRef/>
      </w:r>
      <w:r w:rsidRPr="006B7AA5">
        <w:rPr>
          <w:lang w:val="fr-FR"/>
        </w:rPr>
        <w:t xml:space="preserve"> </w:t>
      </w:r>
      <w:r w:rsidRPr="00EA3FED">
        <w:rPr>
          <w:i/>
          <w:lang w:val="fr-FR"/>
        </w:rPr>
        <w:t>Observations et Commentaires</w:t>
      </w:r>
      <w:r w:rsidRPr="00EA3FED">
        <w:rPr>
          <w:lang w:val="fr-FR"/>
        </w:rPr>
        <w:t xml:space="preserve">, </w:t>
      </w:r>
      <w:r w:rsidRPr="000C479E">
        <w:rPr>
          <w:i/>
          <w:lang w:val="fr-FR"/>
        </w:rPr>
        <w:t>A</w:t>
      </w:r>
      <w:r>
        <w:rPr>
          <w:i/>
          <w:lang w:val="fr-FR"/>
        </w:rPr>
        <w:t xml:space="preserve">nnuaire de la </w:t>
      </w:r>
      <w:r w:rsidRPr="000C479E">
        <w:rPr>
          <w:i/>
          <w:lang w:val="fr-FR"/>
        </w:rPr>
        <w:t>C</w:t>
      </w:r>
      <w:r>
        <w:rPr>
          <w:i/>
          <w:lang w:val="fr-FR"/>
        </w:rPr>
        <w:t xml:space="preserve">ommission du </w:t>
      </w:r>
      <w:r w:rsidRPr="000C479E">
        <w:rPr>
          <w:i/>
          <w:lang w:val="fr-FR"/>
        </w:rPr>
        <w:t>D</w:t>
      </w:r>
      <w:r>
        <w:rPr>
          <w:i/>
          <w:lang w:val="fr-FR"/>
        </w:rPr>
        <w:t xml:space="preserve">roit </w:t>
      </w:r>
      <w:r w:rsidRPr="000C479E">
        <w:rPr>
          <w:i/>
          <w:lang w:val="fr-FR"/>
        </w:rPr>
        <w:t>I</w:t>
      </w:r>
      <w:r>
        <w:rPr>
          <w:i/>
          <w:lang w:val="fr-FR"/>
        </w:rPr>
        <w:t>nternational</w:t>
      </w:r>
      <w:r>
        <w:rPr>
          <w:lang w:val="fr-FR"/>
        </w:rPr>
        <w:t xml:space="preserve">, 1981, vol. </w:t>
      </w:r>
      <w:r w:rsidRPr="00612C77">
        <w:rPr>
          <w:lang w:val="en-US"/>
        </w:rPr>
        <w:t>II, première partie, p. 74.</w:t>
      </w:r>
    </w:p>
  </w:footnote>
  <w:footnote w:id="340">
    <w:p w:rsidR="003D54BB" w:rsidRPr="00612C77" w:rsidRDefault="003D54BB" w:rsidP="00333C13">
      <w:pPr>
        <w:pStyle w:val="Testonotaapidipagina"/>
        <w:rPr>
          <w:lang w:val="en-US"/>
        </w:rPr>
      </w:pPr>
      <w:r>
        <w:rPr>
          <w:rStyle w:val="Rimandonotaapidipagina"/>
        </w:rPr>
        <w:footnoteRef/>
      </w:r>
      <w:r w:rsidRPr="00612C77">
        <w:rPr>
          <w:lang w:val="en-US"/>
        </w:rPr>
        <w:t xml:space="preserve"> </w:t>
      </w:r>
      <w:r w:rsidRPr="00612C77">
        <w:rPr>
          <w:i/>
          <w:lang w:val="en-US"/>
        </w:rPr>
        <w:t>Ibid.,</w:t>
      </w:r>
      <w:r w:rsidRPr="00612C77">
        <w:rPr>
          <w:lang w:val="en-US"/>
        </w:rPr>
        <w:t xml:space="preserve"> p. 77, par. 3.</w:t>
      </w:r>
    </w:p>
  </w:footnote>
  <w:footnote w:id="341">
    <w:p w:rsidR="003D54BB" w:rsidRPr="00612C77" w:rsidRDefault="003D54BB" w:rsidP="00F90441">
      <w:pPr>
        <w:pStyle w:val="Testonotaapidipagina"/>
        <w:jc w:val="both"/>
        <w:rPr>
          <w:lang w:val="en-US"/>
        </w:rPr>
      </w:pPr>
      <w:r>
        <w:rPr>
          <w:rStyle w:val="Rimandonotaapidipagina"/>
        </w:rPr>
        <w:footnoteRef/>
      </w:r>
      <w:r w:rsidRPr="008E1D85">
        <w:rPr>
          <w:lang w:val="en-US"/>
        </w:rPr>
        <w:t xml:space="preserve"> CRAWFORD, </w:t>
      </w:r>
      <w:r w:rsidRPr="008E1D85">
        <w:rPr>
          <w:i/>
          <w:lang w:val="en-US"/>
        </w:rPr>
        <w:t>First Report on State Responsibility</w:t>
      </w:r>
      <w:r>
        <w:rPr>
          <w:lang w:val="en-US"/>
        </w:rPr>
        <w:t xml:space="preserve">, in </w:t>
      </w:r>
      <w:r w:rsidRPr="008E1D85">
        <w:rPr>
          <w:i/>
          <w:lang w:val="en-US"/>
        </w:rPr>
        <w:t>Yearbook of the International Law Commission</w:t>
      </w:r>
      <w:r>
        <w:rPr>
          <w:lang w:val="en-US"/>
        </w:rPr>
        <w:t xml:space="preserve">, 1998, vol. </w:t>
      </w:r>
      <w:r w:rsidRPr="00612C77">
        <w:rPr>
          <w:lang w:val="en-US"/>
        </w:rPr>
        <w:t>II, p. 35, par. 163.</w:t>
      </w:r>
    </w:p>
  </w:footnote>
  <w:footnote w:id="342">
    <w:p w:rsidR="003D54BB" w:rsidRPr="0003302F" w:rsidRDefault="003D54BB" w:rsidP="00F90441">
      <w:pPr>
        <w:pStyle w:val="Testonotaapidipagina"/>
        <w:jc w:val="both"/>
      </w:pPr>
      <w:r>
        <w:rPr>
          <w:rStyle w:val="Rimandonotaapidipagina"/>
        </w:rPr>
        <w:footnoteRef/>
      </w:r>
      <w:r w:rsidRPr="0003302F">
        <w:rPr>
          <w:lang w:val="en-US"/>
        </w:rPr>
        <w:t xml:space="preserve"> </w:t>
      </w:r>
      <w:r>
        <w:rPr>
          <w:lang w:val="en-US"/>
        </w:rPr>
        <w:t xml:space="preserve">Secondo il Regno Unito </w:t>
      </w:r>
      <w:r w:rsidRPr="0003302F">
        <w:rPr>
          <w:lang w:val="en-US"/>
        </w:rPr>
        <w:t>“</w:t>
      </w:r>
      <w:r>
        <w:rPr>
          <w:lang w:val="en-US"/>
        </w:rPr>
        <w:t>If the [municipal]</w:t>
      </w:r>
      <w:r w:rsidRPr="0003302F">
        <w:rPr>
          <w:lang w:val="en-US"/>
        </w:rPr>
        <w:t xml:space="preserve"> law itself desi</w:t>
      </w:r>
      <w:r>
        <w:rPr>
          <w:lang w:val="en-US"/>
        </w:rPr>
        <w:t xml:space="preserve">gnates the organ as an organ of </w:t>
      </w:r>
      <w:r w:rsidRPr="0003302F">
        <w:rPr>
          <w:lang w:val="en-US"/>
        </w:rPr>
        <w:t>t</w:t>
      </w:r>
      <w:r>
        <w:rPr>
          <w:lang w:val="en-US"/>
        </w:rPr>
        <w:t xml:space="preserve">he State, it may be appropriate </w:t>
      </w:r>
      <w:r w:rsidRPr="0003302F">
        <w:rPr>
          <w:lang w:val="en-US"/>
        </w:rPr>
        <w:t xml:space="preserve">for international law to adopt a similar position. If, however, the municipal law of a State does not treat an organ as part of the State, it does </w:t>
      </w:r>
      <w:r>
        <w:rPr>
          <w:lang w:val="en-US"/>
        </w:rPr>
        <w:t xml:space="preserve">not necessarily follow that the </w:t>
      </w:r>
      <w:r w:rsidRPr="0003302F">
        <w:rPr>
          <w:lang w:val="en-US"/>
        </w:rPr>
        <w:t>organ’s acts are not attributable to the State</w:t>
      </w:r>
      <w:r>
        <w:rPr>
          <w:lang w:val="en-US"/>
        </w:rPr>
        <w:t xml:space="preserve">. The municipal law cannot have </w:t>
      </w:r>
      <w:r w:rsidRPr="0003302F">
        <w:rPr>
          <w:lang w:val="en-US"/>
        </w:rPr>
        <w:t>determinative effect in this context: attribution is</w:t>
      </w:r>
      <w:r>
        <w:rPr>
          <w:lang w:val="en-US"/>
        </w:rPr>
        <w:t xml:space="preserve"> a matter for international law</w:t>
      </w:r>
      <w:r w:rsidRPr="0003302F">
        <w:rPr>
          <w:lang w:val="en-US"/>
        </w:rPr>
        <w:t>”</w:t>
      </w:r>
      <w:r>
        <w:rPr>
          <w:lang w:val="en-US"/>
        </w:rPr>
        <w:t xml:space="preserve">. </w:t>
      </w:r>
      <w:r w:rsidRPr="00253730">
        <w:t xml:space="preserve">Tale tesi è stata sostenuta anche dagli Stati Uniti. Cfr. </w:t>
      </w:r>
      <w:r w:rsidRPr="00253730">
        <w:rPr>
          <w:i/>
        </w:rPr>
        <w:t>Comments and Observations</w:t>
      </w:r>
      <w:r w:rsidRPr="00253730">
        <w:t xml:space="preserve">, in </w:t>
      </w:r>
      <w:r w:rsidRPr="00253730">
        <w:rPr>
          <w:i/>
        </w:rPr>
        <w:t>Yearbook of the International Law Commission</w:t>
      </w:r>
      <w:r w:rsidRPr="00253730">
        <w:t xml:space="preserve">, 1998, vol. </w:t>
      </w:r>
      <w:r w:rsidRPr="00671618">
        <w:t>II, p.</w:t>
      </w:r>
      <w:r>
        <w:t xml:space="preserve"> 106.</w:t>
      </w:r>
    </w:p>
  </w:footnote>
  <w:footnote w:id="343">
    <w:p w:rsidR="003D54BB" w:rsidRDefault="003D54BB" w:rsidP="00F90441">
      <w:pPr>
        <w:pStyle w:val="Testonotaapidipagina"/>
        <w:jc w:val="both"/>
      </w:pPr>
      <w:r>
        <w:rPr>
          <w:rStyle w:val="Rimandonotaapidipagina"/>
        </w:rPr>
        <w:footnoteRef/>
      </w:r>
      <w:r>
        <w:t xml:space="preserve"> Tali argomenti addotti dal relatore per giustificare l’abbandono del riferimento esclusivo al diritto interno sono stati criticati in dottrina. Per quanto concerne il peso che la prassi ha in numerosi ordinamenti nell’individuazione della qualità di organo, è ad esempio stato notato che l’art. 5 del progetto adottato in prima lettura già comprendeva in realtà un riferimento ad eventuali prassi costitutive o modificative di regole giuridiche. Con riferimento invece al secondo, è stato sottolineato che risulta irrilevante dal punto di vista del diritto internazionale l’uso di un particolare termine nell’ordinamento interno in quanto ciò che realmente conta è la possibilità di ricavare da esso delle indicazioni in grado di attestare l’esistenza di un legame sufficientemente stretto. Per tali considerazioni, si veda PALCHETTI, </w:t>
      </w:r>
      <w:r w:rsidRPr="008E1D85">
        <w:rPr>
          <w:i/>
        </w:rPr>
        <w:t>op. cit</w:t>
      </w:r>
      <w:r>
        <w:t>., pp. 31-32.</w:t>
      </w:r>
    </w:p>
  </w:footnote>
  <w:footnote w:id="344">
    <w:p w:rsidR="003D54BB" w:rsidRPr="008B503F" w:rsidRDefault="003D54BB" w:rsidP="00F90441">
      <w:pPr>
        <w:pStyle w:val="Testonotaapidipagina"/>
        <w:jc w:val="both"/>
        <w:rPr>
          <w:lang w:val="en-US"/>
        </w:rPr>
      </w:pPr>
      <w:r>
        <w:rPr>
          <w:rStyle w:val="Rimandonotaapidipagina"/>
        </w:rPr>
        <w:footnoteRef/>
      </w:r>
      <w:r>
        <w:t xml:space="preserve"> Particolare preoccupazione circa la possibilità per gli Stati di sottrarsi alla propria responsabilità internazionale è stata mostrata a tal riguardo anche da parte di alcuni membri della Commissione durante il dibattito sul progetto di articoli. </w:t>
      </w:r>
      <w:r w:rsidRPr="00F03DDB">
        <w:rPr>
          <w:lang w:val="en-US"/>
        </w:rPr>
        <w:t xml:space="preserve">Secondo Simma, ad esempio, </w:t>
      </w:r>
      <w:r w:rsidRPr="002475B6">
        <w:rPr>
          <w:lang w:val="en-US"/>
        </w:rPr>
        <w:t>“…considerations of legal certainty came into play and tended to limit the scope of general references to internal law”.</w:t>
      </w:r>
      <w:r>
        <w:rPr>
          <w:lang w:val="en-US"/>
        </w:rPr>
        <w:t xml:space="preserve"> </w:t>
      </w:r>
      <w:r w:rsidRPr="004501DA">
        <w:rPr>
          <w:lang w:val="en-US"/>
        </w:rPr>
        <w:t xml:space="preserve">In </w:t>
      </w:r>
      <w:r w:rsidRPr="004501DA">
        <w:rPr>
          <w:i/>
          <w:lang w:val="en-US"/>
        </w:rPr>
        <w:t>Yearbook of the International Law Commission</w:t>
      </w:r>
      <w:r w:rsidRPr="004501DA">
        <w:rPr>
          <w:lang w:val="en-US"/>
        </w:rPr>
        <w:t xml:space="preserve">, 1998, vol. </w:t>
      </w:r>
      <w:r w:rsidRPr="00C711EA">
        <w:rPr>
          <w:lang w:val="en-US"/>
        </w:rPr>
        <w:t xml:space="preserve">I, p. 239. </w:t>
      </w:r>
      <w:r w:rsidRPr="008B503F">
        <w:rPr>
          <w:lang w:val="en-US"/>
        </w:rPr>
        <w:t>In quanto presidente del Comitato di redazione, sempre Simma, ha riconosciuto “</w:t>
      </w:r>
      <w:r w:rsidRPr="002475B6">
        <w:rPr>
          <w:lang w:val="en-US"/>
        </w:rPr>
        <w:t>the supplementary role of international law in situations in which internal law does not provide any classification or provides an incorrect classification of a person or an entity which in fact operates as a State organ within the organic structure of the State”</w:t>
      </w:r>
      <w:r w:rsidRPr="008B503F">
        <w:rPr>
          <w:lang w:val="en-US"/>
        </w:rPr>
        <w:t>.</w:t>
      </w:r>
      <w:r>
        <w:rPr>
          <w:lang w:val="en-US"/>
        </w:rPr>
        <w:t xml:space="preserve"> Cfr. </w:t>
      </w:r>
      <w:r w:rsidRPr="008B503F">
        <w:rPr>
          <w:i/>
          <w:lang w:val="en-US"/>
        </w:rPr>
        <w:t>Statement of the Chairman of the Drafting Committee</w:t>
      </w:r>
      <w:r>
        <w:rPr>
          <w:lang w:val="en-US"/>
        </w:rPr>
        <w:t>, p. 6.</w:t>
      </w:r>
    </w:p>
  </w:footnote>
  <w:footnote w:id="345">
    <w:p w:rsidR="003D54BB" w:rsidRPr="00142661" w:rsidRDefault="003D54BB" w:rsidP="00333C13">
      <w:pPr>
        <w:pStyle w:val="Testonotaapidipagina"/>
        <w:jc w:val="both"/>
        <w:rPr>
          <w:lang w:val="en-US"/>
        </w:rPr>
      </w:pPr>
      <w:r>
        <w:rPr>
          <w:rStyle w:val="Rimandonotaapidipagina"/>
        </w:rPr>
        <w:footnoteRef/>
      </w:r>
      <w:r w:rsidRPr="00142661">
        <w:rPr>
          <w:lang w:val="en-US"/>
        </w:rPr>
        <w:t xml:space="preserve"> In </w:t>
      </w:r>
      <w:r w:rsidRPr="00142661">
        <w:rPr>
          <w:i/>
          <w:lang w:val="en-US"/>
        </w:rPr>
        <w:t>Yearbook of the International Law Commission</w:t>
      </w:r>
      <w:r w:rsidRPr="00142661">
        <w:rPr>
          <w:lang w:val="en-US"/>
        </w:rPr>
        <w:t xml:space="preserve">, </w:t>
      </w:r>
      <w:r>
        <w:rPr>
          <w:lang w:val="en-US"/>
        </w:rPr>
        <w:t xml:space="preserve">2001, </w:t>
      </w:r>
      <w:r w:rsidRPr="00142661">
        <w:rPr>
          <w:lang w:val="en-US"/>
        </w:rPr>
        <w:t>p. 39, par. 6.</w:t>
      </w:r>
    </w:p>
  </w:footnote>
  <w:footnote w:id="346">
    <w:p w:rsidR="003D54BB" w:rsidRPr="00790E1B" w:rsidRDefault="003D54BB" w:rsidP="00333C13">
      <w:pPr>
        <w:pStyle w:val="Testonotaapidipagina"/>
        <w:jc w:val="both"/>
        <w:rPr>
          <w:lang w:val="en-US"/>
        </w:rPr>
      </w:pPr>
      <w:r>
        <w:rPr>
          <w:rStyle w:val="Rimandonotaapidipagina"/>
        </w:rPr>
        <w:footnoteRef/>
      </w:r>
      <w:r w:rsidRPr="00826C02">
        <w:rPr>
          <w:lang w:val="en-US"/>
        </w:rPr>
        <w:t xml:space="preserve"> Nel chiarire l’ambito di applicazione del criterio dell’organo, il commentario all’art. 4 precisa che “</w:t>
      </w:r>
      <w:r w:rsidRPr="00BA45BF">
        <w:rPr>
          <w:lang w:val="en-US"/>
        </w:rPr>
        <w:t>certain acts of individuals or entities which do not have the status of organs of the State may be attributed to the State in international law, and these cases are dealt with in later articles of this chapter”.</w:t>
      </w:r>
      <w:r>
        <w:rPr>
          <w:lang w:val="en-US"/>
        </w:rPr>
        <w:t xml:space="preserve"> </w:t>
      </w:r>
      <w:r w:rsidRPr="00790E1B">
        <w:rPr>
          <w:lang w:val="en-US"/>
        </w:rPr>
        <w:t xml:space="preserve">In </w:t>
      </w:r>
      <w:r w:rsidRPr="00790E1B">
        <w:rPr>
          <w:i/>
          <w:lang w:val="en-US"/>
        </w:rPr>
        <w:t>Ibid</w:t>
      </w:r>
      <w:r w:rsidRPr="00790E1B">
        <w:rPr>
          <w:lang w:val="en-US"/>
        </w:rPr>
        <w:t>., p. 40, par. 2.</w:t>
      </w:r>
    </w:p>
  </w:footnote>
  <w:footnote w:id="347">
    <w:p w:rsidR="003D54BB" w:rsidRPr="00B02B51" w:rsidRDefault="003D54BB" w:rsidP="00333C13">
      <w:pPr>
        <w:pStyle w:val="Testonotaapidipagina"/>
        <w:jc w:val="both"/>
        <w:rPr>
          <w:lang w:val="en-US"/>
        </w:rPr>
      </w:pPr>
      <w:r>
        <w:rPr>
          <w:rStyle w:val="Rimandonotaapidipagina"/>
        </w:rPr>
        <w:footnoteRef/>
      </w:r>
      <w:r w:rsidRPr="00541177">
        <w:rPr>
          <w:lang w:val="en-US"/>
        </w:rPr>
        <w:t xml:space="preserve"> Nel corso del dibattito in seno alla Commissione, il relatore speciale Crawford ha</w:t>
      </w:r>
      <w:r>
        <w:rPr>
          <w:lang w:val="en-US"/>
        </w:rPr>
        <w:t xml:space="preserve"> osservato</w:t>
      </w:r>
      <w:r w:rsidRPr="00307E31">
        <w:rPr>
          <w:lang w:val="en-US"/>
        </w:rPr>
        <w:t>: “Many factors must be taken into consideration in that connection, including the structure of the organ, its responsibility vis-à-vis the central Government, and whether its employees had the status of public servants. It would also be necessary to examine what the courts had decided in the similar context of State immunity, where distinction had had to be made between the State and its various entities”.</w:t>
      </w:r>
      <w:r>
        <w:rPr>
          <w:lang w:val="en-US"/>
        </w:rPr>
        <w:t xml:space="preserve"> </w:t>
      </w:r>
      <w:r w:rsidRPr="00B02B51">
        <w:rPr>
          <w:lang w:val="en-US"/>
        </w:rPr>
        <w:t xml:space="preserve">In </w:t>
      </w:r>
      <w:r w:rsidRPr="00B02B51">
        <w:rPr>
          <w:i/>
          <w:lang w:val="en-US"/>
        </w:rPr>
        <w:t>Yearbook of the International Law Commission</w:t>
      </w:r>
      <w:r w:rsidRPr="00B02B51">
        <w:rPr>
          <w:lang w:val="en-US"/>
        </w:rPr>
        <w:t>, 1998, vol. I, p. 244.</w:t>
      </w:r>
    </w:p>
  </w:footnote>
  <w:footnote w:id="348">
    <w:p w:rsidR="003D54BB" w:rsidRPr="008F3AA4" w:rsidRDefault="003D54BB" w:rsidP="00333C13">
      <w:pPr>
        <w:pStyle w:val="Testonotaapidipagina"/>
      </w:pPr>
      <w:r>
        <w:rPr>
          <w:rStyle w:val="Rimandonotaapidipagina"/>
        </w:rPr>
        <w:footnoteRef/>
      </w:r>
      <w:r w:rsidRPr="00E450F5">
        <w:rPr>
          <w:lang w:val="en-US"/>
        </w:rPr>
        <w:t xml:space="preserve"> “</w:t>
      </w:r>
      <w:r w:rsidRPr="00307E31">
        <w:rPr>
          <w:lang w:val="en-US"/>
        </w:rPr>
        <w:t>In determining what constitutes an organ of a State for the purposes of responsibility, the internal law and practices of each State are of prime importance […]. But while the State remains free to determine its internal structure and functions through its own law and practice, international law has a distinct role”.</w:t>
      </w:r>
      <w:r>
        <w:rPr>
          <w:lang w:val="en-US"/>
        </w:rPr>
        <w:t xml:space="preserve"> </w:t>
      </w:r>
      <w:r w:rsidRPr="008F3AA4">
        <w:t xml:space="preserve">In </w:t>
      </w:r>
      <w:r w:rsidRPr="00AE01E6">
        <w:rPr>
          <w:i/>
        </w:rPr>
        <w:t>Yearbook of the International Law Commission</w:t>
      </w:r>
      <w:r>
        <w:t>, 2001, p. 39, par. 6.</w:t>
      </w:r>
    </w:p>
  </w:footnote>
  <w:footnote w:id="349">
    <w:p w:rsidR="003D54BB" w:rsidRPr="00790E1B" w:rsidRDefault="003D54BB" w:rsidP="00333C13">
      <w:pPr>
        <w:pStyle w:val="Testonotaapidipagina"/>
        <w:jc w:val="both"/>
        <w:rPr>
          <w:lang w:val="en-US"/>
        </w:rPr>
      </w:pPr>
      <w:r>
        <w:rPr>
          <w:rStyle w:val="Rimandonotaapidipagina"/>
        </w:rPr>
        <w:footnoteRef/>
      </w:r>
      <w:r>
        <w:t xml:space="preserve"> Secondo il relatore, ad esempio, sembrava difficile poter sostenere che un funzionario doganale che commetteva un illecito </w:t>
      </w:r>
      <w:r w:rsidRPr="00286D0F">
        <w:rPr>
          <w:i/>
        </w:rPr>
        <w:t>ultra vires</w:t>
      </w:r>
      <w:r>
        <w:t xml:space="preserve"> agendo in maniera stravagante e per fini privati, mentre era in servizio e facendo uso dei mezzi messi a disposizione, avesse realmente agito nella sua qualità ufficiale. L’attribuzione di tale fatto illecito poteva avvenire sulla base del fatto che l’organo, esternamente, appariva comunque agire nella sua qualità ufficiale.</w:t>
      </w:r>
      <w:r w:rsidRPr="00621F7D">
        <w:t xml:space="preserve"> </w:t>
      </w:r>
      <w:r w:rsidRPr="00790E1B">
        <w:rPr>
          <w:lang w:val="en-US"/>
        </w:rPr>
        <w:t xml:space="preserve">CRAWFORD, </w:t>
      </w:r>
      <w:r w:rsidRPr="00790E1B">
        <w:rPr>
          <w:i/>
          <w:lang w:val="en-US"/>
        </w:rPr>
        <w:t xml:space="preserve">First Report, </w:t>
      </w:r>
      <w:r w:rsidRPr="00790E1B">
        <w:rPr>
          <w:lang w:val="en-US"/>
        </w:rPr>
        <w:t>cit., p. 32, par. 243.</w:t>
      </w:r>
    </w:p>
  </w:footnote>
  <w:footnote w:id="350">
    <w:p w:rsidR="003D54BB" w:rsidRPr="00161ACA" w:rsidRDefault="003D54BB" w:rsidP="00161ACA">
      <w:pPr>
        <w:pStyle w:val="Testonotaapidipagina"/>
        <w:jc w:val="both"/>
        <w:rPr>
          <w:lang w:val="en-US"/>
        </w:rPr>
      </w:pPr>
      <w:r>
        <w:rPr>
          <w:rStyle w:val="Rimandonotaapidipagina"/>
        </w:rPr>
        <w:footnoteRef/>
      </w:r>
      <w:r w:rsidRPr="00161ACA">
        <w:rPr>
          <w:lang w:val="en-US"/>
        </w:rPr>
        <w:t xml:space="preserve"> </w:t>
      </w:r>
      <w:r w:rsidRPr="00161ACA">
        <w:rPr>
          <w:i/>
          <w:lang w:val="en-US"/>
        </w:rPr>
        <w:t>Draft articles on Responsibility of States for Internationally Wrongful Acts with commentaries</w:t>
      </w:r>
      <w:r>
        <w:rPr>
          <w:i/>
          <w:lang w:val="en-US"/>
        </w:rPr>
        <w:t xml:space="preserve">, </w:t>
      </w:r>
      <w:r w:rsidRPr="00161ACA">
        <w:rPr>
          <w:i/>
          <w:lang w:val="en-US"/>
        </w:rPr>
        <w:t>Yearbook of the International Law Commission</w:t>
      </w:r>
      <w:r w:rsidRPr="00161ACA">
        <w:rPr>
          <w:lang w:val="en-US"/>
        </w:rPr>
        <w:t xml:space="preserve">, 2001, vol. </w:t>
      </w:r>
      <w:r w:rsidRPr="00790E1B">
        <w:rPr>
          <w:lang w:val="en-US"/>
        </w:rPr>
        <w:t>II, p. 47.</w:t>
      </w:r>
    </w:p>
  </w:footnote>
  <w:footnote w:id="351">
    <w:p w:rsidR="003D54BB" w:rsidRPr="00790E1B" w:rsidRDefault="003D54BB" w:rsidP="00161ACA">
      <w:pPr>
        <w:autoSpaceDE w:val="0"/>
        <w:autoSpaceDN w:val="0"/>
        <w:adjustRightInd w:val="0"/>
        <w:spacing w:after="0" w:line="240" w:lineRule="auto"/>
        <w:jc w:val="both"/>
        <w:rPr>
          <w:sz w:val="20"/>
          <w:szCs w:val="20"/>
        </w:rPr>
      </w:pPr>
      <w:r>
        <w:rPr>
          <w:rStyle w:val="Rimandonotaapidipagina"/>
        </w:rPr>
        <w:footnoteRef/>
      </w:r>
      <w:r w:rsidRPr="00161ACA">
        <w:rPr>
          <w:lang w:val="en-US"/>
        </w:rPr>
        <w:t xml:space="preserve"> “</w:t>
      </w:r>
      <w:r w:rsidRPr="006809DB">
        <w:rPr>
          <w:sz w:val="20"/>
          <w:szCs w:val="20"/>
          <w:lang w:val="en-US"/>
        </w:rPr>
        <w:t>It is, however, proposed that the concluding phrase in article 10 be amended to read “even if, in the particular case, the organ or entity exceeded its author</w:t>
      </w:r>
      <w:r>
        <w:rPr>
          <w:sz w:val="20"/>
          <w:szCs w:val="20"/>
          <w:lang w:val="en-US"/>
        </w:rPr>
        <w:t xml:space="preserve">ity or contravened instructions concerning its </w:t>
      </w:r>
      <w:r w:rsidRPr="006809DB">
        <w:rPr>
          <w:sz w:val="20"/>
          <w:szCs w:val="20"/>
          <w:lang w:val="en-US"/>
        </w:rPr>
        <w:t>exercise”. This is clearer, as well as consistent with the proposal already made</w:t>
      </w:r>
      <w:r>
        <w:rPr>
          <w:sz w:val="20"/>
          <w:szCs w:val="20"/>
          <w:lang w:val="en-US"/>
        </w:rPr>
        <w:t xml:space="preserve"> </w:t>
      </w:r>
      <w:r w:rsidRPr="006809DB">
        <w:rPr>
          <w:sz w:val="20"/>
          <w:szCs w:val="20"/>
          <w:lang w:val="en-US"/>
        </w:rPr>
        <w:t>to delete the reference to internal law in article 5</w:t>
      </w:r>
      <w:r w:rsidRPr="006809DB">
        <w:rPr>
          <w:lang w:val="en-US"/>
        </w:rPr>
        <w:t>”</w:t>
      </w:r>
      <w:r w:rsidRPr="006809DB">
        <w:rPr>
          <w:rFonts w:ascii="Times New Roman" w:hAnsi="Times New Roman" w:cs="Times New Roman"/>
          <w:sz w:val="20"/>
          <w:szCs w:val="20"/>
          <w:lang w:val="en-US"/>
        </w:rPr>
        <w:t xml:space="preserve">. </w:t>
      </w:r>
      <w:r w:rsidRPr="00790E1B">
        <w:t xml:space="preserve">CRAWFORD, </w:t>
      </w:r>
      <w:r w:rsidRPr="00790E1B">
        <w:rPr>
          <w:i/>
        </w:rPr>
        <w:t>First Report</w:t>
      </w:r>
      <w:r w:rsidRPr="00790E1B">
        <w:t xml:space="preserve">, cit., p. 33, par. 243. </w:t>
      </w:r>
    </w:p>
  </w:footnote>
  <w:footnote w:id="352">
    <w:p w:rsidR="003D54BB" w:rsidRPr="00790E1B" w:rsidRDefault="003D54BB" w:rsidP="008545FC">
      <w:pPr>
        <w:pStyle w:val="Testonotaapidipagina"/>
      </w:pPr>
      <w:r>
        <w:rPr>
          <w:rStyle w:val="Rimandonotaapidipagina"/>
        </w:rPr>
        <w:footnoteRef/>
      </w:r>
      <w:r w:rsidRPr="00790E1B">
        <w:t xml:space="preserve"> Vedi </w:t>
      </w:r>
      <w:r w:rsidRPr="00790E1B">
        <w:rPr>
          <w:i/>
        </w:rPr>
        <w:t>supra</w:t>
      </w:r>
      <w:r>
        <w:t>, p. 112</w:t>
      </w:r>
      <w:r w:rsidRPr="00790E1B">
        <w:t>.</w:t>
      </w:r>
    </w:p>
  </w:footnote>
  <w:footnote w:id="353">
    <w:p w:rsidR="003D54BB" w:rsidRDefault="003D54BB">
      <w:pPr>
        <w:pStyle w:val="Testonotaapidipagina"/>
      </w:pPr>
      <w:r>
        <w:rPr>
          <w:rStyle w:val="Rimandonotaapidipagina"/>
        </w:rPr>
        <w:footnoteRef/>
      </w:r>
      <w:r>
        <w:t xml:space="preserve"> Vedi </w:t>
      </w:r>
      <w:r w:rsidRPr="008545FC">
        <w:rPr>
          <w:i/>
        </w:rPr>
        <w:t>supra</w:t>
      </w:r>
      <w:r>
        <w:t>, p. 129 ss.</w:t>
      </w:r>
    </w:p>
  </w:footnote>
  <w:footnote w:id="354">
    <w:p w:rsidR="003D54BB" w:rsidRPr="004509AD" w:rsidRDefault="003D54BB" w:rsidP="00CB1815">
      <w:pPr>
        <w:spacing w:after="0" w:line="360" w:lineRule="auto"/>
        <w:ind w:firstLine="284"/>
        <w:jc w:val="both"/>
        <w:rPr>
          <w:lang w:val="en-US"/>
        </w:rPr>
      </w:pPr>
      <w:r>
        <w:rPr>
          <w:rStyle w:val="Rimandonotaapidipagina"/>
        </w:rPr>
        <w:footnoteRef/>
      </w:r>
      <w:r w:rsidRPr="004509AD">
        <w:rPr>
          <w:lang w:val="en-US"/>
        </w:rPr>
        <w:t xml:space="preserve"> Vedi </w:t>
      </w:r>
      <w:r w:rsidRPr="004509AD">
        <w:rPr>
          <w:i/>
          <w:lang w:val="en-US"/>
        </w:rPr>
        <w:t>infra</w:t>
      </w:r>
      <w:r w:rsidRPr="004509AD">
        <w:rPr>
          <w:lang w:val="en-US"/>
        </w:rPr>
        <w:t>, p. 145 ss.</w:t>
      </w:r>
    </w:p>
    <w:p w:rsidR="003D54BB" w:rsidRPr="004509AD" w:rsidRDefault="003D54BB">
      <w:pPr>
        <w:pStyle w:val="Testonotaapidipagina"/>
        <w:rPr>
          <w:lang w:val="en-US"/>
        </w:rPr>
      </w:pPr>
    </w:p>
  </w:footnote>
  <w:footnote w:id="355">
    <w:p w:rsidR="003D54BB" w:rsidRPr="004509AD" w:rsidRDefault="003D54BB" w:rsidP="00E13E79">
      <w:pPr>
        <w:pStyle w:val="Testonotaapidipagina"/>
        <w:rPr>
          <w:lang w:val="en-US"/>
        </w:rPr>
      </w:pPr>
      <w:r>
        <w:rPr>
          <w:rStyle w:val="Rimandonotaapidipagina"/>
        </w:rPr>
        <w:footnoteRef/>
      </w:r>
      <w:r w:rsidRPr="004509AD">
        <w:rPr>
          <w:lang w:val="en-US"/>
        </w:rPr>
        <w:t xml:space="preserve"> </w:t>
      </w:r>
      <w:r w:rsidRPr="004509AD">
        <w:rPr>
          <w:i/>
          <w:lang w:val="en-US"/>
        </w:rPr>
        <w:t>American Journal of International Law</w:t>
      </w:r>
      <w:r w:rsidRPr="004509AD">
        <w:rPr>
          <w:lang w:val="en-US"/>
        </w:rPr>
        <w:t>, vol. 83,1989, p. 339.</w:t>
      </w:r>
    </w:p>
  </w:footnote>
  <w:footnote w:id="356">
    <w:p w:rsidR="003D54BB" w:rsidRPr="003B53AB" w:rsidRDefault="003D54BB" w:rsidP="00E13E79">
      <w:pPr>
        <w:pStyle w:val="Testonotaapidipagina"/>
        <w:rPr>
          <w:lang w:val="en-US"/>
        </w:rPr>
      </w:pPr>
      <w:r>
        <w:rPr>
          <w:rStyle w:val="Rimandonotaapidipagina"/>
        </w:rPr>
        <w:footnoteRef/>
      </w:r>
      <w:r w:rsidRPr="004509AD">
        <w:rPr>
          <w:lang w:val="en-US"/>
        </w:rPr>
        <w:t xml:space="preserve"> ICAO Doc. 907</w:t>
      </w:r>
      <w:r w:rsidRPr="003B53AB">
        <w:rPr>
          <w:lang w:val="en-US"/>
        </w:rPr>
        <w:t>3 – C/1011.</w:t>
      </w:r>
    </w:p>
  </w:footnote>
  <w:footnote w:id="357">
    <w:p w:rsidR="003D54BB" w:rsidRPr="00F92426" w:rsidRDefault="003D54BB" w:rsidP="000A75D4">
      <w:pPr>
        <w:pStyle w:val="Testonotaapidipagina"/>
        <w:jc w:val="both"/>
        <w:rPr>
          <w:lang w:val="en-US"/>
        </w:rPr>
      </w:pPr>
      <w:r>
        <w:rPr>
          <w:rStyle w:val="Rimandonotaapidipagina"/>
        </w:rPr>
        <w:footnoteRef/>
      </w:r>
      <w:r>
        <w:rPr>
          <w:lang w:val="en-US"/>
        </w:rPr>
        <w:t xml:space="preserve"> </w:t>
      </w:r>
      <w:r>
        <w:rPr>
          <w:i/>
          <w:lang w:val="en-US"/>
        </w:rPr>
        <w:t>American Journal of International Law</w:t>
      </w:r>
      <w:r>
        <w:rPr>
          <w:lang w:val="en-US"/>
        </w:rPr>
        <w:t>, vol. 83, 1989, pp. 340–341.</w:t>
      </w:r>
    </w:p>
  </w:footnote>
  <w:footnote w:id="358">
    <w:p w:rsidR="003D54BB" w:rsidRPr="00B31828" w:rsidRDefault="003D54BB" w:rsidP="000A75D4">
      <w:pPr>
        <w:pStyle w:val="Testonotaapidipagina"/>
        <w:jc w:val="both"/>
        <w:rPr>
          <w:lang w:val="en-US"/>
        </w:rPr>
      </w:pPr>
      <w:r>
        <w:rPr>
          <w:rStyle w:val="Rimandonotaapidipagina"/>
        </w:rPr>
        <w:footnoteRef/>
      </w:r>
      <w:r w:rsidRPr="00B31828">
        <w:rPr>
          <w:lang w:val="en-US"/>
        </w:rPr>
        <w:t xml:space="preserve"> UN Doc. S/PV.2474 (1983).</w:t>
      </w:r>
    </w:p>
  </w:footnote>
  <w:footnote w:id="359">
    <w:p w:rsidR="003D54BB" w:rsidRDefault="003D54BB" w:rsidP="000A75D4">
      <w:pPr>
        <w:pStyle w:val="Testonotaapidipagina"/>
        <w:jc w:val="both"/>
      </w:pPr>
      <w:r>
        <w:rPr>
          <w:rStyle w:val="Rimandonotaapidipagina"/>
        </w:rPr>
        <w:footnoteRef/>
      </w:r>
      <w:r w:rsidRPr="00444628">
        <w:rPr>
          <w:lang w:val="en-US"/>
        </w:rPr>
        <w:t xml:space="preserve"> “I’m certain that you all know</w:t>
      </w:r>
      <w:r>
        <w:rPr>
          <w:lang w:val="en-US"/>
        </w:rPr>
        <w:t xml:space="preserve"> that the Soviet Union’s Govern</w:t>
      </w:r>
      <w:r w:rsidRPr="00444628">
        <w:rPr>
          <w:lang w:val="en-US"/>
        </w:rPr>
        <w:t>ment has expressed his grief about the death of in</w:t>
      </w:r>
      <w:r>
        <w:rPr>
          <w:lang w:val="en-US"/>
        </w:rPr>
        <w:t>n</w:t>
      </w:r>
      <w:r w:rsidRPr="00444628">
        <w:rPr>
          <w:lang w:val="en-US"/>
        </w:rPr>
        <w:t xml:space="preserve">ocent people who were abroad the plane. </w:t>
      </w:r>
      <w:r>
        <w:rPr>
          <w:lang w:val="en-US"/>
        </w:rPr>
        <w:t xml:space="preserve">As far as responsibility and not only financial responsibility is concerned, that falls on those who sent them to their deaths”. </w:t>
      </w:r>
      <w:r>
        <w:t xml:space="preserve">Marshal Nikolai V. Ogarkov, conferenza stampa del 9 settembre 1983 riprodotta in </w:t>
      </w:r>
      <w:r w:rsidRPr="00037EBF">
        <w:rPr>
          <w:i/>
        </w:rPr>
        <w:t>N.Y. Times</w:t>
      </w:r>
      <w:r>
        <w:t>, 10 settembre 1983, p. 4, colonne 1–6.</w:t>
      </w:r>
    </w:p>
  </w:footnote>
  <w:footnote w:id="360">
    <w:p w:rsidR="003D54BB" w:rsidRDefault="003D54BB" w:rsidP="000A75D4">
      <w:pPr>
        <w:pStyle w:val="Testonotaapidipagina"/>
        <w:jc w:val="both"/>
        <w:rPr>
          <w:lang w:val="en-US"/>
        </w:rPr>
      </w:pPr>
      <w:r>
        <w:rPr>
          <w:rStyle w:val="Rimandonotaapidipagina"/>
        </w:rPr>
        <w:footnoteRef/>
      </w:r>
      <w:r>
        <w:rPr>
          <w:lang w:val="en-US"/>
        </w:rPr>
        <w:t xml:space="preserve"> </w:t>
      </w:r>
      <w:r>
        <w:rPr>
          <w:i/>
          <w:lang w:val="en-US"/>
        </w:rPr>
        <w:t>American Journal of International law</w:t>
      </w:r>
      <w:r>
        <w:rPr>
          <w:lang w:val="en-US"/>
        </w:rPr>
        <w:t>, vol. 83, 1989, p. 561 ss.</w:t>
      </w:r>
    </w:p>
  </w:footnote>
  <w:footnote w:id="361">
    <w:p w:rsidR="003D54BB" w:rsidRDefault="003D54BB" w:rsidP="000A75D4">
      <w:pPr>
        <w:pStyle w:val="Testonotaapidipagina"/>
        <w:jc w:val="both"/>
        <w:rPr>
          <w:u w:val="single"/>
          <w:lang w:val="en-US"/>
        </w:rPr>
      </w:pPr>
      <w:r>
        <w:rPr>
          <w:rStyle w:val="Rimandonotaapidipagina"/>
        </w:rPr>
        <w:footnoteRef/>
      </w:r>
      <w:r>
        <w:rPr>
          <w:lang w:val="en-US"/>
        </w:rPr>
        <w:t xml:space="preserve"> </w:t>
      </w:r>
      <w:r>
        <w:rPr>
          <w:i/>
          <w:lang w:val="en-US"/>
        </w:rPr>
        <w:t>Department of State</w:t>
      </w:r>
      <w:r>
        <w:rPr>
          <w:lang w:val="en-US"/>
        </w:rPr>
        <w:t xml:space="preserve">, </w:t>
      </w:r>
      <w:r>
        <w:rPr>
          <w:i/>
          <w:lang w:val="en-US"/>
        </w:rPr>
        <w:t>American Foreign Policy</w:t>
      </w:r>
      <w:r>
        <w:rPr>
          <w:lang w:val="en-US"/>
        </w:rPr>
        <w:t xml:space="preserve">: </w:t>
      </w:r>
      <w:r>
        <w:rPr>
          <w:i/>
          <w:lang w:val="en-US"/>
        </w:rPr>
        <w:t>current documents</w:t>
      </w:r>
      <w:r>
        <w:rPr>
          <w:lang w:val="en-US"/>
        </w:rPr>
        <w:t>, 1987, p. 422.</w:t>
      </w:r>
    </w:p>
  </w:footnote>
  <w:footnote w:id="362">
    <w:p w:rsidR="003D54BB" w:rsidRPr="000779F2" w:rsidRDefault="003D54BB" w:rsidP="00ED112C">
      <w:pPr>
        <w:pStyle w:val="Testonotaapidipagina"/>
        <w:jc w:val="both"/>
        <w:rPr>
          <w:lang w:val="en-US"/>
        </w:rPr>
      </w:pPr>
      <w:r>
        <w:rPr>
          <w:rStyle w:val="Rimandonotaapidipagina"/>
        </w:rPr>
        <w:footnoteRef/>
      </w:r>
      <w:r>
        <w:rPr>
          <w:lang w:val="en-US"/>
        </w:rPr>
        <w:t xml:space="preserve"> “The U.S.S STARK was attacked […] while […] engaged in peaceful activities in international waters. At the timeof the attack, the U.S.S. Stark was flying the American flag and its identification was clearly indicated in large white numerals on its hull. The U.S.S. Stark twice notified the Iraqi aircraft that it was approaching a U.S. warship [...].The United States Government expects that the Government of Iraq will accept its liability in accordance with international law and provide full compensation for the deaths, personal injuries, and the property damage sustained in this tragic event”. </w:t>
      </w:r>
      <w:r>
        <w:rPr>
          <w:i/>
          <w:lang w:val="en-US"/>
        </w:rPr>
        <w:t>American Journal of International law</w:t>
      </w:r>
      <w:r>
        <w:rPr>
          <w:lang w:val="en-US"/>
        </w:rPr>
        <w:t>, vol. 83, 1989, p. 562.</w:t>
      </w:r>
    </w:p>
  </w:footnote>
  <w:footnote w:id="363">
    <w:p w:rsidR="003D54BB" w:rsidRPr="00B31828" w:rsidRDefault="003D54BB" w:rsidP="00ED112C">
      <w:pPr>
        <w:spacing w:after="0" w:line="240" w:lineRule="auto"/>
        <w:jc w:val="both"/>
        <w:rPr>
          <w:lang w:val="fr-FR"/>
        </w:rPr>
      </w:pPr>
      <w:r>
        <w:rPr>
          <w:rStyle w:val="Rimandonotaapidipagina"/>
        </w:rPr>
        <w:footnoteRef/>
      </w:r>
      <w:r w:rsidRPr="00D464B7">
        <w:rPr>
          <w:lang w:val="en-US"/>
        </w:rPr>
        <w:t xml:space="preserve"> </w:t>
      </w:r>
      <w:r>
        <w:rPr>
          <w:lang w:val="en-US"/>
        </w:rPr>
        <w:t>“</w:t>
      </w:r>
      <w:r w:rsidRPr="00ED112C">
        <w:rPr>
          <w:sz w:val="20"/>
          <w:szCs w:val="20"/>
          <w:lang w:val="en-US"/>
        </w:rPr>
        <w:t>The Iraqi Government, respectful of the requirements of international law and concerned for the good relations with the United States of America and friendship between the Iraqi and the American peoples, agrees to give compensation for the unfortunate and unintentional accident w</w:t>
      </w:r>
      <w:r>
        <w:rPr>
          <w:sz w:val="20"/>
          <w:szCs w:val="20"/>
          <w:lang w:val="en-US"/>
        </w:rPr>
        <w:t>h</w:t>
      </w:r>
      <w:r w:rsidRPr="00ED112C">
        <w:rPr>
          <w:sz w:val="20"/>
          <w:szCs w:val="20"/>
          <w:lang w:val="en-US"/>
        </w:rPr>
        <w:t>ich occurred</w:t>
      </w:r>
      <w:r>
        <w:rPr>
          <w:lang w:val="en-US"/>
        </w:rPr>
        <w:t xml:space="preserve"> [ …]”. </w:t>
      </w:r>
      <w:r w:rsidRPr="00B31828">
        <w:rPr>
          <w:i/>
          <w:lang w:val="fr-FR"/>
        </w:rPr>
        <w:t>Ibid</w:t>
      </w:r>
      <w:r w:rsidRPr="00B31828">
        <w:rPr>
          <w:sz w:val="20"/>
          <w:szCs w:val="20"/>
          <w:lang w:val="fr-FR"/>
        </w:rPr>
        <w:t>., p. 563.</w:t>
      </w:r>
    </w:p>
  </w:footnote>
  <w:footnote w:id="364">
    <w:p w:rsidR="003D54BB" w:rsidRDefault="003D54BB" w:rsidP="00ED112C">
      <w:pPr>
        <w:pStyle w:val="Testonotaapidipagina"/>
        <w:jc w:val="both"/>
        <w:rPr>
          <w:lang w:val="fr-FR"/>
        </w:rPr>
      </w:pPr>
      <w:r>
        <w:rPr>
          <w:rStyle w:val="Rimandonotaapidipagina"/>
        </w:rPr>
        <w:footnoteRef/>
      </w:r>
      <w:r>
        <w:rPr>
          <w:lang w:val="fr-FR"/>
        </w:rPr>
        <w:t xml:space="preserve"> ROUSSEAU, </w:t>
      </w:r>
      <w:r>
        <w:rPr>
          <w:i/>
          <w:lang w:val="fr-FR"/>
        </w:rPr>
        <w:t>Chronique des faits internationaux</w:t>
      </w:r>
      <w:r>
        <w:rPr>
          <w:lang w:val="fr-FR"/>
        </w:rPr>
        <w:t xml:space="preserve">, </w:t>
      </w:r>
      <w:r>
        <w:rPr>
          <w:i/>
          <w:lang w:val="fr-FR"/>
        </w:rPr>
        <w:t>Revue générale de droit public</w:t>
      </w:r>
      <w:r>
        <w:rPr>
          <w:lang w:val="fr-FR"/>
        </w:rPr>
        <w:t>, 1972, pp. 1152–1153.</w:t>
      </w:r>
    </w:p>
  </w:footnote>
  <w:footnote w:id="365">
    <w:p w:rsidR="003D54BB" w:rsidRDefault="003D54BB" w:rsidP="00333C13">
      <w:pPr>
        <w:pStyle w:val="Testonotaapidipagina"/>
        <w:jc w:val="both"/>
        <w:rPr>
          <w:lang w:val="fr-FR"/>
        </w:rPr>
      </w:pPr>
      <w:r>
        <w:rPr>
          <w:rStyle w:val="Rimandonotaapidipagina"/>
        </w:rPr>
        <w:footnoteRef/>
      </w:r>
      <w:r>
        <w:rPr>
          <w:lang w:val="fr-FR"/>
        </w:rPr>
        <w:t xml:space="preserve"> ROUSSEAU, </w:t>
      </w:r>
      <w:r>
        <w:rPr>
          <w:i/>
          <w:lang w:val="fr-FR"/>
        </w:rPr>
        <w:t>Chronique des faits internationaux</w:t>
      </w:r>
      <w:r>
        <w:rPr>
          <w:lang w:val="fr-FR"/>
        </w:rPr>
        <w:t xml:space="preserve">, </w:t>
      </w:r>
      <w:r>
        <w:rPr>
          <w:i/>
          <w:lang w:val="fr-FR"/>
        </w:rPr>
        <w:t>Revue générale de droit public</w:t>
      </w:r>
      <w:r>
        <w:rPr>
          <w:lang w:val="fr-FR"/>
        </w:rPr>
        <w:t>, 1962, pp. 376 – 379.</w:t>
      </w:r>
    </w:p>
  </w:footnote>
  <w:footnote w:id="366">
    <w:p w:rsidR="003D54BB" w:rsidRDefault="003D54BB" w:rsidP="00333C13">
      <w:pPr>
        <w:pStyle w:val="Testonotaapidipagina"/>
        <w:rPr>
          <w:lang w:val="fr-FR"/>
        </w:rPr>
      </w:pPr>
      <w:r>
        <w:rPr>
          <w:rStyle w:val="Rimandonotaapidipagina"/>
        </w:rPr>
        <w:footnoteRef/>
      </w:r>
      <w:r>
        <w:rPr>
          <w:lang w:val="fr-FR"/>
        </w:rPr>
        <w:t xml:space="preserve"> </w:t>
      </w:r>
      <w:r>
        <w:rPr>
          <w:i/>
          <w:lang w:val="fr-FR"/>
        </w:rPr>
        <w:t>Ibid</w:t>
      </w:r>
      <w:r>
        <w:rPr>
          <w:lang w:val="fr-FR"/>
        </w:rPr>
        <w:t>., p. 377.</w:t>
      </w:r>
    </w:p>
  </w:footnote>
  <w:footnote w:id="367">
    <w:p w:rsidR="003D54BB" w:rsidRPr="002158A3" w:rsidRDefault="003D54BB" w:rsidP="000A75D4">
      <w:pPr>
        <w:spacing w:after="0"/>
        <w:rPr>
          <w:sz w:val="20"/>
          <w:szCs w:val="20"/>
          <w:lang w:val="fr-FR"/>
        </w:rPr>
      </w:pPr>
      <w:r w:rsidRPr="002158A3">
        <w:rPr>
          <w:rStyle w:val="Rimandonotaapidipagina"/>
          <w:sz w:val="20"/>
          <w:szCs w:val="20"/>
        </w:rPr>
        <w:footnoteRef/>
      </w:r>
      <w:r w:rsidRPr="002158A3">
        <w:rPr>
          <w:sz w:val="20"/>
          <w:szCs w:val="20"/>
          <w:lang w:val="fr-FR"/>
        </w:rPr>
        <w:t xml:space="preserve"> ROUSSEAU,</w:t>
      </w:r>
      <w:r w:rsidRPr="002158A3">
        <w:rPr>
          <w:i/>
          <w:sz w:val="20"/>
          <w:szCs w:val="20"/>
          <w:lang w:val="fr-FR"/>
        </w:rPr>
        <w:t xml:space="preserve"> Chronique des faits internationaux</w:t>
      </w:r>
      <w:r w:rsidRPr="002158A3">
        <w:rPr>
          <w:sz w:val="20"/>
          <w:szCs w:val="20"/>
          <w:lang w:val="fr-FR"/>
        </w:rPr>
        <w:t xml:space="preserve">, </w:t>
      </w:r>
      <w:r w:rsidRPr="002158A3">
        <w:rPr>
          <w:i/>
          <w:sz w:val="20"/>
          <w:szCs w:val="20"/>
          <w:lang w:val="fr-FR"/>
        </w:rPr>
        <w:t xml:space="preserve">Revue </w:t>
      </w:r>
      <w:r>
        <w:rPr>
          <w:i/>
          <w:sz w:val="20"/>
          <w:szCs w:val="20"/>
          <w:lang w:val="fr-FR"/>
        </w:rPr>
        <w:t xml:space="preserve">générale de droit </w:t>
      </w:r>
      <w:r w:rsidRPr="002158A3">
        <w:rPr>
          <w:i/>
          <w:sz w:val="20"/>
          <w:szCs w:val="20"/>
          <w:lang w:val="fr-FR"/>
        </w:rPr>
        <w:t>public</w:t>
      </w:r>
      <w:r w:rsidRPr="002158A3">
        <w:rPr>
          <w:sz w:val="20"/>
          <w:szCs w:val="20"/>
          <w:lang w:val="fr-FR"/>
        </w:rPr>
        <w:t>, 1979, p. 182.</w:t>
      </w:r>
    </w:p>
  </w:footnote>
  <w:footnote w:id="368">
    <w:p w:rsidR="003D54BB" w:rsidRPr="002158A3" w:rsidRDefault="003D54BB" w:rsidP="000A75D4">
      <w:pPr>
        <w:pStyle w:val="Testonotaapidipagina"/>
        <w:jc w:val="both"/>
        <w:rPr>
          <w:lang w:val="fr-FR"/>
        </w:rPr>
      </w:pPr>
      <w:r w:rsidRPr="002158A3">
        <w:rPr>
          <w:rStyle w:val="Rimandonotaapidipagina"/>
        </w:rPr>
        <w:footnoteRef/>
      </w:r>
      <w:r w:rsidRPr="002158A3">
        <w:rPr>
          <w:lang w:val="fr-FR"/>
        </w:rPr>
        <w:t xml:space="preserve"> </w:t>
      </w:r>
      <w:r w:rsidRPr="002158A3">
        <w:rPr>
          <w:i/>
          <w:lang w:val="fr-FR"/>
        </w:rPr>
        <w:t>Ibid</w:t>
      </w:r>
      <w:r w:rsidRPr="002158A3">
        <w:rPr>
          <w:lang w:val="fr-FR"/>
        </w:rPr>
        <w:t>., p. 523.</w:t>
      </w:r>
    </w:p>
  </w:footnote>
  <w:footnote w:id="369">
    <w:p w:rsidR="003D54BB" w:rsidRDefault="003D54BB" w:rsidP="000A75D4">
      <w:pPr>
        <w:pStyle w:val="Testonotaapidipagina"/>
        <w:jc w:val="both"/>
        <w:rPr>
          <w:lang w:val="fr-FR"/>
        </w:rPr>
      </w:pPr>
      <w:r>
        <w:rPr>
          <w:rStyle w:val="Rimandonotaapidipagina"/>
        </w:rPr>
        <w:footnoteRef/>
      </w:r>
      <w:r>
        <w:rPr>
          <w:lang w:val="fr-FR"/>
        </w:rPr>
        <w:t xml:space="preserve"> ROUSSEAU,</w:t>
      </w:r>
      <w:r>
        <w:rPr>
          <w:i/>
          <w:lang w:val="fr-FR"/>
        </w:rPr>
        <w:t xml:space="preserve"> Chronique des faits internationaux</w:t>
      </w:r>
      <w:r>
        <w:rPr>
          <w:lang w:val="fr-FR"/>
        </w:rPr>
        <w:t xml:space="preserve">, </w:t>
      </w:r>
      <w:r>
        <w:rPr>
          <w:i/>
          <w:lang w:val="fr-FR"/>
        </w:rPr>
        <w:t>Revue générale de droit public</w:t>
      </w:r>
      <w:r>
        <w:rPr>
          <w:lang w:val="fr-FR"/>
        </w:rPr>
        <w:t>, 1988, pp. 654–655.</w:t>
      </w:r>
    </w:p>
  </w:footnote>
  <w:footnote w:id="370">
    <w:p w:rsidR="003D54BB" w:rsidRDefault="003D54BB" w:rsidP="00333C13">
      <w:pPr>
        <w:pStyle w:val="Testonotaapidipagina"/>
        <w:rPr>
          <w:lang w:val="fr-FR"/>
        </w:rPr>
      </w:pPr>
      <w:r>
        <w:rPr>
          <w:rStyle w:val="Rimandonotaapidipagina"/>
        </w:rPr>
        <w:footnoteRef/>
      </w:r>
      <w:r>
        <w:rPr>
          <w:lang w:val="fr-FR"/>
        </w:rPr>
        <w:t xml:space="preserve"> ROUSSEAU, </w:t>
      </w:r>
      <w:r>
        <w:rPr>
          <w:i/>
          <w:lang w:val="fr-FR"/>
        </w:rPr>
        <w:t>Chronique des faits internationaux</w:t>
      </w:r>
      <w:r>
        <w:rPr>
          <w:lang w:val="fr-FR"/>
        </w:rPr>
        <w:t xml:space="preserve">, </w:t>
      </w:r>
      <w:r w:rsidRPr="00AC0BA2">
        <w:rPr>
          <w:i/>
          <w:lang w:val="fr-FR"/>
        </w:rPr>
        <w:t>Revue général de droit public</w:t>
      </w:r>
      <w:r>
        <w:rPr>
          <w:lang w:val="fr-FR"/>
        </w:rPr>
        <w:t>, 1963, p. 176.</w:t>
      </w:r>
    </w:p>
  </w:footnote>
  <w:footnote w:id="371">
    <w:p w:rsidR="003D54BB" w:rsidRPr="00D32390" w:rsidRDefault="003D54BB" w:rsidP="00333C13">
      <w:pPr>
        <w:pStyle w:val="Testonotaapidipagina"/>
        <w:jc w:val="both"/>
        <w:rPr>
          <w:lang w:val="fr-FR"/>
        </w:rPr>
      </w:pPr>
      <w:r>
        <w:rPr>
          <w:rStyle w:val="Rimandonotaapidipagina"/>
        </w:rPr>
        <w:footnoteRef/>
      </w:r>
      <w:r w:rsidRPr="00D32390">
        <w:rPr>
          <w:i/>
          <w:lang w:val="fr-FR"/>
        </w:rPr>
        <w:t xml:space="preserve"> Ibid</w:t>
      </w:r>
      <w:r w:rsidRPr="00D32390">
        <w:rPr>
          <w:lang w:val="fr-FR"/>
        </w:rPr>
        <w:t>., p. 177.</w:t>
      </w:r>
    </w:p>
  </w:footnote>
  <w:footnote w:id="372">
    <w:p w:rsidR="003D54BB" w:rsidRDefault="003D54BB" w:rsidP="00EE2F45">
      <w:pPr>
        <w:pStyle w:val="Testonotaapidipagina"/>
        <w:jc w:val="both"/>
        <w:rPr>
          <w:lang w:val="fr-FR"/>
        </w:rPr>
      </w:pPr>
      <w:r>
        <w:rPr>
          <w:rStyle w:val="Rimandonotaapidipagina"/>
        </w:rPr>
        <w:footnoteRef/>
      </w:r>
      <w:r>
        <w:rPr>
          <w:lang w:val="fr-FR"/>
        </w:rPr>
        <w:t xml:space="preserve"> </w:t>
      </w:r>
      <w:r w:rsidRPr="00EE2F45">
        <w:rPr>
          <w:lang w:val="fr-FR"/>
        </w:rPr>
        <w:t xml:space="preserve">ROUSSEAU, </w:t>
      </w:r>
      <w:r w:rsidRPr="00EE2F45">
        <w:rPr>
          <w:i/>
          <w:lang w:val="fr-FR"/>
        </w:rPr>
        <w:t>Chronique des faits internationaux</w:t>
      </w:r>
      <w:r w:rsidRPr="00EE2F45">
        <w:rPr>
          <w:lang w:val="fr-FR"/>
        </w:rPr>
        <w:t xml:space="preserve">, </w:t>
      </w:r>
      <w:r w:rsidRPr="00EE2F45">
        <w:rPr>
          <w:i/>
          <w:lang w:val="fr-FR"/>
        </w:rPr>
        <w:t>Revue générale de droit international public</w:t>
      </w:r>
      <w:r w:rsidRPr="00EE2F45">
        <w:rPr>
          <w:lang w:val="fr-FR"/>
        </w:rPr>
        <w:t>, 1965, pp. 834–835.</w:t>
      </w:r>
    </w:p>
  </w:footnote>
  <w:footnote w:id="373">
    <w:p w:rsidR="003D54BB" w:rsidRDefault="003D54BB" w:rsidP="00EE2F45">
      <w:pPr>
        <w:pStyle w:val="Testonotaapidipagina"/>
        <w:jc w:val="both"/>
        <w:rPr>
          <w:lang w:val="fr-FR"/>
        </w:rPr>
      </w:pPr>
      <w:r>
        <w:rPr>
          <w:rStyle w:val="Rimandonotaapidipagina"/>
        </w:rPr>
        <w:footnoteRef/>
      </w:r>
      <w:r>
        <w:rPr>
          <w:lang w:val="fr-FR"/>
        </w:rPr>
        <w:t xml:space="preserve"> </w:t>
      </w:r>
      <w:r>
        <w:rPr>
          <w:i/>
          <w:lang w:val="fr-FR"/>
        </w:rPr>
        <w:t>Ibid</w:t>
      </w:r>
      <w:r>
        <w:rPr>
          <w:lang w:val="fr-FR"/>
        </w:rPr>
        <w:t xml:space="preserve">., p. 835. Si veda COUSSIRAT–COUSTERE e EISEMANN, </w:t>
      </w:r>
      <w:r>
        <w:rPr>
          <w:i/>
          <w:lang w:val="fr-FR"/>
        </w:rPr>
        <w:t>op. cit</w:t>
      </w:r>
      <w:r>
        <w:rPr>
          <w:lang w:val="fr-FR"/>
        </w:rPr>
        <w:t xml:space="preserve">., pp. 365 – 366: </w:t>
      </w:r>
      <w:r w:rsidRPr="006B5332">
        <w:rPr>
          <w:lang w:val="fr-FR"/>
        </w:rPr>
        <w:t>“Un enlèvement constitutif d’excès de pouvoir de la part d’un fonctionnaire est donc un acte imputable à l’Etat dont il relève, puisque l’agent a usé de la force matérielle que lui confère son statut d’organe de l’Etat. Peu importe que l’agent ait outrepassé sa compétence et agi par excès de zèle à l’insu de ses supérieurs”.</w:t>
      </w:r>
      <w:r>
        <w:rPr>
          <w:lang w:val="fr-FR"/>
        </w:rPr>
        <w:t xml:space="preserve"> </w:t>
      </w:r>
      <w:r>
        <w:t xml:space="preserve">Numerosi incidenti di frontiera sono intercorsi negli ultimi decenni tra Italia e Svizzera. </w:t>
      </w:r>
      <w:r>
        <w:rPr>
          <w:lang w:val="fr-FR"/>
        </w:rPr>
        <w:t>Si veda il caso ROUSSEAU,</w:t>
      </w:r>
      <w:r>
        <w:rPr>
          <w:i/>
          <w:lang w:val="fr-FR"/>
        </w:rPr>
        <w:t xml:space="preserve"> Chronique des faits internationaux</w:t>
      </w:r>
      <w:r>
        <w:rPr>
          <w:lang w:val="fr-FR"/>
        </w:rPr>
        <w:t xml:space="preserve">, </w:t>
      </w:r>
      <w:r>
        <w:rPr>
          <w:i/>
          <w:lang w:val="fr-FR"/>
        </w:rPr>
        <w:t xml:space="preserve">Revue générale de droit public, </w:t>
      </w:r>
      <w:r>
        <w:rPr>
          <w:lang w:val="fr-FR"/>
        </w:rPr>
        <w:t>1974, p. 851 e ROUSSEAU,</w:t>
      </w:r>
      <w:r>
        <w:rPr>
          <w:i/>
          <w:lang w:val="fr-FR"/>
        </w:rPr>
        <w:t xml:space="preserve"> Chronique des faits internationaux</w:t>
      </w:r>
      <w:r>
        <w:rPr>
          <w:lang w:val="fr-FR"/>
        </w:rPr>
        <w:t xml:space="preserve">, </w:t>
      </w:r>
      <w:r>
        <w:rPr>
          <w:i/>
          <w:lang w:val="fr-FR"/>
        </w:rPr>
        <w:t>Revue générael de droit public</w:t>
      </w:r>
      <w:r>
        <w:rPr>
          <w:lang w:val="fr-FR"/>
        </w:rPr>
        <w:t>, 1984, p. 725.</w:t>
      </w:r>
    </w:p>
  </w:footnote>
  <w:footnote w:id="374">
    <w:p w:rsidR="003D54BB" w:rsidRPr="00B31828" w:rsidRDefault="003D54BB" w:rsidP="00333C13">
      <w:pPr>
        <w:pStyle w:val="Testonotaapidipagina"/>
        <w:jc w:val="both"/>
      </w:pPr>
      <w:r>
        <w:rPr>
          <w:rStyle w:val="Rimandonotaapidipagina"/>
        </w:rPr>
        <w:footnoteRef/>
      </w:r>
      <w:r>
        <w:rPr>
          <w:lang w:val="en-US"/>
        </w:rPr>
        <w:t xml:space="preserve"> Si veda </w:t>
      </w:r>
      <w:r>
        <w:rPr>
          <w:i/>
          <w:lang w:val="en-US"/>
        </w:rPr>
        <w:t>Italian Yearbook of International Law</w:t>
      </w:r>
      <w:r>
        <w:rPr>
          <w:lang w:val="en-US"/>
        </w:rPr>
        <w:t xml:space="preserve">, vol. </w:t>
      </w:r>
      <w:r w:rsidRPr="00B31828">
        <w:t>III, 1977, p.  435 ss.</w:t>
      </w:r>
    </w:p>
  </w:footnote>
  <w:footnote w:id="375">
    <w:p w:rsidR="003D54BB" w:rsidRPr="00EE2F45" w:rsidRDefault="003D54BB" w:rsidP="00333C13">
      <w:pPr>
        <w:pStyle w:val="Testonotaapidipagina"/>
        <w:jc w:val="both"/>
      </w:pPr>
      <w:r>
        <w:rPr>
          <w:rStyle w:val="Rimandonotaapidipagina"/>
        </w:rPr>
        <w:footnoteRef/>
      </w:r>
      <w:r w:rsidRPr="00EE2F45">
        <w:t xml:space="preserve"> Il testo è rip</w:t>
      </w:r>
      <w:r>
        <w:t xml:space="preserve">rodotto in lingua inglese </w:t>
      </w:r>
      <w:r w:rsidRPr="00EE2F45">
        <w:rPr>
          <w:i/>
        </w:rPr>
        <w:t>Ibid</w:t>
      </w:r>
      <w:r w:rsidRPr="00EE2F45">
        <w:t>., p. 437.</w:t>
      </w:r>
    </w:p>
  </w:footnote>
  <w:footnote w:id="376">
    <w:p w:rsidR="003D54BB" w:rsidRDefault="003D54BB" w:rsidP="007A4000">
      <w:pPr>
        <w:pStyle w:val="Testonotaapidipagina"/>
        <w:jc w:val="both"/>
        <w:rPr>
          <w:lang w:val="fr-FR"/>
        </w:rPr>
      </w:pPr>
      <w:r>
        <w:rPr>
          <w:rStyle w:val="Rimandonotaapidipagina"/>
        </w:rPr>
        <w:footnoteRef/>
      </w:r>
      <w:r>
        <w:rPr>
          <w:lang w:val="fr-FR"/>
        </w:rPr>
        <w:t xml:space="preserve"> ROUSSEAU,</w:t>
      </w:r>
      <w:r>
        <w:rPr>
          <w:i/>
          <w:lang w:val="fr-FR"/>
        </w:rPr>
        <w:t xml:space="preserve"> Chronique des faits internationaux</w:t>
      </w:r>
      <w:r>
        <w:rPr>
          <w:lang w:val="fr-FR"/>
        </w:rPr>
        <w:t xml:space="preserve">, </w:t>
      </w:r>
      <w:r w:rsidRPr="0043427D">
        <w:rPr>
          <w:i/>
          <w:lang w:val="fr-FR"/>
        </w:rPr>
        <w:t>Revue générale</w:t>
      </w:r>
      <w:r>
        <w:rPr>
          <w:i/>
          <w:lang w:val="fr-FR"/>
        </w:rPr>
        <w:t xml:space="preserve"> de droit </w:t>
      </w:r>
      <w:r w:rsidRPr="0043427D">
        <w:rPr>
          <w:i/>
          <w:lang w:val="fr-FR"/>
        </w:rPr>
        <w:t>public</w:t>
      </w:r>
      <w:r>
        <w:rPr>
          <w:lang w:val="fr-FR"/>
        </w:rPr>
        <w:t xml:space="preserve">, 1984, p. 944. </w:t>
      </w:r>
    </w:p>
  </w:footnote>
  <w:footnote w:id="377">
    <w:p w:rsidR="003D54BB" w:rsidRPr="008024C1" w:rsidRDefault="003D54BB" w:rsidP="007A4000">
      <w:pPr>
        <w:pStyle w:val="Testonotaapidipagina"/>
        <w:jc w:val="both"/>
      </w:pPr>
      <w:r>
        <w:rPr>
          <w:rStyle w:val="Rimandonotaapidipagina"/>
        </w:rPr>
        <w:footnoteRef/>
      </w:r>
      <w:r w:rsidRPr="00A5598C">
        <w:t xml:space="preserve"> </w:t>
      </w:r>
      <w:r>
        <w:t xml:space="preserve">Il </w:t>
      </w:r>
      <w:r w:rsidRPr="00A5598C">
        <w:t xml:space="preserve">Tribunale </w:t>
      </w:r>
      <w:r>
        <w:t xml:space="preserve">dei reclami </w:t>
      </w:r>
      <w:r w:rsidRPr="00A5598C">
        <w:t>Iran-Stati Un</w:t>
      </w:r>
      <w:r>
        <w:t xml:space="preserve">iti è stato istituito dagli Accordi di Algeri del 1981, con la competenza di decidere sui ricorsi privati scaturenti dagli eventi che condussero alla rivoluzione islamica in Iran. Sulla base dell’art. II degli Accordi, tale organismo arbitrale doveva decidere sui ricorsi avanzati dai cittadini statunitensi o iraniani rispettivamente contro l’Iran o gli Stati Uniti per controversie nascenti da “debts, contracts, </w:t>
      </w:r>
      <w:r w:rsidRPr="007A4000">
        <w:t>expropriations or other measures affecting property rights”</w:t>
      </w:r>
      <w:r>
        <w:t xml:space="preserve">. Per quanto concerne la legge che il Tribunale era chiamato ad applicare per decidere il merito delle controversie internazionali, è opportuno menzionare che l’art. V della </w:t>
      </w:r>
      <w:r w:rsidRPr="005B516F">
        <w:rPr>
          <w:i/>
        </w:rPr>
        <w:t>Claims Settlement Declaration</w:t>
      </w:r>
      <w:r>
        <w:t xml:space="preserve"> indica come validi i principi contenuti in materia sia dall’art. 32 del regolamento </w:t>
      </w:r>
      <w:r w:rsidRPr="008024C1">
        <w:rPr>
          <w:i/>
        </w:rPr>
        <w:t xml:space="preserve">UNCITRAL </w:t>
      </w:r>
      <w:r>
        <w:t>che dall’art. 42 della Convenzione di Washington del 1965.</w:t>
      </w:r>
    </w:p>
  </w:footnote>
  <w:footnote w:id="378">
    <w:p w:rsidR="003D54BB" w:rsidRPr="008024C1" w:rsidRDefault="003D54BB" w:rsidP="00A5598C">
      <w:pPr>
        <w:pStyle w:val="Testonotaapidipagina"/>
        <w:jc w:val="both"/>
        <w:rPr>
          <w:lang w:val="en-US"/>
        </w:rPr>
      </w:pPr>
      <w:r>
        <w:rPr>
          <w:rStyle w:val="Rimandonotaapidipagina"/>
        </w:rPr>
        <w:footnoteRef/>
      </w:r>
      <w:r w:rsidRPr="008024C1">
        <w:rPr>
          <w:lang w:val="en-US"/>
        </w:rPr>
        <w:t xml:space="preserve"> </w:t>
      </w:r>
      <w:r w:rsidRPr="008024C1">
        <w:rPr>
          <w:i/>
          <w:lang w:val="en-US"/>
        </w:rPr>
        <w:t>Kenneth P. Yaeger v. the Islamic Republic of Iran</w:t>
      </w:r>
      <w:r w:rsidRPr="008024C1">
        <w:rPr>
          <w:lang w:val="en-US"/>
        </w:rPr>
        <w:t xml:space="preserve">, in </w:t>
      </w:r>
      <w:r w:rsidRPr="008024C1">
        <w:rPr>
          <w:i/>
          <w:lang w:val="en-US"/>
        </w:rPr>
        <w:t>Iran-United States Claims Tribunal Reports</w:t>
      </w:r>
      <w:r w:rsidRPr="008024C1">
        <w:rPr>
          <w:lang w:val="en-US"/>
        </w:rPr>
        <w:t>, vol. 17, pp. 110-111.</w:t>
      </w:r>
    </w:p>
  </w:footnote>
  <w:footnote w:id="379">
    <w:p w:rsidR="003D54BB" w:rsidRPr="004D3670" w:rsidRDefault="003D54BB" w:rsidP="00333C13">
      <w:pPr>
        <w:pStyle w:val="Testonotaapidipagina"/>
        <w:rPr>
          <w:lang w:val="en-US"/>
        </w:rPr>
      </w:pPr>
      <w:r>
        <w:rPr>
          <w:rStyle w:val="Rimandonotaapidipagina"/>
        </w:rPr>
        <w:footnoteRef/>
      </w:r>
      <w:r w:rsidRPr="00B31828">
        <w:rPr>
          <w:lang w:val="en-US"/>
        </w:rPr>
        <w:t xml:space="preserve"> </w:t>
      </w:r>
      <w:r w:rsidRPr="00B31828">
        <w:rPr>
          <w:i/>
          <w:lang w:val="en-US"/>
        </w:rPr>
        <w:t>Ibi</w:t>
      </w:r>
      <w:r w:rsidRPr="004D3670">
        <w:rPr>
          <w:i/>
          <w:lang w:val="en-US"/>
        </w:rPr>
        <w:t>d</w:t>
      </w:r>
      <w:r w:rsidRPr="004D3670">
        <w:rPr>
          <w:lang w:val="en-US"/>
        </w:rPr>
        <w:t>., p. 111, par. 65.</w:t>
      </w:r>
    </w:p>
  </w:footnote>
  <w:footnote w:id="380">
    <w:p w:rsidR="003D54BB" w:rsidRDefault="003D54BB" w:rsidP="00333C13">
      <w:pPr>
        <w:pStyle w:val="Testonotaapidipagina"/>
        <w:rPr>
          <w:lang w:val="en-US"/>
        </w:rPr>
      </w:pPr>
      <w:r>
        <w:rPr>
          <w:rStyle w:val="Rimandonotaapidipagina"/>
        </w:rPr>
        <w:footnoteRef/>
      </w:r>
      <w:r>
        <w:rPr>
          <w:i/>
          <w:lang w:val="en-US"/>
        </w:rPr>
        <w:t xml:space="preserve"> Ibid</w:t>
      </w:r>
      <w:r>
        <w:rPr>
          <w:lang w:val="en-US"/>
        </w:rPr>
        <w:t>., p. 111.</w:t>
      </w:r>
    </w:p>
  </w:footnote>
  <w:footnote w:id="381">
    <w:p w:rsidR="003D54BB" w:rsidRPr="00253730" w:rsidRDefault="003D54BB" w:rsidP="00333C13">
      <w:pPr>
        <w:pStyle w:val="Testonotaapidipagina"/>
        <w:rPr>
          <w:lang w:val="en-US"/>
        </w:rPr>
      </w:pPr>
      <w:r>
        <w:rPr>
          <w:rStyle w:val="Rimandonotaapidipagina"/>
        </w:rPr>
        <w:footnoteRef/>
      </w:r>
      <w:r w:rsidRPr="00253730">
        <w:rPr>
          <w:i/>
          <w:lang w:val="en-US"/>
        </w:rPr>
        <w:t xml:space="preserve"> Ibid</w:t>
      </w:r>
      <w:r w:rsidRPr="00253730">
        <w:rPr>
          <w:lang w:val="en-US"/>
        </w:rPr>
        <w:t>.</w:t>
      </w:r>
    </w:p>
  </w:footnote>
  <w:footnote w:id="382">
    <w:p w:rsidR="003D54BB" w:rsidRPr="00BA5B1B" w:rsidRDefault="003D54BB" w:rsidP="00333C13">
      <w:pPr>
        <w:pStyle w:val="Testonotaapidipagina"/>
        <w:jc w:val="both"/>
      </w:pPr>
      <w:r>
        <w:rPr>
          <w:rStyle w:val="Rimandonotaapidipagina"/>
        </w:rPr>
        <w:footnoteRef/>
      </w:r>
      <w:r>
        <w:rPr>
          <w:i/>
        </w:rPr>
        <w:t xml:space="preserve"> </w:t>
      </w:r>
      <w:r w:rsidRPr="00BA5B1B">
        <w:rPr>
          <w:i/>
        </w:rPr>
        <w:t>Ibid.</w:t>
      </w:r>
      <w:r w:rsidRPr="00BA5B1B">
        <w:t>, p. 103.</w:t>
      </w:r>
    </w:p>
  </w:footnote>
  <w:footnote w:id="383">
    <w:p w:rsidR="003D54BB" w:rsidRDefault="003D54BB" w:rsidP="00333C13">
      <w:pPr>
        <w:pStyle w:val="Testonotaapidipagina"/>
        <w:jc w:val="both"/>
        <w:rPr>
          <w:lang w:val="en-US"/>
        </w:rPr>
      </w:pPr>
      <w:r>
        <w:rPr>
          <w:rStyle w:val="Rimandonotaapidipagina"/>
        </w:rPr>
        <w:footnoteRef/>
      </w:r>
      <w:r>
        <w:t xml:space="preserve"> All’inizio del 1979, i comitati rivoluzionari svolgevano funzioni di polizia locale parallelamente alle autorità ufficiali dello Stato. Dopo alcuni mesi, con il consolidarsi del regime Khomeinista, i comitati rivoluzionari sono stati formalmente integrati nella struttura organizzativa dello Stato, ed hanno preso il nome di “guardie rivoluzionarie”. </w:t>
      </w:r>
      <w:r>
        <w:rPr>
          <w:lang w:val="en-US"/>
        </w:rPr>
        <w:t xml:space="preserve">Si veda CARON, </w:t>
      </w:r>
      <w:r>
        <w:rPr>
          <w:i/>
          <w:lang w:val="en-US"/>
        </w:rPr>
        <w:t>The Basis for Responsibility: Attribution and Other Trans-Substantive Rules</w:t>
      </w:r>
      <w:r>
        <w:rPr>
          <w:lang w:val="en-US"/>
        </w:rPr>
        <w:t xml:space="preserve">, in LILLICH e BARSTOW MAGRAW (a cura di), </w:t>
      </w:r>
      <w:r>
        <w:rPr>
          <w:i/>
          <w:lang w:val="en-US"/>
        </w:rPr>
        <w:t>The Iran-United States Claims Tribunal: Its Contribution to the Law of State Responsibility</w:t>
      </w:r>
      <w:r>
        <w:rPr>
          <w:lang w:val="en-US"/>
        </w:rPr>
        <w:t>, New -York, 1998, pp. 138 – 139.</w:t>
      </w:r>
    </w:p>
  </w:footnote>
  <w:footnote w:id="384">
    <w:p w:rsidR="003D54BB" w:rsidRPr="005C5512" w:rsidRDefault="003D54BB" w:rsidP="00333C13">
      <w:pPr>
        <w:pStyle w:val="Testonotaapidipagina"/>
        <w:rPr>
          <w:lang w:val="en-US"/>
        </w:rPr>
      </w:pPr>
      <w:r>
        <w:rPr>
          <w:rStyle w:val="Rimandonotaapidipagina"/>
        </w:rPr>
        <w:footnoteRef/>
      </w:r>
      <w:r w:rsidRPr="005C5512">
        <w:rPr>
          <w:lang w:val="en-US"/>
        </w:rPr>
        <w:t xml:space="preserve"> </w:t>
      </w:r>
      <w:r>
        <w:rPr>
          <w:i/>
          <w:lang w:val="en-US"/>
        </w:rPr>
        <w:t>Iran-United States Claims Tribunal Report</w:t>
      </w:r>
      <w:r>
        <w:rPr>
          <w:lang w:val="en-US"/>
        </w:rPr>
        <w:t>, vol. 17, pp. 103-104.</w:t>
      </w:r>
    </w:p>
  </w:footnote>
  <w:footnote w:id="385">
    <w:p w:rsidR="003D54BB" w:rsidRDefault="003D54BB" w:rsidP="00333C13">
      <w:pPr>
        <w:pStyle w:val="Testonotaapidipagina"/>
        <w:jc w:val="both"/>
        <w:rPr>
          <w:lang w:val="en-US"/>
        </w:rPr>
      </w:pPr>
      <w:r>
        <w:rPr>
          <w:rStyle w:val="Rimandonotaapidipagina"/>
        </w:rPr>
        <w:footnoteRef/>
      </w:r>
      <w:r>
        <w:rPr>
          <w:i/>
          <w:lang w:val="en-US"/>
        </w:rPr>
        <w:t xml:space="preserve"> Ibid</w:t>
      </w:r>
      <w:r>
        <w:rPr>
          <w:lang w:val="en-US"/>
        </w:rPr>
        <w:t>., p. 110.</w:t>
      </w:r>
    </w:p>
  </w:footnote>
  <w:footnote w:id="386">
    <w:p w:rsidR="003D54BB" w:rsidRPr="005A70AA" w:rsidRDefault="003D54BB" w:rsidP="004A6A32">
      <w:pPr>
        <w:pStyle w:val="Testonotaapidipagina"/>
        <w:jc w:val="both"/>
      </w:pPr>
      <w:r>
        <w:rPr>
          <w:rStyle w:val="Rimandonotaapidipagina"/>
        </w:rPr>
        <w:footnoteRef/>
      </w:r>
      <w:r w:rsidRPr="004A6A32">
        <w:rPr>
          <w:lang w:val="en-US"/>
        </w:rPr>
        <w:t xml:space="preserve"> </w:t>
      </w:r>
      <w:r>
        <w:rPr>
          <w:lang w:val="en-US"/>
        </w:rPr>
        <w:t xml:space="preserve">“The state of administrative chaos wich prevailed in Iran throughout the first few months of 1979 make it unsafe to attribute any such ostensibly governmental acts to the revolutionary Government that subsequently came to power”. </w:t>
      </w:r>
      <w:r w:rsidRPr="005A70AA">
        <w:t xml:space="preserve">In </w:t>
      </w:r>
      <w:r w:rsidRPr="005A70AA">
        <w:rPr>
          <w:i/>
        </w:rPr>
        <w:t>Iran – US CTR</w:t>
      </w:r>
      <w:r w:rsidRPr="005A70AA">
        <w:t xml:space="preserve"> 1984 – II, vol. 6, p. 166.</w:t>
      </w:r>
    </w:p>
  </w:footnote>
  <w:footnote w:id="387">
    <w:p w:rsidR="003D54BB" w:rsidRPr="005A70AA" w:rsidRDefault="003D54BB" w:rsidP="004A6A32">
      <w:pPr>
        <w:pStyle w:val="Testonotaapidipagina"/>
        <w:jc w:val="both"/>
      </w:pPr>
      <w:r>
        <w:rPr>
          <w:rStyle w:val="Rimandonotaapidipagina"/>
        </w:rPr>
        <w:footnoteRef/>
      </w:r>
      <w:r w:rsidRPr="005A70AA">
        <w:t xml:space="preserve"> </w:t>
      </w:r>
      <w:r w:rsidRPr="005A70AA">
        <w:rPr>
          <w:i/>
        </w:rPr>
        <w:t>Ibid.,</w:t>
      </w:r>
      <w:r>
        <w:rPr>
          <w:i/>
        </w:rPr>
        <w:t xml:space="preserve"> </w:t>
      </w:r>
      <w:r w:rsidRPr="005A70AA">
        <w:t>p. 202.</w:t>
      </w:r>
    </w:p>
  </w:footnote>
  <w:footnote w:id="388">
    <w:p w:rsidR="003D54BB" w:rsidRDefault="003D54BB" w:rsidP="00453FDF">
      <w:pPr>
        <w:pStyle w:val="Testonotaapidipagina"/>
        <w:jc w:val="both"/>
      </w:pPr>
      <w:r>
        <w:rPr>
          <w:rStyle w:val="Rimandonotaapidipagina"/>
        </w:rPr>
        <w:footnoteRef/>
      </w:r>
      <w:r>
        <w:t xml:space="preserve"> L’ICSID è un’istituzione, facente capo alla Banca per la ricostruzione e lo sviluppo, che assolve al compito di fornire meccanismi di conciliazione e di arbitrato per la soluzione delle controversie in materia di investimenti sorte tra Stati e investitori privati. Alla luce dell’art. 42 dell’Accordo istitutivo (Convenzione di Washington del 1965), nel decidere nel merito di una controversia, gli arbitri ICSID devono applicare il diritto che le parti hanno scelto. Nel caso in cui non abbiano provveduto a farlo, l’organo arbitrale è tenuto a decidere sulla base del diritto dello Stato ospite dell’investimento e delle regole di diritto internazionale applicabili.</w:t>
      </w:r>
    </w:p>
  </w:footnote>
  <w:footnote w:id="389">
    <w:p w:rsidR="003D54BB" w:rsidRDefault="003D54BB" w:rsidP="004A6A32">
      <w:pPr>
        <w:pStyle w:val="Testonotaapidipagina"/>
        <w:jc w:val="both"/>
      </w:pPr>
      <w:r>
        <w:rPr>
          <w:rStyle w:val="Rimandonotaapidipagina"/>
        </w:rPr>
        <w:footnoteRef/>
      </w:r>
      <w:r>
        <w:t xml:space="preserve"> ICSID, </w:t>
      </w:r>
      <w:r>
        <w:rPr>
          <w:i/>
        </w:rPr>
        <w:t>Amco Asia Corporation et  Al. v. Indonesia</w:t>
      </w:r>
      <w:r>
        <w:t xml:space="preserve">, sentenza del20/11/11984, riprodotta in </w:t>
      </w:r>
      <w:r>
        <w:rPr>
          <w:i/>
        </w:rPr>
        <w:t>Journal du droit Int.</w:t>
      </w:r>
      <w:r>
        <w:t>, vol. 114, 1987, p. 145 ss.</w:t>
      </w:r>
    </w:p>
  </w:footnote>
  <w:footnote w:id="390">
    <w:p w:rsidR="003D54BB" w:rsidRPr="00386A6B" w:rsidRDefault="003D54BB" w:rsidP="004A6A32">
      <w:pPr>
        <w:pStyle w:val="Testonotaapidipagina"/>
        <w:jc w:val="both"/>
      </w:pPr>
      <w:r>
        <w:rPr>
          <w:rStyle w:val="Rimandonotaapidipagina"/>
        </w:rPr>
        <w:footnoteRef/>
      </w:r>
      <w:r w:rsidRPr="00386A6B">
        <w:t xml:space="preserve"> Il testo della s</w:t>
      </w:r>
      <w:r>
        <w:t xml:space="preserve">entenza in lingua francese è rinvenibile </w:t>
      </w:r>
      <w:r w:rsidRPr="00386A6B">
        <w:rPr>
          <w:i/>
        </w:rPr>
        <w:t>Ibid</w:t>
      </w:r>
      <w:r w:rsidRPr="00386A6B">
        <w:t>., p. 148</w:t>
      </w:r>
      <w:r>
        <w:t xml:space="preserve"> ss.</w:t>
      </w:r>
    </w:p>
  </w:footnote>
  <w:footnote w:id="391">
    <w:p w:rsidR="003D54BB" w:rsidRDefault="003D54BB" w:rsidP="00DB35B3">
      <w:pPr>
        <w:pStyle w:val="Testonotaapidipagina"/>
        <w:jc w:val="both"/>
      </w:pPr>
      <w:r>
        <w:rPr>
          <w:rStyle w:val="Rimandonotaapidipagina"/>
        </w:rPr>
        <w:footnoteRef/>
      </w:r>
      <w:r>
        <w:rPr>
          <w:lang w:val="en-US"/>
        </w:rPr>
        <w:t xml:space="preserve"> </w:t>
      </w:r>
      <w:r w:rsidRPr="00771550">
        <w:rPr>
          <w:lang w:val="en-US"/>
        </w:rPr>
        <w:t>“The Tribunal found the acts of P.T. Wisma, and therefore also the acts of the Army and Police personnel involved, to be illegal under Indonesian law….the ad hoc Committee feels entitled to conclude that there existed…under general Indonesian law, a duty to protect a person, whether national or foreigner, in actual, peaceful possession of property…The ad hoc Committee is consequently unable to sustain Indonesia’s contention that the Tribunal failed to evaluate the acts of the Army and Police personnel concerned under Indonesian law”.</w:t>
      </w:r>
      <w:r>
        <w:rPr>
          <w:lang w:val="en-US"/>
        </w:rPr>
        <w:t xml:space="preserve"> </w:t>
      </w:r>
      <w:r>
        <w:t xml:space="preserve">Comitato ad hoc, </w:t>
      </w:r>
      <w:r>
        <w:rPr>
          <w:i/>
        </w:rPr>
        <w:t>Richiesta di annullamento della sentenza arbitrale resa nell’affare Amco Asia Corporation, Pan American Devolpment Limited e P.T. Amco Indonesia c. Indonesia</w:t>
      </w:r>
      <w:r>
        <w:t xml:space="preserve">, par. 59. La pronuncia è riprodotta in </w:t>
      </w:r>
      <w:r>
        <w:rPr>
          <w:i/>
        </w:rPr>
        <w:t>Rivista di diritto internazionale</w:t>
      </w:r>
      <w:r>
        <w:t xml:space="preserve">, vol. 70, 1987, p. 810 ss. La mancata estensione degli effetti dell’annullamento esclusivamente all’illiceità dell’azione delle forze di polizia indonesiane è stata ritenuta proceduralmente scorretta da LATTANZI, </w:t>
      </w:r>
      <w:r>
        <w:rPr>
          <w:i/>
        </w:rPr>
        <w:t>Convenzione di Washington sulle controversie relative ad investimenti e invalidità delle sentenze arbitrali</w:t>
      </w:r>
      <w:r>
        <w:t xml:space="preserve">, </w:t>
      </w:r>
      <w:r>
        <w:rPr>
          <w:i/>
        </w:rPr>
        <w:t>Rivista di diritto internazionale</w:t>
      </w:r>
      <w:r>
        <w:t>, vol. 70, 1987, p. 521 ss.</w:t>
      </w:r>
    </w:p>
  </w:footnote>
  <w:footnote w:id="392">
    <w:p w:rsidR="003D54BB" w:rsidRPr="00B73B3E" w:rsidRDefault="003D54BB">
      <w:pPr>
        <w:pStyle w:val="Testonotaapidipagina"/>
      </w:pPr>
      <w:r>
        <w:rPr>
          <w:rStyle w:val="Rimandonotaapidipagina"/>
        </w:rPr>
        <w:footnoteRef/>
      </w:r>
      <w:r w:rsidRPr="00393855">
        <w:rPr>
          <w:lang w:val="en-US"/>
        </w:rPr>
        <w:t xml:space="preserve"> </w:t>
      </w:r>
      <w:r>
        <w:rPr>
          <w:lang w:val="en-US"/>
        </w:rPr>
        <w:t xml:space="preserve">ICSID, </w:t>
      </w:r>
      <w:r w:rsidRPr="00A60593">
        <w:rPr>
          <w:i/>
          <w:lang w:val="en-US"/>
        </w:rPr>
        <w:t xml:space="preserve">Southern Pacific Properties (Middle East) Limited </w:t>
      </w:r>
      <w:r>
        <w:rPr>
          <w:lang w:val="en-US"/>
        </w:rPr>
        <w:t xml:space="preserve"> </w:t>
      </w:r>
      <w:r w:rsidRPr="00A60593">
        <w:rPr>
          <w:i/>
          <w:lang w:val="en-US"/>
        </w:rPr>
        <w:t>v. Arab Republic of Egypt</w:t>
      </w:r>
      <w:r>
        <w:rPr>
          <w:lang w:val="en-US"/>
        </w:rPr>
        <w:t xml:space="preserve">, </w:t>
      </w:r>
      <w:r w:rsidRPr="00A60593">
        <w:rPr>
          <w:i/>
          <w:lang w:val="en-US"/>
        </w:rPr>
        <w:t>Case</w:t>
      </w:r>
      <w:r>
        <w:rPr>
          <w:lang w:val="en-US"/>
        </w:rPr>
        <w:t xml:space="preserve"> No. </w:t>
      </w:r>
      <w:r>
        <w:t>ARB/84/3, sentenza del 20</w:t>
      </w:r>
      <w:r w:rsidRPr="00B73B3E">
        <w:t xml:space="preserve"> Maggio 1992.</w:t>
      </w:r>
    </w:p>
  </w:footnote>
  <w:footnote w:id="393">
    <w:p w:rsidR="003D54BB" w:rsidRPr="00A60593" w:rsidRDefault="003D54BB" w:rsidP="00A60593">
      <w:pPr>
        <w:pStyle w:val="Testonotaapidipagina"/>
        <w:jc w:val="both"/>
      </w:pPr>
      <w:r>
        <w:rPr>
          <w:rStyle w:val="Rimandonotaapidipagina"/>
        </w:rPr>
        <w:footnoteRef/>
      </w:r>
      <w:r>
        <w:t xml:space="preserve"> </w:t>
      </w:r>
      <w:r w:rsidRPr="00A60593">
        <w:t xml:space="preserve">Al tempo della stipulazione del contratto la EGOTH </w:t>
      </w:r>
      <w:r>
        <w:t>era un’impresa pubblica sottoposta al controllo del Ministero del Turismo egiziano.</w:t>
      </w:r>
    </w:p>
  </w:footnote>
  <w:footnote w:id="394">
    <w:p w:rsidR="003D54BB" w:rsidRPr="004B4B8A" w:rsidRDefault="003D54BB">
      <w:pPr>
        <w:pStyle w:val="Testonotaapidipagina"/>
      </w:pPr>
      <w:r>
        <w:rPr>
          <w:rStyle w:val="Rimandonotaapidipagina"/>
        </w:rPr>
        <w:footnoteRef/>
      </w:r>
      <w:r w:rsidRPr="004B4B8A">
        <w:t xml:space="preserve"> Cfr. parr. 82-85 della sentenza.</w:t>
      </w:r>
    </w:p>
  </w:footnote>
  <w:footnote w:id="395">
    <w:p w:rsidR="003D54BB" w:rsidRPr="004B4B8A" w:rsidRDefault="003D54BB">
      <w:pPr>
        <w:pStyle w:val="Testonotaapidipagina"/>
      </w:pPr>
      <w:r>
        <w:rPr>
          <w:rStyle w:val="Rimandonotaapidipagina"/>
        </w:rPr>
        <w:footnoteRef/>
      </w:r>
      <w:r w:rsidRPr="004B4B8A">
        <w:t xml:space="preserve"> Vedi </w:t>
      </w:r>
      <w:r w:rsidRPr="004B4B8A">
        <w:rPr>
          <w:i/>
        </w:rPr>
        <w:t>supra</w:t>
      </w:r>
      <w:r>
        <w:t>, p. 137 ss.</w:t>
      </w:r>
    </w:p>
  </w:footnote>
  <w:footnote w:id="396">
    <w:p w:rsidR="003D54BB" w:rsidRPr="00121A28" w:rsidRDefault="003D54BB" w:rsidP="00A60593">
      <w:pPr>
        <w:autoSpaceDE w:val="0"/>
        <w:autoSpaceDN w:val="0"/>
        <w:adjustRightInd w:val="0"/>
        <w:spacing w:after="0" w:line="240" w:lineRule="auto"/>
        <w:jc w:val="both"/>
        <w:rPr>
          <w:sz w:val="20"/>
          <w:szCs w:val="20"/>
        </w:rPr>
      </w:pPr>
      <w:r>
        <w:rPr>
          <w:rStyle w:val="Rimandonotaapidipagina"/>
        </w:rPr>
        <w:footnoteRef/>
      </w:r>
      <w:r>
        <w:rPr>
          <w:lang w:val="en-US"/>
        </w:rPr>
        <w:t xml:space="preserve"> </w:t>
      </w:r>
      <w:r w:rsidRPr="00561C4D">
        <w:rPr>
          <w:lang w:val="en-US"/>
        </w:rPr>
        <w:t xml:space="preserve">ICSID (Additional Faculty), </w:t>
      </w:r>
      <w:r w:rsidRPr="00561C4D">
        <w:rPr>
          <w:i/>
          <w:lang w:val="en-US"/>
        </w:rPr>
        <w:t xml:space="preserve">Metalclad Corporation v. United Mexican States, </w:t>
      </w:r>
      <w:r w:rsidRPr="00561C4D">
        <w:rPr>
          <w:lang w:val="en-US"/>
        </w:rPr>
        <w:t xml:space="preserve">Case No. </w:t>
      </w:r>
      <w:r w:rsidRPr="00B73B3E">
        <w:t xml:space="preserve">ARB(AF)/97/1.  </w:t>
      </w:r>
      <w:r>
        <w:t>La sentenza è riprodotta in</w:t>
      </w:r>
      <w:r>
        <w:rPr>
          <w:i/>
        </w:rPr>
        <w:t xml:space="preserve"> </w:t>
      </w:r>
      <w:r>
        <w:rPr>
          <w:i/>
          <w:sz w:val="20"/>
          <w:szCs w:val="20"/>
        </w:rPr>
        <w:t>International Law Reports</w:t>
      </w:r>
      <w:r>
        <w:rPr>
          <w:sz w:val="20"/>
          <w:szCs w:val="20"/>
        </w:rPr>
        <w:t>, vol. 119, p. 634 ss.</w:t>
      </w:r>
    </w:p>
  </w:footnote>
  <w:footnote w:id="397">
    <w:p w:rsidR="003D54BB" w:rsidRDefault="003D54BB" w:rsidP="00333C13">
      <w:pPr>
        <w:pStyle w:val="Testonotaapidipagina"/>
        <w:jc w:val="both"/>
        <w:rPr>
          <w:lang w:val="en-US"/>
        </w:rPr>
      </w:pPr>
      <w:r>
        <w:rPr>
          <w:rStyle w:val="Rimandonotaapidipagina"/>
        </w:rPr>
        <w:footnoteRef/>
      </w:r>
      <w:r>
        <w:rPr>
          <w:lang w:val="en-US"/>
        </w:rPr>
        <w:t xml:space="preserve"> </w:t>
      </w:r>
      <w:r>
        <w:rPr>
          <w:i/>
          <w:lang w:val="en-US"/>
        </w:rPr>
        <w:t>Ibid</w:t>
      </w:r>
      <w:r>
        <w:rPr>
          <w:lang w:val="en-US"/>
        </w:rPr>
        <w:t>., par. 73 della sentenza.</w:t>
      </w:r>
    </w:p>
  </w:footnote>
  <w:footnote w:id="398">
    <w:p w:rsidR="003D54BB" w:rsidRDefault="003D54BB" w:rsidP="00FA71FB">
      <w:pPr>
        <w:pStyle w:val="Testonotaapidipagina"/>
        <w:jc w:val="both"/>
        <w:rPr>
          <w:lang w:val="en-US"/>
        </w:rPr>
      </w:pPr>
      <w:r>
        <w:rPr>
          <w:rStyle w:val="Rimandonotaapidipagina"/>
        </w:rPr>
        <w:footnoteRef/>
      </w:r>
      <w:r>
        <w:rPr>
          <w:lang w:val="en-US"/>
        </w:rPr>
        <w:t xml:space="preserve"> ICSID, </w:t>
      </w:r>
      <w:r>
        <w:rPr>
          <w:i/>
          <w:lang w:val="en-US"/>
        </w:rPr>
        <w:t>ADF Group Inc. v. United States of America</w:t>
      </w:r>
      <w:r>
        <w:rPr>
          <w:lang w:val="en-US"/>
        </w:rPr>
        <w:t>, Caso No. ARB(AF)/00/1. La sentenza è riprodotta in</w:t>
      </w:r>
      <w:r>
        <w:rPr>
          <w:i/>
          <w:lang w:val="en-US"/>
        </w:rPr>
        <w:t xml:space="preserve"> ICSID Review— Foreign Investment Law Journa</w:t>
      </w:r>
      <w:r>
        <w:rPr>
          <w:lang w:val="en-US"/>
        </w:rPr>
        <w:t>l, 2003, p. 191 ss.</w:t>
      </w:r>
    </w:p>
  </w:footnote>
  <w:footnote w:id="399">
    <w:p w:rsidR="003D54BB" w:rsidRDefault="003D54BB" w:rsidP="00333C13">
      <w:pPr>
        <w:pStyle w:val="Testonotaapidipagina"/>
        <w:jc w:val="both"/>
        <w:rPr>
          <w:lang w:val="en-US"/>
        </w:rPr>
      </w:pPr>
      <w:r>
        <w:rPr>
          <w:rStyle w:val="Rimandonotaapidipagina"/>
        </w:rPr>
        <w:footnoteRef/>
      </w:r>
      <w:r>
        <w:rPr>
          <w:lang w:val="en-US"/>
        </w:rPr>
        <w:t xml:space="preserve"> </w:t>
      </w:r>
      <w:r>
        <w:rPr>
          <w:i/>
          <w:lang w:val="en-US"/>
        </w:rPr>
        <w:t>ICSID Review— Foreign Investment Law Journa</w:t>
      </w:r>
      <w:r>
        <w:rPr>
          <w:lang w:val="en-US"/>
        </w:rPr>
        <w:t>l, 2003, p. 229, par. 72.</w:t>
      </w:r>
    </w:p>
  </w:footnote>
  <w:footnote w:id="400">
    <w:p w:rsidR="003D54BB" w:rsidRDefault="003D54BB" w:rsidP="00333C13">
      <w:pPr>
        <w:pStyle w:val="Testonotaapidipagina"/>
        <w:jc w:val="both"/>
      </w:pPr>
      <w:r>
        <w:rPr>
          <w:rStyle w:val="Rimandonotaapidipagina"/>
        </w:rPr>
        <w:footnoteRef/>
      </w:r>
      <w:r>
        <w:t xml:space="preserve"> Il Tribunale ha citato numerosi precedenti al fine di avallare la sua tesi. Tra questi sembra interessante menzionare la sentenza arbitrale resa nel caso </w:t>
      </w:r>
      <w:r>
        <w:rPr>
          <w:i/>
        </w:rPr>
        <w:t>Mondev International Ltd. v. United States of America</w:t>
      </w:r>
      <w:r>
        <w:t xml:space="preserve"> l’11 ottobre 2002, par. 136.</w:t>
      </w:r>
    </w:p>
  </w:footnote>
  <w:footnote w:id="401">
    <w:p w:rsidR="003D54BB" w:rsidRDefault="003D54BB" w:rsidP="00333C13">
      <w:pPr>
        <w:pStyle w:val="Testonotaapidipagina"/>
        <w:jc w:val="both"/>
      </w:pPr>
      <w:r>
        <w:rPr>
          <w:rStyle w:val="Rimandonotaapidipagina"/>
        </w:rPr>
        <w:footnoteRef/>
      </w:r>
      <w:r>
        <w:t xml:space="preserve"> Al fine di evidenziare che la non attribuzione allo Stato dei fatti </w:t>
      </w:r>
      <w:r>
        <w:rPr>
          <w:i/>
        </w:rPr>
        <w:t>ultra vires</w:t>
      </w:r>
      <w:r>
        <w:t xml:space="preserve"> dei propri organi nell’ordinamento interno non implica la medesima cosa in quello internazionale, il Tribunale ha fatto riferimento anche a quanto affermato nella sentenza resa nel caso </w:t>
      </w:r>
      <w:r>
        <w:rPr>
          <w:i/>
        </w:rPr>
        <w:t>Elettronica Sicula, S.P.A. (ELSI)(U.S. v. Italy), I.C.J. Reports</w:t>
      </w:r>
      <w:r>
        <w:t xml:space="preserve">, 1989, p. 270, par. 124. </w:t>
      </w:r>
    </w:p>
  </w:footnote>
  <w:footnote w:id="402">
    <w:p w:rsidR="003D54BB" w:rsidRDefault="003D54BB" w:rsidP="00333C13">
      <w:pPr>
        <w:pStyle w:val="Testonotaapidipagina"/>
        <w:jc w:val="both"/>
        <w:rPr>
          <w:lang w:val="en-US"/>
        </w:rPr>
      </w:pPr>
      <w:r>
        <w:rPr>
          <w:rStyle w:val="Rimandonotaapidipagina"/>
        </w:rPr>
        <w:footnoteRef/>
      </w:r>
      <w:r>
        <w:rPr>
          <w:lang w:val="en-US"/>
        </w:rPr>
        <w:t xml:space="preserve"> </w:t>
      </w:r>
      <w:r>
        <w:rPr>
          <w:i/>
          <w:lang w:val="en-US"/>
        </w:rPr>
        <w:t>ICSID Review— Foreign Investment Law Journa</w:t>
      </w:r>
      <w:r>
        <w:rPr>
          <w:lang w:val="en-US"/>
        </w:rPr>
        <w:t>l, 2003, p. 283, par. 190.</w:t>
      </w:r>
    </w:p>
  </w:footnote>
  <w:footnote w:id="403">
    <w:p w:rsidR="003D54BB" w:rsidRDefault="003D54BB" w:rsidP="00F408DF">
      <w:pPr>
        <w:pStyle w:val="Testonotaapidipagina"/>
        <w:rPr>
          <w:lang w:val="en-US"/>
        </w:rPr>
      </w:pPr>
      <w:r>
        <w:rPr>
          <w:rStyle w:val="Rimandonotaapidipagina"/>
        </w:rPr>
        <w:footnoteRef/>
      </w:r>
      <w:r>
        <w:rPr>
          <w:lang w:val="en-US"/>
        </w:rPr>
        <w:t xml:space="preserve"> </w:t>
      </w:r>
      <w:r>
        <w:rPr>
          <w:rFonts w:ascii="Times New Roman" w:hAnsi="Times New Roman"/>
          <w:sz w:val="17"/>
          <w:szCs w:val="17"/>
          <w:lang w:val="en-US" w:eastAsia="it-IT"/>
        </w:rPr>
        <w:t xml:space="preserve"> </w:t>
      </w:r>
      <w:r>
        <w:rPr>
          <w:lang w:val="en-US"/>
        </w:rPr>
        <w:t xml:space="preserve">ICSID, </w:t>
      </w:r>
      <w:r>
        <w:rPr>
          <w:i/>
          <w:lang w:val="en-US"/>
        </w:rPr>
        <w:t>Noble Ventures, Inc. v. Romania</w:t>
      </w:r>
      <w:r>
        <w:rPr>
          <w:lang w:val="en-US"/>
        </w:rPr>
        <w:t xml:space="preserve">, </w:t>
      </w:r>
      <w:r>
        <w:rPr>
          <w:i/>
          <w:lang w:val="en-US"/>
        </w:rPr>
        <w:t>Case</w:t>
      </w:r>
      <w:r>
        <w:rPr>
          <w:lang w:val="en-US"/>
        </w:rPr>
        <w:t xml:space="preserve"> No. ARB/01/11, sentenza del 12/10/2005.</w:t>
      </w:r>
    </w:p>
  </w:footnote>
  <w:footnote w:id="404">
    <w:p w:rsidR="003D54BB" w:rsidRDefault="003D54BB" w:rsidP="00F408DF">
      <w:pPr>
        <w:pStyle w:val="Testonotaapidipagina"/>
        <w:jc w:val="both"/>
        <w:rPr>
          <w:lang w:val="en-US"/>
        </w:rPr>
      </w:pPr>
      <w:r>
        <w:rPr>
          <w:rStyle w:val="Rimandonotaapidipagina"/>
        </w:rPr>
        <w:footnoteRef/>
      </w:r>
      <w:r>
        <w:rPr>
          <w:lang w:val="en-US"/>
        </w:rPr>
        <w:t xml:space="preserve"> </w:t>
      </w:r>
      <w:r w:rsidRPr="008D12A7">
        <w:rPr>
          <w:lang w:val="en-US"/>
        </w:rPr>
        <w:t>“Just as SOF’s actions are attributable to Romania, so too its contractual obligations are also obligations of Romania for the purpose of determining Romania’s liability under international law”.</w:t>
      </w:r>
      <w:r>
        <w:rPr>
          <w:lang w:val="en-US"/>
        </w:rPr>
        <w:t xml:space="preserve"> Cfr. par. 65 della sentenza.</w:t>
      </w:r>
    </w:p>
  </w:footnote>
  <w:footnote w:id="405">
    <w:p w:rsidR="003D54BB" w:rsidRPr="00B73B3E" w:rsidRDefault="003D54BB" w:rsidP="00F408DF">
      <w:pPr>
        <w:pStyle w:val="Testonotaapidipagina"/>
        <w:jc w:val="both"/>
      </w:pPr>
      <w:r>
        <w:rPr>
          <w:rStyle w:val="Rimandonotaapidipagina"/>
        </w:rPr>
        <w:footnoteRef/>
      </w:r>
      <w:r>
        <w:rPr>
          <w:lang w:val="en-US"/>
        </w:rPr>
        <w:t xml:space="preserve"> </w:t>
      </w:r>
      <w:r w:rsidRPr="008D12A7">
        <w:rPr>
          <w:lang w:val="en-US"/>
        </w:rPr>
        <w:t>“In the judgment of the Tribunal, no relevant legal distinction is to be drawn between SOF/APAPS, on the one hand, and a government ministry, on the other hand, when the one or the other acted as the empowered public institution under the Privatization Law”.</w:t>
      </w:r>
      <w:r>
        <w:rPr>
          <w:lang w:val="en-US"/>
        </w:rPr>
        <w:t xml:space="preserve">  </w:t>
      </w:r>
      <w:r w:rsidRPr="00B73B3E">
        <w:t>Cfr. par. 79 della sentenza.</w:t>
      </w:r>
    </w:p>
  </w:footnote>
  <w:footnote w:id="406">
    <w:p w:rsidR="003D54BB" w:rsidRPr="00B73B3E" w:rsidRDefault="003D54BB" w:rsidP="00EA6B41">
      <w:pPr>
        <w:pStyle w:val="Testonotaapidipagina"/>
        <w:jc w:val="both"/>
      </w:pPr>
      <w:r>
        <w:rPr>
          <w:rStyle w:val="Rimandonotaapidipagina"/>
        </w:rPr>
        <w:footnoteRef/>
      </w:r>
      <w:r w:rsidRPr="00B73B3E">
        <w:t xml:space="preserve"> Paragrafo 81 della sentenza.</w:t>
      </w:r>
    </w:p>
  </w:footnote>
  <w:footnote w:id="407">
    <w:p w:rsidR="003D54BB" w:rsidRPr="00B73B3E" w:rsidRDefault="003D54BB" w:rsidP="00EA6B41">
      <w:pPr>
        <w:pStyle w:val="Testonotaapidipagina"/>
        <w:jc w:val="both"/>
      </w:pPr>
      <w:r>
        <w:rPr>
          <w:rStyle w:val="Rimandonotaapidipagina"/>
        </w:rPr>
        <w:footnoteRef/>
      </w:r>
      <w:r w:rsidRPr="00B73B3E">
        <w:t xml:space="preserve"> ICSID, </w:t>
      </w:r>
      <w:r w:rsidRPr="00B73B3E">
        <w:rPr>
          <w:i/>
        </w:rPr>
        <w:t>Kardassopoulos v. Georgia</w:t>
      </w:r>
      <w:r w:rsidRPr="00B73B3E">
        <w:t>, Case No ARB/05/18, sentenza 6/07/2007.</w:t>
      </w:r>
    </w:p>
  </w:footnote>
  <w:footnote w:id="408">
    <w:p w:rsidR="003D54BB" w:rsidRDefault="003D54BB" w:rsidP="003F6C7D">
      <w:pPr>
        <w:pStyle w:val="Testonotaapidipagina"/>
        <w:jc w:val="both"/>
      </w:pPr>
      <w:r>
        <w:rPr>
          <w:rStyle w:val="Rimandonotaapidipagina"/>
        </w:rPr>
        <w:footnoteRef/>
      </w:r>
      <w:r>
        <w:t xml:space="preserve"> Paragrafi 189-194 della sentenza.</w:t>
      </w:r>
    </w:p>
  </w:footnote>
  <w:footnote w:id="409">
    <w:p w:rsidR="003D54BB" w:rsidRDefault="003D54BB" w:rsidP="00623415">
      <w:pPr>
        <w:pStyle w:val="Testonotaapidipagina"/>
        <w:jc w:val="both"/>
      </w:pPr>
      <w:r>
        <w:rPr>
          <w:rStyle w:val="Rimandonotaapidipagina"/>
        </w:rPr>
        <w:footnoteRef/>
      </w:r>
      <w:r>
        <w:t xml:space="preserve"> Vedi </w:t>
      </w:r>
      <w:r w:rsidRPr="00623415">
        <w:rPr>
          <w:i/>
        </w:rPr>
        <w:t>supra</w:t>
      </w:r>
      <w:r>
        <w:t>, p. 151 ss.</w:t>
      </w:r>
    </w:p>
  </w:footnote>
  <w:footnote w:id="410">
    <w:p w:rsidR="003D54BB" w:rsidRPr="004B4B8A" w:rsidRDefault="003D54BB" w:rsidP="00623415">
      <w:pPr>
        <w:pStyle w:val="Testonotaapidipagina"/>
        <w:jc w:val="both"/>
        <w:rPr>
          <w:lang w:val="en-US"/>
        </w:rPr>
      </w:pPr>
      <w:r>
        <w:rPr>
          <w:rStyle w:val="Rimandonotaapidipagina"/>
        </w:rPr>
        <w:footnoteRef/>
      </w:r>
      <w:r w:rsidRPr="004B4B8A">
        <w:rPr>
          <w:lang w:val="en-US"/>
        </w:rPr>
        <w:t xml:space="preserve"> ICSID, </w:t>
      </w:r>
      <w:r w:rsidRPr="004B4B8A">
        <w:rPr>
          <w:i/>
          <w:lang w:val="en-US"/>
        </w:rPr>
        <w:t>Siag and Vecchi v. Egypt</w:t>
      </w:r>
      <w:r w:rsidRPr="004B4B8A">
        <w:rPr>
          <w:lang w:val="en-US"/>
        </w:rPr>
        <w:t>, Case No ARB/05/15, sentenza 11/5/2009.</w:t>
      </w:r>
    </w:p>
  </w:footnote>
  <w:footnote w:id="411">
    <w:p w:rsidR="003D54BB" w:rsidRPr="00253730" w:rsidRDefault="003D54BB" w:rsidP="003F6C7D">
      <w:pPr>
        <w:pStyle w:val="Testonotaapidipagina"/>
        <w:jc w:val="both"/>
        <w:rPr>
          <w:lang w:val="en-US"/>
        </w:rPr>
      </w:pPr>
      <w:r>
        <w:rPr>
          <w:rStyle w:val="Rimandonotaapidipagina"/>
        </w:rPr>
        <w:footnoteRef/>
      </w:r>
      <w:r w:rsidRPr="00DF3A44">
        <w:rPr>
          <w:lang w:val="en-US"/>
        </w:rPr>
        <w:t xml:space="preserve"> </w:t>
      </w:r>
      <w:r w:rsidRPr="00FD7309">
        <w:rPr>
          <w:lang w:val="en-US"/>
        </w:rPr>
        <w:t>“Egypt submitted that Article 4 holds a State responsible only for the acts of its organs; it does not expect a State to have knowledge of every act carried out by those organs. In other words, Egypt claimed that, while it could be held responsible for the wrongful acts of its judiciary, it could not be expected to be aware of all the non-wrongful acts of its organs. The Claimants asserted that Article 4 was a general principle of international law, which was not limited to the wrongful acts of a state organ”.</w:t>
      </w:r>
      <w:r>
        <w:rPr>
          <w:lang w:val="en-US"/>
        </w:rPr>
        <w:t xml:space="preserve"> </w:t>
      </w:r>
      <w:r w:rsidRPr="00253730">
        <w:rPr>
          <w:lang w:val="en-US"/>
        </w:rPr>
        <w:t>Cfr. paragrafo 194 della sentenza.</w:t>
      </w:r>
    </w:p>
  </w:footnote>
  <w:footnote w:id="412">
    <w:p w:rsidR="003D54BB" w:rsidRPr="00253730" w:rsidRDefault="003D54BB" w:rsidP="00EA6B41">
      <w:pPr>
        <w:autoSpaceDE w:val="0"/>
        <w:autoSpaceDN w:val="0"/>
        <w:adjustRightInd w:val="0"/>
        <w:spacing w:after="0" w:line="240" w:lineRule="auto"/>
        <w:jc w:val="both"/>
        <w:rPr>
          <w:lang w:val="en-US"/>
        </w:rPr>
      </w:pPr>
      <w:r>
        <w:rPr>
          <w:rStyle w:val="Rimandonotaapidipagina"/>
        </w:rPr>
        <w:footnoteRef/>
      </w:r>
      <w:r w:rsidRPr="00253730">
        <w:rPr>
          <w:lang w:val="en-US"/>
        </w:rPr>
        <w:t xml:space="preserve"> </w:t>
      </w:r>
      <w:r w:rsidRPr="00253730">
        <w:rPr>
          <w:i/>
          <w:lang w:val="en-US"/>
        </w:rPr>
        <w:t>Ibid</w:t>
      </w:r>
      <w:r w:rsidRPr="00253730">
        <w:rPr>
          <w:lang w:val="en-US"/>
        </w:rPr>
        <w:t>., par. 195 della sentenza.</w:t>
      </w:r>
    </w:p>
  </w:footnote>
  <w:footnote w:id="413">
    <w:p w:rsidR="003D54BB" w:rsidRPr="00253730" w:rsidRDefault="003D54BB">
      <w:pPr>
        <w:pStyle w:val="Testonotaapidipagina"/>
        <w:rPr>
          <w:lang w:val="en-US"/>
        </w:rPr>
      </w:pPr>
      <w:r>
        <w:rPr>
          <w:rStyle w:val="Rimandonotaapidipagina"/>
        </w:rPr>
        <w:footnoteRef/>
      </w:r>
      <w:r w:rsidRPr="00253730">
        <w:rPr>
          <w:lang w:val="en-US"/>
        </w:rPr>
        <w:t xml:space="preserve"> </w:t>
      </w:r>
      <w:r w:rsidRPr="00253730">
        <w:rPr>
          <w:i/>
          <w:lang w:val="en-US"/>
        </w:rPr>
        <w:t>CEDH, Série A: Arr</w:t>
      </w:r>
      <w:r w:rsidRPr="00253730">
        <w:rPr>
          <w:rFonts w:cstheme="minorHAnsi"/>
          <w:i/>
          <w:lang w:val="en-US"/>
        </w:rPr>
        <w:t>ê</w:t>
      </w:r>
      <w:r w:rsidRPr="00253730">
        <w:rPr>
          <w:i/>
          <w:lang w:val="en-US"/>
        </w:rPr>
        <w:t>ts et décisions</w:t>
      </w:r>
      <w:r w:rsidRPr="00253730">
        <w:rPr>
          <w:lang w:val="en-US"/>
        </w:rPr>
        <w:t>, vol. 25.</w:t>
      </w:r>
    </w:p>
  </w:footnote>
  <w:footnote w:id="414">
    <w:p w:rsidR="003D54BB" w:rsidRPr="00B42056" w:rsidRDefault="003D54BB" w:rsidP="00333C13">
      <w:pPr>
        <w:pStyle w:val="Testonotaapidipagina"/>
        <w:jc w:val="both"/>
        <w:rPr>
          <w:lang w:val="nl-NL"/>
        </w:rPr>
      </w:pPr>
      <w:r>
        <w:rPr>
          <w:rStyle w:val="Rimandonotaapidipagina"/>
        </w:rPr>
        <w:footnoteRef/>
      </w:r>
      <w:r w:rsidRPr="00B42056">
        <w:rPr>
          <w:lang w:val="nl-NL"/>
        </w:rPr>
        <w:t xml:space="preserve"> </w:t>
      </w:r>
      <w:r w:rsidRPr="00B42056">
        <w:rPr>
          <w:i/>
          <w:lang w:val="nl-NL"/>
        </w:rPr>
        <w:t>CEDH Mém</w:t>
      </w:r>
      <w:r w:rsidRPr="00B42056">
        <w:rPr>
          <w:lang w:val="nl-NL"/>
        </w:rPr>
        <w:t>., vol. 23-I, pp. 266-280.</w:t>
      </w:r>
    </w:p>
  </w:footnote>
  <w:footnote w:id="415">
    <w:p w:rsidR="003D54BB" w:rsidRPr="00931E7A" w:rsidRDefault="003D54BB" w:rsidP="00333C13">
      <w:pPr>
        <w:pStyle w:val="Testonotaapidipagina"/>
        <w:jc w:val="both"/>
        <w:rPr>
          <w:lang w:val="fr-FR"/>
        </w:rPr>
      </w:pPr>
      <w:r>
        <w:rPr>
          <w:rStyle w:val="Rimandonotaapidipagina"/>
        </w:rPr>
        <w:footnoteRef/>
      </w:r>
      <w:r w:rsidRPr="00931E7A">
        <w:rPr>
          <w:i/>
          <w:lang w:val="nl-NL"/>
        </w:rPr>
        <w:t>CEDH</w:t>
      </w:r>
      <w:r w:rsidRPr="00931E7A">
        <w:rPr>
          <w:lang w:val="nl-NL"/>
        </w:rPr>
        <w:t xml:space="preserve"> </w:t>
      </w:r>
      <w:r w:rsidRPr="00931E7A">
        <w:rPr>
          <w:i/>
          <w:lang w:val="nl-NL"/>
        </w:rPr>
        <w:t>Mém</w:t>
      </w:r>
      <w:r w:rsidRPr="00931E7A">
        <w:rPr>
          <w:lang w:val="nl-NL"/>
        </w:rPr>
        <w:t xml:space="preserve">., vol. 23-I, pp. 354-355. </w:t>
      </w:r>
      <w:r w:rsidRPr="00931E7A">
        <w:t xml:space="preserve">Il Governo britannico ha inoltre affermato che, se la Commissione lo avesse ritenuto responsabile della violazione dell’art. 3 sulla base di alcune condotte non autorizzate tenute dai propri organi, nonostante avesse fatto il possibile per evitarle, si sarebbe giunti </w:t>
      </w:r>
      <w:r w:rsidRPr="000A7AA7">
        <w:t>a “un résultat …injuste et [qui] irait à l’encontre du sens commun”</w:t>
      </w:r>
      <w:r w:rsidRPr="00931E7A">
        <w:t xml:space="preserve">. </w:t>
      </w:r>
      <w:r w:rsidRPr="00931E7A">
        <w:rPr>
          <w:i/>
          <w:lang w:val="fr-FR"/>
        </w:rPr>
        <w:t>Ibid</w:t>
      </w:r>
      <w:r w:rsidRPr="00931E7A">
        <w:rPr>
          <w:lang w:val="fr-FR"/>
        </w:rPr>
        <w:t>., p. 354.</w:t>
      </w:r>
    </w:p>
  </w:footnote>
  <w:footnote w:id="416">
    <w:p w:rsidR="003D54BB" w:rsidRPr="00276B77" w:rsidRDefault="003D54BB" w:rsidP="00333C13">
      <w:pPr>
        <w:pStyle w:val="Testonotaapidipagina"/>
        <w:jc w:val="both"/>
      </w:pPr>
      <w:r w:rsidRPr="000A7AA7">
        <w:rPr>
          <w:rStyle w:val="Rimandonotaapidipagina"/>
        </w:rPr>
        <w:footnoteRef/>
      </w:r>
      <w:r w:rsidRPr="000A7AA7">
        <w:rPr>
          <w:lang w:val="fr-FR"/>
        </w:rPr>
        <w:t xml:space="preserve"> “…on ne pourrait le juger coupable d’une violation de l’article 3 que si l’on avait prouvé qu’il était en tort. La culpabilité serait le critère-clé. Il devrait, par l’intermédiaire d’agents appropriés, avoir agi avec une intention coupable en violant l’article 3 soit en donnant des ordres directs, peut-</w:t>
      </w:r>
      <w:r w:rsidRPr="000A7AA7">
        <w:rPr>
          <w:rFonts w:cstheme="minorHAnsi"/>
          <w:lang w:val="fr-FR"/>
        </w:rPr>
        <w:t>ê</w:t>
      </w:r>
      <w:r w:rsidRPr="000A7AA7">
        <w:rPr>
          <w:lang w:val="fr-FR"/>
        </w:rPr>
        <w:t>tre sous la couverture d’ordres fictifs, soit en fermant délibérément les yeux sur ce qui se passait</w:t>
      </w:r>
      <w:r w:rsidRPr="000A7AA7">
        <w:rPr>
          <w:sz w:val="22"/>
          <w:szCs w:val="22"/>
          <w:lang w:val="fr-FR"/>
        </w:rPr>
        <w:t>”.</w:t>
      </w:r>
      <w:r>
        <w:rPr>
          <w:sz w:val="22"/>
          <w:szCs w:val="22"/>
          <w:lang w:val="fr-FR"/>
        </w:rPr>
        <w:t xml:space="preserve"> </w:t>
      </w:r>
      <w:r w:rsidRPr="00276B77">
        <w:rPr>
          <w:i/>
          <w:sz w:val="22"/>
          <w:szCs w:val="22"/>
        </w:rPr>
        <w:t>Ibid</w:t>
      </w:r>
      <w:r w:rsidRPr="00276B77">
        <w:rPr>
          <w:sz w:val="22"/>
          <w:szCs w:val="22"/>
        </w:rPr>
        <w:t>., pp. 351-352.</w:t>
      </w:r>
    </w:p>
  </w:footnote>
  <w:footnote w:id="417">
    <w:p w:rsidR="003D54BB" w:rsidRPr="009B2C85" w:rsidRDefault="003D54BB" w:rsidP="00CC75B2">
      <w:pPr>
        <w:pStyle w:val="Testonotaapidipagina"/>
        <w:jc w:val="both"/>
      </w:pPr>
      <w:r>
        <w:rPr>
          <w:rStyle w:val="Rimandonotaapidipagina"/>
        </w:rPr>
        <w:footnoteRef/>
      </w:r>
      <w:r w:rsidRPr="00276B77">
        <w:t xml:space="preserve"> </w:t>
      </w:r>
      <w:r w:rsidRPr="00276B77">
        <w:rPr>
          <w:i/>
        </w:rPr>
        <w:t>Ibid</w:t>
      </w:r>
      <w:r w:rsidRPr="00276B77">
        <w:t xml:space="preserve">., pp. 377-378. </w:t>
      </w:r>
      <w:r w:rsidRPr="009B2C85">
        <w:t xml:space="preserve">Sembra opportuno sottolineare che con grande probabilità </w:t>
      </w:r>
      <w:r>
        <w:t xml:space="preserve">l’Irlanda ha citato </w:t>
      </w:r>
      <w:r w:rsidRPr="009B2C85">
        <w:t xml:space="preserve">l’art. </w:t>
      </w:r>
      <w:r>
        <w:t xml:space="preserve">5 del progetto di articoli della CDI, riguardante in generale l’attribuzione allo Stato dei fatti degli organi, perché non era ancora stata adottata dalla Commissione la disposizione che enunciapiù specificamente  il </w:t>
      </w:r>
      <w:r w:rsidRPr="00CC75B2">
        <w:t xml:space="preserve">principio dell’attribuzione allo Stato dei fatti </w:t>
      </w:r>
      <w:r w:rsidRPr="00CC75B2">
        <w:rPr>
          <w:i/>
        </w:rPr>
        <w:t>ultra vires</w:t>
      </w:r>
      <w:r w:rsidRPr="00CC75B2">
        <w:t xml:space="preserve"> dei propri organi</w:t>
      </w:r>
      <w:r>
        <w:t>.</w:t>
      </w:r>
    </w:p>
  </w:footnote>
  <w:footnote w:id="418">
    <w:p w:rsidR="003D54BB" w:rsidRPr="00276B77" w:rsidRDefault="003D54BB" w:rsidP="00CC75B2">
      <w:pPr>
        <w:pStyle w:val="Testonotaapidipagina"/>
        <w:jc w:val="both"/>
      </w:pPr>
      <w:r>
        <w:rPr>
          <w:rStyle w:val="Rimandonotaapidipagina"/>
        </w:rPr>
        <w:footnoteRef/>
      </w:r>
      <w:r w:rsidRPr="00276B77">
        <w:t xml:space="preserve"> </w:t>
      </w:r>
      <w:r w:rsidRPr="00276B77">
        <w:rPr>
          <w:i/>
        </w:rPr>
        <w:t>Ibid</w:t>
      </w:r>
      <w:r w:rsidRPr="00276B77">
        <w:t>., p. 394.</w:t>
      </w:r>
    </w:p>
  </w:footnote>
  <w:footnote w:id="419">
    <w:p w:rsidR="003D54BB" w:rsidRPr="00276B77" w:rsidRDefault="003D54BB" w:rsidP="009D5405">
      <w:pPr>
        <w:pStyle w:val="Testonotaapidipagina"/>
        <w:jc w:val="both"/>
      </w:pPr>
      <w:r>
        <w:rPr>
          <w:rStyle w:val="Rimandonotaapidipagina"/>
        </w:rPr>
        <w:footnoteRef/>
      </w:r>
      <w:r w:rsidRPr="000D4963">
        <w:t xml:space="preserve"> Nonostante il rapporto della Commissione riconoscesse la responsabilità internazionale del Regno Unito per la violazione di numerose disposizioni della Convenzione europea, l’Irlanda ha adito la Corte con il fine “d’assurer le respect, en Irlande du Nord, des engagements assumés par le gouvernement défendeur en qualité de Partie à la Convention […] </w:t>
      </w:r>
      <w:r w:rsidRPr="00534FA7">
        <w:rPr>
          <w:lang w:val="fr-FR"/>
        </w:rPr>
        <w:t>A cette fin, elle invite la Cour, à examiner le rapport de la Commission, confirmer l’avis de cette dernière selon lequel ont eu lieu des violations de la Convention, examiner les thèses du gouvernement requérant quant à d’autres violations alléguées et constater toute violation de la Convention dont la Cour se sera convaincue</w:t>
      </w:r>
      <w:r>
        <w:rPr>
          <w:sz w:val="22"/>
          <w:szCs w:val="22"/>
          <w:lang w:val="fr-FR"/>
        </w:rPr>
        <w:t>”</w:t>
      </w:r>
      <w:r>
        <w:rPr>
          <w:lang w:val="fr-FR"/>
        </w:rPr>
        <w:t xml:space="preserve">. </w:t>
      </w:r>
      <w:r>
        <w:t>Cfr. p</w:t>
      </w:r>
      <w:r w:rsidRPr="00276B77">
        <w:t>aragrafo 148 della sentenza.</w:t>
      </w:r>
    </w:p>
  </w:footnote>
  <w:footnote w:id="420">
    <w:p w:rsidR="003D54BB" w:rsidRPr="00276B77" w:rsidRDefault="003D54BB" w:rsidP="009D5405">
      <w:pPr>
        <w:pStyle w:val="Testonotaapidipagina"/>
        <w:jc w:val="both"/>
      </w:pPr>
      <w:r>
        <w:rPr>
          <w:rStyle w:val="Rimandonotaapidipagina"/>
        </w:rPr>
        <w:footnoteRef/>
      </w:r>
      <w:r>
        <w:t xml:space="preserve"> Cfr. p</w:t>
      </w:r>
      <w:r w:rsidRPr="00276B77">
        <w:t>aragrafo 152 della sentenza.</w:t>
      </w:r>
    </w:p>
  </w:footnote>
  <w:footnote w:id="421">
    <w:p w:rsidR="003D54BB" w:rsidRPr="00276B77" w:rsidRDefault="003D54BB" w:rsidP="00333C13">
      <w:pPr>
        <w:pStyle w:val="Testonotaapidipagina"/>
        <w:jc w:val="both"/>
      </w:pPr>
      <w:r>
        <w:rPr>
          <w:rStyle w:val="Rimandonotaapidipagina"/>
        </w:rPr>
        <w:footnoteRef/>
      </w:r>
      <w:r w:rsidRPr="00276B77">
        <w:t xml:space="preserve"> </w:t>
      </w:r>
      <w:r w:rsidRPr="00276B77">
        <w:rPr>
          <w:i/>
        </w:rPr>
        <w:t>CEDH</w:t>
      </w:r>
      <w:r w:rsidRPr="00276B77">
        <w:t xml:space="preserve">, Série A: </w:t>
      </w:r>
      <w:r w:rsidRPr="00276B77">
        <w:rPr>
          <w:i/>
        </w:rPr>
        <w:t>Arr</w:t>
      </w:r>
      <w:r w:rsidRPr="00276B77">
        <w:rPr>
          <w:rFonts w:cstheme="minorHAnsi"/>
          <w:i/>
        </w:rPr>
        <w:t>ê</w:t>
      </w:r>
      <w:r w:rsidRPr="00276B77">
        <w:rPr>
          <w:i/>
        </w:rPr>
        <w:t>ts et décisions</w:t>
      </w:r>
      <w:r w:rsidRPr="00276B77">
        <w:t>, vol. 25, p. 64, par. 159.</w:t>
      </w:r>
    </w:p>
  </w:footnote>
  <w:footnote w:id="422">
    <w:p w:rsidR="003D54BB" w:rsidRDefault="003D54BB" w:rsidP="00171972">
      <w:pPr>
        <w:pStyle w:val="Testonotaapidipagina"/>
        <w:jc w:val="both"/>
      </w:pPr>
      <w:r>
        <w:rPr>
          <w:rStyle w:val="Rimandonotaapidipagina"/>
        </w:rPr>
        <w:footnoteRef/>
      </w:r>
      <w:r>
        <w:t xml:space="preserve"> Caso </w:t>
      </w:r>
      <w:r w:rsidRPr="00890F5A">
        <w:rPr>
          <w:i/>
        </w:rPr>
        <w:t>Assanidze c. Georgia</w:t>
      </w:r>
      <w:r>
        <w:t>, decisione di merito, ricorso n.</w:t>
      </w:r>
      <w:r w:rsidRPr="009D5405">
        <w:t xml:space="preserve"> </w:t>
      </w:r>
      <w:r>
        <w:t>7</w:t>
      </w:r>
      <w:r w:rsidRPr="009D5405">
        <w:t>1503/01</w:t>
      </w:r>
      <w:r>
        <w:t>, resa dalla Corte riunita nella Grande Camera l’8 aprile 2004.</w:t>
      </w:r>
    </w:p>
  </w:footnote>
  <w:footnote w:id="423">
    <w:p w:rsidR="003D54BB" w:rsidRPr="0062722C" w:rsidRDefault="003D54BB" w:rsidP="00171972">
      <w:pPr>
        <w:pStyle w:val="Testonotaapidipagina"/>
        <w:jc w:val="both"/>
        <w:rPr>
          <w:lang w:val="en-US"/>
        </w:rPr>
      </w:pPr>
      <w:r>
        <w:rPr>
          <w:rStyle w:val="Rimandonotaapidipagina"/>
        </w:rPr>
        <w:footnoteRef/>
      </w:r>
      <w:r w:rsidRPr="0062722C">
        <w:rPr>
          <w:lang w:val="en-US"/>
        </w:rPr>
        <w:t xml:space="preserve"> </w:t>
      </w:r>
      <w:r w:rsidRPr="0062722C">
        <w:rPr>
          <w:i/>
          <w:lang w:val="en-US"/>
        </w:rPr>
        <w:t>Ibid</w:t>
      </w:r>
      <w:r w:rsidRPr="0062722C">
        <w:rPr>
          <w:lang w:val="en-US"/>
        </w:rPr>
        <w:t>., p. 3, parr. 133-134.</w:t>
      </w:r>
    </w:p>
  </w:footnote>
  <w:footnote w:id="424">
    <w:p w:rsidR="003D54BB" w:rsidRPr="00F40C72" w:rsidRDefault="003D54BB" w:rsidP="00171972">
      <w:pPr>
        <w:pStyle w:val="Testonotaapidipagina"/>
        <w:jc w:val="both"/>
      </w:pPr>
      <w:r>
        <w:rPr>
          <w:rStyle w:val="Rimandonotaapidipagina"/>
        </w:rPr>
        <w:footnoteRef/>
      </w:r>
      <w:r w:rsidRPr="0065499E">
        <w:rPr>
          <w:lang w:val="en-US"/>
        </w:rPr>
        <w:t xml:space="preserve"> “</w:t>
      </w:r>
      <w:r w:rsidRPr="00BE043F">
        <w:rPr>
          <w:lang w:val="en-US"/>
        </w:rPr>
        <w:t>Despite the malfunctioning of parts of the State machinery in Georgia and the existence  of territories with special status, the Ajarian Autonomous Republic is in law subject to the control of the Georgian State. The relationship existing between the local Ajarian authorities and the central government is such that only a failing on the part of the latter could make the continued breach of the provision of the Convention at the local level possible”.</w:t>
      </w:r>
      <w:r>
        <w:rPr>
          <w:lang w:val="en-US"/>
        </w:rPr>
        <w:t xml:space="preserve"> </w:t>
      </w:r>
      <w:r w:rsidRPr="00F40C72">
        <w:rPr>
          <w:i/>
        </w:rPr>
        <w:t>Ibid</w:t>
      </w:r>
      <w:r w:rsidRPr="00F40C72">
        <w:t>., p. 33, par. 147.</w:t>
      </w:r>
    </w:p>
  </w:footnote>
  <w:footnote w:id="425">
    <w:p w:rsidR="003D54BB" w:rsidRDefault="003D54BB" w:rsidP="00171972">
      <w:pPr>
        <w:pStyle w:val="Testonotaapidipagina"/>
        <w:jc w:val="both"/>
      </w:pPr>
      <w:r>
        <w:rPr>
          <w:rStyle w:val="Rimandonotaapidipagina"/>
        </w:rPr>
        <w:footnoteRef/>
      </w:r>
      <w:r>
        <w:t xml:space="preserve"> Nel valutare il rapporto intercorrente tra la Repubblica autonoma e lo Stato centrale, la Corte europea si è interrogata sulla possibilità che il mancato rispetto della decisione della Corte suprema fosse sintomo dell’esistenza di aspirazioni secessionistiche da parte della Repubblica autonoma. </w:t>
      </w:r>
    </w:p>
  </w:footnote>
  <w:footnote w:id="426">
    <w:p w:rsidR="003D54BB" w:rsidRDefault="003D54BB" w:rsidP="00171972">
      <w:pPr>
        <w:pStyle w:val="Testonotaapidipagina"/>
        <w:jc w:val="both"/>
      </w:pPr>
      <w:r>
        <w:rPr>
          <w:rStyle w:val="Rimandonotaapidipagina"/>
        </w:rPr>
        <w:footnoteRef/>
      </w:r>
      <w:r>
        <w:t xml:space="preserve"> </w:t>
      </w:r>
      <w:r w:rsidRPr="00F40C72">
        <w:rPr>
          <w:i/>
        </w:rPr>
        <w:t>Ibid</w:t>
      </w:r>
      <w:r>
        <w:t>., p. 33, par. 146.</w:t>
      </w:r>
    </w:p>
  </w:footnote>
  <w:footnote w:id="427">
    <w:p w:rsidR="003D54BB" w:rsidRPr="004C32A0" w:rsidRDefault="003D54BB" w:rsidP="00333C13">
      <w:pPr>
        <w:pStyle w:val="Testonotaapidipagina"/>
        <w:jc w:val="both"/>
      </w:pPr>
      <w:r>
        <w:rPr>
          <w:rStyle w:val="Rimandonotaapidipagina"/>
        </w:rPr>
        <w:footnoteRef/>
      </w:r>
      <w:r>
        <w:t xml:space="preserve"> Caso </w:t>
      </w:r>
      <w:r>
        <w:rPr>
          <w:i/>
        </w:rPr>
        <w:t>Ilascu ed altri c. Federazione Russa e Repubblica di Moldavia,</w:t>
      </w:r>
      <w:r>
        <w:t xml:space="preserve"> decisione di merito, ricorso n. 48787/99, resa dalla Corte riunita nella Grande Camera l’8 luglio 2004. Sul caso</w:t>
      </w:r>
      <w:r>
        <w:rPr>
          <w:i/>
        </w:rPr>
        <w:t xml:space="preserve"> Ilascu</w:t>
      </w:r>
      <w:r>
        <w:t xml:space="preserve"> si veda in dottrina LIJNZAAD, </w:t>
      </w:r>
      <w:r>
        <w:rPr>
          <w:i/>
        </w:rPr>
        <w:t xml:space="preserve">Trouble in Tiraspol. </w:t>
      </w:r>
      <w:r w:rsidRPr="004C32A0">
        <w:rPr>
          <w:i/>
        </w:rPr>
        <w:t>Some Reflections on the Ilascu Case and the Territorial Scope of the European Convention on Human Rights</w:t>
      </w:r>
      <w:r w:rsidRPr="004C32A0">
        <w:t xml:space="preserve">, in </w:t>
      </w:r>
      <w:r w:rsidRPr="004C32A0">
        <w:rPr>
          <w:i/>
        </w:rPr>
        <w:t>Hague Yearbook of International Law</w:t>
      </w:r>
      <w:r>
        <w:t xml:space="preserve">, 2002, pp. 17-38; NIGRO, </w:t>
      </w:r>
      <w:r>
        <w:rPr>
          <w:i/>
        </w:rPr>
        <w:t>Giurisdizione e obblighi positivi degli Stati Parti della Convenzione europea dei diritti dell’uomo: il caso Ilascu</w:t>
      </w:r>
      <w:r>
        <w:t xml:space="preserve">, </w:t>
      </w:r>
      <w:r>
        <w:rPr>
          <w:i/>
        </w:rPr>
        <w:t>Rivista di diritto internazionale</w:t>
      </w:r>
      <w:r>
        <w:t xml:space="preserve">, 2005, pp. 413-440; </w:t>
      </w:r>
    </w:p>
  </w:footnote>
  <w:footnote w:id="428">
    <w:p w:rsidR="003D54BB" w:rsidRDefault="003D54BB" w:rsidP="00333C13">
      <w:pPr>
        <w:autoSpaceDE w:val="0"/>
        <w:autoSpaceDN w:val="0"/>
        <w:adjustRightInd w:val="0"/>
        <w:spacing w:after="0" w:line="240" w:lineRule="auto"/>
        <w:jc w:val="both"/>
        <w:rPr>
          <w:sz w:val="20"/>
          <w:szCs w:val="20"/>
        </w:rPr>
      </w:pPr>
      <w:r>
        <w:rPr>
          <w:rStyle w:val="Rimandonotaapidipagina"/>
        </w:rPr>
        <w:footnoteRef/>
      </w:r>
      <w:r>
        <w:rPr>
          <w:sz w:val="20"/>
          <w:szCs w:val="20"/>
        </w:rPr>
        <w:t xml:space="preserve"> L’ipotesi presa qui in esame è quella in cui uno Stato risponde della condotta di un altro ente che ha la parvenza di uno Stato, in quanto tale comportamento è ad esso direttamente attribuibile. Diverso è invece il caso in cui uno Stato risponde del fatto illecito di un altro Stato a titolo di responsabilità per fatto altrui.</w:t>
      </w:r>
    </w:p>
  </w:footnote>
  <w:footnote w:id="429">
    <w:p w:rsidR="003D54BB" w:rsidRDefault="003D54BB">
      <w:pPr>
        <w:pStyle w:val="Testonotaapidipagina"/>
      </w:pPr>
      <w:r>
        <w:rPr>
          <w:rStyle w:val="Rimandonotaapidipagina"/>
        </w:rPr>
        <w:footnoteRef/>
      </w:r>
      <w:r>
        <w:t xml:space="preserve"> Vedi </w:t>
      </w:r>
      <w:r w:rsidRPr="00BC1714">
        <w:rPr>
          <w:i/>
        </w:rPr>
        <w:t>supra</w:t>
      </w:r>
      <w:r>
        <w:t>, p. 161 ss.</w:t>
      </w:r>
    </w:p>
  </w:footnote>
  <w:footnote w:id="430">
    <w:p w:rsidR="003D54BB" w:rsidRDefault="003D54BB" w:rsidP="00333C13">
      <w:pPr>
        <w:pStyle w:val="Testonotaapidipagina"/>
        <w:jc w:val="both"/>
      </w:pPr>
      <w:r>
        <w:rPr>
          <w:rStyle w:val="Rimandonotaapidipagina"/>
        </w:rPr>
        <w:footnoteRef/>
      </w:r>
      <w:r>
        <w:t xml:space="preserve"> Caso </w:t>
      </w:r>
      <w:r>
        <w:rPr>
          <w:i/>
        </w:rPr>
        <w:t>Ilascu ed altri c. Federazione Russa e Repubblica di Moldavia</w:t>
      </w:r>
      <w:r>
        <w:t>, decisione di merito, ricorso n. 48787/99, resa dalla Corte riunita nella Grande Camera, 8 luglio 2004, p. 75, par. 319.</w:t>
      </w:r>
    </w:p>
  </w:footnote>
  <w:footnote w:id="431">
    <w:p w:rsidR="003D54BB" w:rsidRPr="006022C8" w:rsidRDefault="003D54BB" w:rsidP="00333C13">
      <w:pPr>
        <w:pStyle w:val="Testonotaapidipagina"/>
        <w:jc w:val="both"/>
        <w:rPr>
          <w:lang w:val="en-US"/>
        </w:rPr>
      </w:pPr>
      <w:r>
        <w:rPr>
          <w:rStyle w:val="Rimandonotaapidipagina"/>
        </w:rPr>
        <w:footnoteRef/>
      </w:r>
      <w:r>
        <w:t xml:space="preserve">La Federazione Russa è stata ritenuta responsabile per le violazioni degli artt. </w:t>
      </w:r>
      <w:r w:rsidRPr="000F479A">
        <w:rPr>
          <w:lang w:val="en-US"/>
        </w:rPr>
        <w:t xml:space="preserve">3 e 5 della Convenzione europea a partire dal momento in cui aveva condotto in arresto i quattro ricorrenti nel 1992, data in cui la Convenzione non era ancora entrata in vigore per tale Stato: </w:t>
      </w:r>
      <w:r w:rsidRPr="006022C8">
        <w:rPr>
          <w:lang w:val="en-US"/>
        </w:rPr>
        <w:t>“the events which gave rise to the responsibility of the Russian Federation must be considered to include not only acts in which the agents of that State participated, like the applicants’ arrest and detention, but also their transfer into the hands of the Transdniestrian police and regime, and the subsequent ill-treatment inflicted on them by those police,</w:t>
      </w:r>
    </w:p>
    <w:p w:rsidR="003D54BB" w:rsidRPr="00931DAA" w:rsidRDefault="003D54BB" w:rsidP="00333C13">
      <w:pPr>
        <w:pStyle w:val="Testonotaapidipagina"/>
        <w:jc w:val="both"/>
      </w:pPr>
      <w:r w:rsidRPr="006022C8">
        <w:rPr>
          <w:lang w:val="en-US"/>
        </w:rPr>
        <w:t>since in acting in that way the agents of the Russian Federation were fully aware that they were handing them over to an illegal and unconstitutional regime”</w:t>
      </w:r>
      <w:r>
        <w:rPr>
          <w:lang w:val="en-US"/>
        </w:rPr>
        <w:t xml:space="preserve">. </w:t>
      </w:r>
      <w:r w:rsidRPr="00931DAA">
        <w:t>Cfr. par. 384 della sentenza.</w:t>
      </w:r>
    </w:p>
  </w:footnote>
  <w:footnote w:id="432">
    <w:p w:rsidR="003D54BB" w:rsidRDefault="003D54BB" w:rsidP="00333C13">
      <w:pPr>
        <w:pStyle w:val="Testonotaapidipagina"/>
        <w:jc w:val="both"/>
      </w:pPr>
      <w:r>
        <w:rPr>
          <w:rStyle w:val="Rimandonotaapidipagina"/>
        </w:rPr>
        <w:footnoteRef/>
      </w:r>
      <w:r>
        <w:t xml:space="preserve">  Cfr. par. 382 della sentenza.</w:t>
      </w:r>
      <w:r w:rsidRPr="004829F4">
        <w:t xml:space="preserve"> </w:t>
      </w:r>
      <w:r>
        <w:t>Oltre alla responsabilità internazionale della Russia per i comportamenti adottati dalle autorità della Transdniestria, la Corte ha affermato anche la responsabilità della Moldavia, in quanto, pur non avendo il controllo su quella parte del proprio territorio, aveva violato obblighi positivi derivanti dalla Convenzione.</w:t>
      </w:r>
    </w:p>
  </w:footnote>
  <w:footnote w:id="433">
    <w:p w:rsidR="003D54BB" w:rsidRDefault="003D54BB" w:rsidP="00333C13">
      <w:pPr>
        <w:pStyle w:val="Testonotaapidipagina"/>
        <w:jc w:val="both"/>
      </w:pPr>
      <w:r>
        <w:rPr>
          <w:rStyle w:val="Rimandonotaapidipagina"/>
        </w:rPr>
        <w:footnoteRef/>
      </w:r>
      <w:r w:rsidRPr="00931DAA">
        <w:t xml:space="preserve"> </w:t>
      </w:r>
      <w:r w:rsidRPr="00931DAA">
        <w:rPr>
          <w:i/>
        </w:rPr>
        <w:t>Ibid</w:t>
      </w:r>
      <w:r w:rsidRPr="00931DAA">
        <w:t xml:space="preserve">., p. 92, par. 392. </w:t>
      </w:r>
      <w:r>
        <w:t>Gli elementi di fatto evidenziati dalla Corte al fine di attribuire i comportamenti degli organi del regime separatista alla Federazione russa sono stati il suo determinante sostegno politico, economico e militare a tale regime, la presenza di truppe russe sul territorio governato dal regime separatista e il contributo politico e militare fornito  dalla Russia alla sua creazione.</w:t>
      </w:r>
    </w:p>
  </w:footnote>
  <w:footnote w:id="434">
    <w:p w:rsidR="003D54BB" w:rsidRDefault="003D54BB" w:rsidP="00333C13">
      <w:pPr>
        <w:pStyle w:val="Testonotaapidipagina"/>
      </w:pPr>
      <w:r>
        <w:rPr>
          <w:rStyle w:val="Rimandonotaapidipagina"/>
        </w:rPr>
        <w:footnoteRef/>
      </w:r>
      <w:r>
        <w:t xml:space="preserve"> Si veda DE HOOGH, op. cit., pp. 272-273.</w:t>
      </w:r>
    </w:p>
  </w:footnote>
  <w:footnote w:id="435">
    <w:p w:rsidR="003D54BB" w:rsidRDefault="003D54BB" w:rsidP="00333C13">
      <w:pPr>
        <w:pStyle w:val="Testonotaapidipagina"/>
        <w:jc w:val="both"/>
        <w:rPr>
          <w:lang w:val="fr-FR"/>
        </w:rPr>
      </w:pPr>
      <w:r>
        <w:rPr>
          <w:rStyle w:val="Rimandonotaapidipagina"/>
        </w:rPr>
        <w:footnoteRef/>
      </w:r>
      <w:r>
        <w:t xml:space="preserve">Cfr.  caso </w:t>
      </w:r>
      <w:r>
        <w:rPr>
          <w:i/>
        </w:rPr>
        <w:t>Velásquez Rodríguez c. Honduras</w:t>
      </w:r>
      <w:r>
        <w:t xml:space="preserve">, sentenza della Corte interamericana dei diritti dell’uomo del 29 luglio 1988. La sentenza è consultabile sul sito web della Corte al seguente link: </w:t>
      </w:r>
      <w:r w:rsidRPr="004C32A0">
        <w:t>http://www.corteidh.or.cr/docs/casos/articulos/seriec_04_esp.</w:t>
      </w:r>
      <w:r>
        <w:t xml:space="preserve"> </w:t>
      </w:r>
      <w:r>
        <w:rPr>
          <w:lang w:val="fr-FR"/>
        </w:rPr>
        <w:t xml:space="preserve">Sul caso si veda anche COHEN-JONATHAN, </w:t>
      </w:r>
      <w:r>
        <w:rPr>
          <w:i/>
          <w:lang w:val="fr-FR"/>
        </w:rPr>
        <w:t>Cour interaméricaine des droits de l’homme – l’arr</w:t>
      </w:r>
      <w:r>
        <w:rPr>
          <w:rFonts w:cstheme="minorHAnsi"/>
          <w:i/>
          <w:lang w:val="fr-FR"/>
        </w:rPr>
        <w:t>ê</w:t>
      </w:r>
      <w:r>
        <w:rPr>
          <w:i/>
          <w:lang w:val="fr-FR"/>
        </w:rPr>
        <w:t>t Velásquez</w:t>
      </w:r>
      <w:r>
        <w:rPr>
          <w:lang w:val="fr-FR"/>
        </w:rPr>
        <w:t xml:space="preserve">, </w:t>
      </w:r>
      <w:r>
        <w:rPr>
          <w:i/>
          <w:lang w:val="fr-FR"/>
        </w:rPr>
        <w:t>Revue générale de droit public</w:t>
      </w:r>
      <w:r>
        <w:rPr>
          <w:lang w:val="fr-FR"/>
        </w:rPr>
        <w:t>, 1990, pp. 455–471.</w:t>
      </w:r>
    </w:p>
  </w:footnote>
  <w:footnote w:id="436">
    <w:p w:rsidR="003D54BB" w:rsidRPr="009939C1" w:rsidRDefault="003D54BB" w:rsidP="00333C13">
      <w:pPr>
        <w:pStyle w:val="Testonotaapidipagina"/>
        <w:jc w:val="both"/>
        <w:rPr>
          <w:lang w:val="fr-FR"/>
        </w:rPr>
      </w:pPr>
      <w:r>
        <w:rPr>
          <w:rStyle w:val="Rimandonotaapidipagina"/>
        </w:rPr>
        <w:footnoteRef/>
      </w:r>
      <w:r w:rsidRPr="009939C1">
        <w:rPr>
          <w:lang w:val="fr-FR"/>
        </w:rPr>
        <w:t xml:space="preserve"> </w:t>
      </w:r>
      <w:r w:rsidRPr="009939C1">
        <w:rPr>
          <w:i/>
          <w:lang w:val="fr-FR"/>
        </w:rPr>
        <w:t>Velásquez Rodríguez Case</w:t>
      </w:r>
      <w:r w:rsidRPr="009939C1">
        <w:rPr>
          <w:lang w:val="fr-FR"/>
        </w:rPr>
        <w:t xml:space="preserve">, </w:t>
      </w:r>
      <w:r w:rsidRPr="009939C1">
        <w:rPr>
          <w:i/>
          <w:lang w:val="fr-FR"/>
        </w:rPr>
        <w:t>cit</w:t>
      </w:r>
      <w:r w:rsidRPr="009939C1">
        <w:rPr>
          <w:lang w:val="fr-FR"/>
        </w:rPr>
        <w:t>., p. 153, par. 170.</w:t>
      </w:r>
    </w:p>
  </w:footnote>
  <w:footnote w:id="437">
    <w:p w:rsidR="003D54BB" w:rsidRPr="009939C1" w:rsidRDefault="003D54BB" w:rsidP="00333C13">
      <w:pPr>
        <w:pStyle w:val="Testonotaapidipagina"/>
        <w:jc w:val="both"/>
        <w:rPr>
          <w:lang w:val="fr-FR"/>
        </w:rPr>
      </w:pPr>
      <w:r>
        <w:rPr>
          <w:rStyle w:val="Rimandonotaapidipagina"/>
        </w:rPr>
        <w:footnoteRef/>
      </w:r>
      <w:r w:rsidRPr="009939C1">
        <w:rPr>
          <w:lang w:val="fr-FR"/>
        </w:rPr>
        <w:t xml:space="preserve"> </w:t>
      </w:r>
      <w:r w:rsidRPr="009939C1">
        <w:rPr>
          <w:i/>
          <w:lang w:val="fr-FR"/>
        </w:rPr>
        <w:t>Ibid</w:t>
      </w:r>
      <w:r w:rsidRPr="009939C1">
        <w:rPr>
          <w:lang w:val="fr-FR"/>
        </w:rPr>
        <w:t>., par. 171.</w:t>
      </w:r>
    </w:p>
  </w:footnote>
  <w:footnote w:id="438">
    <w:p w:rsidR="003D54BB" w:rsidRPr="0062722C" w:rsidRDefault="003D54BB" w:rsidP="00333C13">
      <w:pPr>
        <w:pStyle w:val="Testonotaapidipagina"/>
        <w:jc w:val="both"/>
        <w:rPr>
          <w:i/>
        </w:rPr>
      </w:pPr>
      <w:r>
        <w:rPr>
          <w:rStyle w:val="Rimandonotaapidipagina"/>
        </w:rPr>
        <w:footnoteRef/>
      </w:r>
      <w:r w:rsidRPr="009939C1">
        <w:rPr>
          <w:i/>
          <w:lang w:val="fr-FR"/>
        </w:rPr>
        <w:t xml:space="preserve"> Ibid</w:t>
      </w:r>
      <w:r w:rsidRPr="009939C1">
        <w:rPr>
          <w:lang w:val="fr-FR"/>
        </w:rPr>
        <w:t xml:space="preserve">., p. 158, par. 183. </w:t>
      </w:r>
      <w:r>
        <w:rPr>
          <w:lang w:val="en-US"/>
        </w:rPr>
        <w:t xml:space="preserve">Secondo la Corte inoltre </w:t>
      </w:r>
      <w:r w:rsidRPr="00D25790">
        <w:rPr>
          <w:lang w:val="en-US"/>
        </w:rPr>
        <w:t>“violations of the Convention cannot be founded upon rules that take psychological factors into account in establishing individual culpability”.</w:t>
      </w:r>
      <w:r>
        <w:rPr>
          <w:lang w:val="en-US"/>
        </w:rPr>
        <w:t xml:space="preserve"> </w:t>
      </w:r>
      <w:r>
        <w:rPr>
          <w:i/>
        </w:rPr>
        <w:t>Ibid</w:t>
      </w:r>
      <w:r>
        <w:t xml:space="preserve">., p. 30, par. 173. La tesi secondo cui lo stato psicologico di un individuo che gode della qualità organica possa influire nel determinare se un comportamento è stato tenuto </w:t>
      </w:r>
      <w:r>
        <w:rPr>
          <w:i/>
        </w:rPr>
        <w:t>ultra vires</w:t>
      </w:r>
      <w:r>
        <w:t xml:space="preserve"> oppure nella sua qualità privata è stata sostenuta dal giudice Nieto Novia nella </w:t>
      </w:r>
      <w:r w:rsidRPr="00F93BE5">
        <w:t xml:space="preserve">sua opinione dissenziente nel caso </w:t>
      </w:r>
      <w:r w:rsidRPr="00F93BE5">
        <w:rPr>
          <w:i/>
        </w:rPr>
        <w:t>Caballero Delgado e Santana c. Colombia</w:t>
      </w:r>
      <w:r w:rsidRPr="00F93BE5">
        <w:t xml:space="preserve">, sentenza della Corte interamericana dei diritti dell’uomo dell’8 dicembre 1995, Serie C. No. 22, para. 53. In tale pronuncia, la Corte Interamericana dei diritti dell’uomo, nell’attribuire la responsabilità internazionale alla Colombia per la scomparsa di un uomo e di una donna </w:t>
      </w:r>
      <w:r>
        <w:t xml:space="preserve">per effetto del comportamento </w:t>
      </w:r>
      <w:r w:rsidRPr="00F93BE5">
        <w:t>di alcuni militari non si è soffermata a stabili</w:t>
      </w:r>
      <w:r>
        <w:t>re se gli organi statali avessero</w:t>
      </w:r>
      <w:r w:rsidRPr="00F93BE5">
        <w:t xml:space="preserve"> agito </w:t>
      </w:r>
      <w:r w:rsidRPr="00F93BE5">
        <w:rPr>
          <w:i/>
        </w:rPr>
        <w:t>ultra vires</w:t>
      </w:r>
      <w:r w:rsidRPr="00F93BE5">
        <w:t xml:space="preserve"> oppure su impulso di ordini dei propri superiori in quanto la liceitá di una condotta nell’ordinamento interno risultava ininfluente ai fini della sua attribuzione allo Stato quale soggetto del diritto</w:t>
      </w:r>
      <w:r>
        <w:t xml:space="preserve"> internazionale. Per un’analisi della giurisprudenza della Corte Interamericana dei diritti dell’uomo con riferimento alle attività </w:t>
      </w:r>
      <w:r>
        <w:rPr>
          <w:i/>
        </w:rPr>
        <w:t>ultra vires</w:t>
      </w:r>
      <w:r>
        <w:t xml:space="preserve"> degli organi statali si veda PASQUALUCCI, </w:t>
      </w:r>
      <w:r>
        <w:rPr>
          <w:i/>
        </w:rPr>
        <w:t>The Practice and Procedures of the Interamerican Court of Human Rights</w:t>
      </w:r>
      <w:r>
        <w:t>, Cambridge, 2003, pp. 223 – 225.</w:t>
      </w:r>
    </w:p>
  </w:footnote>
  <w:footnote w:id="439">
    <w:p w:rsidR="003D54BB" w:rsidRDefault="003D54BB">
      <w:pPr>
        <w:pStyle w:val="Testonotaapidipagina"/>
      </w:pPr>
      <w:r>
        <w:rPr>
          <w:rStyle w:val="Rimandonotaapidipagina"/>
        </w:rPr>
        <w:footnoteRef/>
      </w:r>
      <w:r>
        <w:t xml:space="preserve"> Vedi </w:t>
      </w:r>
      <w:r w:rsidRPr="004E376D">
        <w:rPr>
          <w:i/>
        </w:rPr>
        <w:t>supra</w:t>
      </w:r>
      <w:r>
        <w:t>, p. 161 ss.</w:t>
      </w:r>
    </w:p>
  </w:footnote>
  <w:footnote w:id="440">
    <w:p w:rsidR="003D54BB" w:rsidRDefault="003D54BB" w:rsidP="00C12659">
      <w:pPr>
        <w:pStyle w:val="Testonotaapidipagina"/>
        <w:jc w:val="both"/>
      </w:pPr>
      <w:r>
        <w:rPr>
          <w:rStyle w:val="Rimandonotaapidipagina"/>
        </w:rPr>
        <w:footnoteRef/>
      </w:r>
      <w:r>
        <w:t xml:space="preserve"> Tale eventualità è abbastanza usuale nella prassi dei paesi dell’America Latina, il cui diritto interno prevede sovente la costituzione di gruppi di privati cittadini a cui è affidato il compito di mantenere l’ordine pubblico parallelamente alle forze di polizia. Su tale questione si vedano le considerazioni di ANNONI, </w:t>
      </w:r>
      <w:r w:rsidRPr="0055094F">
        <w:rPr>
          <w:i/>
        </w:rPr>
        <w:t>La responsabilità internazionale dello Stato per le sparizioni forzate</w:t>
      </w:r>
      <w:r>
        <w:t xml:space="preserve">, </w:t>
      </w:r>
      <w:r>
        <w:rPr>
          <w:i/>
        </w:rPr>
        <w:t>Rivista di diritto internazionale</w:t>
      </w:r>
      <w:r>
        <w:t xml:space="preserve">, 2005, p. 683 ss.; SHELTON, </w:t>
      </w:r>
      <w:r w:rsidRPr="004434DE">
        <w:rPr>
          <w:i/>
        </w:rPr>
        <w:t>Private Violence, Public Wrongs, and the Responsibility of States</w:t>
      </w:r>
      <w:r>
        <w:t xml:space="preserve">, in </w:t>
      </w:r>
      <w:r w:rsidRPr="004434DE">
        <w:rPr>
          <w:i/>
        </w:rPr>
        <w:t>Fordham Law Journal</w:t>
      </w:r>
      <w:r>
        <w:t>, 1989-1990, p. 1 ss.</w:t>
      </w:r>
    </w:p>
  </w:footnote>
  <w:footnote w:id="441">
    <w:p w:rsidR="003D54BB" w:rsidRPr="009E7F14" w:rsidRDefault="003D54BB" w:rsidP="00333C13">
      <w:pPr>
        <w:pStyle w:val="Testonotaapidipagina"/>
        <w:jc w:val="both"/>
      </w:pPr>
      <w:r>
        <w:rPr>
          <w:rStyle w:val="Rimandonotaapidipagina"/>
        </w:rPr>
        <w:footnoteRef/>
      </w:r>
      <w:r>
        <w:t xml:space="preserve"> Caso </w:t>
      </w:r>
      <w:r>
        <w:rPr>
          <w:i/>
        </w:rPr>
        <w:t xml:space="preserve">Mapiripán Massacre c. Colombia, </w:t>
      </w:r>
      <w:r w:rsidRPr="009E7F14">
        <w:t>sentenza della Corte interamericana dei diritti dell’uomo del 15 settembre.</w:t>
      </w:r>
    </w:p>
  </w:footnote>
  <w:footnote w:id="442">
    <w:p w:rsidR="003D54BB" w:rsidRPr="0084369C" w:rsidRDefault="003D54BB" w:rsidP="00333C13">
      <w:pPr>
        <w:pStyle w:val="Testonotaapidipagina"/>
        <w:jc w:val="both"/>
        <w:rPr>
          <w:lang w:val="en-US"/>
        </w:rPr>
      </w:pPr>
      <w:r>
        <w:rPr>
          <w:rStyle w:val="Rimandonotaapidipagina"/>
        </w:rPr>
        <w:footnoteRef/>
      </w:r>
      <w:r w:rsidRPr="00386DDC">
        <w:rPr>
          <w:lang w:val="en-US"/>
        </w:rPr>
        <w:t xml:space="preserve"> </w:t>
      </w:r>
      <w:r w:rsidRPr="00D1564B">
        <w:rPr>
          <w:lang w:val="en-US"/>
        </w:rPr>
        <w:t>“The incursion of the paramilitary in Mapiripán was an act that had been meticulously planned several months before June 1997, carried out with logistic preparatory work and with the collaboration, acquiescence, and omissions by members of the Army. Participation of agents of the State in the massacre was not limited to facilitating entry of the AUC into the region, as the authorities knew of the attack against the civilian population in Mapiripán and they did not take the necessary steps to protect the members of the community. Omissions by the VII Brigade are not merely non-fulfillment of its legal duty to control the area, but rather, according to the Attorney General’s Office, they involved “abstaining from action, necessarily in connivance with the illegal armed group, as well as effective positive attitudes tending to enable the paramilitary to attain their objective, as they undoubtedly would not have been able to act without that support.”</w:t>
      </w:r>
      <w:r>
        <w:rPr>
          <w:lang w:val="en-US"/>
        </w:rPr>
        <w:t xml:space="preserve"> Ibid., p. 47, parr. </w:t>
      </w:r>
      <w:r w:rsidRPr="0084369C">
        <w:rPr>
          <w:lang w:val="en-US"/>
        </w:rPr>
        <w:t>96. 43-96.44.</w:t>
      </w:r>
    </w:p>
  </w:footnote>
  <w:footnote w:id="443">
    <w:p w:rsidR="003D54BB" w:rsidRPr="00BA1447" w:rsidRDefault="003D54BB" w:rsidP="00333C13">
      <w:pPr>
        <w:autoSpaceDE w:val="0"/>
        <w:autoSpaceDN w:val="0"/>
        <w:adjustRightInd w:val="0"/>
        <w:spacing w:after="0" w:line="240" w:lineRule="auto"/>
        <w:jc w:val="both"/>
        <w:rPr>
          <w:lang w:val="en-US"/>
        </w:rPr>
      </w:pPr>
      <w:r>
        <w:rPr>
          <w:rStyle w:val="Rimandonotaapidipagina"/>
        </w:rPr>
        <w:footnoteRef/>
      </w:r>
      <w:r w:rsidRPr="00BA1447">
        <w:rPr>
          <w:i/>
          <w:lang w:val="en-US"/>
        </w:rPr>
        <w:t>Ibid</w:t>
      </w:r>
      <w:r w:rsidRPr="00BA1447">
        <w:rPr>
          <w:lang w:val="en-US"/>
        </w:rPr>
        <w:t>.,</w:t>
      </w:r>
      <w:r w:rsidRPr="00BA1447">
        <w:rPr>
          <w:i/>
          <w:lang w:val="en-US"/>
        </w:rPr>
        <w:t xml:space="preserve"> </w:t>
      </w:r>
      <w:r w:rsidRPr="00BA1447">
        <w:rPr>
          <w:lang w:val="en-US"/>
        </w:rPr>
        <w:t xml:space="preserve">p. 82, par. 97 della sentenza. </w:t>
      </w:r>
    </w:p>
  </w:footnote>
  <w:footnote w:id="444">
    <w:p w:rsidR="003D54BB" w:rsidRPr="0084369C" w:rsidRDefault="003D54BB" w:rsidP="00333C13">
      <w:pPr>
        <w:pStyle w:val="Testonotaapidipagina"/>
        <w:jc w:val="both"/>
      </w:pPr>
      <w:r>
        <w:rPr>
          <w:rStyle w:val="Rimandonotaapidipagina"/>
        </w:rPr>
        <w:footnoteRef/>
      </w:r>
      <w:r w:rsidRPr="006B0D35">
        <w:rPr>
          <w:lang w:val="en-US"/>
        </w:rPr>
        <w:t xml:space="preserve"> </w:t>
      </w:r>
      <w:r w:rsidRPr="00D1564B">
        <w:rPr>
          <w:lang w:val="en-US"/>
        </w:rPr>
        <w:t>“What the State does not accept is attributing to it the acts of the self-defense groups, as the Inter American Commission argues in the application. Attributing the acts of members of said self-defense groups to the State as if they were its agents and arguing that the State incurs international responsibility for those acts would be contrary to International Law”.</w:t>
      </w:r>
      <w:r w:rsidRPr="00212DA2">
        <w:rPr>
          <w:i/>
          <w:lang w:val="en-US"/>
        </w:rPr>
        <w:t xml:space="preserve"> </w:t>
      </w:r>
      <w:r w:rsidRPr="0084369C">
        <w:rPr>
          <w:i/>
        </w:rPr>
        <w:t>Ibid</w:t>
      </w:r>
      <w:r w:rsidRPr="0084369C">
        <w:t>.</w:t>
      </w:r>
    </w:p>
  </w:footnote>
  <w:footnote w:id="445">
    <w:p w:rsidR="003D54BB" w:rsidRPr="00E64CD8" w:rsidRDefault="003D54BB" w:rsidP="00333C13">
      <w:pPr>
        <w:pStyle w:val="Testonotaapidipagina"/>
        <w:jc w:val="both"/>
      </w:pPr>
      <w:r>
        <w:rPr>
          <w:rStyle w:val="Rimandonotaapidipagina"/>
        </w:rPr>
        <w:footnoteRef/>
      </w:r>
      <w:r w:rsidRPr="00E64CD8">
        <w:t xml:space="preserve"> </w:t>
      </w:r>
      <w:r w:rsidRPr="00E64CD8">
        <w:rPr>
          <w:i/>
        </w:rPr>
        <w:t>Ibid</w:t>
      </w:r>
      <w:r w:rsidRPr="00E64CD8">
        <w:t xml:space="preserve">., p. 88, par. 108. Si vedano anche </w:t>
      </w:r>
      <w:r w:rsidRPr="00E64CD8">
        <w:rPr>
          <w:i/>
        </w:rPr>
        <w:t xml:space="preserve"> </w:t>
      </w:r>
      <w:r w:rsidRPr="00E64CD8">
        <w:t>il caso</w:t>
      </w:r>
      <w:r>
        <w:rPr>
          <w:i/>
        </w:rPr>
        <w:t xml:space="preserve"> </w:t>
      </w:r>
      <w:r w:rsidRPr="00E64CD8">
        <w:rPr>
          <w:i/>
        </w:rPr>
        <w:t>Gómez Paquiyauri Brothers</w:t>
      </w:r>
      <w:r w:rsidRPr="00E64CD8">
        <w:t>, sentenza dell’8 luglio</w:t>
      </w:r>
      <w:r>
        <w:t xml:space="preserve"> 2004,</w:t>
      </w:r>
      <w:r w:rsidRPr="00E64CD8">
        <w:rPr>
          <w:rFonts w:ascii="Verdana" w:hAnsi="Verdana" w:cs="Verdana"/>
          <w:sz w:val="16"/>
          <w:szCs w:val="16"/>
        </w:rPr>
        <w:t xml:space="preserve"> </w:t>
      </w:r>
      <w:r w:rsidRPr="00E64CD8">
        <w:t xml:space="preserve">Series C No. 110, par. 72; </w:t>
      </w:r>
      <w:r>
        <w:t xml:space="preserve">il caso </w:t>
      </w:r>
      <w:r w:rsidRPr="00E64CD8">
        <w:rPr>
          <w:i/>
        </w:rPr>
        <w:t xml:space="preserve">“Five </w:t>
      </w:r>
      <w:r>
        <w:rPr>
          <w:i/>
        </w:rPr>
        <w:t xml:space="preserve">Pensioners”, </w:t>
      </w:r>
      <w:r w:rsidRPr="00E64CD8">
        <w:t>sentenza del 28 febbraio 2003</w:t>
      </w:r>
      <w:r>
        <w:t>, Series C No. 98, par</w:t>
      </w:r>
      <w:r w:rsidRPr="006254D1">
        <w:t xml:space="preserve">. </w:t>
      </w:r>
      <w:r w:rsidRPr="00C03B15">
        <w:t xml:space="preserve">63; </w:t>
      </w:r>
      <w:r>
        <w:t xml:space="preserve">il caso </w:t>
      </w:r>
      <w:r w:rsidRPr="00C03B15">
        <w:rPr>
          <w:i/>
        </w:rPr>
        <w:t xml:space="preserve">Juridical Condition and Rights of </w:t>
      </w:r>
      <w:r>
        <w:rPr>
          <w:i/>
        </w:rPr>
        <w:t xml:space="preserve">the Undocumented Migrants, </w:t>
      </w:r>
      <w:r>
        <w:t xml:space="preserve">parere consultivo </w:t>
      </w:r>
      <w:r w:rsidRPr="00F44F1D">
        <w:t>del 17 settembre 2003</w:t>
      </w:r>
      <w:r>
        <w:t>,</w:t>
      </w:r>
      <w:r w:rsidRPr="00F44F1D">
        <w:t xml:space="preserve"> </w:t>
      </w:r>
      <w:r>
        <w:t>Series A No. 18, pa</w:t>
      </w:r>
      <w:r w:rsidRPr="00E64CD8">
        <w:t xml:space="preserve">a. </w:t>
      </w:r>
      <w:r>
        <w:t xml:space="preserve">76; il caso </w:t>
      </w:r>
      <w:r w:rsidRPr="00F44F1D">
        <w:rPr>
          <w:i/>
        </w:rPr>
        <w:t>Baena Ricardo et al.</w:t>
      </w:r>
      <w:r w:rsidRPr="00F44F1D">
        <w:t>,</w:t>
      </w:r>
      <w:r>
        <w:t xml:space="preserve"> sentenza del 28 novembre </w:t>
      </w:r>
      <w:r w:rsidRPr="00F44F1D">
        <w:t>2003</w:t>
      </w:r>
      <w:r>
        <w:rPr>
          <w:rFonts w:ascii="Verdana" w:hAnsi="Verdana" w:cs="Verdana"/>
          <w:sz w:val="16"/>
          <w:szCs w:val="16"/>
        </w:rPr>
        <w:t>, Series C No. 104</w:t>
      </w:r>
      <w:r>
        <w:t>, par</w:t>
      </w:r>
      <w:r w:rsidRPr="00E64CD8">
        <w:t>. 178.</w:t>
      </w:r>
    </w:p>
  </w:footnote>
  <w:footnote w:id="446">
    <w:p w:rsidR="003D54BB" w:rsidRPr="00DB05C7" w:rsidRDefault="003D54BB" w:rsidP="00333C13">
      <w:pPr>
        <w:pStyle w:val="Testonotaapidipagina"/>
        <w:jc w:val="both"/>
        <w:rPr>
          <w:lang w:val="en-US"/>
        </w:rPr>
      </w:pPr>
      <w:r>
        <w:rPr>
          <w:rStyle w:val="Rimandonotaapidipagina"/>
        </w:rPr>
        <w:footnoteRef/>
      </w:r>
      <w:r w:rsidRPr="00830F34">
        <w:rPr>
          <w:lang w:val="en-US"/>
        </w:rPr>
        <w:t xml:space="preserve"> </w:t>
      </w:r>
      <w:r w:rsidRPr="00534EC3">
        <w:rPr>
          <w:lang w:val="en-US"/>
        </w:rPr>
        <w:t>“Specifically with regard to what happened in Mapiripán, the Report by the United Nations High Commissioner for Human Rights states that, “the specifics of the cases filed before the Office in Colombia suggest that the facts could not have taken place without that acquiescence, support, or complicity. Aside from the testimony of the witnesses and the observations by the Commissioner herself, the Ombudsperson [Defensor del Pueblo] also acknowledged that the paramilitary ha[d] become the illegal arm of the security forces, carrying out the dirty work that the latter cannot do.”</w:t>
      </w:r>
      <w:r w:rsidRPr="001C118D">
        <w:rPr>
          <w:i/>
          <w:lang w:val="en-US"/>
        </w:rPr>
        <w:t xml:space="preserve"> </w:t>
      </w:r>
      <w:r w:rsidRPr="00D67E57">
        <w:rPr>
          <w:lang w:val="en-US"/>
        </w:rPr>
        <w:t>Cfr.</w:t>
      </w:r>
      <w:r>
        <w:rPr>
          <w:i/>
          <w:lang w:val="en-US"/>
        </w:rPr>
        <w:t xml:space="preserve"> </w:t>
      </w:r>
      <w:r w:rsidRPr="00830F34">
        <w:rPr>
          <w:i/>
          <w:lang w:val="en-US"/>
        </w:rPr>
        <w:t>Report by the United Nations High Commissioner for Human Rights on the human rights situation in Colombia</w:t>
      </w:r>
      <w:r>
        <w:rPr>
          <w:lang w:val="en-US"/>
        </w:rPr>
        <w:t xml:space="preserve"> </w:t>
      </w:r>
      <w:r w:rsidRPr="00830F34">
        <w:rPr>
          <w:i/>
          <w:lang w:val="en-US"/>
        </w:rPr>
        <w:t>in 1997</w:t>
      </w:r>
      <w:r w:rsidRPr="00830F34">
        <w:rPr>
          <w:lang w:val="en-US"/>
        </w:rPr>
        <w:t>, E/CN</w:t>
      </w:r>
      <w:r>
        <w:rPr>
          <w:lang w:val="en-US"/>
        </w:rPr>
        <w:t xml:space="preserve">.4/1998/16, March 9, 1998, parr. 29 e </w:t>
      </w:r>
      <w:r w:rsidRPr="00830F34">
        <w:rPr>
          <w:lang w:val="en-US"/>
        </w:rPr>
        <w:t>91</w:t>
      </w:r>
      <w:r>
        <w:rPr>
          <w:lang w:val="en-US"/>
        </w:rPr>
        <w:t xml:space="preserve">. Si veda anche il </w:t>
      </w:r>
      <w:r w:rsidRPr="00EE5995">
        <w:rPr>
          <w:i/>
          <w:lang w:val="en-US"/>
        </w:rPr>
        <w:t>Fourth Report by the Ombudsman to the Colombian Congress</w:t>
      </w:r>
      <w:r>
        <w:rPr>
          <w:lang w:val="en-US"/>
        </w:rPr>
        <w:t>, 1997, pp. 59-</w:t>
      </w:r>
      <w:r w:rsidRPr="00DB05C7">
        <w:rPr>
          <w:lang w:val="en-US"/>
        </w:rPr>
        <w:t>60</w:t>
      </w:r>
      <w:r>
        <w:rPr>
          <w:lang w:val="en-US"/>
        </w:rPr>
        <w:t>.</w:t>
      </w:r>
    </w:p>
  </w:footnote>
  <w:footnote w:id="447">
    <w:p w:rsidR="003D54BB" w:rsidRDefault="003D54BB" w:rsidP="00333C13">
      <w:pPr>
        <w:pStyle w:val="Testonotaapidipagina"/>
        <w:jc w:val="both"/>
      </w:pPr>
      <w:r>
        <w:rPr>
          <w:rStyle w:val="Rimandonotaapidipagina"/>
        </w:rPr>
        <w:footnoteRef/>
      </w:r>
      <w:r>
        <w:t xml:space="preserve"> P. 95, parr. 129-120 della sentenza.</w:t>
      </w:r>
    </w:p>
  </w:footnote>
  <w:footnote w:id="448">
    <w:p w:rsidR="003D54BB" w:rsidRDefault="003D54BB" w:rsidP="00333C13">
      <w:pPr>
        <w:pStyle w:val="Testonotaapidipagina"/>
      </w:pPr>
      <w:r>
        <w:rPr>
          <w:rStyle w:val="Rimandonotaapidipagina"/>
        </w:rPr>
        <w:footnoteRef/>
      </w:r>
      <w:r>
        <w:t xml:space="preserve"> P. 96, par. 121 della sentenza.</w:t>
      </w:r>
    </w:p>
  </w:footnote>
  <w:footnote w:id="449">
    <w:p w:rsidR="003D54BB" w:rsidRDefault="003D54BB" w:rsidP="00BC0A03">
      <w:pPr>
        <w:pStyle w:val="Testonotaapidipagina"/>
      </w:pPr>
      <w:r>
        <w:rPr>
          <w:rStyle w:val="Rimandonotaapidipagina"/>
        </w:rPr>
        <w:footnoteRef/>
      </w:r>
      <w:r>
        <w:t xml:space="preserve"> Vedi </w:t>
      </w:r>
      <w:r w:rsidRPr="001154E8">
        <w:rPr>
          <w:i/>
        </w:rPr>
        <w:t>infra</w:t>
      </w:r>
      <w:r>
        <w:t>, p. 185 ss.</w:t>
      </w:r>
    </w:p>
  </w:footnote>
  <w:footnote w:id="450">
    <w:p w:rsidR="003D54BB" w:rsidRDefault="003D54BB" w:rsidP="00333C13">
      <w:pPr>
        <w:pStyle w:val="Testonotaapidipagina"/>
        <w:jc w:val="both"/>
      </w:pPr>
      <w:r>
        <w:rPr>
          <w:rStyle w:val="Rimandonotaapidipagina"/>
        </w:rPr>
        <w:footnoteRef/>
      </w:r>
      <w:r>
        <w:t xml:space="preserve"> Caso </w:t>
      </w:r>
      <w:r>
        <w:rPr>
          <w:i/>
        </w:rPr>
        <w:t>Pueblo Bello Massacre c. Colombia</w:t>
      </w:r>
      <w:r>
        <w:t>, sentenza della Corte interamericana dei diritti dell’uomo del 31 gennaio 2006</w:t>
      </w:r>
      <w:r>
        <w:rPr>
          <w:i/>
        </w:rPr>
        <w:t>.</w:t>
      </w:r>
    </w:p>
  </w:footnote>
  <w:footnote w:id="451">
    <w:p w:rsidR="003D54BB" w:rsidRPr="00172BB3" w:rsidRDefault="003D54BB" w:rsidP="00333C13">
      <w:pPr>
        <w:pStyle w:val="Testonotaapidipagina"/>
        <w:jc w:val="both"/>
        <w:rPr>
          <w:lang w:val="fr-FR"/>
        </w:rPr>
      </w:pPr>
      <w:r>
        <w:rPr>
          <w:rStyle w:val="Rimandonotaapidipagina"/>
        </w:rPr>
        <w:footnoteRef/>
      </w:r>
      <w:r w:rsidRPr="00172BB3">
        <w:rPr>
          <w:lang w:val="fr-FR"/>
        </w:rPr>
        <w:t xml:space="preserve"> </w:t>
      </w:r>
      <w:r w:rsidRPr="00172BB3">
        <w:rPr>
          <w:i/>
          <w:lang w:val="fr-FR"/>
        </w:rPr>
        <w:t>Ibid</w:t>
      </w:r>
      <w:r w:rsidRPr="00172BB3">
        <w:rPr>
          <w:lang w:val="fr-FR"/>
        </w:rPr>
        <w:t>., p. 87, par. 103.</w:t>
      </w:r>
    </w:p>
  </w:footnote>
  <w:footnote w:id="452">
    <w:p w:rsidR="003D54BB" w:rsidRPr="00FF1E1C" w:rsidRDefault="003D54BB" w:rsidP="00333C13">
      <w:pPr>
        <w:pStyle w:val="Testonotaapidipagina"/>
        <w:jc w:val="both"/>
      </w:pPr>
      <w:r>
        <w:rPr>
          <w:rStyle w:val="Rimandonotaapidipagina"/>
        </w:rPr>
        <w:footnoteRef/>
      </w:r>
      <w:r w:rsidRPr="00172BB3">
        <w:rPr>
          <w:lang w:val="fr-FR"/>
        </w:rPr>
        <w:t xml:space="preserve"> </w:t>
      </w:r>
      <w:r w:rsidRPr="00172BB3">
        <w:rPr>
          <w:i/>
          <w:lang w:val="fr-FR"/>
        </w:rPr>
        <w:t>Ibid</w:t>
      </w:r>
      <w:r w:rsidRPr="00172BB3">
        <w:rPr>
          <w:lang w:val="fr-FR"/>
        </w:rPr>
        <w:t xml:space="preserve">., p. 91, par. 111. </w:t>
      </w:r>
      <w:r w:rsidRPr="00FF1E1C">
        <w:t>Non essendo stato debitamente provato che membri dell’esercito regolare a</w:t>
      </w:r>
      <w:r>
        <w:t>vessero</w:t>
      </w:r>
      <w:r w:rsidRPr="00FF1E1C">
        <w:t xml:space="preserve"> collaborato con i gruppi paramilitari nella perpetrazione del massacro, nel caso di specie la Corte ha riconosciuto la responsabilità internazionale dello Stato </w:t>
      </w:r>
      <w:r>
        <w:t>soltanto con riferimento alla mancata adozione di debite misure di protezione nei confronti della popolazione civile. Si vedano i parr. 139-140 della sentenza.</w:t>
      </w:r>
    </w:p>
  </w:footnote>
  <w:footnote w:id="453">
    <w:p w:rsidR="003D54BB" w:rsidRDefault="003D54BB" w:rsidP="00333C13">
      <w:pPr>
        <w:pStyle w:val="Testonotaapidipagina"/>
        <w:jc w:val="both"/>
      </w:pPr>
      <w:r>
        <w:rPr>
          <w:rStyle w:val="Rimandonotaapidipagina"/>
        </w:rPr>
        <w:footnoteRef/>
      </w:r>
      <w:r>
        <w:t xml:space="preserve">  Caso </w:t>
      </w:r>
      <w:r>
        <w:rPr>
          <w:i/>
        </w:rPr>
        <w:t xml:space="preserve">Yvon Neptune c. Haiti, </w:t>
      </w:r>
      <w:r>
        <w:t xml:space="preserve">sentenza della Corte interamericana dei diritti dell’uomo del 6 maggio 2008. </w:t>
      </w:r>
    </w:p>
  </w:footnote>
  <w:footnote w:id="454">
    <w:p w:rsidR="003D54BB" w:rsidRPr="005D77CF" w:rsidRDefault="003D54BB" w:rsidP="00333C13">
      <w:pPr>
        <w:pStyle w:val="Testonotaapidipagina"/>
        <w:jc w:val="both"/>
      </w:pPr>
      <w:r>
        <w:rPr>
          <w:rStyle w:val="Rimandonotaapidipagina"/>
        </w:rPr>
        <w:footnoteRef/>
      </w:r>
      <w:r>
        <w:rPr>
          <w:lang w:val="en-US"/>
        </w:rPr>
        <w:t xml:space="preserve"> </w:t>
      </w:r>
      <w:r w:rsidRPr="0036591F">
        <w:rPr>
          <w:lang w:val="en-US"/>
        </w:rPr>
        <w:t>“According to the Commission, at the time of his arrest, he was not informed of the reasons of his detention, nor was he informed of his rights…..The State did not bring Mr. Neptune promptly before a judge or other judicial official authorized by law to exercise judicial power…”.</w:t>
      </w:r>
      <w:r>
        <w:rPr>
          <w:lang w:val="en-US"/>
        </w:rPr>
        <w:t xml:space="preserve"> </w:t>
      </w:r>
      <w:r w:rsidRPr="005D77CF">
        <w:t>Ibid., p. 5, par. 10.</w:t>
      </w:r>
    </w:p>
  </w:footnote>
  <w:footnote w:id="455">
    <w:p w:rsidR="003D54BB" w:rsidRPr="005D77CF" w:rsidRDefault="003D54BB" w:rsidP="00EA4308">
      <w:pPr>
        <w:autoSpaceDE w:val="0"/>
        <w:autoSpaceDN w:val="0"/>
        <w:adjustRightInd w:val="0"/>
        <w:spacing w:after="0" w:line="240" w:lineRule="auto"/>
        <w:jc w:val="both"/>
        <w:rPr>
          <w:rFonts w:ascii="Verdana" w:hAnsi="Verdana" w:cs="Verdana"/>
          <w:sz w:val="19"/>
          <w:szCs w:val="19"/>
        </w:rPr>
      </w:pPr>
      <w:r>
        <w:rPr>
          <w:rStyle w:val="Rimandonotaapidipagina"/>
        </w:rPr>
        <w:footnoteRef/>
      </w:r>
      <w:r w:rsidRPr="005D77CF">
        <w:t xml:space="preserve"> </w:t>
      </w:r>
      <w:r w:rsidRPr="005D77CF">
        <w:rPr>
          <w:i/>
        </w:rPr>
        <w:t>Ibid</w:t>
      </w:r>
      <w:r w:rsidRPr="005D77CF">
        <w:t>., p. 14, par. 43.</w:t>
      </w:r>
    </w:p>
  </w:footnote>
  <w:footnote w:id="456">
    <w:p w:rsidR="003D54BB" w:rsidRPr="00D23EB5" w:rsidRDefault="003D54BB" w:rsidP="00EA4308">
      <w:pPr>
        <w:pStyle w:val="Testonotaapidipagina"/>
        <w:jc w:val="both"/>
      </w:pPr>
      <w:r>
        <w:rPr>
          <w:rStyle w:val="Rimandonotaapidipagina"/>
        </w:rPr>
        <w:footnoteRef/>
      </w:r>
      <w:r w:rsidRPr="00D23EB5">
        <w:t xml:space="preserve"> Si tratta di un movimento insurrezionale</w:t>
      </w:r>
      <w:r>
        <w:t xml:space="preserve"> nato nel 1976 con l’obiettivo di creare uno Stato tamil indipendente sull’attuale territorio dello Stato dello Sri Lanka.</w:t>
      </w:r>
    </w:p>
  </w:footnote>
  <w:footnote w:id="457">
    <w:p w:rsidR="003D54BB" w:rsidRPr="00E85792" w:rsidRDefault="003D54BB" w:rsidP="00EA4308">
      <w:pPr>
        <w:pStyle w:val="Testonotaapidipagina"/>
        <w:jc w:val="both"/>
        <w:rPr>
          <w:lang w:val="en-US"/>
        </w:rPr>
      </w:pPr>
      <w:r>
        <w:rPr>
          <w:rStyle w:val="Rimandonotaapidipagina"/>
        </w:rPr>
        <w:footnoteRef/>
      </w:r>
      <w:r w:rsidRPr="00E85792">
        <w:rPr>
          <w:lang w:val="en-US"/>
        </w:rPr>
        <w:t xml:space="preserve"> </w:t>
      </w:r>
      <w:r>
        <w:rPr>
          <w:i/>
          <w:lang w:val="en-US"/>
        </w:rPr>
        <w:t>Views of the Human Rights Committee under the Optional Protocol to the International Covenant on Civil and Political Rights, communication No. 950/2000</w:t>
      </w:r>
      <w:r>
        <w:rPr>
          <w:lang w:val="en-US"/>
        </w:rPr>
        <w:t>: Sri Lanka, CCPR/C/78/D/950/2000, 31 July 2003.</w:t>
      </w:r>
    </w:p>
  </w:footnote>
  <w:footnote w:id="458">
    <w:p w:rsidR="003D54BB" w:rsidRPr="004C70E9" w:rsidRDefault="003D54BB" w:rsidP="00AC29EA">
      <w:pPr>
        <w:pStyle w:val="Testonotaapidipagina"/>
        <w:jc w:val="both"/>
        <w:rPr>
          <w:lang w:val="en-US"/>
        </w:rPr>
      </w:pPr>
      <w:r>
        <w:rPr>
          <w:rStyle w:val="Rimandonotaapidipagina"/>
        </w:rPr>
        <w:footnoteRef/>
      </w:r>
      <w:r w:rsidRPr="004C70E9">
        <w:rPr>
          <w:lang w:val="en-US"/>
        </w:rPr>
        <w:t xml:space="preserve"> </w:t>
      </w:r>
      <w:r w:rsidRPr="00281A57">
        <w:rPr>
          <w:lang w:val="en-US"/>
        </w:rPr>
        <w:t>“[…]the State party does not contest that the author's son has disappeared, even if it claims not to be responsible; that it confirms that the author's son was abducted on 23 June 1990 by Corporal Sarath and two other unidentified officers, although in a manner which was "distinctly separate and independent" from the cordon and search operation that was carried out by the Army in this location at the same time; and that it submits that officers of the Army had been unaware of Corporal Sarath's conduct and the author's son abduction.”</w:t>
      </w:r>
      <w:r>
        <w:rPr>
          <w:lang w:val="en-US"/>
        </w:rPr>
        <w:t xml:space="preserve"> </w:t>
      </w:r>
      <w:r w:rsidRPr="004C70E9">
        <w:rPr>
          <w:lang w:val="en-US"/>
        </w:rPr>
        <w:t xml:space="preserve">Cfr., </w:t>
      </w:r>
      <w:r w:rsidRPr="004C70E9">
        <w:rPr>
          <w:i/>
          <w:lang w:val="en-US"/>
        </w:rPr>
        <w:t>Ibid</w:t>
      </w:r>
      <w:r w:rsidRPr="004C70E9">
        <w:rPr>
          <w:lang w:val="en-US"/>
        </w:rPr>
        <w:t>., par. 8.4.</w:t>
      </w:r>
    </w:p>
  </w:footnote>
  <w:footnote w:id="459">
    <w:p w:rsidR="003D54BB" w:rsidRPr="005D77CF" w:rsidRDefault="003D54BB" w:rsidP="00AC29EA">
      <w:pPr>
        <w:pStyle w:val="Testonotaapidipagina"/>
        <w:jc w:val="both"/>
        <w:rPr>
          <w:lang w:val="en-US"/>
        </w:rPr>
      </w:pPr>
      <w:r>
        <w:rPr>
          <w:rStyle w:val="Rimandonotaapidipagina"/>
        </w:rPr>
        <w:footnoteRef/>
      </w:r>
      <w:r w:rsidRPr="00AC29EA">
        <w:rPr>
          <w:lang w:val="en-US"/>
        </w:rPr>
        <w:t xml:space="preserve"> </w:t>
      </w:r>
      <w:r w:rsidRPr="00281A57">
        <w:rPr>
          <w:rFonts w:cstheme="minorHAnsi"/>
          <w:lang w:val="en-US"/>
        </w:rPr>
        <w:t>“Where the violation of Covenant rights is carried out by a soldier or other official who uses his or her position of authority to execute a wrongful act, the violation is imputable to the State, even where the soldier or the other official is acting beyond his authority. The author, relying on the judgment of the Inter-American C</w:t>
      </w:r>
      <w:r>
        <w:rPr>
          <w:rFonts w:cstheme="minorHAnsi"/>
          <w:lang w:val="en-US"/>
        </w:rPr>
        <w:t>ourt of Human Rights in the Velásquez Rodrí</w:t>
      </w:r>
      <w:r w:rsidRPr="00281A57">
        <w:rPr>
          <w:rFonts w:cstheme="minorHAnsi"/>
          <w:lang w:val="en-US"/>
        </w:rPr>
        <w:t xml:space="preserve">guez Case and that of the European Court of Human Rights, concludes that, even where an official is acting </w:t>
      </w:r>
      <w:r w:rsidRPr="00F56569">
        <w:rPr>
          <w:rFonts w:cstheme="minorHAnsi"/>
          <w:i/>
          <w:lang w:val="en-US"/>
        </w:rPr>
        <w:t>ultra vires</w:t>
      </w:r>
      <w:r w:rsidRPr="00281A57">
        <w:rPr>
          <w:rFonts w:cstheme="minorHAnsi"/>
          <w:lang w:val="en-US"/>
        </w:rPr>
        <w:t>, the State will find itself in a position of responsibility if it provided the means or facilities to accomplish the act. Even if, and this is not known in this case, the officials acted in direct contravention of the orders given to them, the State may still be responsible”.</w:t>
      </w:r>
      <w:r w:rsidRPr="00AC29EA">
        <w:rPr>
          <w:i/>
          <w:lang w:val="en-US"/>
        </w:rPr>
        <w:t xml:space="preserve"> </w:t>
      </w:r>
      <w:r w:rsidRPr="005D77CF">
        <w:rPr>
          <w:i/>
          <w:lang w:val="en-US"/>
        </w:rPr>
        <w:t>Ibid</w:t>
      </w:r>
      <w:r w:rsidRPr="005D77CF">
        <w:rPr>
          <w:lang w:val="en-US"/>
        </w:rPr>
        <w:t>., par. 8.5.</w:t>
      </w:r>
    </w:p>
  </w:footnote>
  <w:footnote w:id="460">
    <w:p w:rsidR="003D54BB" w:rsidRPr="005D77CF" w:rsidRDefault="003D54BB" w:rsidP="00AC29EA">
      <w:pPr>
        <w:pStyle w:val="Testonotaapidipagina"/>
        <w:jc w:val="both"/>
        <w:rPr>
          <w:lang w:val="en-US"/>
        </w:rPr>
      </w:pPr>
      <w:r>
        <w:rPr>
          <w:rStyle w:val="Rimandonotaapidipagina"/>
        </w:rPr>
        <w:footnoteRef/>
      </w:r>
      <w:r w:rsidRPr="005D77CF">
        <w:rPr>
          <w:lang w:val="en-US"/>
        </w:rPr>
        <w:t xml:space="preserve"> </w:t>
      </w:r>
      <w:r w:rsidRPr="005D77CF">
        <w:rPr>
          <w:i/>
          <w:lang w:val="en-US"/>
        </w:rPr>
        <w:t>Ibid</w:t>
      </w:r>
      <w:r w:rsidRPr="005D77CF">
        <w:rPr>
          <w:lang w:val="en-US"/>
        </w:rPr>
        <w:t>., par. 9.2.</w:t>
      </w:r>
    </w:p>
  </w:footnote>
  <w:footnote w:id="461">
    <w:p w:rsidR="003D54BB" w:rsidRPr="0087520E" w:rsidRDefault="003D54BB" w:rsidP="0087520E">
      <w:pPr>
        <w:pStyle w:val="Testonotaapidipagina"/>
        <w:jc w:val="both"/>
        <w:rPr>
          <w:highlight w:val="yellow"/>
          <w:lang w:val="en-US"/>
        </w:rPr>
      </w:pPr>
      <w:r>
        <w:rPr>
          <w:rStyle w:val="Rimandonotaapidipagina"/>
        </w:rPr>
        <w:footnoteRef/>
      </w:r>
      <w:r w:rsidRPr="00024F5D">
        <w:rPr>
          <w:lang w:val="en-US"/>
        </w:rPr>
        <w:t xml:space="preserve"> </w:t>
      </w:r>
      <w:r w:rsidRPr="0087520E">
        <w:rPr>
          <w:lang w:val="en-US"/>
        </w:rPr>
        <w:t>“Each State Party to the present Covenant undertakes: (a) To ensure that any person whose rights or freedoms as herein recognized are violated shall have an effective remedy, notwithstanding that the violation has been committed by persons acting in an official capacity…”.</w:t>
      </w:r>
    </w:p>
  </w:footnote>
  <w:footnote w:id="462">
    <w:p w:rsidR="003D54BB" w:rsidRPr="004C70E9" w:rsidRDefault="003D54BB" w:rsidP="0087520E">
      <w:pPr>
        <w:pStyle w:val="Testonotaapidipagina"/>
        <w:jc w:val="both"/>
      </w:pPr>
      <w:r>
        <w:rPr>
          <w:rStyle w:val="Rimandonotaapidipagina"/>
        </w:rPr>
        <w:footnoteRef/>
      </w:r>
      <w:r w:rsidRPr="004C70E9">
        <w:t xml:space="preserve"> </w:t>
      </w:r>
      <w:r w:rsidRPr="004C70E9">
        <w:rPr>
          <w:i/>
        </w:rPr>
        <w:t>Prosecutor v. Dusko Tad</w:t>
      </w:r>
      <w:r>
        <w:rPr>
          <w:rFonts w:cstheme="minorHAnsi"/>
          <w:i/>
        </w:rPr>
        <w:t>ić</w:t>
      </w:r>
      <w:r w:rsidRPr="004C70E9">
        <w:t>, sentenza della Camera d’appello del 15 luglio del 1999.</w:t>
      </w:r>
    </w:p>
  </w:footnote>
  <w:footnote w:id="463">
    <w:p w:rsidR="003D54BB" w:rsidRDefault="003D54BB" w:rsidP="0087520E">
      <w:pPr>
        <w:pStyle w:val="Testonotaapidipagina"/>
        <w:jc w:val="both"/>
      </w:pPr>
      <w:r>
        <w:rPr>
          <w:rStyle w:val="Rimandonotaapidipagina"/>
        </w:rPr>
        <w:footnoteRef/>
      </w:r>
      <w:r w:rsidRPr="004C70E9">
        <w:t xml:space="preserve"> P</w:t>
      </w:r>
      <w:r w:rsidRPr="00687143">
        <w:t xml:space="preserve">er </w:t>
      </w:r>
      <w:r>
        <w:t xml:space="preserve">una critica all’impostazione seguita dal Tribunale si veda MERON, </w:t>
      </w:r>
      <w:r>
        <w:rPr>
          <w:i/>
        </w:rPr>
        <w:t>Classification of Armed Conflict in the Former Yugoslavia: Nicaragua’s Fallout</w:t>
      </w:r>
      <w:r>
        <w:t xml:space="preserve">, </w:t>
      </w:r>
      <w:r>
        <w:rPr>
          <w:i/>
        </w:rPr>
        <w:t>American Journal of International Law</w:t>
      </w:r>
      <w:r>
        <w:t>, 1998, p. 236 ss.</w:t>
      </w:r>
    </w:p>
  </w:footnote>
  <w:footnote w:id="464">
    <w:p w:rsidR="003D54BB" w:rsidRPr="00FC6D30" w:rsidRDefault="003D54BB" w:rsidP="00333C13">
      <w:pPr>
        <w:pStyle w:val="Testonotaapidipagina"/>
        <w:jc w:val="both"/>
        <w:rPr>
          <w:lang w:val="en-US"/>
        </w:rPr>
      </w:pPr>
      <w:r>
        <w:rPr>
          <w:rStyle w:val="Rimandonotaapidipagina"/>
        </w:rPr>
        <w:footnoteRef/>
      </w:r>
      <w:r w:rsidRPr="00FC6D30">
        <w:rPr>
          <w:lang w:val="en-US"/>
        </w:rPr>
        <w:t xml:space="preserve"> </w:t>
      </w:r>
      <w:r w:rsidRPr="00FC6D30">
        <w:rPr>
          <w:i/>
          <w:lang w:val="en-US"/>
        </w:rPr>
        <w:t>Ibid</w:t>
      </w:r>
      <w:r w:rsidRPr="00FC6D30">
        <w:rPr>
          <w:lang w:val="en-US"/>
        </w:rPr>
        <w:t xml:space="preserve">.,  parr. 109–113. </w:t>
      </w:r>
    </w:p>
  </w:footnote>
  <w:footnote w:id="465">
    <w:p w:rsidR="003D54BB" w:rsidRPr="00FC6D30" w:rsidRDefault="003D54BB" w:rsidP="00333C13">
      <w:pPr>
        <w:pStyle w:val="Testonotaapidipagina"/>
        <w:jc w:val="both"/>
        <w:rPr>
          <w:lang w:val="en-US"/>
        </w:rPr>
      </w:pPr>
      <w:r>
        <w:rPr>
          <w:rStyle w:val="Rimandonotaapidipagina"/>
        </w:rPr>
        <w:footnoteRef/>
      </w:r>
      <w:r w:rsidRPr="00FC6D30">
        <w:rPr>
          <w:lang w:val="en-US"/>
        </w:rPr>
        <w:t xml:space="preserve"> </w:t>
      </w:r>
      <w:r w:rsidRPr="00FC6D30">
        <w:rPr>
          <w:i/>
          <w:lang w:val="en-US"/>
        </w:rPr>
        <w:t>Ibid</w:t>
      </w:r>
      <w:r w:rsidRPr="00FC6D30">
        <w:rPr>
          <w:lang w:val="en-US"/>
        </w:rPr>
        <w:t>., par. 117.</w:t>
      </w:r>
    </w:p>
  </w:footnote>
  <w:footnote w:id="466">
    <w:p w:rsidR="003D54BB" w:rsidRPr="00FC6D30" w:rsidRDefault="003D54BB" w:rsidP="00333C13">
      <w:pPr>
        <w:pStyle w:val="Testonotaapidipagina"/>
        <w:jc w:val="both"/>
        <w:rPr>
          <w:lang w:val="en-US"/>
        </w:rPr>
      </w:pPr>
      <w:r>
        <w:rPr>
          <w:rStyle w:val="Rimandonotaapidipagina"/>
        </w:rPr>
        <w:footnoteRef/>
      </w:r>
      <w:r w:rsidRPr="00FC6D30">
        <w:rPr>
          <w:lang w:val="en-US"/>
        </w:rPr>
        <w:t xml:space="preserve"> </w:t>
      </w:r>
      <w:r w:rsidRPr="00FC6D30">
        <w:rPr>
          <w:i/>
          <w:lang w:val="en-US"/>
        </w:rPr>
        <w:t>Ibid</w:t>
      </w:r>
      <w:r w:rsidRPr="00FC6D30">
        <w:rPr>
          <w:lang w:val="en-US"/>
        </w:rPr>
        <w:t>., par. 119.</w:t>
      </w:r>
    </w:p>
  </w:footnote>
  <w:footnote w:id="467">
    <w:p w:rsidR="003D54BB" w:rsidRDefault="003D54BB" w:rsidP="007E1D7A">
      <w:pPr>
        <w:pStyle w:val="Testonotaapidipagina"/>
        <w:jc w:val="both"/>
      </w:pPr>
      <w:r>
        <w:rPr>
          <w:rStyle w:val="Rimandonotaapidipagina"/>
        </w:rPr>
        <w:footnoteRef/>
      </w:r>
      <w:r w:rsidRPr="00253730">
        <w:rPr>
          <w:lang w:val="en-US"/>
        </w:rPr>
        <w:t xml:space="preserve"> </w:t>
      </w:r>
      <w:r w:rsidRPr="00253730">
        <w:rPr>
          <w:i/>
          <w:lang w:val="en-US"/>
        </w:rPr>
        <w:t>Ibid</w:t>
      </w:r>
      <w:r w:rsidRPr="00253730">
        <w:rPr>
          <w:lang w:val="en-US"/>
        </w:rPr>
        <w:t xml:space="preserve">., parr. </w:t>
      </w:r>
      <w:r w:rsidRPr="008F4894">
        <w:t>121</w:t>
      </w:r>
      <w:r>
        <w:t>-122</w:t>
      </w:r>
      <w:r w:rsidRPr="008F4894">
        <w:t>. La Camera d’appello ha inoltre sottolineato come</w:t>
      </w:r>
      <w:r>
        <w:t xml:space="preserve"> dovessero ritenersi applicabili</w:t>
      </w:r>
      <w:r w:rsidRPr="008F4894">
        <w:t xml:space="preserve"> alla situazione presa in esame </w:t>
      </w:r>
      <w:r>
        <w:t>i</w:t>
      </w:r>
      <w:r w:rsidRPr="008F4894">
        <w:t xml:space="preserve"> principi esposti dalla Commissione dei </w:t>
      </w:r>
      <w:r>
        <w:t>reclami</w:t>
      </w:r>
      <w:r w:rsidRPr="008F4894">
        <w:t xml:space="preserve"> Stati Uniti/Messico</w:t>
      </w:r>
      <w:r>
        <w:t xml:space="preserve"> nella sentenza resa nel caso </w:t>
      </w:r>
      <w:r w:rsidRPr="008F4894">
        <w:rPr>
          <w:i/>
        </w:rPr>
        <w:t>Youmans</w:t>
      </w:r>
      <w:r>
        <w:t>.</w:t>
      </w:r>
    </w:p>
  </w:footnote>
  <w:footnote w:id="468">
    <w:p w:rsidR="003D54BB" w:rsidRPr="004509AD" w:rsidRDefault="003D54BB" w:rsidP="007E1D7A">
      <w:pPr>
        <w:pStyle w:val="Testonotaapidipagina"/>
        <w:jc w:val="both"/>
      </w:pPr>
      <w:r>
        <w:rPr>
          <w:rStyle w:val="Rimandonotaapidipagina"/>
        </w:rPr>
        <w:footnoteRef/>
      </w:r>
      <w:r w:rsidRPr="007E1D7A">
        <w:rPr>
          <w:lang w:val="en-US"/>
        </w:rPr>
        <w:t xml:space="preserve"> “What has just been said should not, of course, blur th</w:t>
      </w:r>
      <w:r>
        <w:rPr>
          <w:lang w:val="en-US"/>
        </w:rPr>
        <w:t xml:space="preserve">e necessary distinction between the various </w:t>
      </w:r>
      <w:r w:rsidRPr="007E1D7A">
        <w:rPr>
          <w:lang w:val="en-US"/>
        </w:rPr>
        <w:t>legal situations described. In the case envisage</w:t>
      </w:r>
      <w:r>
        <w:rPr>
          <w:lang w:val="en-US"/>
        </w:rPr>
        <w:t xml:space="preserve">d by Article 10 of the Draft on </w:t>
      </w:r>
      <w:r w:rsidRPr="007E1D7A">
        <w:rPr>
          <w:lang w:val="en-US"/>
        </w:rPr>
        <w:t xml:space="preserve">State Responsibility </w:t>
      </w:r>
      <w:r>
        <w:rPr>
          <w:lang w:val="en-US"/>
        </w:rPr>
        <w:t>[…],</w:t>
      </w:r>
      <w:r w:rsidRPr="007E1D7A">
        <w:rPr>
          <w:lang w:val="en-US"/>
        </w:rPr>
        <w:t>State responsibility objectively follows from the fact tha</w:t>
      </w:r>
      <w:r>
        <w:rPr>
          <w:lang w:val="en-US"/>
        </w:rPr>
        <w:t xml:space="preserve">t the individuals who engage in certain </w:t>
      </w:r>
      <w:r w:rsidRPr="007E1D7A">
        <w:rPr>
          <w:lang w:val="en-US"/>
        </w:rPr>
        <w:t>internationally wrongful acts possess, under the rele</w:t>
      </w:r>
      <w:r>
        <w:rPr>
          <w:lang w:val="en-US"/>
        </w:rPr>
        <w:t xml:space="preserve">vant legislation, the status of State officials or of </w:t>
      </w:r>
      <w:r w:rsidRPr="007E1D7A">
        <w:rPr>
          <w:lang w:val="en-US"/>
        </w:rPr>
        <w:t xml:space="preserve">officials of a State’s public entity. In </w:t>
      </w:r>
      <w:r>
        <w:rPr>
          <w:lang w:val="en-US"/>
        </w:rPr>
        <w:t xml:space="preserve">the case under discussion here, that of organised groups, State </w:t>
      </w:r>
      <w:r w:rsidRPr="007E1D7A">
        <w:rPr>
          <w:lang w:val="en-US"/>
        </w:rPr>
        <w:t xml:space="preserve">responsibility is instead the objective corollary of </w:t>
      </w:r>
      <w:r>
        <w:rPr>
          <w:lang w:val="en-US"/>
        </w:rPr>
        <w:t xml:space="preserve">the overall </w:t>
      </w:r>
      <w:r w:rsidRPr="007E1D7A">
        <w:rPr>
          <w:lang w:val="en-US"/>
        </w:rPr>
        <w:t>control exercised by the State over the group. Despite these legal differences, the fact</w:t>
      </w:r>
      <w:r>
        <w:rPr>
          <w:lang w:val="en-US"/>
        </w:rPr>
        <w:t xml:space="preserve"> </w:t>
      </w:r>
      <w:r w:rsidRPr="00DD660A">
        <w:rPr>
          <w:lang w:val="en-US"/>
        </w:rPr>
        <w:t>nevertheless remains that international law renders any State</w:t>
      </w:r>
      <w:r>
        <w:rPr>
          <w:lang w:val="en-US"/>
        </w:rPr>
        <w:t xml:space="preserve"> responsible for acts in breach </w:t>
      </w:r>
      <w:r w:rsidRPr="00DD660A">
        <w:rPr>
          <w:lang w:val="en-US"/>
        </w:rPr>
        <w:t>of international law performed (i) by individuals having t</w:t>
      </w:r>
      <w:r>
        <w:rPr>
          <w:lang w:val="en-US"/>
        </w:rPr>
        <w:t xml:space="preserve">he formal status of organs of a </w:t>
      </w:r>
      <w:r w:rsidRPr="00DD660A">
        <w:rPr>
          <w:lang w:val="en-US"/>
        </w:rPr>
        <w:t xml:space="preserve">State (and this occurs even when these organs act </w:t>
      </w:r>
      <w:r w:rsidRPr="00AA4977">
        <w:rPr>
          <w:i/>
          <w:lang w:val="en-US"/>
        </w:rPr>
        <w:t>ultra vires</w:t>
      </w:r>
      <w:r>
        <w:rPr>
          <w:lang w:val="en-US"/>
        </w:rPr>
        <w:t xml:space="preserve"> or contra legem), or (ii) by </w:t>
      </w:r>
      <w:r w:rsidRPr="00DD660A">
        <w:rPr>
          <w:lang w:val="en-US"/>
        </w:rPr>
        <w:t>individuals who make up organised groups subject to the Sta</w:t>
      </w:r>
      <w:r>
        <w:rPr>
          <w:lang w:val="en-US"/>
        </w:rPr>
        <w:t xml:space="preserve">te’s control. International law </w:t>
      </w:r>
      <w:r w:rsidRPr="00DD660A">
        <w:rPr>
          <w:lang w:val="en-US"/>
        </w:rPr>
        <w:t>does so regardless of whether or not the State has issued</w:t>
      </w:r>
      <w:r>
        <w:rPr>
          <w:lang w:val="en-US"/>
        </w:rPr>
        <w:t xml:space="preserve"> specific instructions to those </w:t>
      </w:r>
      <w:r w:rsidRPr="00DD660A">
        <w:rPr>
          <w:lang w:val="en-US"/>
        </w:rPr>
        <w:t>individuals. Clearly, the rationale behind this legal regul</w:t>
      </w:r>
      <w:r>
        <w:rPr>
          <w:lang w:val="en-US"/>
        </w:rPr>
        <w:t xml:space="preserve">ation is that otherwise, States </w:t>
      </w:r>
      <w:r w:rsidRPr="00DD660A">
        <w:rPr>
          <w:lang w:val="en-US"/>
        </w:rPr>
        <w:t xml:space="preserve">might easily shelter behind, or use as a pretext, their internal </w:t>
      </w:r>
      <w:r>
        <w:rPr>
          <w:lang w:val="en-US"/>
        </w:rPr>
        <w:t xml:space="preserve">legal system or the lack of any </w:t>
      </w:r>
      <w:r w:rsidRPr="00DD660A">
        <w:rPr>
          <w:lang w:val="en-US"/>
        </w:rPr>
        <w:t>specific instructions in order to disclaim international responsibility</w:t>
      </w:r>
      <w:r>
        <w:rPr>
          <w:lang w:val="en-US"/>
        </w:rPr>
        <w:t>”</w:t>
      </w:r>
      <w:r w:rsidRPr="00DD660A">
        <w:rPr>
          <w:lang w:val="en-US"/>
        </w:rPr>
        <w:t>.</w:t>
      </w:r>
      <w:r>
        <w:rPr>
          <w:lang w:val="en-US"/>
        </w:rPr>
        <w:t xml:space="preserve"> </w:t>
      </w:r>
      <w:r w:rsidRPr="004509AD">
        <w:t xml:space="preserve">Cfr. </w:t>
      </w:r>
      <w:r w:rsidRPr="004509AD">
        <w:rPr>
          <w:i/>
        </w:rPr>
        <w:t>Ibid</w:t>
      </w:r>
      <w:r w:rsidRPr="004509AD">
        <w:t>., par. 123.</w:t>
      </w:r>
    </w:p>
  </w:footnote>
  <w:footnote w:id="469">
    <w:p w:rsidR="003D54BB" w:rsidRPr="004F5656" w:rsidRDefault="003D54BB" w:rsidP="00333C13">
      <w:pPr>
        <w:pStyle w:val="Testonotaapidipagina"/>
        <w:jc w:val="both"/>
      </w:pPr>
      <w:r>
        <w:rPr>
          <w:rStyle w:val="Rimandonotaapidipagina"/>
        </w:rPr>
        <w:footnoteRef/>
      </w:r>
      <w:r w:rsidRPr="00561C4D">
        <w:t xml:space="preserve"> </w:t>
      </w:r>
      <w:r w:rsidRPr="002952CE">
        <w:rPr>
          <w:i/>
        </w:rPr>
        <w:t>Ibid</w:t>
      </w:r>
      <w:r w:rsidRPr="002952CE">
        <w:t xml:space="preserve">., par. 141. </w:t>
      </w:r>
      <w:r>
        <w:t xml:space="preserve">La possibilità di equiparare ai fini dell’attribuzione le forze militari serbo-bosniache e la Repubblica Srpska a organi della Repubblica federale Iugoslava è stata sostenuta da DE HOOGH, </w:t>
      </w:r>
      <w:r>
        <w:rPr>
          <w:i/>
        </w:rPr>
        <w:t>op. cit</w:t>
      </w:r>
      <w:r>
        <w:t>., p. 264 ss.</w:t>
      </w:r>
    </w:p>
  </w:footnote>
  <w:footnote w:id="470">
    <w:p w:rsidR="003D54BB" w:rsidRDefault="003D54BB" w:rsidP="00333C13">
      <w:pPr>
        <w:pStyle w:val="Testonotaapidipagina"/>
        <w:jc w:val="both"/>
        <w:rPr>
          <w:lang w:val="en-US"/>
        </w:rPr>
      </w:pPr>
      <w:r>
        <w:rPr>
          <w:rStyle w:val="Rimandonotaapidipagina"/>
        </w:rPr>
        <w:footnoteRef/>
      </w:r>
      <w:r>
        <w:rPr>
          <w:lang w:val="en-US"/>
        </w:rPr>
        <w:t xml:space="preserve"> </w:t>
      </w:r>
      <w:r>
        <w:rPr>
          <w:i/>
          <w:lang w:val="en-US"/>
        </w:rPr>
        <w:t>Ibid</w:t>
      </w:r>
      <w:r>
        <w:rPr>
          <w:lang w:val="en-US"/>
        </w:rPr>
        <w:t>., par. 123.</w:t>
      </w:r>
    </w:p>
  </w:footnote>
  <w:footnote w:id="471">
    <w:p w:rsidR="003D54BB" w:rsidRPr="00FC6D30" w:rsidRDefault="003D54BB" w:rsidP="00333C13">
      <w:pPr>
        <w:pStyle w:val="Testonotaapidipagina"/>
        <w:jc w:val="both"/>
      </w:pPr>
      <w:r>
        <w:rPr>
          <w:rStyle w:val="Rimandonotaapidipagina"/>
        </w:rPr>
        <w:footnoteRef/>
      </w:r>
      <w:r>
        <w:rPr>
          <w:lang w:val="en-US"/>
        </w:rPr>
        <w:t xml:space="preserve"> Con riferimento alle operazioni militari in cui era coinvolto l’imputato, la Camera d’appello ha affermato che </w:t>
      </w:r>
      <w:r w:rsidRPr="00B55099">
        <w:rPr>
          <w:lang w:val="en-US"/>
        </w:rPr>
        <w:t>“it follows that in the circumstances of the case it was not necessary to show that those specific operations carried out by the Bosnian Serb forces which were the object of the trial…had been specifically ordered or</w:t>
      </w:r>
      <w:r>
        <w:rPr>
          <w:lang w:val="en-US"/>
        </w:rPr>
        <w:t xml:space="preserve"> planned by the Yugoslav Army, i</w:t>
      </w:r>
      <w:r w:rsidRPr="00B55099">
        <w:rPr>
          <w:lang w:val="en-US"/>
        </w:rPr>
        <w:t>t is sufficient to show that this Army exercised overall control over the Bosnian Serb Forces”.</w:t>
      </w:r>
      <w:r>
        <w:rPr>
          <w:lang w:val="en-US"/>
        </w:rPr>
        <w:t xml:space="preserve"> </w:t>
      </w:r>
      <w:r w:rsidRPr="00FC6D30">
        <w:rPr>
          <w:i/>
        </w:rPr>
        <w:t>Ibid</w:t>
      </w:r>
      <w:r w:rsidRPr="00FC6D30">
        <w:t>., par. 156.</w:t>
      </w:r>
    </w:p>
  </w:footnote>
  <w:footnote w:id="472">
    <w:p w:rsidR="003D54BB" w:rsidRPr="00253730" w:rsidRDefault="003D54BB" w:rsidP="00DD1643">
      <w:pPr>
        <w:pStyle w:val="Testonotaapidipagina"/>
        <w:jc w:val="both"/>
      </w:pPr>
      <w:r>
        <w:rPr>
          <w:rStyle w:val="Rimandonotaapidipagina"/>
        </w:rPr>
        <w:footnoteRef/>
      </w:r>
      <w:r w:rsidRPr="00CA530E">
        <w:t xml:space="preserve"> I.C.J. Reports, 1986, p. 14 ss. </w:t>
      </w:r>
      <w:r w:rsidRPr="007239A8">
        <w:t xml:space="preserve">Sul riferrimento a tali due distinti criteri di attribuzione nella sentenza resa nel caso </w:t>
      </w:r>
      <w:r w:rsidRPr="007239A8">
        <w:rPr>
          <w:i/>
        </w:rPr>
        <w:t>Attività militari e paramilitari in e contro il Nicaragua</w:t>
      </w:r>
      <w:r>
        <w:t xml:space="preserve"> si vedano, fra gli altri, i contributi di VERHOEVEN, </w:t>
      </w:r>
      <w:r w:rsidRPr="007239A8">
        <w:rPr>
          <w:i/>
        </w:rPr>
        <w:t xml:space="preserve">Le droit, le juge et la violence. </w:t>
      </w:r>
      <w:r w:rsidRPr="00253730">
        <w:rPr>
          <w:i/>
        </w:rPr>
        <w:t>Les arrêts Nicaragua c. Etats-Unis</w:t>
      </w:r>
      <w:r w:rsidRPr="00253730">
        <w:t xml:space="preserve">, </w:t>
      </w:r>
      <w:r w:rsidRPr="00253730">
        <w:rPr>
          <w:i/>
        </w:rPr>
        <w:t>Revue générale de droit international public</w:t>
      </w:r>
      <w:r w:rsidRPr="00253730">
        <w:t xml:space="preserve">, 1986, p. 1231 ss.; DE HOOGH, </w:t>
      </w:r>
      <w:r w:rsidRPr="00253730">
        <w:rPr>
          <w:i/>
        </w:rPr>
        <w:t>Article 4 and 8 of the 2001 ILC Articles on State Responsibility</w:t>
      </w:r>
      <w:r w:rsidRPr="00253730">
        <w:t xml:space="preserve">, cit., pp. 268-270; MILANOVIC, </w:t>
      </w:r>
      <w:r w:rsidRPr="00253730">
        <w:rPr>
          <w:i/>
        </w:rPr>
        <w:t>State Responsibility for Genocide</w:t>
      </w:r>
      <w:r w:rsidRPr="00253730">
        <w:t xml:space="preserve">, </w:t>
      </w:r>
      <w:r w:rsidRPr="00253730">
        <w:rPr>
          <w:i/>
        </w:rPr>
        <w:t>European Journal of International Law</w:t>
      </w:r>
      <w:r w:rsidRPr="00253730">
        <w:t xml:space="preserve">, 2006, p. 576 ss. e PALCHETTI, </w:t>
      </w:r>
      <w:r w:rsidRPr="00253730">
        <w:rPr>
          <w:i/>
        </w:rPr>
        <w:t>L’organo di fatto</w:t>
      </w:r>
      <w:r w:rsidRPr="00253730">
        <w:t>, cit., p. 103 ss.</w:t>
      </w:r>
    </w:p>
  </w:footnote>
  <w:footnote w:id="473">
    <w:p w:rsidR="003D54BB" w:rsidRPr="00DD1643" w:rsidRDefault="003D54BB" w:rsidP="00DD1643">
      <w:pPr>
        <w:pStyle w:val="Testonotaapidipagina"/>
        <w:jc w:val="both"/>
        <w:rPr>
          <w:lang w:val="en-US"/>
        </w:rPr>
      </w:pPr>
      <w:r>
        <w:rPr>
          <w:rStyle w:val="Rimandonotaapidipagina"/>
        </w:rPr>
        <w:footnoteRef/>
      </w:r>
      <w:r w:rsidRPr="007239A8">
        <w:t xml:space="preserve"> Tale prima ipotesi è presa in esame dalla Corte nei paragrafi 109-112 della sentenza.</w:t>
      </w:r>
      <w:r>
        <w:t xml:space="preserve"> </w:t>
      </w:r>
      <w:r w:rsidRPr="00DD1643">
        <w:rPr>
          <w:lang w:val="en-US"/>
        </w:rPr>
        <w:t>In particolare al paragrafo 109, vi si legge: “What the Court has to determine at this point is whether or not the relationship of the contras to the United States Government was so much one of dependence on the one side and control on the other that it would be right to equate the contras, for legal purposes, with an organ of the United States Government, or as acting on behalf of that Government”.</w:t>
      </w:r>
    </w:p>
  </w:footnote>
  <w:footnote w:id="474">
    <w:p w:rsidR="003D54BB" w:rsidRPr="00DD1643" w:rsidRDefault="003D54BB" w:rsidP="00DD1643">
      <w:pPr>
        <w:pStyle w:val="Testonotaapidipagina"/>
        <w:jc w:val="both"/>
        <w:rPr>
          <w:lang w:val="fr-FR"/>
        </w:rPr>
      </w:pPr>
      <w:r>
        <w:rPr>
          <w:rStyle w:val="Rimandonotaapidipagina"/>
        </w:rPr>
        <w:footnoteRef/>
      </w:r>
      <w:r w:rsidRPr="00DD1643">
        <w:rPr>
          <w:lang w:val="fr-FR"/>
        </w:rPr>
        <w:t xml:space="preserve"> </w:t>
      </w:r>
      <w:r w:rsidRPr="00DD1643">
        <w:rPr>
          <w:i/>
          <w:lang w:val="fr-FR"/>
        </w:rPr>
        <w:t>I.C.J. Reports</w:t>
      </w:r>
      <w:r w:rsidRPr="00DD1643">
        <w:rPr>
          <w:lang w:val="fr-FR"/>
        </w:rPr>
        <w:t xml:space="preserve">, 1986, p. 64, par. </w:t>
      </w:r>
      <w:r>
        <w:rPr>
          <w:lang w:val="fr-FR"/>
        </w:rPr>
        <w:t>114.</w:t>
      </w:r>
    </w:p>
  </w:footnote>
  <w:footnote w:id="475">
    <w:p w:rsidR="003D54BB" w:rsidRPr="000A1A2B" w:rsidRDefault="003D54BB" w:rsidP="000A1A2B">
      <w:pPr>
        <w:pStyle w:val="Testonotaapidipagina"/>
        <w:jc w:val="both"/>
      </w:pPr>
      <w:r>
        <w:rPr>
          <w:rStyle w:val="Rimandonotaapidipagina"/>
        </w:rPr>
        <w:footnoteRef/>
      </w:r>
      <w:r w:rsidRPr="000A1A2B">
        <w:t xml:space="preserve"> Tale ipotesi è presa in considerazione ai paragrafi 113-115 della sentenza.</w:t>
      </w:r>
    </w:p>
  </w:footnote>
  <w:footnote w:id="476">
    <w:p w:rsidR="003D54BB" w:rsidRPr="00016459" w:rsidRDefault="003D54BB" w:rsidP="000A1A2B">
      <w:pPr>
        <w:pStyle w:val="Testonotaapidipagina"/>
        <w:jc w:val="both"/>
        <w:rPr>
          <w:lang w:val="en-US"/>
        </w:rPr>
      </w:pPr>
      <w:r>
        <w:rPr>
          <w:rStyle w:val="Rimandonotaapidipagina"/>
        </w:rPr>
        <w:footnoteRef/>
      </w:r>
      <w:r w:rsidRPr="00016459">
        <w:rPr>
          <w:lang w:val="en-US"/>
        </w:rPr>
        <w:t xml:space="preserve"> </w:t>
      </w:r>
      <w:r w:rsidRPr="00016459">
        <w:rPr>
          <w:i/>
          <w:lang w:val="en-US"/>
        </w:rPr>
        <w:t>I. C. J. Reports,</w:t>
      </w:r>
      <w:r w:rsidRPr="00016459">
        <w:rPr>
          <w:lang w:val="en-US"/>
        </w:rPr>
        <w:t xml:space="preserve"> 2005, p. 29 ss.</w:t>
      </w:r>
    </w:p>
  </w:footnote>
  <w:footnote w:id="477">
    <w:p w:rsidR="003D54BB" w:rsidRPr="00BA1447" w:rsidRDefault="003D54BB" w:rsidP="009D54AA">
      <w:pPr>
        <w:pStyle w:val="Testonotaapidipagina"/>
        <w:jc w:val="both"/>
      </w:pPr>
      <w:r>
        <w:rPr>
          <w:rStyle w:val="Rimandonotaapidipagina"/>
        </w:rPr>
        <w:footnoteRef/>
      </w:r>
      <w:r w:rsidRPr="00BA1447">
        <w:t xml:space="preserve"> Parr. 213-214 della sentenza.</w:t>
      </w:r>
    </w:p>
  </w:footnote>
  <w:footnote w:id="478">
    <w:p w:rsidR="003D54BB" w:rsidRDefault="003D54BB" w:rsidP="006F2CB8">
      <w:pPr>
        <w:pStyle w:val="Testonotaapidipagina"/>
        <w:jc w:val="both"/>
      </w:pPr>
      <w:r>
        <w:rPr>
          <w:rStyle w:val="Rimandonotaapidipagina"/>
        </w:rPr>
        <w:footnoteRef/>
      </w:r>
      <w:r>
        <w:t xml:space="preserve"> Insieme al riferimento al criterio attributivo che si fonda sulla qualità di organo dell’individuo o ente autore dell’illecito, la Corte internazionale di giustizia ha richiamato anche il criterio dell’ente che esercita prerogative dei pubblici poteri per conto dello Stato. Tale riferimento non aggiunge in realtà molto al ragionamento della Corte, dal momento che anche esso, insieme a quello che si fonda sulla qualità di organo, prevede </w:t>
      </w:r>
      <w:r w:rsidRPr="006F2CB8">
        <w:t>la riferibilità in via generale delle condotte di un ente allo Stato.</w:t>
      </w:r>
    </w:p>
  </w:footnote>
  <w:footnote w:id="479">
    <w:p w:rsidR="003D54BB" w:rsidRPr="00FC6D30" w:rsidRDefault="003D54BB" w:rsidP="006F2CB8">
      <w:pPr>
        <w:pStyle w:val="Testonotaapidipagina"/>
        <w:jc w:val="both"/>
      </w:pPr>
      <w:r w:rsidRPr="006F2CB8">
        <w:rPr>
          <w:rStyle w:val="Rimandonotaapidipagina"/>
        </w:rPr>
        <w:footnoteRef/>
      </w:r>
      <w:r w:rsidRPr="00FC6D30">
        <w:t xml:space="preserve"> Parr. 158 – 160.</w:t>
      </w:r>
    </w:p>
  </w:footnote>
  <w:footnote w:id="480">
    <w:p w:rsidR="003D54BB" w:rsidRPr="006F0C5D" w:rsidRDefault="003D54BB" w:rsidP="006F2CB8">
      <w:pPr>
        <w:pStyle w:val="Testonotaapidipagina"/>
        <w:jc w:val="both"/>
      </w:pPr>
      <w:r w:rsidRPr="006F2CB8">
        <w:rPr>
          <w:rStyle w:val="Rimandonotaapidipagina"/>
        </w:rPr>
        <w:footnoteRef/>
      </w:r>
      <w:r w:rsidRPr="00FC6D30">
        <w:t xml:space="preserve"> Par. 160 della sentenza. </w:t>
      </w:r>
      <w:r w:rsidRPr="006F2CB8">
        <w:t xml:space="preserve">Sembra opportuno sottolineare come l’Uganda, nella sua contromemoria, </w:t>
      </w:r>
      <w:r w:rsidRPr="006F0C5D">
        <w:t xml:space="preserve">aveva parlato di una incorporazione di fatto di gruppi paramilitari nell’esercito del Congo. </w:t>
      </w:r>
      <w:r w:rsidRPr="006F0C5D">
        <w:rPr>
          <w:lang w:val="en-US"/>
        </w:rPr>
        <w:t>A tal propo</w:t>
      </w:r>
      <w:r>
        <w:rPr>
          <w:lang w:val="en-US"/>
        </w:rPr>
        <w:t xml:space="preserve">sito, nella difesa dell’Uganda, </w:t>
      </w:r>
      <w:r w:rsidRPr="006F0C5D">
        <w:rPr>
          <w:lang w:val="en-US"/>
        </w:rPr>
        <w:t>Brownlie aveva osservato: “</w:t>
      </w:r>
      <w:r w:rsidRPr="006F0C5D">
        <w:rPr>
          <w:i/>
          <w:lang w:val="en-US"/>
        </w:rPr>
        <w:t>The circumstances of the present case are substantially at variance with the facts on which the Court relied in the Nicaragua case.[…] The</w:t>
      </w:r>
      <w:r w:rsidRPr="006F0C5D">
        <w:rPr>
          <w:lang w:val="en-US"/>
        </w:rPr>
        <w:t xml:space="preserve"> </w:t>
      </w:r>
      <w:r w:rsidRPr="006F0C5D">
        <w:rPr>
          <w:i/>
          <w:lang w:val="en-US"/>
        </w:rPr>
        <w:t>armed bands formed part of a command structure which involved the central Government of Congo…”.</w:t>
      </w:r>
      <w:r w:rsidRPr="006F0C5D">
        <w:rPr>
          <w:lang w:val="en-US"/>
        </w:rPr>
        <w:t xml:space="preserve"> </w:t>
      </w:r>
      <w:r w:rsidRPr="006F0C5D">
        <w:t xml:space="preserve">Cfr. </w:t>
      </w:r>
      <w:r w:rsidRPr="006F0C5D">
        <w:rPr>
          <w:i/>
        </w:rPr>
        <w:t>I.C.J. Verbatim Record</w:t>
      </w:r>
      <w:r w:rsidRPr="006F0C5D">
        <w:t xml:space="preserve">, CR 2005/7, pp. 19-20. Corten, il difensore del Congo, aveva considerato tale presa di posizione un riferimento al criterio dell’organo. </w:t>
      </w:r>
      <w:r w:rsidRPr="006F0C5D">
        <w:rPr>
          <w:lang w:val="fr-FR"/>
        </w:rPr>
        <w:t>Egli ha sostenuto che la tesi dell’Uganda mirava a “…</w:t>
      </w:r>
      <w:r w:rsidRPr="006F0C5D">
        <w:rPr>
          <w:i/>
          <w:lang w:val="fr-FR"/>
        </w:rPr>
        <w:t>imputer au Congo tous les actes posés ensuite par ces forces rebelles qui seraient, en quelque sorte, des agents de droit de la République démocratique du Congo</w:t>
      </w:r>
      <w:r w:rsidRPr="006F0C5D">
        <w:rPr>
          <w:lang w:val="fr-FR"/>
        </w:rPr>
        <w:t xml:space="preserve">”. </w:t>
      </w:r>
      <w:r w:rsidRPr="006F0C5D">
        <w:t xml:space="preserve">Cfr. </w:t>
      </w:r>
      <w:r w:rsidRPr="006F0C5D">
        <w:rPr>
          <w:i/>
        </w:rPr>
        <w:t>Verbatim Record</w:t>
      </w:r>
      <w:r w:rsidRPr="006F0C5D">
        <w:t>, CR 2005/11, p. 28.</w:t>
      </w:r>
      <w:r>
        <w:t xml:space="preserve"> </w:t>
      </w:r>
    </w:p>
  </w:footnote>
  <w:footnote w:id="481">
    <w:p w:rsidR="003D54BB" w:rsidRPr="00E7070F" w:rsidRDefault="003D54BB" w:rsidP="006F2CB8">
      <w:pPr>
        <w:pStyle w:val="Testonotaapidipagina"/>
        <w:jc w:val="both"/>
        <w:rPr>
          <w:lang w:val="en-US"/>
        </w:rPr>
      </w:pPr>
      <w:r w:rsidRPr="006F0C5D">
        <w:rPr>
          <w:rStyle w:val="Rimandonotaapidipagina"/>
        </w:rPr>
        <w:footnoteRef/>
      </w:r>
      <w:r w:rsidRPr="006F0C5D">
        <w:t xml:space="preserve"> Nella sua opinione separata e dissidente il giudice ad hoc Kateka, a differenza della Corte, ha ritenuto che l’Uganda non fosse internazionalmente responsabile per lo sfruttamento delle risorse minerarie della Repubblica democratica</w:t>
      </w:r>
      <w:r w:rsidRPr="00E7070F">
        <w:t xml:space="preserve"> del Congo. I soldati ugandesi che avevano adottato un tale comportamento avevano a suo parere agito nella loro qualità privata, in quanto avevano contravvenuto le istruzioni loro impartite dai superiori. </w:t>
      </w:r>
      <w:r>
        <w:t xml:space="preserve"> </w:t>
      </w:r>
      <w:r w:rsidRPr="00E7070F">
        <w:t>In linea con quanto previsto dall’art. 7 del progetto di articoli adottato in seconda lettura dalla CDI, era necessario operare una netta distinzione fra le condotte non autorizzate, ma comunque tenute dagli organi nella propria qualità ufficiale, e quelle che invece non avevano alcun tipo di legame con la funzione ufficiale s</w:t>
      </w:r>
      <w:r>
        <w:t>volta:</w:t>
      </w:r>
      <w:r w:rsidRPr="00E7070F">
        <w:t>“</w:t>
      </w:r>
      <w:r w:rsidRPr="00E7070F">
        <w:rPr>
          <w:i/>
        </w:rPr>
        <w:t xml:space="preserve">Hence, in my view, individual acts of UPDF soldiers, committed in their private capacity and in violation of orders, cannot lead to attribution of wrongful acts. </w:t>
      </w:r>
      <w:r w:rsidRPr="00E7070F">
        <w:rPr>
          <w:i/>
          <w:lang w:val="en-US"/>
        </w:rPr>
        <w:t>Paragraph 8 of the Commentary to Article 7 of the draft Articles of the International Law Commission 2001 distinguishes between unauthorized, but still “official” conduct, on the one hand and “private” conduct on the other</w:t>
      </w:r>
      <w:r>
        <w:rPr>
          <w:lang w:val="en-US"/>
        </w:rPr>
        <w:t>”.</w:t>
      </w:r>
    </w:p>
    <w:p w:rsidR="003D54BB" w:rsidRPr="00E7070F" w:rsidRDefault="003D54BB" w:rsidP="00E7070F">
      <w:pPr>
        <w:pStyle w:val="Testonotaapidipagina"/>
        <w:jc w:val="both"/>
      </w:pPr>
      <w:r w:rsidRPr="00E7070F">
        <w:t xml:space="preserve">Nonostante l’esattezza della citazione del principio come codificato dalla CDI, l’esclusione dell’attribuzione allo Stato delle condotte tenute nella qualità privata da parte di membri delle forze armate sembra in realtà discutibile per due ordini di ragioni. </w:t>
      </w:r>
      <w:r w:rsidRPr="00582345">
        <w:rPr>
          <w:i/>
        </w:rPr>
        <w:t>In primis</w:t>
      </w:r>
      <w:r w:rsidRPr="00E7070F">
        <w:t xml:space="preserve"> sembra difatti ormai accertata, alla luce della prassi, l’impossibilità di assimilare un fatto tenuto da un organo nel mancato rispetto delle istruzioni ad un fatto di un privato; </w:t>
      </w:r>
      <w:r w:rsidRPr="00582345">
        <w:rPr>
          <w:i/>
        </w:rPr>
        <w:t>in secundis</w:t>
      </w:r>
      <w:r w:rsidRPr="00E7070F">
        <w:t xml:space="preserve"> è pacifico ritenere che il principio secondo cui devono essere attribuite allo Stato tutte le condotte tenute dai membri delle forze armate, previsto dalle norme in tema di diritto</w:t>
      </w:r>
      <w:r>
        <w:t xml:space="preserve"> internazionale umanitario, può</w:t>
      </w:r>
      <w:r w:rsidRPr="00E7070F">
        <w:t xml:space="preserve"> potersi considerare </w:t>
      </w:r>
      <w:r w:rsidRPr="00E7070F">
        <w:rPr>
          <w:i/>
        </w:rPr>
        <w:t>lex specialis</w:t>
      </w:r>
      <w:r w:rsidRPr="00E7070F">
        <w:t>.</w:t>
      </w:r>
    </w:p>
  </w:footnote>
  <w:footnote w:id="482">
    <w:p w:rsidR="003D54BB" w:rsidRDefault="003D54BB" w:rsidP="00561C4D">
      <w:pPr>
        <w:pStyle w:val="Testonotaapidipagina"/>
        <w:jc w:val="both"/>
      </w:pPr>
      <w:r>
        <w:rPr>
          <w:rStyle w:val="Rimandonotaapidipagina"/>
        </w:rPr>
        <w:footnoteRef/>
      </w:r>
      <w:r w:rsidRPr="00B4587E">
        <w:rPr>
          <w:lang w:val="en-US"/>
        </w:rPr>
        <w:t xml:space="preserve"> </w:t>
      </w:r>
      <w:r w:rsidRPr="00B4587E">
        <w:rPr>
          <w:i/>
          <w:lang w:val="en-US"/>
        </w:rPr>
        <w:t>I.C.J. Reports</w:t>
      </w:r>
      <w:r w:rsidRPr="00B4587E">
        <w:rPr>
          <w:lang w:val="en-US"/>
        </w:rPr>
        <w:t xml:space="preserve">, 2007, p. 18 ss. </w:t>
      </w:r>
      <w:r>
        <w:t>Il problema dell’attribuzione è stato preso in considerazione dalla Corte nei paragrafi 377–415 della sentenza del 26 febbraio 2007.</w:t>
      </w:r>
    </w:p>
  </w:footnote>
  <w:footnote w:id="483">
    <w:p w:rsidR="003D54BB" w:rsidRPr="00766567" w:rsidRDefault="003D54BB" w:rsidP="00121DDD">
      <w:pPr>
        <w:pStyle w:val="Testonotaapidipagina"/>
        <w:jc w:val="both"/>
        <w:rPr>
          <w:lang w:val="fr-FR"/>
        </w:rPr>
      </w:pPr>
      <w:r>
        <w:rPr>
          <w:rStyle w:val="Rimandonotaapidipagina"/>
        </w:rPr>
        <w:footnoteRef/>
      </w:r>
      <w:r>
        <w:rPr>
          <w:lang w:val="fr-FR"/>
        </w:rPr>
        <w:t xml:space="preserve"> </w:t>
      </w:r>
      <w:r w:rsidRPr="00766567">
        <w:rPr>
          <w:i/>
          <w:lang w:val="fr-FR"/>
        </w:rPr>
        <w:t>I.C.J. Verbatim Record</w:t>
      </w:r>
      <w:r w:rsidRPr="00766567">
        <w:rPr>
          <w:lang w:val="fr-FR"/>
        </w:rPr>
        <w:t>, CR 2006/9, p. 52 e 56.</w:t>
      </w:r>
    </w:p>
  </w:footnote>
  <w:footnote w:id="484">
    <w:p w:rsidR="003D54BB" w:rsidRPr="00253730" w:rsidRDefault="003D54BB" w:rsidP="006777CA">
      <w:pPr>
        <w:pStyle w:val="Testonotaapidipagina"/>
        <w:jc w:val="both"/>
        <w:rPr>
          <w:i/>
        </w:rPr>
      </w:pPr>
      <w:r>
        <w:rPr>
          <w:rStyle w:val="Rimandonotaapidipagina"/>
        </w:rPr>
        <w:footnoteRef/>
      </w:r>
      <w:r w:rsidRPr="00BD51DE">
        <w:rPr>
          <w:lang w:val="fr-FR"/>
        </w:rPr>
        <w:t xml:space="preserve"> “</w:t>
      </w:r>
      <w:r w:rsidRPr="00BD51DE">
        <w:rPr>
          <w:i/>
          <w:lang w:val="fr-FR"/>
        </w:rPr>
        <w:t>Il n’est pas utile non plus de se fourvoyer en discutant en détail l’argument que le défendeur croit pouvoir tirer du seul cas qu’il cite dans lequel la Republika Srpska aurait refusé de s’incliner face aux pressions de la RFY, à savoir lorsque l’acceptation  du plan Vance-Owen était sur le tapis en 1993.[…]Mais dans n’importe quel système fédéral, que ce soit celui des Etats-Unis, du Canada, de la Suisse ou de la Fé</w:t>
      </w:r>
      <w:r>
        <w:rPr>
          <w:i/>
          <w:lang w:val="fr-FR"/>
        </w:rPr>
        <w:t>dération de Russie, ce serait le</w:t>
      </w:r>
      <w:r w:rsidRPr="00BD51DE">
        <w:rPr>
          <w:i/>
          <w:lang w:val="fr-FR"/>
        </w:rPr>
        <w:t xml:space="preserve"> rêve pour le gouvernement fédéral de voir une quelconque unité fédérée s’opposer sérieuseme</w:t>
      </w:r>
      <w:r>
        <w:rPr>
          <w:i/>
          <w:lang w:val="fr-FR"/>
        </w:rPr>
        <w:t>nt à lui en une unique occasion</w:t>
      </w:r>
      <w:r w:rsidRPr="00BD51DE">
        <w:rPr>
          <w:i/>
          <w:lang w:val="fr-FR"/>
        </w:rPr>
        <w:t>! D’ailleurs le fait que , malgré le refus d’obtempérer, la Republika Srpska ait continué à jouir du soutien éperdu de la RFY, engendre bien des soupçons!</w:t>
      </w:r>
      <w:r w:rsidRPr="00BD51DE">
        <w:rPr>
          <w:lang w:val="fr-FR"/>
        </w:rPr>
        <w:t xml:space="preserve"> </w:t>
      </w:r>
      <w:r w:rsidRPr="00FE48B8">
        <w:rPr>
          <w:lang w:val="fr-FR"/>
        </w:rPr>
        <w:t>”</w:t>
      </w:r>
      <w:r>
        <w:rPr>
          <w:lang w:val="fr-FR"/>
        </w:rPr>
        <w:t xml:space="preserve">. </w:t>
      </w:r>
      <w:r w:rsidRPr="00253730">
        <w:t xml:space="preserve">Cfr. </w:t>
      </w:r>
      <w:r w:rsidRPr="00253730">
        <w:rPr>
          <w:i/>
        </w:rPr>
        <w:t>I.C.J. Verbatim Record</w:t>
      </w:r>
      <w:r w:rsidRPr="00253730">
        <w:t xml:space="preserve">, CR 2006/10, p. 23, par. 30. </w:t>
      </w:r>
    </w:p>
  </w:footnote>
  <w:footnote w:id="485">
    <w:p w:rsidR="003D54BB" w:rsidRPr="00253730" w:rsidRDefault="003D54BB" w:rsidP="006777CA">
      <w:pPr>
        <w:pStyle w:val="Testonotaapidipagina"/>
        <w:jc w:val="both"/>
      </w:pPr>
      <w:r>
        <w:rPr>
          <w:rStyle w:val="Rimandonotaapidipagina"/>
        </w:rPr>
        <w:footnoteRef/>
      </w:r>
      <w:r w:rsidRPr="00253730">
        <w:t xml:space="preserve"> </w:t>
      </w:r>
      <w:r w:rsidRPr="00253730">
        <w:rPr>
          <w:i/>
        </w:rPr>
        <w:t>I.C.J. Verbatim Record</w:t>
      </w:r>
      <w:r w:rsidRPr="00253730">
        <w:t>, CR 2006/16, p. 31 ss.</w:t>
      </w:r>
    </w:p>
  </w:footnote>
  <w:footnote w:id="486">
    <w:p w:rsidR="003D54BB" w:rsidRPr="005D04CA" w:rsidRDefault="003D54BB" w:rsidP="006777CA">
      <w:pPr>
        <w:pStyle w:val="Testonotaapidipagina"/>
        <w:jc w:val="both"/>
      </w:pPr>
      <w:r>
        <w:rPr>
          <w:rStyle w:val="Rimandonotaapidipagina"/>
        </w:rPr>
        <w:footnoteRef/>
      </w:r>
      <w:r w:rsidRPr="004202F9">
        <w:t xml:space="preserve"> </w:t>
      </w:r>
      <w:r>
        <w:t xml:space="preserve">Si fa qui riferimento agli organi appartenenti alla struttura dello Stato in senso lato, comprensiva degli enti pubblici territoriali. </w:t>
      </w:r>
      <w:r w:rsidRPr="005D04CA">
        <w:t>Si veda il par. 375 della sentenza.</w:t>
      </w:r>
    </w:p>
  </w:footnote>
  <w:footnote w:id="487">
    <w:p w:rsidR="003D54BB" w:rsidRPr="00B24D1C" w:rsidRDefault="003D54BB" w:rsidP="006777CA">
      <w:pPr>
        <w:pStyle w:val="Testonotaapidipagina"/>
        <w:jc w:val="both"/>
      </w:pPr>
      <w:r>
        <w:rPr>
          <w:rStyle w:val="Rimandonotaapidipagina"/>
        </w:rPr>
        <w:footnoteRef/>
      </w:r>
      <w:r w:rsidRPr="00B24D1C">
        <w:t xml:space="preserve"> Si veda par. 390 ss. della sentenza.</w:t>
      </w:r>
    </w:p>
  </w:footnote>
  <w:footnote w:id="488">
    <w:p w:rsidR="003D54BB" w:rsidRPr="00FC6D30" w:rsidRDefault="003D54BB" w:rsidP="006777CA">
      <w:pPr>
        <w:pStyle w:val="Testonotaapidipagina"/>
        <w:jc w:val="both"/>
      </w:pPr>
      <w:r>
        <w:rPr>
          <w:rStyle w:val="Rimandonotaapidipagina"/>
        </w:rPr>
        <w:footnoteRef/>
      </w:r>
      <w:r w:rsidRPr="00FC6D30">
        <w:t xml:space="preserve"> Vedi </w:t>
      </w:r>
      <w:r w:rsidRPr="00FC6D30">
        <w:rPr>
          <w:i/>
        </w:rPr>
        <w:t>supra</w:t>
      </w:r>
      <w:r>
        <w:t>, p. 185 ss.</w:t>
      </w:r>
    </w:p>
  </w:footnote>
  <w:footnote w:id="489">
    <w:p w:rsidR="003D54BB" w:rsidRPr="005D04CA" w:rsidRDefault="003D54BB" w:rsidP="00561C4D">
      <w:pPr>
        <w:autoSpaceDE w:val="0"/>
        <w:autoSpaceDN w:val="0"/>
        <w:adjustRightInd w:val="0"/>
        <w:spacing w:after="0" w:line="240" w:lineRule="auto"/>
        <w:jc w:val="both"/>
        <w:rPr>
          <w:sz w:val="20"/>
          <w:szCs w:val="20"/>
        </w:rPr>
      </w:pPr>
      <w:r>
        <w:rPr>
          <w:rStyle w:val="Rimandonotaapidipagina"/>
        </w:rPr>
        <w:footnoteRef/>
      </w:r>
      <w:r w:rsidRPr="005D04CA">
        <w:t xml:space="preserve">  </w:t>
      </w:r>
      <w:r w:rsidRPr="005D04CA">
        <w:rPr>
          <w:sz w:val="20"/>
          <w:szCs w:val="20"/>
        </w:rPr>
        <w:t>Par. 392 della sentenza.</w:t>
      </w:r>
    </w:p>
  </w:footnote>
  <w:footnote w:id="490">
    <w:p w:rsidR="003D54BB" w:rsidRDefault="003D54BB" w:rsidP="00561C4D">
      <w:pPr>
        <w:pStyle w:val="Testonotaapidipagina"/>
        <w:jc w:val="both"/>
      </w:pPr>
      <w:r>
        <w:rPr>
          <w:rStyle w:val="Rimandonotaapidipagina"/>
        </w:rPr>
        <w:footnoteRef/>
      </w:r>
      <w:r w:rsidRPr="005D04CA">
        <w:t xml:space="preserve"> </w:t>
      </w:r>
      <w:r>
        <w:t>Parr. 392–393 della sentenza.</w:t>
      </w:r>
    </w:p>
  </w:footnote>
  <w:footnote w:id="491">
    <w:p w:rsidR="003D54BB" w:rsidRDefault="003D54BB" w:rsidP="001E6B67">
      <w:pPr>
        <w:pStyle w:val="Testonotaapidipagina"/>
        <w:jc w:val="both"/>
      </w:pPr>
      <w:r>
        <w:rPr>
          <w:rStyle w:val="Rimandonotaapidipagina"/>
        </w:rPr>
        <w:footnoteRef/>
      </w:r>
      <w:r>
        <w:t xml:space="preserve"> Con riferimento ai legami dell’esercito serbo-bosniaco e della Repubblica Srpska con la ex- Repubblica federale di Iugoslavia, la Corte ha affermato che, nonostante al momento dei fatti esistevano dei forti legami tra di essi in virtù di una identità di intenti e di un importante aiuto fornito da Belgrado al fine della conduzione delle principali operazioni militari, tali elementi non bastavano a farne una entità totalmente dipendente da Belgrado dal momento che erano emerse divergenze tra il Governo iugoslavo e la Repubblica Srpska in merito alle operazioni strategiche da seguire. Si vedano i parr. 394-395 della sentenza.</w:t>
      </w:r>
    </w:p>
  </w:footnote>
  <w:footnote w:id="492">
    <w:p w:rsidR="003D54BB" w:rsidRDefault="003D54BB" w:rsidP="001E6B67">
      <w:pPr>
        <w:pStyle w:val="Testonotaapidipagina"/>
        <w:jc w:val="both"/>
      </w:pPr>
      <w:r>
        <w:rPr>
          <w:rStyle w:val="Rimandonotaapidipagina"/>
        </w:rPr>
        <w:footnoteRef/>
      </w:r>
      <w:r>
        <w:t xml:space="preserve"> Par. 397 della sentenza. Si veda PALCHETTI, </w:t>
      </w:r>
      <w:r>
        <w:rPr>
          <w:i/>
        </w:rPr>
        <w:t>op. cit.,</w:t>
      </w:r>
      <w:r>
        <w:t xml:space="preserve"> p.109 ss.</w:t>
      </w:r>
    </w:p>
  </w:footnote>
  <w:footnote w:id="493">
    <w:p w:rsidR="003D54BB" w:rsidRDefault="003D54BB" w:rsidP="001E6B67">
      <w:pPr>
        <w:pStyle w:val="Testonotaapidipagina"/>
        <w:jc w:val="both"/>
      </w:pPr>
      <w:r>
        <w:rPr>
          <w:rStyle w:val="Rimandonotaapidipagina"/>
        </w:rPr>
        <w:footnoteRef/>
      </w:r>
      <w:r>
        <w:t xml:space="preserve"> Tale tesi è stata sostenuta da SPINEDI, </w:t>
      </w:r>
      <w:r w:rsidRPr="001E6B67">
        <w:rPr>
          <w:i/>
        </w:rPr>
        <w:t>L’attribuzione allo Stato dei comportamenti dei gruppi armati</w:t>
      </w:r>
      <w:r>
        <w:t xml:space="preserve">, </w:t>
      </w:r>
      <w:r>
        <w:rPr>
          <w:i/>
        </w:rPr>
        <w:t>da esso sostenuti nella sentenza della Corte internazionale di Giustizia sul genocidio in Bosnia-Erzegovina</w:t>
      </w:r>
      <w:r>
        <w:t xml:space="preserve">, </w:t>
      </w:r>
      <w:r w:rsidRPr="00F07637">
        <w:rPr>
          <w:i/>
        </w:rPr>
        <w:t>Rivista di diritto internazionale</w:t>
      </w:r>
      <w:r>
        <w:t>, 2007, p. 417 ss, specialmente p. 424.</w:t>
      </w:r>
    </w:p>
  </w:footnote>
  <w:footnote w:id="494">
    <w:p w:rsidR="003D54BB" w:rsidRDefault="003D54BB">
      <w:pPr>
        <w:pStyle w:val="Testonotaapidipagina"/>
      </w:pPr>
      <w:r>
        <w:rPr>
          <w:rStyle w:val="Rimandonotaapidipagina"/>
        </w:rPr>
        <w:footnoteRef/>
      </w:r>
      <w:r>
        <w:t xml:space="preserve"> Vedi </w:t>
      </w:r>
      <w:r w:rsidRPr="0097769D">
        <w:rPr>
          <w:i/>
        </w:rPr>
        <w:t>supra</w:t>
      </w:r>
      <w:r>
        <w:t>, p. 161 ss.</w:t>
      </w:r>
    </w:p>
  </w:footnote>
  <w:footnote w:id="495">
    <w:p w:rsidR="003D54BB" w:rsidRDefault="003D54BB">
      <w:pPr>
        <w:pStyle w:val="Testonotaapidipagina"/>
      </w:pPr>
      <w:r>
        <w:rPr>
          <w:rStyle w:val="Rimandonotaapidipagina"/>
        </w:rPr>
        <w:footnoteRef/>
      </w:r>
      <w:r>
        <w:t xml:space="preserve"> Vedi </w:t>
      </w:r>
      <w:r w:rsidRPr="00755C5D">
        <w:rPr>
          <w:i/>
        </w:rPr>
        <w:t>supra</w:t>
      </w:r>
      <w:r>
        <w:t>, p. 138 ss.</w:t>
      </w:r>
    </w:p>
  </w:footnote>
  <w:footnote w:id="496">
    <w:p w:rsidR="003D54BB" w:rsidRDefault="003D54BB">
      <w:pPr>
        <w:pStyle w:val="Testonotaapidipagina"/>
      </w:pPr>
      <w:r>
        <w:rPr>
          <w:rStyle w:val="Rimandonotaapidipagina"/>
        </w:rPr>
        <w:footnoteRef/>
      </w:r>
      <w:r>
        <w:t xml:space="preserve"> Vedi </w:t>
      </w:r>
      <w:r w:rsidRPr="00512479">
        <w:rPr>
          <w:i/>
        </w:rPr>
        <w:t>supra</w:t>
      </w:r>
      <w:r>
        <w:t>, p. 145 ss.</w:t>
      </w:r>
    </w:p>
  </w:footnote>
  <w:footnote w:id="497">
    <w:p w:rsidR="003D54BB" w:rsidRDefault="003D54BB">
      <w:pPr>
        <w:pStyle w:val="Testonotaapidipagina"/>
      </w:pPr>
      <w:r>
        <w:rPr>
          <w:rStyle w:val="Rimandonotaapidipagina"/>
        </w:rPr>
        <w:footnoteRef/>
      </w:r>
      <w:r>
        <w:t xml:space="preserve"> Vedi </w:t>
      </w:r>
      <w:r w:rsidRPr="00B608EF">
        <w:rPr>
          <w:i/>
        </w:rPr>
        <w:t>supra</w:t>
      </w:r>
      <w:r>
        <w:t>, p. 171 ss.</w:t>
      </w:r>
    </w:p>
  </w:footnote>
  <w:footnote w:id="498">
    <w:p w:rsidR="003D54BB" w:rsidRDefault="003D54BB">
      <w:pPr>
        <w:pStyle w:val="Testonotaapidipagina"/>
      </w:pPr>
      <w:r>
        <w:rPr>
          <w:rStyle w:val="Rimandonotaapidipagina"/>
        </w:rPr>
        <w:footnoteRef/>
      </w:r>
      <w:r>
        <w:t xml:space="preserve"> Vedi </w:t>
      </w:r>
      <w:r w:rsidRPr="00B26392">
        <w:rPr>
          <w:i/>
        </w:rPr>
        <w:t>supra</w:t>
      </w:r>
      <w:r>
        <w:t>, p. 180 ss.</w:t>
      </w:r>
    </w:p>
  </w:footnote>
  <w:footnote w:id="499">
    <w:p w:rsidR="003D54BB" w:rsidRPr="005143FB" w:rsidRDefault="003D54BB" w:rsidP="00E91CDB">
      <w:pPr>
        <w:pStyle w:val="Testonotaapidipagina"/>
        <w:jc w:val="both"/>
        <w:rPr>
          <w:lang w:val="en-US"/>
        </w:rPr>
      </w:pPr>
      <w:r>
        <w:rPr>
          <w:rStyle w:val="Rimandonotaapidipagina"/>
        </w:rPr>
        <w:footnoteRef/>
      </w:r>
      <w:r>
        <w:t xml:space="preserve"> Lo stesso commentario dell’art. 7 del progetto di articoli adottato in seconda lettura dalla CDI</w:t>
      </w:r>
      <w:r w:rsidRPr="007C0525">
        <w:t xml:space="preserve"> </w:t>
      </w:r>
      <w:r>
        <w:t xml:space="preserve">ravvisa nell’esigenza di certezza delle relazioni internazionali uno dei principi ai quali si ispira la regola in tema di attribuzione allo Stato dei fatti </w:t>
      </w:r>
      <w:r>
        <w:rPr>
          <w:i/>
        </w:rPr>
        <w:t>ultra vires</w:t>
      </w:r>
      <w:r>
        <w:t xml:space="preserve"> degli organi statali, (c</w:t>
      </w:r>
      <w:r w:rsidRPr="00631161">
        <w:t>fr. paragrafo 3</w:t>
      </w:r>
      <w:r>
        <w:t>)</w:t>
      </w:r>
      <w:r w:rsidRPr="00631161">
        <w:t xml:space="preserve">. É bene evidenziare che in alcuni </w:t>
      </w:r>
      <w:r>
        <w:t xml:space="preserve">casi della prassi esaminata </w:t>
      </w:r>
      <w:r w:rsidRPr="00631161">
        <w:t xml:space="preserve">il problema dei fatti </w:t>
      </w:r>
      <w:r w:rsidRPr="00631161">
        <w:rPr>
          <w:i/>
        </w:rPr>
        <w:t>ultra vires</w:t>
      </w:r>
      <w:r w:rsidRPr="00631161">
        <w:t xml:space="preserve"> venga in epoca recente </w:t>
      </w:r>
      <w:r>
        <w:t xml:space="preserve">affrontato in termini di accertare </w:t>
      </w:r>
      <w:r w:rsidRPr="00631161">
        <w:t xml:space="preserve">se si tratti di fatti dello Stato sul piano internazionale, piuttosto che </w:t>
      </w:r>
      <w:r>
        <w:t xml:space="preserve">solo se lo Stato sia tenuto a risponderne internazionalmente. Sul punto si veda la pronuncia resa nel 2003 nel caso </w:t>
      </w:r>
      <w:r>
        <w:rPr>
          <w:i/>
        </w:rPr>
        <w:t>ADF Group Inc. v. United States of America</w:t>
      </w:r>
      <w:r>
        <w:t xml:space="preserve">, in cui un </w:t>
      </w:r>
      <w:r>
        <w:rPr>
          <w:rFonts w:cstheme="minorHAnsi"/>
        </w:rPr>
        <w:t xml:space="preserve">Tribunale arbitrale, nonostante nel caso di specie non fosse stato violato alcun obbligo di diritto internazionale, ha comunque affermato che un fatto tenuto nella qualità ufficiale da un organo statale deve essere ritenuto un fatto dello Stato quale soggetto internazionale indipendentemente dal rispetto delle istruzioni ricevute o del diritto interno. </w:t>
      </w:r>
      <w:r w:rsidRPr="005143FB">
        <w:rPr>
          <w:lang w:val="en-US"/>
        </w:rPr>
        <w:t xml:space="preserve">Vedi </w:t>
      </w:r>
      <w:r w:rsidRPr="005143FB">
        <w:rPr>
          <w:i/>
          <w:lang w:val="en-US"/>
        </w:rPr>
        <w:t>supra</w:t>
      </w:r>
      <w:r>
        <w:rPr>
          <w:lang w:val="en-US"/>
        </w:rPr>
        <w:t>, p. 155 ss.</w:t>
      </w:r>
    </w:p>
  </w:footnote>
  <w:footnote w:id="500">
    <w:p w:rsidR="003D54BB" w:rsidRDefault="003D54BB" w:rsidP="00FF06C9">
      <w:pPr>
        <w:pStyle w:val="Testonotaapidipagina"/>
        <w:jc w:val="both"/>
      </w:pPr>
      <w:r>
        <w:rPr>
          <w:rStyle w:val="Rimandonotaapidipagina"/>
        </w:rPr>
        <w:footnoteRef/>
      </w:r>
      <w:r>
        <w:rPr>
          <w:lang w:val="en-US"/>
        </w:rPr>
        <w:t xml:space="preserve"> </w:t>
      </w:r>
      <w:r w:rsidRPr="00212026">
        <w:rPr>
          <w:lang w:val="en-US"/>
        </w:rPr>
        <w:t>“The State cannot take refuge behind the notion that, according to the provisions of its legal system, those actions and omissions ought not to have occurred or ought to have taken a different form. They have nevertheless occurred and the State is therefore obliged to assume responsibility for them and to bear the consequences provided for in international law”.</w:t>
      </w:r>
      <w:r>
        <w:rPr>
          <w:lang w:val="en-US"/>
        </w:rPr>
        <w:t xml:space="preserve"> </w:t>
      </w:r>
      <w:r>
        <w:rPr>
          <w:i/>
        </w:rPr>
        <w:t>Yearbook of the International Law Commission</w:t>
      </w:r>
      <w:r>
        <w:t>, 1975 – II, p. 67, par. 17.</w:t>
      </w:r>
    </w:p>
  </w:footnote>
  <w:footnote w:id="501">
    <w:p w:rsidR="003D54BB" w:rsidRDefault="003D54BB" w:rsidP="00833C65">
      <w:pPr>
        <w:pStyle w:val="Testonotaapidipagina"/>
        <w:jc w:val="both"/>
      </w:pPr>
      <w:r>
        <w:rPr>
          <w:rStyle w:val="Rimandonotaapidipagina"/>
        </w:rPr>
        <w:footnoteRef/>
      </w:r>
      <w:r>
        <w:t xml:space="preserve"> Così MORELLI, </w:t>
      </w:r>
      <w:r w:rsidRPr="00E91CDB">
        <w:rPr>
          <w:i/>
        </w:rPr>
        <w:t>Nozioni di diritto internazionale</w:t>
      </w:r>
      <w:r>
        <w:t xml:space="preserve">, cit., p. 192 e SERENI, </w:t>
      </w:r>
      <w:r w:rsidRPr="007B6D02">
        <w:rPr>
          <w:i/>
        </w:rPr>
        <w:t>Diritto internazionale</w:t>
      </w:r>
      <w:r>
        <w:t>, cit., p. 465.</w:t>
      </w:r>
    </w:p>
  </w:footnote>
  <w:footnote w:id="502">
    <w:p w:rsidR="003D54BB" w:rsidRPr="00A04C6C" w:rsidRDefault="003D54BB">
      <w:pPr>
        <w:pStyle w:val="Testonotaapidipagina"/>
      </w:pPr>
      <w:r>
        <w:rPr>
          <w:rStyle w:val="Rimandonotaapidipagina"/>
        </w:rPr>
        <w:footnoteRef/>
      </w:r>
      <w:r>
        <w:t xml:space="preserve"> Si veda, tra gli altri, il caso </w:t>
      </w:r>
      <w:r w:rsidRPr="00A04C6C">
        <w:rPr>
          <w:i/>
        </w:rPr>
        <w:t>Vracaritch</w:t>
      </w:r>
      <w:r>
        <w:t xml:space="preserve"> ed il caso </w:t>
      </w:r>
      <w:r w:rsidRPr="00A04C6C">
        <w:rPr>
          <w:i/>
        </w:rPr>
        <w:t>Mantovani</w:t>
      </w:r>
      <w:r>
        <w:t xml:space="preserve">, rispettivamente </w:t>
      </w:r>
      <w:r w:rsidRPr="00E17C57">
        <w:rPr>
          <w:i/>
        </w:rPr>
        <w:t>supra</w:t>
      </w:r>
      <w:r>
        <w:t xml:space="preserve"> p. 140 ss. e p. 142 ss.</w:t>
      </w:r>
    </w:p>
  </w:footnote>
  <w:footnote w:id="503">
    <w:p w:rsidR="003D54BB" w:rsidRPr="00E50072" w:rsidRDefault="003D54BB" w:rsidP="003E2371">
      <w:pPr>
        <w:pStyle w:val="Testonotaapidipagina"/>
        <w:jc w:val="both"/>
        <w:rPr>
          <w:i/>
          <w:lang w:val="en-US"/>
        </w:rPr>
      </w:pPr>
      <w:r>
        <w:rPr>
          <w:rStyle w:val="Rimandonotaapidipagina"/>
        </w:rPr>
        <w:footnoteRef/>
      </w:r>
      <w:r w:rsidRPr="008F3A9F">
        <w:t xml:space="preserve"> </w:t>
      </w:r>
      <w:r>
        <w:t xml:space="preserve">La condizione attributiva della competenza generale, nelle sue differenti formulazioni, è stata più volte citata in dottrina. </w:t>
      </w:r>
      <w:r w:rsidRPr="00B247E5">
        <w:rPr>
          <w:lang w:val="en-US"/>
        </w:rPr>
        <w:t xml:space="preserve">Si vedano </w:t>
      </w:r>
      <w:r>
        <w:rPr>
          <w:lang w:val="en-US"/>
        </w:rPr>
        <w:t xml:space="preserve">STRUPP, </w:t>
      </w:r>
      <w:r w:rsidRPr="00CA5718">
        <w:rPr>
          <w:i/>
          <w:lang w:val="en-US"/>
        </w:rPr>
        <w:t>Das völkerrechtche Delikt</w:t>
      </w:r>
      <w:r w:rsidRPr="00CA5718">
        <w:rPr>
          <w:lang w:val="en-US"/>
        </w:rPr>
        <w:t>, cit., p. 42.</w:t>
      </w:r>
      <w:r>
        <w:rPr>
          <w:lang w:val="en-US"/>
        </w:rPr>
        <w:t xml:space="preserve">; </w:t>
      </w:r>
      <w:r w:rsidRPr="008F3A9F">
        <w:rPr>
          <w:lang w:val="en-US"/>
        </w:rPr>
        <w:t xml:space="preserve"> BORCHARD, </w:t>
      </w:r>
      <w:r w:rsidRPr="008F3A9F">
        <w:rPr>
          <w:i/>
          <w:lang w:val="en-US"/>
        </w:rPr>
        <w:t>Responsibility of States</w:t>
      </w:r>
      <w:r w:rsidRPr="008F3A9F">
        <w:rPr>
          <w:lang w:val="en-US"/>
        </w:rPr>
        <w:t xml:space="preserve">, cit., p. 743; STARKE, </w:t>
      </w:r>
      <w:r w:rsidRPr="008F3A9F">
        <w:rPr>
          <w:i/>
          <w:lang w:val="en-US"/>
        </w:rPr>
        <w:t>Imputability</w:t>
      </w:r>
      <w:r w:rsidRPr="008F3A9F">
        <w:rPr>
          <w:lang w:val="en-US"/>
        </w:rPr>
        <w:t xml:space="preserve">, cit., pp. 110–111, BROWNLIE, </w:t>
      </w:r>
      <w:r w:rsidRPr="008F3A9F">
        <w:rPr>
          <w:i/>
          <w:lang w:val="en-US"/>
        </w:rPr>
        <w:t>System of the law of Nations</w:t>
      </w:r>
      <w:r w:rsidRPr="008F3A9F">
        <w:rPr>
          <w:lang w:val="en-US"/>
        </w:rPr>
        <w:t>, cit., p. 145.</w:t>
      </w:r>
    </w:p>
  </w:footnote>
  <w:footnote w:id="504">
    <w:p w:rsidR="003D54BB" w:rsidRPr="007E0146" w:rsidRDefault="003D54BB" w:rsidP="003E2371">
      <w:pPr>
        <w:pStyle w:val="Testonotaapidipagina"/>
        <w:jc w:val="both"/>
        <w:rPr>
          <w:lang w:val="en-US"/>
        </w:rPr>
      </w:pPr>
      <w:r>
        <w:rPr>
          <w:rStyle w:val="Rimandonotaapidipagina"/>
        </w:rPr>
        <w:footnoteRef/>
      </w:r>
      <w:r>
        <w:t xml:space="preserve"> Numerosi autori hanno in passato criticato la condizione attributiva della competenza generale sulla base della sua vaghezza. </w:t>
      </w:r>
      <w:r w:rsidRPr="007E0146">
        <w:rPr>
          <w:lang w:val="en-US"/>
        </w:rPr>
        <w:t xml:space="preserve">Si veda QUÉNEUDEC, op. cit., p. 140; PRZETACZNIK, </w:t>
      </w:r>
      <w:r w:rsidRPr="007E0146">
        <w:rPr>
          <w:i/>
          <w:lang w:val="en-US"/>
        </w:rPr>
        <w:t>The International Responsibility</w:t>
      </w:r>
      <w:r>
        <w:rPr>
          <w:i/>
          <w:lang w:val="en-US"/>
        </w:rPr>
        <w:t xml:space="preserve"> of the States for ultra vires Acts of Their O</w:t>
      </w:r>
      <w:r w:rsidRPr="007E0146">
        <w:rPr>
          <w:i/>
          <w:lang w:val="en-US"/>
        </w:rPr>
        <w:t>rgans</w:t>
      </w:r>
      <w:r w:rsidRPr="007E0146">
        <w:rPr>
          <w:lang w:val="en-US"/>
        </w:rPr>
        <w:t>, cit.,</w:t>
      </w:r>
      <w:r>
        <w:rPr>
          <w:lang w:val="en-US"/>
        </w:rPr>
        <w:t xml:space="preserve"> pp. 148–149.</w:t>
      </w:r>
    </w:p>
  </w:footnote>
  <w:footnote w:id="505">
    <w:p w:rsidR="003D54BB" w:rsidRDefault="003D54BB" w:rsidP="002E3680">
      <w:pPr>
        <w:pStyle w:val="Testonotaapidipagina"/>
        <w:jc w:val="both"/>
      </w:pPr>
      <w:r>
        <w:rPr>
          <w:rStyle w:val="Rimandonotaapidipagina"/>
        </w:rPr>
        <w:footnoteRef/>
      </w:r>
      <w:r>
        <w:t xml:space="preserve"> Si vedano in particolare il caso </w:t>
      </w:r>
      <w:r w:rsidRPr="00560487">
        <w:rPr>
          <w:i/>
        </w:rPr>
        <w:t>Borchgrave</w:t>
      </w:r>
      <w:r>
        <w:t xml:space="preserve">, </w:t>
      </w:r>
      <w:r w:rsidRPr="00560487">
        <w:rPr>
          <w:i/>
        </w:rPr>
        <w:t>supra</w:t>
      </w:r>
      <w:r>
        <w:t xml:space="preserve">, p. 68 ss.; il caso </w:t>
      </w:r>
      <w:r w:rsidRPr="00560487">
        <w:rPr>
          <w:i/>
        </w:rPr>
        <w:t>Youmans</w:t>
      </w:r>
      <w:r>
        <w:t xml:space="preserve">, </w:t>
      </w:r>
      <w:r w:rsidRPr="00B3471A">
        <w:rPr>
          <w:i/>
        </w:rPr>
        <w:t>supra</w:t>
      </w:r>
      <w:r>
        <w:t xml:space="preserve">, p. 74 ss. ; il caso </w:t>
      </w:r>
      <w:r w:rsidRPr="00560487">
        <w:rPr>
          <w:i/>
        </w:rPr>
        <w:t>Mallén</w:t>
      </w:r>
      <w:r>
        <w:t xml:space="preserve">, </w:t>
      </w:r>
      <w:r w:rsidRPr="00B3471A">
        <w:rPr>
          <w:i/>
        </w:rPr>
        <w:t>supra</w:t>
      </w:r>
      <w:r>
        <w:t xml:space="preserve">, p. 79 ss. e il caso </w:t>
      </w:r>
      <w:r w:rsidRPr="00CE0298">
        <w:rPr>
          <w:i/>
        </w:rPr>
        <w:t>Caire</w:t>
      </w:r>
      <w:r>
        <w:t xml:space="preserve">, </w:t>
      </w:r>
      <w:r w:rsidRPr="00B3471A">
        <w:rPr>
          <w:i/>
        </w:rPr>
        <w:t>supra</w:t>
      </w:r>
      <w:r>
        <w:t>, p. 76 ss.</w:t>
      </w:r>
    </w:p>
  </w:footnote>
  <w:footnote w:id="506">
    <w:p w:rsidR="003D54BB" w:rsidRPr="005F6105" w:rsidRDefault="003D54BB" w:rsidP="00560487">
      <w:pPr>
        <w:pStyle w:val="Testonotaapidipagina"/>
        <w:jc w:val="both"/>
      </w:pPr>
      <w:r>
        <w:rPr>
          <w:rStyle w:val="Rimandonotaapidipagina"/>
        </w:rPr>
        <w:footnoteRef/>
      </w:r>
      <w:r w:rsidRPr="005F6105">
        <w:t xml:space="preserve"> </w:t>
      </w:r>
      <w:r>
        <w:t xml:space="preserve">Numerosi autori hanno ritenuto che tale criterio dovesse essere combinato con quello dell’apparenza della funzione per cui, nei casi in cui il comportamento  appariva manifestamente adottato dall’organo al di fuori della propria competenza, la sua attribuzione allo Stato poteva comunque avvenire nel caso in cui l’organo avesse fatto un uso abusivo degli strumenti messi a sua disposizione per lo svolgimento regolare delle proprie funzioni. </w:t>
      </w:r>
      <w:r w:rsidRPr="00253730">
        <w:t xml:space="preserve">Si veda MERON, </w:t>
      </w:r>
      <w:r w:rsidRPr="00253730">
        <w:rPr>
          <w:i/>
        </w:rPr>
        <w:t>op. cit</w:t>
      </w:r>
      <w:r w:rsidRPr="00253730">
        <w:t xml:space="preserve">., p. 107; PRZETACZNIK, </w:t>
      </w:r>
      <w:r w:rsidRPr="00253730">
        <w:rPr>
          <w:i/>
        </w:rPr>
        <w:t>The International Responsibility</w:t>
      </w:r>
      <w:r>
        <w:rPr>
          <w:i/>
        </w:rPr>
        <w:t xml:space="preserve"> of the States for ultra vires Acts of Their O</w:t>
      </w:r>
      <w:r w:rsidRPr="00253730">
        <w:rPr>
          <w:i/>
        </w:rPr>
        <w:t>rgans</w:t>
      </w:r>
      <w:r w:rsidRPr="00253730">
        <w:t xml:space="preserve">, cit., p. 145; QUÉNEUDEC, </w:t>
      </w:r>
      <w:r w:rsidRPr="00253730">
        <w:rPr>
          <w:i/>
        </w:rPr>
        <w:t>op. cit</w:t>
      </w:r>
      <w:r w:rsidRPr="00253730">
        <w:t>., p. 151; JIMÉNEZ DE ARÉCHAGA,</w:t>
      </w:r>
      <w:r w:rsidRPr="00253730">
        <w:rPr>
          <w:i/>
        </w:rPr>
        <w:t xml:space="preserve"> International Responsibility</w:t>
      </w:r>
      <w:r w:rsidRPr="00253730">
        <w:t xml:space="preserve">, cit., pp. 548 – 549. </w:t>
      </w:r>
      <w:r>
        <w:t xml:space="preserve">Alcuni autori hanno inoltre subordinato l’applicazione di tale criterio di attribuzione alla condizione che il terzo, pur rendendosi conto della palese incompetenza dell’organo, non potesse evitare la commissione dell’illecito. </w:t>
      </w:r>
      <w:r w:rsidRPr="008066F0">
        <w:t xml:space="preserve">MERON, </w:t>
      </w:r>
      <w:r w:rsidRPr="008066F0">
        <w:rPr>
          <w:i/>
        </w:rPr>
        <w:t>op. cit</w:t>
      </w:r>
      <w:r w:rsidRPr="008066F0">
        <w:t xml:space="preserve">., p. 113; QUÉNEUDEC, </w:t>
      </w:r>
      <w:r w:rsidRPr="008066F0">
        <w:rPr>
          <w:i/>
        </w:rPr>
        <w:t>op. cit</w:t>
      </w:r>
      <w:r w:rsidRPr="008066F0">
        <w:t>., Pp. 157 – 158.</w:t>
      </w:r>
    </w:p>
  </w:footnote>
  <w:footnote w:id="507">
    <w:p w:rsidR="003D54BB" w:rsidRPr="00AD0EE2" w:rsidRDefault="003D54BB" w:rsidP="009932EB">
      <w:pPr>
        <w:pStyle w:val="Testonotaapidipagina"/>
        <w:jc w:val="both"/>
      </w:pPr>
      <w:r>
        <w:rPr>
          <w:rStyle w:val="Rimandonotaapidipagina"/>
        </w:rPr>
        <w:footnoteRef/>
      </w:r>
      <w:r>
        <w:t xml:space="preserve"> Si veda il caso </w:t>
      </w:r>
      <w:r w:rsidRPr="00761B44">
        <w:t>relativo all’</w:t>
      </w:r>
      <w:r w:rsidRPr="00FF675E">
        <w:rPr>
          <w:i/>
        </w:rPr>
        <w:t>incidente aereo del 27 luglio 1955</w:t>
      </w:r>
      <w:r>
        <w:t xml:space="preserve">, </w:t>
      </w:r>
      <w:r w:rsidRPr="00AD0EE2">
        <w:rPr>
          <w:i/>
        </w:rPr>
        <w:t>supra</w:t>
      </w:r>
      <w:r>
        <w:t>, p. 69 ss.</w:t>
      </w:r>
    </w:p>
  </w:footnote>
  <w:footnote w:id="508">
    <w:p w:rsidR="003D54BB" w:rsidRDefault="003D54BB" w:rsidP="009932EB">
      <w:pPr>
        <w:pStyle w:val="Testonotaapidipagina"/>
        <w:jc w:val="both"/>
      </w:pPr>
      <w:r>
        <w:rPr>
          <w:rStyle w:val="Rimandonotaapidipagina"/>
        </w:rPr>
        <w:footnoteRef/>
      </w:r>
      <w:r>
        <w:t xml:space="preserve"> Si veda il caso relativo alla</w:t>
      </w:r>
      <w:r w:rsidRPr="000729A5">
        <w:t xml:space="preserve"> violazione della frontier</w:t>
      </w:r>
      <w:r>
        <w:t xml:space="preserve">a del Marocco da parte di </w:t>
      </w:r>
      <w:r w:rsidRPr="000729A5">
        <w:t>due piloti</w:t>
      </w:r>
      <w:r>
        <w:t xml:space="preserve"> francesi, </w:t>
      </w:r>
      <w:r w:rsidRPr="00AD0EE2">
        <w:rPr>
          <w:i/>
        </w:rPr>
        <w:t xml:space="preserve">supra </w:t>
      </w:r>
      <w:r>
        <w:t>p. 142 ss.</w:t>
      </w:r>
    </w:p>
  </w:footnote>
  <w:footnote w:id="509">
    <w:p w:rsidR="003D54BB" w:rsidRDefault="003D54BB" w:rsidP="009932EB">
      <w:pPr>
        <w:pStyle w:val="Testonotaapidipagina"/>
        <w:jc w:val="both"/>
      </w:pPr>
      <w:r>
        <w:rPr>
          <w:rStyle w:val="Rimandonotaapidipagina"/>
        </w:rPr>
        <w:footnoteRef/>
      </w:r>
      <w:r>
        <w:t xml:space="preserve"> Si veda, tra gli altri, il caso </w:t>
      </w:r>
      <w:r w:rsidRPr="009932EB">
        <w:rPr>
          <w:i/>
        </w:rPr>
        <w:t>Caire</w:t>
      </w:r>
      <w:r>
        <w:t xml:space="preserve">, </w:t>
      </w:r>
      <w:r w:rsidRPr="009932EB">
        <w:rPr>
          <w:i/>
        </w:rPr>
        <w:t>supra</w:t>
      </w:r>
      <w:r>
        <w:t xml:space="preserve">, p. 76 ss. La condizione attributiva dell’apparenza della funzione è stata più volte citata anche dagli Stati nell’ambito dei lavori di codificazione svoltisi sotto l’egida della Società delle Nazioni. Cfr., tra gli altri, la posizione dell’Austria, </w:t>
      </w:r>
      <w:r w:rsidRPr="004D2F19">
        <w:rPr>
          <w:i/>
        </w:rPr>
        <w:t>supra</w:t>
      </w:r>
      <w:r>
        <w:t>, p. 93 ss.</w:t>
      </w:r>
    </w:p>
  </w:footnote>
  <w:footnote w:id="510">
    <w:p w:rsidR="003D54BB" w:rsidRPr="00D365DA" w:rsidRDefault="003D54BB" w:rsidP="009932EB">
      <w:pPr>
        <w:pStyle w:val="Testonotaapidipagina"/>
        <w:jc w:val="both"/>
      </w:pPr>
      <w:r>
        <w:rPr>
          <w:rStyle w:val="Rimandonotaapidipagina"/>
        </w:rPr>
        <w:footnoteRef/>
      </w:r>
      <w:r w:rsidRPr="00D365DA">
        <w:t xml:space="preserve"> Si veda CAVARÉ, </w:t>
      </w:r>
      <w:r w:rsidRPr="00D365DA">
        <w:rPr>
          <w:i/>
        </w:rPr>
        <w:t>Le droit international public positif</w:t>
      </w:r>
      <w:r w:rsidRPr="00D365DA">
        <w:t xml:space="preserve">, tomo II, p. 414; FREEMAN, </w:t>
      </w:r>
      <w:r w:rsidRPr="00D365DA">
        <w:rPr>
          <w:i/>
        </w:rPr>
        <w:t>Responsibility of States</w:t>
      </w:r>
      <w:r w:rsidRPr="00D365DA">
        <w:t>, cit., p. 313.</w:t>
      </w:r>
    </w:p>
  </w:footnote>
  <w:footnote w:id="511">
    <w:p w:rsidR="003D54BB" w:rsidRPr="00D365DA" w:rsidRDefault="003D54BB" w:rsidP="00B474D1">
      <w:pPr>
        <w:pStyle w:val="Testonotaapidipagina"/>
        <w:jc w:val="both"/>
      </w:pPr>
      <w:r>
        <w:rPr>
          <w:rStyle w:val="Rimandonotaapidipagina"/>
        </w:rPr>
        <w:footnoteRef/>
      </w:r>
      <w:r w:rsidRPr="00F27C81">
        <w:t xml:space="preserve"> Il principio che riconosce la responsabilità internazionale dello Stato  per tutti i comportamenti adottati dai propri organi nel quadro apparente delle funzioni ha trovato numerosi sostenitori in dottrina. Secondo alcuni autori, nel caso in cui un organo sembra agire nel rispetto dei limiti della propria competenza,</w:t>
      </w:r>
      <w:r>
        <w:t xml:space="preserve"> lo Stato è tenuto a rispondere </w:t>
      </w:r>
      <w:r w:rsidRPr="00F27C81">
        <w:t>nell’ordinamento internazionale degli eventuali illeciti da esso commessi, in quanto ha contribuito a creare l’ingannevole apparenza investendo un individuo o ente dei poteri propri ad una funzione ufficiale</w:t>
      </w:r>
      <w:r>
        <w:t xml:space="preserve">. </w:t>
      </w:r>
      <w:r w:rsidRPr="00D365DA">
        <w:t xml:space="preserve">Si veda STRISOWER, </w:t>
      </w:r>
      <w:r w:rsidRPr="00D365DA">
        <w:rPr>
          <w:i/>
        </w:rPr>
        <w:t>Rapport</w:t>
      </w:r>
      <w:r w:rsidRPr="00D365DA">
        <w:t xml:space="preserve">, cit., p. 461; ANZILOTTI, </w:t>
      </w:r>
      <w:r w:rsidRPr="00D365DA">
        <w:rPr>
          <w:i/>
        </w:rPr>
        <w:t>Cours</w:t>
      </w:r>
      <w:r w:rsidRPr="00D365DA">
        <w:t>, cit., pp. 470 – 471; MERON, op. cit., p. 105; QUÉNEUDEC, op. cit., p. 143.</w:t>
      </w:r>
    </w:p>
  </w:footnote>
  <w:footnote w:id="512">
    <w:p w:rsidR="003D54BB" w:rsidRPr="00C76460" w:rsidRDefault="003D54BB" w:rsidP="00B474D1">
      <w:pPr>
        <w:pStyle w:val="Testonotaapidipagina"/>
        <w:jc w:val="both"/>
      </w:pPr>
      <w:r>
        <w:rPr>
          <w:rStyle w:val="Rimandonotaapidipagina"/>
        </w:rPr>
        <w:footnoteRef/>
      </w:r>
      <w:r w:rsidRPr="00C76460">
        <w:t xml:space="preserve"> L’idea che il criter</w:t>
      </w:r>
      <w:r>
        <w:t>io dell’incompetenza manifesta sia</w:t>
      </w:r>
      <w:r w:rsidRPr="00C76460">
        <w:t xml:space="preserve"> il corollario dell’apparenza della funzione è stato espresso in passato da AGO, </w:t>
      </w:r>
      <w:r w:rsidRPr="00286DCF">
        <w:rPr>
          <w:i/>
        </w:rPr>
        <w:t>Quatrième rapport</w:t>
      </w:r>
      <w:r w:rsidRPr="00C76460">
        <w:t>, cit., p. 99.</w:t>
      </w:r>
    </w:p>
  </w:footnote>
  <w:footnote w:id="513">
    <w:p w:rsidR="003D54BB" w:rsidRPr="00E35439" w:rsidRDefault="003D54BB" w:rsidP="00B474D1">
      <w:pPr>
        <w:pStyle w:val="Testonotaapidipagina"/>
        <w:jc w:val="both"/>
        <w:rPr>
          <w:lang w:val="fr-FR"/>
        </w:rPr>
      </w:pPr>
      <w:r>
        <w:rPr>
          <w:rStyle w:val="Rimandonotaapidipagina"/>
        </w:rPr>
        <w:footnoteRef/>
      </w:r>
      <w:r w:rsidRPr="00FD5AA3">
        <w:t xml:space="preserve"> Numerosi autori hanno sostenuto in dottrina la validità della condizione attributiva dell’incompetenza manifesta. </w:t>
      </w:r>
      <w:r>
        <w:t xml:space="preserve">Si veda </w:t>
      </w:r>
      <w:r w:rsidRPr="00335B0D">
        <w:t xml:space="preserve">MERON, </w:t>
      </w:r>
      <w:r w:rsidRPr="00335B0D">
        <w:rPr>
          <w:i/>
        </w:rPr>
        <w:t>op. cit</w:t>
      </w:r>
      <w:r w:rsidRPr="00335B0D">
        <w:t xml:space="preserve">., p. 113; VON MÜNCH, </w:t>
      </w:r>
      <w:r w:rsidRPr="00335B0D">
        <w:rPr>
          <w:i/>
        </w:rPr>
        <w:t>op. cit</w:t>
      </w:r>
      <w:r w:rsidRPr="00335B0D">
        <w:t xml:space="preserve">., p. 182; AMERASINGHE, </w:t>
      </w:r>
      <w:r w:rsidRPr="00335B0D">
        <w:rPr>
          <w:i/>
        </w:rPr>
        <w:t>Imputability</w:t>
      </w:r>
      <w:r w:rsidRPr="00335B0D">
        <w:t xml:space="preserve">, cit.,  pp. 112-113; JIMÉNEZ DE ARÉCHAGA, </w:t>
      </w:r>
      <w:r w:rsidRPr="00335B0D">
        <w:rPr>
          <w:i/>
        </w:rPr>
        <w:t>International Responsibility</w:t>
      </w:r>
      <w:r w:rsidRPr="00335B0D">
        <w:t xml:space="preserve">, p. 550; ROTH, </w:t>
      </w:r>
      <w:r w:rsidRPr="00335B0D">
        <w:rPr>
          <w:i/>
        </w:rPr>
        <w:t>op. cit</w:t>
      </w:r>
      <w:r>
        <w:t>., p. 20;</w:t>
      </w:r>
      <w:r w:rsidRPr="00335B0D">
        <w:t xml:space="preserve"> </w:t>
      </w:r>
      <w:r>
        <w:t xml:space="preserve">COHN, </w:t>
      </w:r>
      <w:r w:rsidRPr="00335B0D">
        <w:rPr>
          <w:i/>
        </w:rPr>
        <w:t>op. cit</w:t>
      </w:r>
      <w:r>
        <w:t xml:space="preserve">., p. 294; VERDROSS, SIMMA, </w:t>
      </w:r>
      <w:r w:rsidRPr="00335B0D">
        <w:rPr>
          <w:i/>
        </w:rPr>
        <w:t>Universelles Völkerrecht</w:t>
      </w:r>
      <w:r>
        <w:t xml:space="preserve"> –</w:t>
      </w:r>
      <w:r w:rsidRPr="000925F7">
        <w:rPr>
          <w:i/>
        </w:rPr>
        <w:t>Theorie und Praxis</w:t>
      </w:r>
      <w:r>
        <w:t xml:space="preserve">, Berlin, 1980, p. 621. Alcuni hanno inoltre subordinato l’applicazione di tale criterio alla possibilità da parte del terzo di evitare la realizzazione del fatto illecito. La responsabilità internazionale dello Stato per un fatto illecito </w:t>
      </w:r>
      <w:r w:rsidRPr="006E1D93">
        <w:rPr>
          <w:i/>
        </w:rPr>
        <w:t>ultra vires</w:t>
      </w:r>
      <w:r>
        <w:t xml:space="preserve"> di un proprio organo verrebbe meno nel caso in cui la parte lesa avrebbe potuto plausibilmente evitare il suo verificarsi in ragione della manifesta incompetenza dell’organo nell’agire. </w:t>
      </w:r>
      <w:r w:rsidRPr="006E1D93">
        <w:rPr>
          <w:i/>
        </w:rPr>
        <w:t>A contrario</w:t>
      </w:r>
      <w:r>
        <w:t xml:space="preserve"> lo Stato non potrebbe sfuggire la propria responsabilità internazionale nell’ipotesi in cui, pur essendo manifesta l’incompetenza dell’organo, la parte lesa non aveva la possibilità di evitare il fatto illecito. Si veda </w:t>
      </w:r>
      <w:r w:rsidRPr="00C32738">
        <w:t xml:space="preserve">ROTH, </w:t>
      </w:r>
      <w:r w:rsidRPr="00C32738">
        <w:rPr>
          <w:i/>
        </w:rPr>
        <w:t>op. cit</w:t>
      </w:r>
      <w:r w:rsidRPr="00C32738">
        <w:t xml:space="preserve">., p. 20; COHN, </w:t>
      </w:r>
      <w:r w:rsidRPr="00C32738">
        <w:rPr>
          <w:i/>
        </w:rPr>
        <w:t>op. cit</w:t>
      </w:r>
      <w:r>
        <w:t xml:space="preserve">., p. 294; VERDROSS, </w:t>
      </w:r>
      <w:r w:rsidRPr="00C32738">
        <w:t xml:space="preserve">SIMMA, </w:t>
      </w:r>
      <w:r w:rsidRPr="00C32738">
        <w:rPr>
          <w:i/>
        </w:rPr>
        <w:t>Universelles Völkerrecht</w:t>
      </w:r>
      <w:r w:rsidRPr="00C32738">
        <w:t xml:space="preserve">, </w:t>
      </w:r>
      <w:r>
        <w:t xml:space="preserve">cit., </w:t>
      </w:r>
      <w:r w:rsidRPr="00C32738">
        <w:t>p. 621.</w:t>
      </w:r>
      <w:r w:rsidRPr="00E35439">
        <w:t xml:space="preserve"> </w:t>
      </w:r>
      <w:r>
        <w:t>La subordinazione dell’applicazione del criterio attributivo della manifesta incompetenza dell’organo a tale ulteriore condizione sembra criticabile, dal momento che, al fine di valutare la possibilità di evitare la realizzazione dell’illecito da parte del terzo, sarebbe necessario ricorrere a considerazioni di carattere soggettivo, quali ad esempio la sua perspicacia nel valutare la manifesta incompetenza dell’organo oppure il suo coraggio e la sua capacità di evitare il compimento dell’illecito.</w:t>
      </w:r>
      <w:r w:rsidRPr="00E35439">
        <w:t xml:space="preserve"> </w:t>
      </w:r>
      <w:r w:rsidRPr="007C10E9">
        <w:rPr>
          <w:lang w:val="fr-FR"/>
        </w:rPr>
        <w:t xml:space="preserve">Tale critica è stata mossa da AGO, </w:t>
      </w:r>
      <w:r w:rsidRPr="007C10E9">
        <w:rPr>
          <w:i/>
          <w:lang w:val="fr-FR"/>
        </w:rPr>
        <w:t>Quatrième rapport</w:t>
      </w:r>
      <w:r w:rsidRPr="007C10E9">
        <w:rPr>
          <w:lang w:val="fr-FR"/>
        </w:rPr>
        <w:t>, cit., p. 103, nota 115: “</w:t>
      </w:r>
      <w:r w:rsidRPr="00EC1965">
        <w:rPr>
          <w:i/>
          <w:lang w:val="fr-FR"/>
        </w:rPr>
        <w:t>De toute façon on a quelque difficulté à admettre que le fait que la partie lésée, avertie du défaut de compétence, ait ou n’ait pas eu en l’espèce la possibilité d’éviter le dommage puisse être déterminant aux fins de l’attribution à l’Etat sujet du droit international du comportement de l’organe. La partie lésée qui avait connaissance de l’incompétence totale de l’organe agissant peut avoir eu – tout comme elle peut ne pas avoir eu – la possibilité d’éviter, grâce à cette connaissance, que l’on ne commette l’action préjudiciable…il serait illogique de considérer dans le deuxième cas l’action incriminée comme un fait de l’Etat cause de responsabilité alors qu’on n’en ferait pas autant dans le premier. Si l’on choisit d’exclure l’attribution à l’Etat du fait de l’organe agissant en condition d’incompétence manifeste, cette exclusion doit s’opérer dans les deux cas</w:t>
      </w:r>
      <w:r w:rsidRPr="00C641E5">
        <w:rPr>
          <w:lang w:val="fr-FR"/>
        </w:rPr>
        <w:t>”.</w:t>
      </w:r>
      <w:r>
        <w:rPr>
          <w:lang w:val="fr-FR"/>
        </w:rPr>
        <w:t> </w:t>
      </w:r>
    </w:p>
  </w:footnote>
  <w:footnote w:id="514">
    <w:p w:rsidR="003D54BB" w:rsidRPr="00701DE4" w:rsidRDefault="003D54BB" w:rsidP="00B474D1">
      <w:pPr>
        <w:pStyle w:val="Testonotaapidipagina"/>
        <w:jc w:val="both"/>
        <w:rPr>
          <w:lang w:val="fr-FR"/>
        </w:rPr>
      </w:pPr>
      <w:r>
        <w:rPr>
          <w:rStyle w:val="Rimandonotaapidipagina"/>
        </w:rPr>
        <w:footnoteRef/>
      </w:r>
      <w:r w:rsidRPr="002C4B4F">
        <w:t xml:space="preserve"> Al fine di superare tale difficoltà, in dottrina è stata avanzata la tesi della “normalità della condotta” secondo cui, affinché un comportamento </w:t>
      </w:r>
      <w:r w:rsidRPr="002C4B4F">
        <w:rPr>
          <w:i/>
        </w:rPr>
        <w:t>ultra vires</w:t>
      </w:r>
      <w:r w:rsidRPr="002C4B4F">
        <w:t xml:space="preserve"> di un organo possa essere attribuito allo Stato sulla base della condizione attributiva dell’apparenza della funzione, è necessario che l’errore in cui è incappato la vittima dell’illecito sia ragionevole e scusabile</w:t>
      </w:r>
      <w:r>
        <w:t xml:space="preserve">. Mentre la condizione della ragionevolezza dell’errore sembra poter avere un ruolo in caso di mala fede della vittima dell’illecito, non pare invece avere un fondamento logico nel caso in cui il terzo abbia realmente creduto, in buona fede, che l’organo avesse agito nel rispetto dei limiti della propria competenza. </w:t>
      </w:r>
      <w:r w:rsidRPr="00DC759A">
        <w:rPr>
          <w:lang w:val="fr-FR"/>
        </w:rPr>
        <w:t xml:space="preserve">Si veda </w:t>
      </w:r>
      <w:r w:rsidRPr="00465E9C">
        <w:rPr>
          <w:lang w:val="fr-FR"/>
        </w:rPr>
        <w:t xml:space="preserve">BOURQUIN, </w:t>
      </w:r>
      <w:r w:rsidRPr="00465E9C">
        <w:rPr>
          <w:i/>
          <w:lang w:val="fr-FR"/>
        </w:rPr>
        <w:t>Règles général</w:t>
      </w:r>
      <w:r>
        <w:rPr>
          <w:i/>
          <w:lang w:val="fr-FR"/>
        </w:rPr>
        <w:t>es</w:t>
      </w:r>
      <w:r w:rsidRPr="00465E9C">
        <w:rPr>
          <w:i/>
          <w:lang w:val="fr-FR"/>
        </w:rPr>
        <w:t xml:space="preserve"> du droit de la paix</w:t>
      </w:r>
      <w:r w:rsidRPr="00465E9C">
        <w:rPr>
          <w:lang w:val="fr-FR"/>
        </w:rPr>
        <w:t>,</w:t>
      </w:r>
      <w:r>
        <w:rPr>
          <w:lang w:val="fr-FR"/>
        </w:rPr>
        <w:t xml:space="preserve"> cit.,</w:t>
      </w:r>
      <w:r w:rsidRPr="00465E9C">
        <w:rPr>
          <w:lang w:val="fr-FR"/>
        </w:rPr>
        <w:t xml:space="preserve"> p. </w:t>
      </w:r>
      <w:r>
        <w:rPr>
          <w:lang w:val="fr-FR"/>
        </w:rPr>
        <w:t xml:space="preserve">216. </w:t>
      </w:r>
      <w:r w:rsidRPr="009D1ADB">
        <w:rPr>
          <w:lang w:val="fr-FR"/>
        </w:rPr>
        <w:t>Tale tesi è stata sostenuta anche da Quéneudec, secondo cui “</w:t>
      </w:r>
      <w:r w:rsidRPr="00BA14A4">
        <w:rPr>
          <w:i/>
          <w:lang w:val="fr-FR"/>
        </w:rPr>
        <w:t>l’Etat n’est rendu responsable, sur la base de l’apparence, que si l’acte de l’agent paraît raisonnablement rentrer dans les pouvoirs qui lui sont normalement reconnus, dans l’</w:t>
      </w:r>
      <w:r>
        <w:rPr>
          <w:i/>
          <w:lang w:val="fr-FR"/>
        </w:rPr>
        <w:t>opinion générale</w:t>
      </w:r>
      <w:r w:rsidRPr="00BA14A4">
        <w:rPr>
          <w:i/>
          <w:lang w:val="fr-FR"/>
        </w:rPr>
        <w:t xml:space="preserve"> qu’on se fait de la fonction considérée</w:t>
      </w:r>
      <w:r w:rsidRPr="00DA7F95">
        <w:rPr>
          <w:lang w:val="fr-FR"/>
        </w:rPr>
        <w:t>”.</w:t>
      </w:r>
      <w:r>
        <w:rPr>
          <w:lang w:val="fr-FR"/>
        </w:rPr>
        <w:t xml:space="preserve"> </w:t>
      </w:r>
      <w:r w:rsidRPr="00701DE4">
        <w:rPr>
          <w:lang w:val="fr-FR"/>
        </w:rPr>
        <w:t xml:space="preserve">QUÉNEUDEC, </w:t>
      </w:r>
      <w:r w:rsidRPr="00701DE4">
        <w:rPr>
          <w:i/>
          <w:lang w:val="fr-FR"/>
        </w:rPr>
        <w:t>op. cit</w:t>
      </w:r>
      <w:r>
        <w:rPr>
          <w:lang w:val="fr-FR"/>
        </w:rPr>
        <w:t>., p. 135.</w:t>
      </w:r>
    </w:p>
  </w:footnote>
  <w:footnote w:id="515">
    <w:p w:rsidR="003D54BB" w:rsidRPr="00E804D2" w:rsidRDefault="003D54BB">
      <w:pPr>
        <w:pStyle w:val="Testonotaapidipagina"/>
        <w:rPr>
          <w:lang w:val="fr-FR"/>
        </w:rPr>
      </w:pPr>
      <w:r>
        <w:rPr>
          <w:rStyle w:val="Rimandonotaapidipagina"/>
        </w:rPr>
        <w:footnoteRef/>
      </w:r>
      <w:r w:rsidRPr="00E804D2">
        <w:rPr>
          <w:lang w:val="fr-FR"/>
        </w:rPr>
        <w:t xml:space="preserve"> </w:t>
      </w:r>
      <w:r>
        <w:rPr>
          <w:lang w:val="fr-FR"/>
        </w:rPr>
        <w:t xml:space="preserve">Vedi </w:t>
      </w:r>
      <w:r w:rsidRPr="00E804D2">
        <w:rPr>
          <w:i/>
          <w:lang w:val="fr-FR"/>
        </w:rPr>
        <w:t>supra</w:t>
      </w:r>
      <w:r>
        <w:rPr>
          <w:lang w:val="fr-FR"/>
        </w:rPr>
        <w:t>, p. 120.</w:t>
      </w:r>
    </w:p>
  </w:footnote>
  <w:footnote w:id="516">
    <w:p w:rsidR="003D54BB" w:rsidRPr="00036EF5" w:rsidRDefault="003D54BB" w:rsidP="00E804D2">
      <w:pPr>
        <w:pStyle w:val="Testonotaapidipagina"/>
        <w:jc w:val="both"/>
        <w:rPr>
          <w:lang w:val="fr-FR"/>
        </w:rPr>
      </w:pPr>
      <w:r>
        <w:rPr>
          <w:rStyle w:val="Rimandonotaapidipagina"/>
        </w:rPr>
        <w:footnoteRef/>
      </w:r>
      <w:r w:rsidRPr="00036EF5">
        <w:rPr>
          <w:lang w:val="fr-FR"/>
        </w:rPr>
        <w:t xml:space="preserve"> AGO, </w:t>
      </w:r>
      <w:r w:rsidRPr="00036EF5">
        <w:rPr>
          <w:i/>
          <w:lang w:val="fr-FR"/>
        </w:rPr>
        <w:t>Quatrième rapport</w:t>
      </w:r>
      <w:r w:rsidRPr="00036EF5">
        <w:rPr>
          <w:lang w:val="fr-FR"/>
        </w:rPr>
        <w:t xml:space="preserve">, cit., p. 102, par. </w:t>
      </w:r>
      <w:r>
        <w:rPr>
          <w:lang w:val="fr-FR"/>
        </w:rPr>
        <w:t>48</w:t>
      </w:r>
    </w:p>
  </w:footnote>
  <w:footnote w:id="517">
    <w:p w:rsidR="003D54BB" w:rsidRPr="001D7D86" w:rsidRDefault="003D54BB" w:rsidP="00E804D2">
      <w:pPr>
        <w:pStyle w:val="Testonotaapidipagina"/>
        <w:jc w:val="both"/>
        <w:rPr>
          <w:lang w:val="fr-FR"/>
        </w:rPr>
      </w:pPr>
      <w:r>
        <w:rPr>
          <w:rStyle w:val="Rimandonotaapidipagina"/>
        </w:rPr>
        <w:footnoteRef/>
      </w:r>
      <w:r w:rsidRPr="006C468F">
        <w:t xml:space="preserve"> Secondo CONDORELLI, </w:t>
      </w:r>
      <w:r w:rsidRPr="001D7D86">
        <w:rPr>
          <w:i/>
        </w:rPr>
        <w:t>L’imputation à l’Etat d’un fait internationalement illicite: solutions classiques et nouvelles tendances</w:t>
      </w:r>
      <w:r w:rsidRPr="001D7D86">
        <w:t xml:space="preserve">, cit., p. </w:t>
      </w:r>
      <w:r>
        <w:t xml:space="preserve">81, </w:t>
      </w:r>
      <w:r w:rsidRPr="006C468F">
        <w:t xml:space="preserve">la condizione della qualità ufficiale con cui l’organo ha agito finiva comunque per prendere in considerazione la limitazione dell’incompetenza manifesta. </w:t>
      </w:r>
      <w:r>
        <w:t>L’espressione “</w:t>
      </w:r>
      <w:r w:rsidRPr="006C468F">
        <w:rPr>
          <w:i/>
        </w:rPr>
        <w:t>ledit organe ayant agi en cette qualité</w:t>
      </w:r>
      <w:r>
        <w:t>” escludeva che potessero essere attribuite allo Stato sia i comportamenti tenuti dall’organo a titolo puramente privato, sia quelli che non avevano “</w:t>
      </w:r>
      <w:r w:rsidRPr="001D7D86">
        <w:rPr>
          <w:i/>
        </w:rPr>
        <w:t>aucun</w:t>
      </w:r>
      <w:r>
        <w:rPr>
          <w:i/>
        </w:rPr>
        <w:t>e</w:t>
      </w:r>
      <w:r w:rsidRPr="001D7D86">
        <w:rPr>
          <w:i/>
        </w:rPr>
        <w:t xml:space="preserve"> sorte de lien, même apparent, avec les fonctions de l’organe</w:t>
      </w:r>
      <w:r>
        <w:t xml:space="preserve">”. </w:t>
      </w:r>
      <w:r w:rsidRPr="001D7D86">
        <w:rPr>
          <w:i/>
          <w:lang w:val="fr-FR"/>
        </w:rPr>
        <w:t>L’imputation à l’Etat d’un fait internationalement illicite: solutions classiques et nouvelles tendances</w:t>
      </w:r>
      <w:r w:rsidRPr="001D7D86">
        <w:rPr>
          <w:lang w:val="fr-FR"/>
        </w:rPr>
        <w:t>, cit., p. 81.</w:t>
      </w:r>
    </w:p>
  </w:footnote>
  <w:footnote w:id="518">
    <w:p w:rsidR="003D54BB" w:rsidRPr="00012FE0" w:rsidRDefault="003D54BB" w:rsidP="008327F8">
      <w:pPr>
        <w:pStyle w:val="Testonotaapidipagina"/>
        <w:jc w:val="both"/>
        <w:rPr>
          <w:lang w:val="fr-FR"/>
        </w:rPr>
      </w:pPr>
      <w:r>
        <w:rPr>
          <w:rStyle w:val="Rimandonotaapidipagina"/>
        </w:rPr>
        <w:footnoteRef/>
      </w:r>
      <w:r w:rsidRPr="00012FE0">
        <w:rPr>
          <w:lang w:val="fr-FR"/>
        </w:rPr>
        <w:t xml:space="preserve"> Nel corso del dibattito in seno alla Commissione del diritto internazionale, il relatore speciale AGO ha sottolineato come </w:t>
      </w:r>
      <w:r>
        <w:rPr>
          <w:lang w:val="fr-FR"/>
        </w:rPr>
        <w:t xml:space="preserve">si </w:t>
      </w:r>
      <w:r w:rsidRPr="00012FE0">
        <w:rPr>
          <w:lang w:val="fr-FR"/>
        </w:rPr>
        <w:t xml:space="preserve">dovesse </w:t>
      </w:r>
      <w:r>
        <w:rPr>
          <w:lang w:val="fr-FR"/>
        </w:rPr>
        <w:t xml:space="preserve">fare </w:t>
      </w:r>
      <w:r w:rsidRPr="00012FE0">
        <w:rPr>
          <w:lang w:val="fr-FR"/>
        </w:rPr>
        <w:t>un bilancio tra “</w:t>
      </w:r>
      <w:r>
        <w:rPr>
          <w:i/>
          <w:lang w:val="fr-FR"/>
        </w:rPr>
        <w:t>les a</w:t>
      </w:r>
      <w:r w:rsidRPr="00012FE0">
        <w:rPr>
          <w:i/>
          <w:lang w:val="fr-FR"/>
        </w:rPr>
        <w:t>vantages et les inconvénients d’une formule qui serait plus explicite, mais qui pourrait par là-même laisser des échappatoires</w:t>
      </w:r>
      <w:r w:rsidRPr="00012FE0">
        <w:rPr>
          <w:lang w:val="fr-FR"/>
        </w:rPr>
        <w:t xml:space="preserve">”, </w:t>
      </w:r>
      <w:r>
        <w:rPr>
          <w:lang w:val="fr-FR"/>
        </w:rPr>
        <w:t xml:space="preserve">in </w:t>
      </w:r>
      <w:r w:rsidRPr="00012FE0">
        <w:rPr>
          <w:i/>
          <w:lang w:val="fr-FR"/>
        </w:rPr>
        <w:t>Annuaire de la Commission du droit international</w:t>
      </w:r>
      <w:r w:rsidRPr="00012FE0">
        <w:rPr>
          <w:lang w:val="fr-FR"/>
        </w:rPr>
        <w:t xml:space="preserve">, 1975, vol. </w:t>
      </w:r>
      <w:r>
        <w:rPr>
          <w:lang w:val="fr-FR"/>
        </w:rPr>
        <w:t>I, p. 25, par. 49.</w:t>
      </w:r>
    </w:p>
  </w:footnote>
  <w:footnote w:id="519">
    <w:p w:rsidR="003D54BB" w:rsidRPr="00400C45" w:rsidRDefault="003D54BB" w:rsidP="00B45E87">
      <w:pPr>
        <w:spacing w:after="0" w:line="240" w:lineRule="auto"/>
        <w:ind w:firstLine="284"/>
        <w:jc w:val="both"/>
        <w:rPr>
          <w:lang w:val="fr-FR"/>
        </w:rPr>
      </w:pPr>
      <w:r>
        <w:rPr>
          <w:rStyle w:val="Rimandonotaapidipagina"/>
        </w:rPr>
        <w:footnoteRef/>
      </w:r>
      <w:r w:rsidRPr="00D241CF">
        <w:rPr>
          <w:lang w:val="fr-FR"/>
        </w:rPr>
        <w:t xml:space="preserve"> </w:t>
      </w:r>
      <w:r>
        <w:rPr>
          <w:lang w:val="fr-FR"/>
        </w:rPr>
        <w:t xml:space="preserve">Si veda, fra gli altri, </w:t>
      </w:r>
      <w:r w:rsidRPr="00CB7F10">
        <w:rPr>
          <w:sz w:val="20"/>
          <w:szCs w:val="20"/>
          <w:lang w:val="fr-FR"/>
        </w:rPr>
        <w:t xml:space="preserve">KRESS, </w:t>
      </w:r>
      <w:r w:rsidRPr="00CB7F10">
        <w:rPr>
          <w:i/>
          <w:sz w:val="20"/>
          <w:szCs w:val="20"/>
          <w:lang w:val="fr-FR"/>
        </w:rPr>
        <w:t xml:space="preserve">L’organe de facto en droit international public. </w:t>
      </w:r>
      <w:r w:rsidRPr="00D241CF">
        <w:rPr>
          <w:i/>
          <w:sz w:val="20"/>
          <w:szCs w:val="20"/>
          <w:lang w:val="fr-FR"/>
        </w:rPr>
        <w:t>Réflexions sur l’imputation à l’Etat de l’acte d’un particulier à la lumière des développments récents</w:t>
      </w:r>
      <w:r w:rsidRPr="00D241CF">
        <w:rPr>
          <w:sz w:val="20"/>
          <w:szCs w:val="20"/>
          <w:lang w:val="fr-FR"/>
        </w:rPr>
        <w:t xml:space="preserve">, </w:t>
      </w:r>
      <w:r w:rsidRPr="00D241CF">
        <w:rPr>
          <w:i/>
          <w:sz w:val="20"/>
          <w:szCs w:val="20"/>
          <w:lang w:val="fr-FR"/>
        </w:rPr>
        <w:t>Revue générale de droit International public</w:t>
      </w:r>
      <w:r w:rsidRPr="00D241CF">
        <w:rPr>
          <w:sz w:val="20"/>
          <w:szCs w:val="20"/>
          <w:lang w:val="fr-FR"/>
        </w:rPr>
        <w:t>,  2001, p.136.</w:t>
      </w:r>
      <w:r w:rsidRPr="00CB7F10">
        <w:rPr>
          <w:lang w:val="fr-FR"/>
        </w:rPr>
        <w:t xml:space="preserve"> </w:t>
      </w:r>
      <w:r>
        <w:rPr>
          <w:lang w:val="fr-FR"/>
        </w:rPr>
        <w:t xml:space="preserve">Questa tesi è stata sostenuta anche da Ago, </w:t>
      </w:r>
      <w:r w:rsidRPr="00142009">
        <w:rPr>
          <w:lang w:val="fr-FR"/>
        </w:rPr>
        <w:t>secondo cui “</w:t>
      </w:r>
      <w:r w:rsidRPr="00CB7F10">
        <w:rPr>
          <w:i/>
          <w:sz w:val="20"/>
          <w:szCs w:val="20"/>
          <w:lang w:val="fr-FR"/>
        </w:rPr>
        <w:t>on ne peut même pas envisager l’hypothèse d’un dépassement de compétence ou d’une contradiction avec les prescriptions concernant l’activité des certains organes à propos d’une personne qui, en droit, n’est nullement un organe et ne se trouve amenée qu’à exercer de fait, dans certaines circonstances, une fonction publique</w:t>
      </w:r>
      <w:r w:rsidRPr="00AD3683">
        <w:rPr>
          <w:lang w:val="fr-FR"/>
        </w:rPr>
        <w:t>”</w:t>
      </w:r>
      <w:r>
        <w:rPr>
          <w:lang w:val="fr-FR"/>
        </w:rPr>
        <w:t xml:space="preserve">. Cfr. </w:t>
      </w:r>
      <w:r w:rsidRPr="00400C45">
        <w:rPr>
          <w:i/>
          <w:sz w:val="20"/>
          <w:szCs w:val="20"/>
          <w:lang w:val="fr-FR"/>
        </w:rPr>
        <w:t>Quatrième rapport</w:t>
      </w:r>
      <w:r w:rsidRPr="00B45E87">
        <w:rPr>
          <w:lang w:val="fr-FR"/>
        </w:rPr>
        <w:t xml:space="preserve">, </w:t>
      </w:r>
      <w:r w:rsidRPr="00400C45">
        <w:rPr>
          <w:lang w:val="fr-FR"/>
        </w:rPr>
        <w:t>cit., p. 78, par. 2, nota 4.</w:t>
      </w:r>
    </w:p>
  </w:footnote>
  <w:footnote w:id="520">
    <w:p w:rsidR="003D54BB" w:rsidRPr="00B45E87" w:rsidRDefault="003D54BB" w:rsidP="00B45E87">
      <w:pPr>
        <w:pStyle w:val="Testonotaapidipagina"/>
        <w:jc w:val="both"/>
        <w:rPr>
          <w:lang w:val="fr-FR"/>
        </w:rPr>
      </w:pPr>
      <w:r w:rsidRPr="00400C45">
        <w:rPr>
          <w:rStyle w:val="Rimandonotaapidipagina"/>
        </w:rPr>
        <w:footnoteRef/>
      </w:r>
      <w:r w:rsidRPr="00400C45">
        <w:rPr>
          <w:lang w:val="fr-FR"/>
        </w:rPr>
        <w:t xml:space="preserve"> L’opinione favorevole all’attribuzione allo Stato di fatti </w:t>
      </w:r>
      <w:r w:rsidRPr="00ED2E01">
        <w:rPr>
          <w:i/>
          <w:lang w:val="fr-FR"/>
        </w:rPr>
        <w:t>ultra vires</w:t>
      </w:r>
      <w:r w:rsidRPr="00803B82">
        <w:rPr>
          <w:lang w:val="fr-FR"/>
        </w:rPr>
        <w:t xml:space="preserve"> compiuti da individui legati allo Stato da un rapporto di fatto è sostenuta da DE HOOGH, </w:t>
      </w:r>
      <w:r w:rsidRPr="00400C45">
        <w:rPr>
          <w:i/>
          <w:lang w:val="fr-FR"/>
        </w:rPr>
        <w:t>Article 4 and 8 of the ILC Articles on State Responsibility, the</w:t>
      </w:r>
      <w:r>
        <w:rPr>
          <w:i/>
          <w:lang w:val="fr-FR"/>
        </w:rPr>
        <w:t xml:space="preserve"> Tadic Case and Attribution of A</w:t>
      </w:r>
      <w:r w:rsidRPr="00400C45">
        <w:rPr>
          <w:i/>
          <w:lang w:val="fr-FR"/>
        </w:rPr>
        <w:t>cts of Bosnian Serb Authorities to the Federal Republic of Jugoslavia, British Year Book of International Law</w:t>
      </w:r>
      <w:r w:rsidRPr="00803B82">
        <w:rPr>
          <w:lang w:val="fr-FR"/>
        </w:rPr>
        <w:t xml:space="preserve">, 2001, p. 281 ss.; PALCHETTI, op. cit., p. 173 ss.; WOLFRUM, </w:t>
      </w:r>
      <w:r>
        <w:rPr>
          <w:i/>
          <w:lang w:val="fr-FR"/>
        </w:rPr>
        <w:t>State R</w:t>
      </w:r>
      <w:r w:rsidRPr="00400C45">
        <w:rPr>
          <w:i/>
          <w:lang w:val="fr-FR"/>
        </w:rPr>
        <w:t>espons</w:t>
      </w:r>
      <w:r>
        <w:rPr>
          <w:i/>
          <w:lang w:val="fr-FR"/>
        </w:rPr>
        <w:t>ibility for Private Actors: an Old Problem of Renewed R</w:t>
      </w:r>
      <w:r w:rsidRPr="00400C45">
        <w:rPr>
          <w:i/>
          <w:lang w:val="fr-FR"/>
        </w:rPr>
        <w:t>elevance</w:t>
      </w:r>
      <w:r w:rsidRPr="00803B82">
        <w:rPr>
          <w:lang w:val="fr-FR"/>
        </w:rPr>
        <w:t xml:space="preserve">, in RAGAZZI (ed.), </w:t>
      </w:r>
      <w:r w:rsidRPr="00400C45">
        <w:rPr>
          <w:i/>
          <w:lang w:val="fr-FR"/>
        </w:rPr>
        <w:t>International Responsibility Today. Essays in Memory of Oscar Schachter,</w:t>
      </w:r>
      <w:r w:rsidRPr="00803B82">
        <w:rPr>
          <w:lang w:val="fr-FR"/>
        </w:rPr>
        <w:t xml:space="preserve"> The Hague, 2005, p. 432.</w:t>
      </w:r>
    </w:p>
  </w:footnote>
  <w:footnote w:id="521">
    <w:p w:rsidR="003D54BB" w:rsidRPr="008A090D" w:rsidRDefault="003D54BB" w:rsidP="00B45E87">
      <w:pPr>
        <w:pStyle w:val="Testonotaapidipagina"/>
        <w:jc w:val="both"/>
        <w:rPr>
          <w:lang w:val="en-US"/>
        </w:rPr>
      </w:pPr>
      <w:r>
        <w:rPr>
          <w:rStyle w:val="Rimandonotaapidipagina"/>
        </w:rPr>
        <w:footnoteRef/>
      </w:r>
      <w:r w:rsidRPr="00B45E87">
        <w:rPr>
          <w:lang w:val="fr-FR"/>
        </w:rPr>
        <w:t xml:space="preserve"> L’impossibilità che la regola che impone allo Stato di rispondere internazionalmente dei fatti illeciti </w:t>
      </w:r>
      <w:r w:rsidRPr="00B45E87">
        <w:rPr>
          <w:i/>
          <w:lang w:val="fr-FR"/>
        </w:rPr>
        <w:t>ultra vires</w:t>
      </w:r>
      <w:r w:rsidRPr="00B45E87">
        <w:rPr>
          <w:lang w:val="fr-FR"/>
        </w:rPr>
        <w:t xml:space="preserve"> possa trovare applicazione anche rispetto all’ipotesi di individui che agiscono su istruzione o sotto controllo degli organi è stata sottolineata anche da Crawford, secondo cui: “In the case of a “corporate” entity such as the State it is useful to distinguish between organs of the State (persons or entities which are part of the structure of the State and whose conduct as such is attributable to the State) and agents. </w:t>
      </w:r>
      <w:r>
        <w:rPr>
          <w:lang w:val="en-US"/>
        </w:rPr>
        <w:t xml:space="preserve">As explained in the commentary, </w:t>
      </w:r>
      <w:r w:rsidRPr="0027383E">
        <w:rPr>
          <w:lang w:val="en-US"/>
        </w:rPr>
        <w:t>“agents” for this purpose are persons or entities in fact acting o</w:t>
      </w:r>
      <w:r>
        <w:rPr>
          <w:lang w:val="en-US"/>
        </w:rPr>
        <w:t xml:space="preserve">n behalf of the State by reason </w:t>
      </w:r>
      <w:r w:rsidRPr="0027383E">
        <w:rPr>
          <w:lang w:val="en-US"/>
        </w:rPr>
        <w:t>of some mandate or direction given by a State organ, or (p</w:t>
      </w:r>
      <w:r>
        <w:rPr>
          <w:lang w:val="en-US"/>
        </w:rPr>
        <w:t xml:space="preserve">ossibly) who are to be regarded as </w:t>
      </w:r>
      <w:r w:rsidRPr="0027383E">
        <w:rPr>
          <w:lang w:val="en-US"/>
        </w:rPr>
        <w:t>acting on behalf of the State by reason of the control exerci</w:t>
      </w:r>
      <w:r>
        <w:rPr>
          <w:lang w:val="en-US"/>
        </w:rPr>
        <w:t xml:space="preserve">sed over them by such an organ. […] </w:t>
      </w:r>
      <w:r w:rsidRPr="0027383E">
        <w:rPr>
          <w:lang w:val="en-US"/>
        </w:rPr>
        <w:t>There are subs</w:t>
      </w:r>
      <w:r>
        <w:rPr>
          <w:lang w:val="en-US"/>
        </w:rPr>
        <w:t xml:space="preserve">tantive differences between the </w:t>
      </w:r>
      <w:r w:rsidRPr="0027383E">
        <w:rPr>
          <w:lang w:val="en-US"/>
        </w:rPr>
        <w:t>two cases. For example, the unauthorized acts of organs are to</w:t>
      </w:r>
      <w:r>
        <w:rPr>
          <w:lang w:val="en-US"/>
        </w:rPr>
        <w:t xml:space="preserve"> be attributed to the State for </w:t>
      </w:r>
      <w:r w:rsidRPr="0027383E">
        <w:rPr>
          <w:lang w:val="en-US"/>
        </w:rPr>
        <w:t>t</w:t>
      </w:r>
      <w:r>
        <w:rPr>
          <w:lang w:val="en-US"/>
        </w:rPr>
        <w:t>he purposes of responsibility,</w:t>
      </w:r>
      <w:r w:rsidRPr="0027383E">
        <w:rPr>
          <w:lang w:val="en-US"/>
        </w:rPr>
        <w:t xml:space="preserve"> whereas different considerations may a</w:t>
      </w:r>
      <w:r>
        <w:rPr>
          <w:lang w:val="en-US"/>
        </w:rPr>
        <w:t xml:space="preserve">pply to the </w:t>
      </w:r>
      <w:r w:rsidRPr="008E5F5F">
        <w:rPr>
          <w:lang w:val="en-US"/>
        </w:rPr>
        <w:t>unauthorized acts of agents</w:t>
      </w:r>
      <w:r>
        <w:rPr>
          <w:lang w:val="en-US"/>
        </w:rPr>
        <w:t xml:space="preserve">…”. </w:t>
      </w:r>
      <w:r>
        <w:t xml:space="preserve">Cfr., </w:t>
      </w:r>
      <w:r w:rsidRPr="008A090D">
        <w:t xml:space="preserve">CRAWFORD, </w:t>
      </w:r>
      <w:r w:rsidRPr="008A090D">
        <w:rPr>
          <w:i/>
        </w:rPr>
        <w:t>First Report</w:t>
      </w:r>
      <w:r w:rsidRPr="008A090D">
        <w:t>, cit., par. 166. Indicazioni</w:t>
      </w:r>
      <w:r>
        <w:t xml:space="preserve"> simili sono contenute anche ne</w:t>
      </w:r>
      <w:r w:rsidRPr="008A090D">
        <w:t>l commentario al progetto adottato in seconda lettura d</w:t>
      </w:r>
      <w:r>
        <w:t xml:space="preserve">alla CDI. </w:t>
      </w:r>
      <w:r w:rsidRPr="008A090D">
        <w:rPr>
          <w:lang w:val="en-US"/>
        </w:rPr>
        <w:t>Vi si legge: “</w:t>
      </w:r>
      <w:r w:rsidRPr="00EA0293">
        <w:rPr>
          <w:i/>
          <w:lang w:val="en-US"/>
        </w:rPr>
        <w:t>Where a State has authorized an act, or has exercised direction or control over it, questions can arise as to the State’s responsibility for actions going beyond the scope of the authorization. For example, questions might arise if the agent, while carrying out lawful instructions or directions, engages in some activity which contravenes both the instructions or directions given and the international obligations of the instructing State. Such cases can be resolved by asking whether the unlawful or unauthorized conduct was really incidental to the mission or clearly went beyond it. In general a State, in giving lawful instructions to persons who are not its organs, does not assume the risk that the instructions will be carried out in an internationally unlawful way. On the other hand, where persons or groups have committed acts under the effective control of a State, the condition for attribution will still be met even if particular instructions may have been ignored</w:t>
      </w:r>
      <w:r>
        <w:rPr>
          <w:lang w:val="en-US"/>
        </w:rPr>
        <w:t xml:space="preserve">”. Cfr., </w:t>
      </w:r>
      <w:r w:rsidRPr="004F102A">
        <w:rPr>
          <w:i/>
          <w:lang w:val="en-US"/>
        </w:rPr>
        <w:t xml:space="preserve">Draft articles on Responsibility of States for Internationally Wrongful Acts, </w:t>
      </w:r>
      <w:r w:rsidRPr="00B13C88">
        <w:rPr>
          <w:lang w:val="en-US"/>
        </w:rPr>
        <w:t>cit.,</w:t>
      </w:r>
      <w:r>
        <w:rPr>
          <w:lang w:val="en-US"/>
        </w:rPr>
        <w:t xml:space="preserve"> p. 48, par. 8.</w:t>
      </w:r>
    </w:p>
  </w:footnote>
  <w:footnote w:id="522">
    <w:p w:rsidR="003D54BB" w:rsidRPr="00172BB3" w:rsidRDefault="003D54BB" w:rsidP="00F60868">
      <w:pPr>
        <w:pStyle w:val="Testonotaapidipagina"/>
        <w:jc w:val="both"/>
      </w:pPr>
      <w:r>
        <w:rPr>
          <w:rStyle w:val="Rimandonotaapidipagina"/>
        </w:rPr>
        <w:footnoteRef/>
      </w:r>
      <w:r w:rsidRPr="00546C22">
        <w:t xml:space="preserve"> Una differenza tra le due ipotesi è stata evidenziata anche nella pronuncia resa dalla Camera d’appello nel caso </w:t>
      </w:r>
      <w:r>
        <w:rPr>
          <w:i/>
        </w:rPr>
        <w:t>Tad</w:t>
      </w:r>
      <w:r>
        <w:rPr>
          <w:rFonts w:cstheme="minorHAnsi"/>
          <w:i/>
        </w:rPr>
        <w:t>ić</w:t>
      </w:r>
      <w:r w:rsidRPr="00546C22">
        <w:t xml:space="preserve">. </w:t>
      </w:r>
      <w:r w:rsidRPr="00546C22">
        <w:rPr>
          <w:lang w:val="en-US"/>
        </w:rPr>
        <w:t xml:space="preserve">Vi si legge: </w:t>
      </w:r>
      <w:r>
        <w:rPr>
          <w:lang w:val="en-US"/>
        </w:rPr>
        <w:t>“</w:t>
      </w:r>
      <w:r w:rsidRPr="006F21E7">
        <w:rPr>
          <w:lang w:val="en-US"/>
        </w:rPr>
        <w:t>What has just been said should not, of course, blur the necessary dis</w:t>
      </w:r>
      <w:r>
        <w:rPr>
          <w:lang w:val="en-US"/>
        </w:rPr>
        <w:t xml:space="preserve">tinction between </w:t>
      </w:r>
      <w:r w:rsidRPr="006F21E7">
        <w:rPr>
          <w:lang w:val="en-US"/>
        </w:rPr>
        <w:t>the various legal situations described. In the case envisage</w:t>
      </w:r>
      <w:r>
        <w:rPr>
          <w:lang w:val="en-US"/>
        </w:rPr>
        <w:t xml:space="preserve">d by Article 10 of the Draft on </w:t>
      </w:r>
      <w:r w:rsidRPr="006F21E7">
        <w:rPr>
          <w:lang w:val="en-US"/>
        </w:rPr>
        <w:t>State Responsibility (as well as in the situation envisaged i</w:t>
      </w:r>
      <w:r>
        <w:rPr>
          <w:lang w:val="en-US"/>
        </w:rPr>
        <w:t xml:space="preserve">n Article 7 of the same Draft), </w:t>
      </w:r>
      <w:r w:rsidRPr="006F21E7">
        <w:rPr>
          <w:lang w:val="en-US"/>
        </w:rPr>
        <w:t>State responsibility objectively follows from the fact tha</w:t>
      </w:r>
      <w:r>
        <w:rPr>
          <w:lang w:val="en-US"/>
        </w:rPr>
        <w:t xml:space="preserve">t the individuals who engage in </w:t>
      </w:r>
      <w:r w:rsidRPr="006F21E7">
        <w:rPr>
          <w:lang w:val="en-US"/>
        </w:rPr>
        <w:t>certain internationally wrongful acts possess, under the rele</w:t>
      </w:r>
      <w:r>
        <w:rPr>
          <w:lang w:val="en-US"/>
        </w:rPr>
        <w:t xml:space="preserve">vant legislation, the status of State officials or of officials </w:t>
      </w:r>
      <w:r w:rsidRPr="006F21E7">
        <w:rPr>
          <w:lang w:val="en-US"/>
        </w:rPr>
        <w:t xml:space="preserve">of a State’s public entity. In </w:t>
      </w:r>
      <w:r>
        <w:rPr>
          <w:lang w:val="en-US"/>
        </w:rPr>
        <w:t xml:space="preserve">the case under discussion here, </w:t>
      </w:r>
      <w:r w:rsidRPr="006F21E7">
        <w:rPr>
          <w:lang w:val="en-US"/>
        </w:rPr>
        <w:t>that of organised groups, State responsibility is instead the obj</w:t>
      </w:r>
      <w:r>
        <w:rPr>
          <w:lang w:val="en-US"/>
        </w:rPr>
        <w:t xml:space="preserve">ective corollary of the overall </w:t>
      </w:r>
      <w:r w:rsidRPr="006F21E7">
        <w:rPr>
          <w:lang w:val="en-US"/>
        </w:rPr>
        <w:t>control exercised by the State over the group. Despite these legal differences, the fact</w:t>
      </w:r>
      <w:r>
        <w:rPr>
          <w:lang w:val="en-US"/>
        </w:rPr>
        <w:t xml:space="preserve"> </w:t>
      </w:r>
      <w:r w:rsidRPr="006F21E7">
        <w:rPr>
          <w:lang w:val="en-US"/>
        </w:rPr>
        <w:t>nevertheless remains that international law renders any State</w:t>
      </w:r>
      <w:r>
        <w:rPr>
          <w:lang w:val="en-US"/>
        </w:rPr>
        <w:t xml:space="preserve"> responsible for acts in breach of international law </w:t>
      </w:r>
      <w:r w:rsidRPr="006F21E7">
        <w:rPr>
          <w:lang w:val="en-US"/>
        </w:rPr>
        <w:t>performed (i) by individuals having t</w:t>
      </w:r>
      <w:r>
        <w:rPr>
          <w:lang w:val="en-US"/>
        </w:rPr>
        <w:t xml:space="preserve">he formal status of organs of a </w:t>
      </w:r>
      <w:r w:rsidRPr="006F21E7">
        <w:rPr>
          <w:lang w:val="en-US"/>
        </w:rPr>
        <w:t>State (and this occurs even when these organs act ultra vir</w:t>
      </w:r>
      <w:r>
        <w:rPr>
          <w:lang w:val="en-US"/>
        </w:rPr>
        <w:t xml:space="preserve">es or contra legem), or (ii) by </w:t>
      </w:r>
      <w:r w:rsidRPr="006F21E7">
        <w:rPr>
          <w:lang w:val="en-US"/>
        </w:rPr>
        <w:t>individuals who make up organised groups subject to the Sta</w:t>
      </w:r>
      <w:r>
        <w:rPr>
          <w:lang w:val="en-US"/>
        </w:rPr>
        <w:t xml:space="preserve">te’s control. International law </w:t>
      </w:r>
      <w:r w:rsidRPr="006F21E7">
        <w:rPr>
          <w:lang w:val="en-US"/>
        </w:rPr>
        <w:t>does so regardless of whether or not the State has issued</w:t>
      </w:r>
      <w:r>
        <w:rPr>
          <w:lang w:val="en-US"/>
        </w:rPr>
        <w:t xml:space="preserve"> specific instructions to those individuals. </w:t>
      </w:r>
      <w:r w:rsidRPr="006F21E7">
        <w:rPr>
          <w:lang w:val="en-US"/>
        </w:rPr>
        <w:t>Clearly, the rationale behind this legal regul</w:t>
      </w:r>
      <w:r>
        <w:rPr>
          <w:lang w:val="en-US"/>
        </w:rPr>
        <w:t xml:space="preserve">ation is that otherwise, States </w:t>
      </w:r>
      <w:r w:rsidRPr="006F21E7">
        <w:rPr>
          <w:lang w:val="en-US"/>
        </w:rPr>
        <w:t>might eas</w:t>
      </w:r>
      <w:r>
        <w:rPr>
          <w:lang w:val="en-US"/>
        </w:rPr>
        <w:t xml:space="preserve">ily shelter behind, or use as a pretext, </w:t>
      </w:r>
      <w:r w:rsidRPr="006F21E7">
        <w:rPr>
          <w:lang w:val="en-US"/>
        </w:rPr>
        <w:t xml:space="preserve">their internal </w:t>
      </w:r>
      <w:r>
        <w:rPr>
          <w:lang w:val="en-US"/>
        </w:rPr>
        <w:t xml:space="preserve">legal system or the lack of any </w:t>
      </w:r>
      <w:r w:rsidRPr="006F21E7">
        <w:rPr>
          <w:lang w:val="en-US"/>
        </w:rPr>
        <w:t>specific instructions in order to disclaim international responsibility.</w:t>
      </w:r>
      <w:r>
        <w:rPr>
          <w:lang w:val="en-US"/>
        </w:rPr>
        <w:t xml:space="preserve">” </w:t>
      </w:r>
      <w:r>
        <w:t xml:space="preserve">Caso </w:t>
      </w:r>
      <w:r w:rsidRPr="002F6FAC">
        <w:rPr>
          <w:i/>
        </w:rPr>
        <w:t>Prosecutor v. Dusko Tad</w:t>
      </w:r>
      <w:r w:rsidRPr="002F6FAC">
        <w:rPr>
          <w:rFonts w:cstheme="minorHAnsi"/>
          <w:i/>
        </w:rPr>
        <w:t>ić</w:t>
      </w:r>
      <w:r w:rsidRPr="00172BB3">
        <w:t>, p. 50, par. 123.</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54BB" w:rsidRDefault="003D54BB">
    <w:pPr>
      <w:pStyle w:val="Intestazion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54BB" w:rsidRDefault="003D54BB">
    <w:pPr>
      <w:pStyle w:val="Intestazion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54BB" w:rsidRDefault="003D54BB">
    <w:pPr>
      <w:pStyle w:val="Intestazion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212712"/>
    <w:multiLevelType w:val="hybridMultilevel"/>
    <w:tmpl w:val="219A8B98"/>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
    <w:nsid w:val="088A3BCD"/>
    <w:multiLevelType w:val="multilevel"/>
    <w:tmpl w:val="78D8987E"/>
    <w:lvl w:ilvl="0">
      <w:start w:val="1"/>
      <w:numFmt w:val="decimal"/>
      <w:lvlText w:val="%1."/>
      <w:lvlJc w:val="left"/>
      <w:pPr>
        <w:ind w:left="360" w:hanging="360"/>
      </w:pPr>
    </w:lvl>
    <w:lvl w:ilvl="1">
      <w:start w:val="1"/>
      <w:numFmt w:val="decimal"/>
      <w:isLgl/>
      <w:lvlText w:val="%1.%2"/>
      <w:lvlJc w:val="left"/>
      <w:pPr>
        <w:ind w:left="126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420" w:hanging="720"/>
      </w:pPr>
      <w:rPr>
        <w:rFonts w:hint="default"/>
      </w:rPr>
    </w:lvl>
    <w:lvl w:ilvl="4">
      <w:start w:val="1"/>
      <w:numFmt w:val="decimal"/>
      <w:isLgl/>
      <w:lvlText w:val="%1.%2.%3.%4.%5"/>
      <w:lvlJc w:val="left"/>
      <w:pPr>
        <w:ind w:left="4680" w:hanging="1080"/>
      </w:pPr>
      <w:rPr>
        <w:rFonts w:hint="default"/>
      </w:rPr>
    </w:lvl>
    <w:lvl w:ilvl="5">
      <w:start w:val="1"/>
      <w:numFmt w:val="decimal"/>
      <w:isLgl/>
      <w:lvlText w:val="%1.%2.%3.%4.%5.%6"/>
      <w:lvlJc w:val="left"/>
      <w:pPr>
        <w:ind w:left="5580" w:hanging="1080"/>
      </w:pPr>
      <w:rPr>
        <w:rFonts w:hint="default"/>
      </w:rPr>
    </w:lvl>
    <w:lvl w:ilvl="6">
      <w:start w:val="1"/>
      <w:numFmt w:val="decimal"/>
      <w:isLgl/>
      <w:lvlText w:val="%1.%2.%3.%4.%5.%6.%7"/>
      <w:lvlJc w:val="left"/>
      <w:pPr>
        <w:ind w:left="6840" w:hanging="1440"/>
      </w:pPr>
      <w:rPr>
        <w:rFonts w:hint="default"/>
      </w:rPr>
    </w:lvl>
    <w:lvl w:ilvl="7">
      <w:start w:val="1"/>
      <w:numFmt w:val="decimal"/>
      <w:isLgl/>
      <w:lvlText w:val="%1.%2.%3.%4.%5.%6.%7.%8"/>
      <w:lvlJc w:val="left"/>
      <w:pPr>
        <w:ind w:left="7740" w:hanging="1440"/>
      </w:pPr>
      <w:rPr>
        <w:rFonts w:hint="default"/>
      </w:rPr>
    </w:lvl>
    <w:lvl w:ilvl="8">
      <w:start w:val="1"/>
      <w:numFmt w:val="decimal"/>
      <w:isLgl/>
      <w:lvlText w:val="%1.%2.%3.%4.%5.%6.%7.%8.%9"/>
      <w:lvlJc w:val="left"/>
      <w:pPr>
        <w:ind w:left="8640" w:hanging="1440"/>
      </w:pPr>
      <w:rPr>
        <w:rFonts w:hint="default"/>
      </w:rPr>
    </w:lvl>
  </w:abstractNum>
  <w:abstractNum w:abstractNumId="2">
    <w:nsid w:val="0DB63244"/>
    <w:multiLevelType w:val="multilevel"/>
    <w:tmpl w:val="78D8987E"/>
    <w:lvl w:ilvl="0">
      <w:start w:val="1"/>
      <w:numFmt w:val="decimal"/>
      <w:lvlText w:val="%1."/>
      <w:lvlJc w:val="left"/>
      <w:pPr>
        <w:ind w:left="360" w:hanging="360"/>
      </w:pPr>
    </w:lvl>
    <w:lvl w:ilvl="1">
      <w:start w:val="1"/>
      <w:numFmt w:val="decimal"/>
      <w:isLgl/>
      <w:lvlText w:val="%1.%2"/>
      <w:lvlJc w:val="left"/>
      <w:pPr>
        <w:ind w:left="126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420" w:hanging="720"/>
      </w:pPr>
      <w:rPr>
        <w:rFonts w:hint="default"/>
      </w:rPr>
    </w:lvl>
    <w:lvl w:ilvl="4">
      <w:start w:val="1"/>
      <w:numFmt w:val="decimal"/>
      <w:isLgl/>
      <w:lvlText w:val="%1.%2.%3.%4.%5"/>
      <w:lvlJc w:val="left"/>
      <w:pPr>
        <w:ind w:left="4680" w:hanging="1080"/>
      </w:pPr>
      <w:rPr>
        <w:rFonts w:hint="default"/>
      </w:rPr>
    </w:lvl>
    <w:lvl w:ilvl="5">
      <w:start w:val="1"/>
      <w:numFmt w:val="decimal"/>
      <w:isLgl/>
      <w:lvlText w:val="%1.%2.%3.%4.%5.%6"/>
      <w:lvlJc w:val="left"/>
      <w:pPr>
        <w:ind w:left="5580" w:hanging="1080"/>
      </w:pPr>
      <w:rPr>
        <w:rFonts w:hint="default"/>
      </w:rPr>
    </w:lvl>
    <w:lvl w:ilvl="6">
      <w:start w:val="1"/>
      <w:numFmt w:val="decimal"/>
      <w:isLgl/>
      <w:lvlText w:val="%1.%2.%3.%4.%5.%6.%7"/>
      <w:lvlJc w:val="left"/>
      <w:pPr>
        <w:ind w:left="6840" w:hanging="1440"/>
      </w:pPr>
      <w:rPr>
        <w:rFonts w:hint="default"/>
      </w:rPr>
    </w:lvl>
    <w:lvl w:ilvl="7">
      <w:start w:val="1"/>
      <w:numFmt w:val="decimal"/>
      <w:isLgl/>
      <w:lvlText w:val="%1.%2.%3.%4.%5.%6.%7.%8"/>
      <w:lvlJc w:val="left"/>
      <w:pPr>
        <w:ind w:left="7740" w:hanging="1440"/>
      </w:pPr>
      <w:rPr>
        <w:rFonts w:hint="default"/>
      </w:rPr>
    </w:lvl>
    <w:lvl w:ilvl="8">
      <w:start w:val="1"/>
      <w:numFmt w:val="decimal"/>
      <w:isLgl/>
      <w:lvlText w:val="%1.%2.%3.%4.%5.%6.%7.%8.%9"/>
      <w:lvlJc w:val="left"/>
      <w:pPr>
        <w:ind w:left="8640" w:hanging="1440"/>
      </w:pPr>
      <w:rPr>
        <w:rFonts w:hint="default"/>
      </w:rPr>
    </w:lvl>
  </w:abstractNum>
  <w:abstractNum w:abstractNumId="3">
    <w:nsid w:val="161721AC"/>
    <w:multiLevelType w:val="hybridMultilevel"/>
    <w:tmpl w:val="E2569BAE"/>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nsid w:val="16CC3BCB"/>
    <w:multiLevelType w:val="hybridMultilevel"/>
    <w:tmpl w:val="5BC4ECC8"/>
    <w:lvl w:ilvl="0" w:tplc="9DEA8D18">
      <w:start w:val="2"/>
      <w:numFmt w:val="bullet"/>
      <w:lvlText w:val="-"/>
      <w:lvlJc w:val="left"/>
      <w:pPr>
        <w:ind w:left="720" w:hanging="360"/>
      </w:pPr>
      <w:rPr>
        <w:rFonts w:ascii="Calibri" w:eastAsiaTheme="minorHAnsi" w:hAnsi="Calibri"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nsid w:val="1DBE3B81"/>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1F9F5C55"/>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232E4371"/>
    <w:multiLevelType w:val="hybridMultilevel"/>
    <w:tmpl w:val="96A25352"/>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nsid w:val="247C5F9F"/>
    <w:multiLevelType w:val="hybridMultilevel"/>
    <w:tmpl w:val="425C1782"/>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nsid w:val="307A0152"/>
    <w:multiLevelType w:val="hybridMultilevel"/>
    <w:tmpl w:val="943E7CCE"/>
    <w:lvl w:ilvl="0" w:tplc="69AA0C34">
      <w:start w:val="3"/>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nsid w:val="3360155B"/>
    <w:multiLevelType w:val="hybridMultilevel"/>
    <w:tmpl w:val="90906CE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nsid w:val="341248AC"/>
    <w:multiLevelType w:val="hybridMultilevel"/>
    <w:tmpl w:val="0A76C71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nsid w:val="39290E28"/>
    <w:multiLevelType w:val="hybridMultilevel"/>
    <w:tmpl w:val="926806B4"/>
    <w:lvl w:ilvl="0" w:tplc="0EF63206">
      <w:start w:val="5"/>
      <w:numFmt w:val="decimal"/>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3">
    <w:nsid w:val="406C23ED"/>
    <w:multiLevelType w:val="hybridMultilevel"/>
    <w:tmpl w:val="17BE2FF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nsid w:val="41D14123"/>
    <w:multiLevelType w:val="multilevel"/>
    <w:tmpl w:val="51AE15D4"/>
    <w:lvl w:ilvl="0">
      <w:start w:val="1"/>
      <w:numFmt w:val="decimal"/>
      <w:lvlText w:val="%1."/>
      <w:lvlJc w:val="left"/>
      <w:pPr>
        <w:ind w:left="360" w:hanging="360"/>
      </w:pPr>
    </w:lvl>
    <w:lvl w:ilvl="1">
      <w:start w:val="1"/>
      <w:numFmt w:val="decimal"/>
      <w:isLgl/>
      <w:lvlText w:val="%1.%2"/>
      <w:lvlJc w:val="left"/>
      <w:pPr>
        <w:ind w:left="1212" w:hanging="360"/>
      </w:pPr>
      <w:rPr>
        <w:rFonts w:hint="default"/>
        <w:i w:val="0"/>
      </w:rPr>
    </w:lvl>
    <w:lvl w:ilvl="2">
      <w:start w:val="1"/>
      <w:numFmt w:val="decimal"/>
      <w:isLgl/>
      <w:lvlText w:val="%1.%2.%3"/>
      <w:lvlJc w:val="left"/>
      <w:pPr>
        <w:ind w:left="2520" w:hanging="720"/>
      </w:pPr>
      <w:rPr>
        <w:rFonts w:hint="default"/>
      </w:rPr>
    </w:lvl>
    <w:lvl w:ilvl="3">
      <w:start w:val="1"/>
      <w:numFmt w:val="decimal"/>
      <w:isLgl/>
      <w:lvlText w:val="%1.%2.%3.%4"/>
      <w:lvlJc w:val="left"/>
      <w:pPr>
        <w:ind w:left="3420" w:hanging="720"/>
      </w:pPr>
      <w:rPr>
        <w:rFonts w:hint="default"/>
      </w:rPr>
    </w:lvl>
    <w:lvl w:ilvl="4">
      <w:start w:val="1"/>
      <w:numFmt w:val="decimal"/>
      <w:isLgl/>
      <w:lvlText w:val="%1.%2.%3.%4.%5"/>
      <w:lvlJc w:val="left"/>
      <w:pPr>
        <w:ind w:left="4680" w:hanging="1080"/>
      </w:pPr>
      <w:rPr>
        <w:rFonts w:hint="default"/>
      </w:rPr>
    </w:lvl>
    <w:lvl w:ilvl="5">
      <w:start w:val="1"/>
      <w:numFmt w:val="decimal"/>
      <w:isLgl/>
      <w:lvlText w:val="%1.%2.%3.%4.%5.%6"/>
      <w:lvlJc w:val="left"/>
      <w:pPr>
        <w:ind w:left="5580" w:hanging="1080"/>
      </w:pPr>
      <w:rPr>
        <w:rFonts w:hint="default"/>
      </w:rPr>
    </w:lvl>
    <w:lvl w:ilvl="6">
      <w:start w:val="1"/>
      <w:numFmt w:val="decimal"/>
      <w:isLgl/>
      <w:lvlText w:val="%1.%2.%3.%4.%5.%6.%7"/>
      <w:lvlJc w:val="left"/>
      <w:pPr>
        <w:ind w:left="6840" w:hanging="1440"/>
      </w:pPr>
      <w:rPr>
        <w:rFonts w:hint="default"/>
      </w:rPr>
    </w:lvl>
    <w:lvl w:ilvl="7">
      <w:start w:val="1"/>
      <w:numFmt w:val="decimal"/>
      <w:isLgl/>
      <w:lvlText w:val="%1.%2.%3.%4.%5.%6.%7.%8"/>
      <w:lvlJc w:val="left"/>
      <w:pPr>
        <w:ind w:left="7740" w:hanging="1440"/>
      </w:pPr>
      <w:rPr>
        <w:rFonts w:hint="default"/>
      </w:rPr>
    </w:lvl>
    <w:lvl w:ilvl="8">
      <w:start w:val="1"/>
      <w:numFmt w:val="decimal"/>
      <w:isLgl/>
      <w:lvlText w:val="%1.%2.%3.%4.%5.%6.%7.%8.%9"/>
      <w:lvlJc w:val="left"/>
      <w:pPr>
        <w:ind w:left="8640" w:hanging="1440"/>
      </w:pPr>
      <w:rPr>
        <w:rFonts w:hint="default"/>
      </w:rPr>
    </w:lvl>
  </w:abstractNum>
  <w:abstractNum w:abstractNumId="15">
    <w:nsid w:val="420C024E"/>
    <w:multiLevelType w:val="hybridMultilevel"/>
    <w:tmpl w:val="2B70AB82"/>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nsid w:val="43183ABA"/>
    <w:multiLevelType w:val="hybridMultilevel"/>
    <w:tmpl w:val="42C4B65E"/>
    <w:lvl w:ilvl="0" w:tplc="0410000F">
      <w:start w:val="1"/>
      <w:numFmt w:val="decimal"/>
      <w:lvlText w:val="%1."/>
      <w:lvlJc w:val="left"/>
      <w:pPr>
        <w:ind w:left="360" w:hanging="360"/>
      </w:p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17">
    <w:nsid w:val="483A1D0E"/>
    <w:multiLevelType w:val="hybridMultilevel"/>
    <w:tmpl w:val="9B9C5604"/>
    <w:lvl w:ilvl="0" w:tplc="2B5A8EA4">
      <w:start w:val="2"/>
      <w:numFmt w:val="bullet"/>
      <w:lvlText w:val="-"/>
      <w:lvlJc w:val="left"/>
      <w:pPr>
        <w:ind w:left="720" w:hanging="360"/>
      </w:pPr>
      <w:rPr>
        <w:rFonts w:ascii="Calibri" w:eastAsiaTheme="minorHAnsi" w:hAnsi="Calibri" w:cstheme="minorBid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nsid w:val="49B610E0"/>
    <w:multiLevelType w:val="hybridMultilevel"/>
    <w:tmpl w:val="1DD6142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nsid w:val="4CEA7B7B"/>
    <w:multiLevelType w:val="multilevel"/>
    <w:tmpl w:val="45A08F9A"/>
    <w:lvl w:ilvl="0">
      <w:start w:val="4"/>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nsid w:val="523C14C3"/>
    <w:multiLevelType w:val="multilevel"/>
    <w:tmpl w:val="F104A5A2"/>
    <w:lvl w:ilvl="0">
      <w:start w:val="4"/>
      <w:numFmt w:val="decimal"/>
      <w:lvlText w:val="%1."/>
      <w:lvlJc w:val="left"/>
      <w:pPr>
        <w:ind w:left="360" w:hanging="360"/>
      </w:pPr>
      <w:rPr>
        <w:rFonts w:hint="default"/>
      </w:rPr>
    </w:lvl>
    <w:lvl w:ilvl="1">
      <w:start w:val="1"/>
      <w:numFmt w:val="decimal"/>
      <w:isLgl/>
      <w:lvlText w:val="%1.%2"/>
      <w:lvlJc w:val="left"/>
      <w:pPr>
        <w:ind w:left="126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420" w:hanging="720"/>
      </w:pPr>
      <w:rPr>
        <w:rFonts w:hint="default"/>
      </w:rPr>
    </w:lvl>
    <w:lvl w:ilvl="4">
      <w:start w:val="1"/>
      <w:numFmt w:val="decimal"/>
      <w:isLgl/>
      <w:lvlText w:val="%1.%2.%3.%4.%5"/>
      <w:lvlJc w:val="left"/>
      <w:pPr>
        <w:ind w:left="4680" w:hanging="1080"/>
      </w:pPr>
      <w:rPr>
        <w:rFonts w:hint="default"/>
      </w:rPr>
    </w:lvl>
    <w:lvl w:ilvl="5">
      <w:start w:val="1"/>
      <w:numFmt w:val="decimal"/>
      <w:isLgl/>
      <w:lvlText w:val="%1.%2.%3.%4.%5.%6"/>
      <w:lvlJc w:val="left"/>
      <w:pPr>
        <w:ind w:left="5580" w:hanging="1080"/>
      </w:pPr>
      <w:rPr>
        <w:rFonts w:hint="default"/>
      </w:rPr>
    </w:lvl>
    <w:lvl w:ilvl="6">
      <w:start w:val="1"/>
      <w:numFmt w:val="decimal"/>
      <w:isLgl/>
      <w:lvlText w:val="%1.%2.%3.%4.%5.%6.%7"/>
      <w:lvlJc w:val="left"/>
      <w:pPr>
        <w:ind w:left="6840" w:hanging="1440"/>
      </w:pPr>
      <w:rPr>
        <w:rFonts w:hint="default"/>
      </w:rPr>
    </w:lvl>
    <w:lvl w:ilvl="7">
      <w:start w:val="1"/>
      <w:numFmt w:val="decimal"/>
      <w:isLgl/>
      <w:lvlText w:val="%1.%2.%3.%4.%5.%6.%7.%8"/>
      <w:lvlJc w:val="left"/>
      <w:pPr>
        <w:ind w:left="7740" w:hanging="1440"/>
      </w:pPr>
      <w:rPr>
        <w:rFonts w:hint="default"/>
      </w:rPr>
    </w:lvl>
    <w:lvl w:ilvl="8">
      <w:start w:val="1"/>
      <w:numFmt w:val="decimal"/>
      <w:isLgl/>
      <w:lvlText w:val="%1.%2.%3.%4.%5.%6.%7.%8.%9"/>
      <w:lvlJc w:val="left"/>
      <w:pPr>
        <w:ind w:left="8640" w:hanging="1440"/>
      </w:pPr>
      <w:rPr>
        <w:rFonts w:hint="default"/>
      </w:rPr>
    </w:lvl>
  </w:abstractNum>
  <w:abstractNum w:abstractNumId="21">
    <w:nsid w:val="53F81974"/>
    <w:multiLevelType w:val="hybridMultilevel"/>
    <w:tmpl w:val="42C4EFD8"/>
    <w:lvl w:ilvl="0" w:tplc="0410000F">
      <w:start w:val="1"/>
      <w:numFmt w:val="decimal"/>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2">
    <w:nsid w:val="559465AA"/>
    <w:multiLevelType w:val="hybridMultilevel"/>
    <w:tmpl w:val="9930678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nsid w:val="58EA5F38"/>
    <w:multiLevelType w:val="hybridMultilevel"/>
    <w:tmpl w:val="D054AE26"/>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4">
    <w:nsid w:val="5D902363"/>
    <w:multiLevelType w:val="hybridMultilevel"/>
    <w:tmpl w:val="BAF01FB2"/>
    <w:lvl w:ilvl="0" w:tplc="0410000F">
      <w:start w:val="1"/>
      <w:numFmt w:val="decimal"/>
      <w:lvlText w:val="%1."/>
      <w:lvlJc w:val="left"/>
      <w:pPr>
        <w:ind w:left="0" w:hanging="360"/>
      </w:pPr>
      <w:rPr>
        <w:rFonts w:hint="default"/>
      </w:rPr>
    </w:lvl>
    <w:lvl w:ilvl="1" w:tplc="04100019">
      <w:start w:val="1"/>
      <w:numFmt w:val="lowerLetter"/>
      <w:lvlText w:val="%2."/>
      <w:lvlJc w:val="left"/>
      <w:pPr>
        <w:ind w:left="720" w:hanging="360"/>
      </w:pPr>
    </w:lvl>
    <w:lvl w:ilvl="2" w:tplc="0410001B">
      <w:start w:val="1"/>
      <w:numFmt w:val="lowerRoman"/>
      <w:lvlText w:val="%3."/>
      <w:lvlJc w:val="right"/>
      <w:pPr>
        <w:ind w:left="1440" w:hanging="180"/>
      </w:pPr>
    </w:lvl>
    <w:lvl w:ilvl="3" w:tplc="0410000F" w:tentative="1">
      <w:start w:val="1"/>
      <w:numFmt w:val="decimal"/>
      <w:lvlText w:val="%4."/>
      <w:lvlJc w:val="left"/>
      <w:pPr>
        <w:ind w:left="2160" w:hanging="360"/>
      </w:pPr>
    </w:lvl>
    <w:lvl w:ilvl="4" w:tplc="04100019" w:tentative="1">
      <w:start w:val="1"/>
      <w:numFmt w:val="lowerLetter"/>
      <w:lvlText w:val="%5."/>
      <w:lvlJc w:val="left"/>
      <w:pPr>
        <w:ind w:left="2880" w:hanging="360"/>
      </w:pPr>
    </w:lvl>
    <w:lvl w:ilvl="5" w:tplc="0410001B" w:tentative="1">
      <w:start w:val="1"/>
      <w:numFmt w:val="lowerRoman"/>
      <w:lvlText w:val="%6."/>
      <w:lvlJc w:val="right"/>
      <w:pPr>
        <w:ind w:left="3600" w:hanging="180"/>
      </w:pPr>
    </w:lvl>
    <w:lvl w:ilvl="6" w:tplc="0410000F" w:tentative="1">
      <w:start w:val="1"/>
      <w:numFmt w:val="decimal"/>
      <w:lvlText w:val="%7."/>
      <w:lvlJc w:val="left"/>
      <w:pPr>
        <w:ind w:left="4320" w:hanging="360"/>
      </w:pPr>
    </w:lvl>
    <w:lvl w:ilvl="7" w:tplc="04100019" w:tentative="1">
      <w:start w:val="1"/>
      <w:numFmt w:val="lowerLetter"/>
      <w:lvlText w:val="%8."/>
      <w:lvlJc w:val="left"/>
      <w:pPr>
        <w:ind w:left="5040" w:hanging="360"/>
      </w:pPr>
    </w:lvl>
    <w:lvl w:ilvl="8" w:tplc="0410001B" w:tentative="1">
      <w:start w:val="1"/>
      <w:numFmt w:val="lowerRoman"/>
      <w:lvlText w:val="%9."/>
      <w:lvlJc w:val="right"/>
      <w:pPr>
        <w:ind w:left="5760" w:hanging="180"/>
      </w:pPr>
    </w:lvl>
  </w:abstractNum>
  <w:abstractNum w:abstractNumId="25">
    <w:nsid w:val="5F1E4DE8"/>
    <w:multiLevelType w:val="multilevel"/>
    <w:tmpl w:val="23FE50C2"/>
    <w:lvl w:ilvl="0">
      <w:start w:val="10"/>
      <w:numFmt w:val="decimal"/>
      <w:lvlText w:val="%1."/>
      <w:lvlJc w:val="left"/>
      <w:pPr>
        <w:ind w:left="644" w:hanging="360"/>
      </w:pPr>
      <w:rPr>
        <w:rFonts w:hint="default"/>
        <w:i w:val="0"/>
      </w:rPr>
    </w:lvl>
    <w:lvl w:ilvl="1">
      <w:start w:val="1"/>
      <w:numFmt w:val="decimal"/>
      <w:isLgl/>
      <w:lvlText w:val="%1.%2"/>
      <w:lvlJc w:val="left"/>
      <w:pPr>
        <w:ind w:left="1544" w:hanging="360"/>
      </w:pPr>
      <w:rPr>
        <w:rFonts w:hint="default"/>
      </w:rPr>
    </w:lvl>
    <w:lvl w:ilvl="2">
      <w:start w:val="1"/>
      <w:numFmt w:val="decimal"/>
      <w:isLgl/>
      <w:lvlText w:val="%1.%2.%3"/>
      <w:lvlJc w:val="left"/>
      <w:pPr>
        <w:ind w:left="2804" w:hanging="720"/>
      </w:pPr>
      <w:rPr>
        <w:rFonts w:hint="default"/>
      </w:rPr>
    </w:lvl>
    <w:lvl w:ilvl="3">
      <w:start w:val="1"/>
      <w:numFmt w:val="decimal"/>
      <w:isLgl/>
      <w:lvlText w:val="%1.%2.%3.%4"/>
      <w:lvlJc w:val="left"/>
      <w:pPr>
        <w:ind w:left="3704" w:hanging="720"/>
      </w:pPr>
      <w:rPr>
        <w:rFonts w:hint="default"/>
      </w:rPr>
    </w:lvl>
    <w:lvl w:ilvl="4">
      <w:start w:val="1"/>
      <w:numFmt w:val="decimal"/>
      <w:isLgl/>
      <w:lvlText w:val="%1.%2.%3.%4.%5"/>
      <w:lvlJc w:val="left"/>
      <w:pPr>
        <w:ind w:left="4964" w:hanging="1080"/>
      </w:pPr>
      <w:rPr>
        <w:rFonts w:hint="default"/>
      </w:rPr>
    </w:lvl>
    <w:lvl w:ilvl="5">
      <w:start w:val="1"/>
      <w:numFmt w:val="decimal"/>
      <w:isLgl/>
      <w:lvlText w:val="%1.%2.%3.%4.%5.%6"/>
      <w:lvlJc w:val="left"/>
      <w:pPr>
        <w:ind w:left="5864" w:hanging="1080"/>
      </w:pPr>
      <w:rPr>
        <w:rFonts w:hint="default"/>
      </w:rPr>
    </w:lvl>
    <w:lvl w:ilvl="6">
      <w:start w:val="1"/>
      <w:numFmt w:val="decimal"/>
      <w:isLgl/>
      <w:lvlText w:val="%1.%2.%3.%4.%5.%6.%7"/>
      <w:lvlJc w:val="left"/>
      <w:pPr>
        <w:ind w:left="7124" w:hanging="1440"/>
      </w:pPr>
      <w:rPr>
        <w:rFonts w:hint="default"/>
      </w:rPr>
    </w:lvl>
    <w:lvl w:ilvl="7">
      <w:start w:val="1"/>
      <w:numFmt w:val="decimal"/>
      <w:isLgl/>
      <w:lvlText w:val="%1.%2.%3.%4.%5.%6.%7.%8"/>
      <w:lvlJc w:val="left"/>
      <w:pPr>
        <w:ind w:left="8024" w:hanging="1440"/>
      </w:pPr>
      <w:rPr>
        <w:rFonts w:hint="default"/>
      </w:rPr>
    </w:lvl>
    <w:lvl w:ilvl="8">
      <w:start w:val="1"/>
      <w:numFmt w:val="decimal"/>
      <w:isLgl/>
      <w:lvlText w:val="%1.%2.%3.%4.%5.%6.%7.%8.%9"/>
      <w:lvlJc w:val="left"/>
      <w:pPr>
        <w:ind w:left="8924" w:hanging="1440"/>
      </w:pPr>
      <w:rPr>
        <w:rFonts w:hint="default"/>
      </w:rPr>
    </w:lvl>
  </w:abstractNum>
  <w:abstractNum w:abstractNumId="26">
    <w:nsid w:val="62174C40"/>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651D6024"/>
    <w:multiLevelType w:val="multilevel"/>
    <w:tmpl w:val="80E2F020"/>
    <w:lvl w:ilvl="0">
      <w:start w:val="1"/>
      <w:numFmt w:val="decimal"/>
      <w:lvlText w:val="%1."/>
      <w:lvlJc w:val="left"/>
      <w:pPr>
        <w:ind w:left="360" w:hanging="360"/>
      </w:pPr>
      <w:rPr>
        <w:rFonts w:hint="default"/>
      </w:rPr>
    </w:lvl>
    <w:lvl w:ilvl="1">
      <w:start w:val="1"/>
      <w:numFmt w:val="decimal"/>
      <w:isLgl/>
      <w:lvlText w:val="%1.%2"/>
      <w:lvlJc w:val="left"/>
      <w:pPr>
        <w:ind w:left="126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420" w:hanging="720"/>
      </w:pPr>
      <w:rPr>
        <w:rFonts w:hint="default"/>
      </w:rPr>
    </w:lvl>
    <w:lvl w:ilvl="4">
      <w:start w:val="1"/>
      <w:numFmt w:val="decimal"/>
      <w:isLgl/>
      <w:lvlText w:val="%1.%2.%3.%4.%5"/>
      <w:lvlJc w:val="left"/>
      <w:pPr>
        <w:ind w:left="4680" w:hanging="1080"/>
      </w:pPr>
      <w:rPr>
        <w:rFonts w:hint="default"/>
      </w:rPr>
    </w:lvl>
    <w:lvl w:ilvl="5">
      <w:start w:val="1"/>
      <w:numFmt w:val="decimal"/>
      <w:isLgl/>
      <w:lvlText w:val="%1.%2.%3.%4.%5.%6"/>
      <w:lvlJc w:val="left"/>
      <w:pPr>
        <w:ind w:left="5580" w:hanging="1080"/>
      </w:pPr>
      <w:rPr>
        <w:rFonts w:hint="default"/>
      </w:rPr>
    </w:lvl>
    <w:lvl w:ilvl="6">
      <w:start w:val="1"/>
      <w:numFmt w:val="decimal"/>
      <w:isLgl/>
      <w:lvlText w:val="%1.%2.%3.%4.%5.%6.%7"/>
      <w:lvlJc w:val="left"/>
      <w:pPr>
        <w:ind w:left="6840" w:hanging="1440"/>
      </w:pPr>
      <w:rPr>
        <w:rFonts w:hint="default"/>
      </w:rPr>
    </w:lvl>
    <w:lvl w:ilvl="7">
      <w:start w:val="1"/>
      <w:numFmt w:val="decimal"/>
      <w:isLgl/>
      <w:lvlText w:val="%1.%2.%3.%4.%5.%6.%7.%8"/>
      <w:lvlJc w:val="left"/>
      <w:pPr>
        <w:ind w:left="7740" w:hanging="1440"/>
      </w:pPr>
      <w:rPr>
        <w:rFonts w:hint="default"/>
      </w:rPr>
    </w:lvl>
    <w:lvl w:ilvl="8">
      <w:start w:val="1"/>
      <w:numFmt w:val="decimal"/>
      <w:isLgl/>
      <w:lvlText w:val="%1.%2.%3.%4.%5.%6.%7.%8.%9"/>
      <w:lvlJc w:val="left"/>
      <w:pPr>
        <w:ind w:left="8640" w:hanging="1440"/>
      </w:pPr>
      <w:rPr>
        <w:rFonts w:hint="default"/>
      </w:rPr>
    </w:lvl>
  </w:abstractNum>
  <w:abstractNum w:abstractNumId="28">
    <w:nsid w:val="66E820F5"/>
    <w:multiLevelType w:val="hybridMultilevel"/>
    <w:tmpl w:val="1DD6142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9">
    <w:nsid w:val="6CD16068"/>
    <w:multiLevelType w:val="multilevel"/>
    <w:tmpl w:val="3D7299EE"/>
    <w:lvl w:ilvl="0">
      <w:start w:val="2"/>
      <w:numFmt w:val="decimal"/>
      <w:lvlText w:val="%1."/>
      <w:lvlJc w:val="left"/>
      <w:pPr>
        <w:ind w:left="360" w:hanging="360"/>
      </w:pPr>
      <w:rPr>
        <w:rFonts w:hint="default"/>
      </w:rPr>
    </w:lvl>
    <w:lvl w:ilvl="1">
      <w:start w:val="1"/>
      <w:numFmt w:val="decimal"/>
      <w:isLgl/>
      <w:lvlText w:val="%1.%2"/>
      <w:lvlJc w:val="left"/>
      <w:pPr>
        <w:ind w:left="126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420" w:hanging="720"/>
      </w:pPr>
      <w:rPr>
        <w:rFonts w:hint="default"/>
      </w:rPr>
    </w:lvl>
    <w:lvl w:ilvl="4">
      <w:start w:val="1"/>
      <w:numFmt w:val="decimal"/>
      <w:isLgl/>
      <w:lvlText w:val="%1.%2.%3.%4.%5"/>
      <w:lvlJc w:val="left"/>
      <w:pPr>
        <w:ind w:left="4680" w:hanging="1080"/>
      </w:pPr>
      <w:rPr>
        <w:rFonts w:hint="default"/>
      </w:rPr>
    </w:lvl>
    <w:lvl w:ilvl="5">
      <w:start w:val="1"/>
      <w:numFmt w:val="decimal"/>
      <w:isLgl/>
      <w:lvlText w:val="%1.%2.%3.%4.%5.%6"/>
      <w:lvlJc w:val="left"/>
      <w:pPr>
        <w:ind w:left="5580" w:hanging="1080"/>
      </w:pPr>
      <w:rPr>
        <w:rFonts w:hint="default"/>
      </w:rPr>
    </w:lvl>
    <w:lvl w:ilvl="6">
      <w:start w:val="1"/>
      <w:numFmt w:val="decimal"/>
      <w:isLgl/>
      <w:lvlText w:val="%1.%2.%3.%4.%5.%6.%7"/>
      <w:lvlJc w:val="left"/>
      <w:pPr>
        <w:ind w:left="6840" w:hanging="1440"/>
      </w:pPr>
      <w:rPr>
        <w:rFonts w:hint="default"/>
      </w:rPr>
    </w:lvl>
    <w:lvl w:ilvl="7">
      <w:start w:val="1"/>
      <w:numFmt w:val="decimal"/>
      <w:isLgl/>
      <w:lvlText w:val="%1.%2.%3.%4.%5.%6.%7.%8"/>
      <w:lvlJc w:val="left"/>
      <w:pPr>
        <w:ind w:left="7740" w:hanging="1440"/>
      </w:pPr>
      <w:rPr>
        <w:rFonts w:hint="default"/>
      </w:rPr>
    </w:lvl>
    <w:lvl w:ilvl="8">
      <w:start w:val="1"/>
      <w:numFmt w:val="decimal"/>
      <w:isLgl/>
      <w:lvlText w:val="%1.%2.%3.%4.%5.%6.%7.%8.%9"/>
      <w:lvlJc w:val="left"/>
      <w:pPr>
        <w:ind w:left="8640" w:hanging="1440"/>
      </w:pPr>
      <w:rPr>
        <w:rFonts w:hint="default"/>
      </w:rPr>
    </w:lvl>
  </w:abstractNum>
  <w:abstractNum w:abstractNumId="30">
    <w:nsid w:val="6FCD5ACE"/>
    <w:multiLevelType w:val="multilevel"/>
    <w:tmpl w:val="1CBE1272"/>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nsid w:val="71580016"/>
    <w:multiLevelType w:val="multilevel"/>
    <w:tmpl w:val="6FC096C0"/>
    <w:lvl w:ilvl="0">
      <w:start w:val="5"/>
      <w:numFmt w:val="decimal"/>
      <w:lvlText w:val="%1."/>
      <w:lvlJc w:val="left"/>
      <w:pPr>
        <w:ind w:left="360" w:hanging="360"/>
      </w:pPr>
      <w:rPr>
        <w:rFonts w:hint="default"/>
      </w:rPr>
    </w:lvl>
    <w:lvl w:ilvl="1">
      <w:start w:val="1"/>
      <w:numFmt w:val="decimal"/>
      <w:isLgl/>
      <w:lvlText w:val="%1.%2"/>
      <w:lvlJc w:val="left"/>
      <w:pPr>
        <w:ind w:left="126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420" w:hanging="720"/>
      </w:pPr>
      <w:rPr>
        <w:rFonts w:hint="default"/>
      </w:rPr>
    </w:lvl>
    <w:lvl w:ilvl="4">
      <w:start w:val="1"/>
      <w:numFmt w:val="decimal"/>
      <w:isLgl/>
      <w:lvlText w:val="%1.%2.%3.%4.%5"/>
      <w:lvlJc w:val="left"/>
      <w:pPr>
        <w:ind w:left="4680" w:hanging="1080"/>
      </w:pPr>
      <w:rPr>
        <w:rFonts w:hint="default"/>
      </w:rPr>
    </w:lvl>
    <w:lvl w:ilvl="5">
      <w:start w:val="1"/>
      <w:numFmt w:val="decimal"/>
      <w:isLgl/>
      <w:lvlText w:val="%1.%2.%3.%4.%5.%6"/>
      <w:lvlJc w:val="left"/>
      <w:pPr>
        <w:ind w:left="5580" w:hanging="1080"/>
      </w:pPr>
      <w:rPr>
        <w:rFonts w:hint="default"/>
      </w:rPr>
    </w:lvl>
    <w:lvl w:ilvl="6">
      <w:start w:val="1"/>
      <w:numFmt w:val="decimal"/>
      <w:isLgl/>
      <w:lvlText w:val="%1.%2.%3.%4.%5.%6.%7"/>
      <w:lvlJc w:val="left"/>
      <w:pPr>
        <w:ind w:left="6840" w:hanging="1440"/>
      </w:pPr>
      <w:rPr>
        <w:rFonts w:hint="default"/>
      </w:rPr>
    </w:lvl>
    <w:lvl w:ilvl="7">
      <w:start w:val="1"/>
      <w:numFmt w:val="decimal"/>
      <w:isLgl/>
      <w:lvlText w:val="%1.%2.%3.%4.%5.%6.%7.%8"/>
      <w:lvlJc w:val="left"/>
      <w:pPr>
        <w:ind w:left="7740" w:hanging="1440"/>
      </w:pPr>
      <w:rPr>
        <w:rFonts w:hint="default"/>
      </w:rPr>
    </w:lvl>
    <w:lvl w:ilvl="8">
      <w:start w:val="1"/>
      <w:numFmt w:val="decimal"/>
      <w:isLgl/>
      <w:lvlText w:val="%1.%2.%3.%4.%5.%6.%7.%8.%9"/>
      <w:lvlJc w:val="left"/>
      <w:pPr>
        <w:ind w:left="8640" w:hanging="1440"/>
      </w:pPr>
      <w:rPr>
        <w:rFonts w:hint="default"/>
      </w:rPr>
    </w:lvl>
  </w:abstractNum>
  <w:num w:numId="1">
    <w:abstractNumId w:val="23"/>
  </w:num>
  <w:num w:numId="2">
    <w:abstractNumId w:val="24"/>
  </w:num>
  <w:num w:numId="3">
    <w:abstractNumId w:val="28"/>
  </w:num>
  <w:num w:numId="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2"/>
  </w:num>
  <w:num w:numId="8">
    <w:abstractNumId w:val="13"/>
  </w:num>
  <w:num w:numId="9">
    <w:abstractNumId w:val="10"/>
  </w:num>
  <w:num w:numId="10">
    <w:abstractNumId w:val="5"/>
  </w:num>
  <w:num w:numId="11">
    <w:abstractNumId w:val="30"/>
  </w:num>
  <w:num w:numId="12">
    <w:abstractNumId w:val="6"/>
  </w:num>
  <w:num w:numId="13">
    <w:abstractNumId w:val="26"/>
  </w:num>
  <w:num w:numId="14">
    <w:abstractNumId w:val="0"/>
  </w:num>
  <w:num w:numId="15">
    <w:abstractNumId w:val="14"/>
  </w:num>
  <w:num w:numId="16">
    <w:abstractNumId w:val="27"/>
  </w:num>
  <w:num w:numId="17">
    <w:abstractNumId w:val="19"/>
  </w:num>
  <w:num w:numId="18">
    <w:abstractNumId w:val="11"/>
  </w:num>
  <w:num w:numId="19">
    <w:abstractNumId w:val="15"/>
  </w:num>
  <w:num w:numId="20">
    <w:abstractNumId w:val="25"/>
  </w:num>
  <w:num w:numId="21">
    <w:abstractNumId w:val="2"/>
  </w:num>
  <w:num w:numId="22">
    <w:abstractNumId w:val="1"/>
  </w:num>
  <w:num w:numId="23">
    <w:abstractNumId w:val="29"/>
  </w:num>
  <w:num w:numId="24">
    <w:abstractNumId w:val="3"/>
  </w:num>
  <w:num w:numId="25">
    <w:abstractNumId w:val="9"/>
  </w:num>
  <w:num w:numId="26">
    <w:abstractNumId w:val="20"/>
  </w:num>
  <w:num w:numId="27">
    <w:abstractNumId w:val="31"/>
  </w:num>
  <w:num w:numId="28">
    <w:abstractNumId w:val="17"/>
  </w:num>
  <w:num w:numId="29">
    <w:abstractNumId w:val="4"/>
  </w:num>
  <w:num w:numId="30">
    <w:abstractNumId w:val="8"/>
  </w:num>
  <w:num w:numId="31">
    <w:abstractNumId w:val="18"/>
  </w:num>
  <w:num w:numId="32">
    <w:abstractNumId w:val="12"/>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defaultTabStop w:val="708"/>
  <w:hyphenationZone w:val="283"/>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CA5718"/>
    <w:rsid w:val="000001CD"/>
    <w:rsid w:val="0000089D"/>
    <w:rsid w:val="00000F45"/>
    <w:rsid w:val="000015CB"/>
    <w:rsid w:val="00002CBA"/>
    <w:rsid w:val="00003B9C"/>
    <w:rsid w:val="000040BF"/>
    <w:rsid w:val="00004A78"/>
    <w:rsid w:val="00005357"/>
    <w:rsid w:val="000063B2"/>
    <w:rsid w:val="00007010"/>
    <w:rsid w:val="00010D15"/>
    <w:rsid w:val="000114EB"/>
    <w:rsid w:val="000115CF"/>
    <w:rsid w:val="00011859"/>
    <w:rsid w:val="000123F2"/>
    <w:rsid w:val="00012BE9"/>
    <w:rsid w:val="000130D7"/>
    <w:rsid w:val="000138BD"/>
    <w:rsid w:val="0001493F"/>
    <w:rsid w:val="00016459"/>
    <w:rsid w:val="00017014"/>
    <w:rsid w:val="00017C11"/>
    <w:rsid w:val="00017D51"/>
    <w:rsid w:val="00020632"/>
    <w:rsid w:val="00020882"/>
    <w:rsid w:val="000211BA"/>
    <w:rsid w:val="0002195C"/>
    <w:rsid w:val="0002197E"/>
    <w:rsid w:val="00021A4C"/>
    <w:rsid w:val="000223F8"/>
    <w:rsid w:val="00024F5D"/>
    <w:rsid w:val="000267F5"/>
    <w:rsid w:val="00026C19"/>
    <w:rsid w:val="00026E5F"/>
    <w:rsid w:val="0002727E"/>
    <w:rsid w:val="0003011E"/>
    <w:rsid w:val="00030789"/>
    <w:rsid w:val="0003103A"/>
    <w:rsid w:val="00031B2E"/>
    <w:rsid w:val="0003302F"/>
    <w:rsid w:val="00033930"/>
    <w:rsid w:val="000353CF"/>
    <w:rsid w:val="0003558B"/>
    <w:rsid w:val="00035EBB"/>
    <w:rsid w:val="00036BD6"/>
    <w:rsid w:val="0003787F"/>
    <w:rsid w:val="00042154"/>
    <w:rsid w:val="00042213"/>
    <w:rsid w:val="0004267B"/>
    <w:rsid w:val="0004352C"/>
    <w:rsid w:val="00043FEA"/>
    <w:rsid w:val="0004563A"/>
    <w:rsid w:val="00046943"/>
    <w:rsid w:val="000475E0"/>
    <w:rsid w:val="0005008E"/>
    <w:rsid w:val="0005047D"/>
    <w:rsid w:val="000514F6"/>
    <w:rsid w:val="000516F2"/>
    <w:rsid w:val="00052AD1"/>
    <w:rsid w:val="000545E1"/>
    <w:rsid w:val="00057AE5"/>
    <w:rsid w:val="00057C6E"/>
    <w:rsid w:val="0006091D"/>
    <w:rsid w:val="000619FA"/>
    <w:rsid w:val="000624A4"/>
    <w:rsid w:val="000625FE"/>
    <w:rsid w:val="000627F3"/>
    <w:rsid w:val="00063526"/>
    <w:rsid w:val="000640CF"/>
    <w:rsid w:val="00065C41"/>
    <w:rsid w:val="00065EF5"/>
    <w:rsid w:val="000666B1"/>
    <w:rsid w:val="00067C98"/>
    <w:rsid w:val="000706C4"/>
    <w:rsid w:val="00070F2C"/>
    <w:rsid w:val="000729A5"/>
    <w:rsid w:val="00073969"/>
    <w:rsid w:val="000779F2"/>
    <w:rsid w:val="0008184B"/>
    <w:rsid w:val="00081A53"/>
    <w:rsid w:val="000822EC"/>
    <w:rsid w:val="00082643"/>
    <w:rsid w:val="0008310F"/>
    <w:rsid w:val="00083A9B"/>
    <w:rsid w:val="00083E2F"/>
    <w:rsid w:val="00083F7D"/>
    <w:rsid w:val="00084967"/>
    <w:rsid w:val="00084B83"/>
    <w:rsid w:val="00084D57"/>
    <w:rsid w:val="00084DF4"/>
    <w:rsid w:val="00084F0A"/>
    <w:rsid w:val="0008563E"/>
    <w:rsid w:val="0008584B"/>
    <w:rsid w:val="00086373"/>
    <w:rsid w:val="00086765"/>
    <w:rsid w:val="0008676C"/>
    <w:rsid w:val="00086B06"/>
    <w:rsid w:val="00087013"/>
    <w:rsid w:val="0008736A"/>
    <w:rsid w:val="00091D31"/>
    <w:rsid w:val="00091F6A"/>
    <w:rsid w:val="00091FAD"/>
    <w:rsid w:val="000925F7"/>
    <w:rsid w:val="0009314D"/>
    <w:rsid w:val="0009474A"/>
    <w:rsid w:val="00094782"/>
    <w:rsid w:val="00094A65"/>
    <w:rsid w:val="00094C27"/>
    <w:rsid w:val="00094D45"/>
    <w:rsid w:val="00096379"/>
    <w:rsid w:val="0009735A"/>
    <w:rsid w:val="000A0145"/>
    <w:rsid w:val="000A0A1E"/>
    <w:rsid w:val="000A0AC0"/>
    <w:rsid w:val="000A1631"/>
    <w:rsid w:val="000A1A2B"/>
    <w:rsid w:val="000A365D"/>
    <w:rsid w:val="000A47BE"/>
    <w:rsid w:val="000A4A09"/>
    <w:rsid w:val="000A5055"/>
    <w:rsid w:val="000A6A2B"/>
    <w:rsid w:val="000A6FA9"/>
    <w:rsid w:val="000A75D4"/>
    <w:rsid w:val="000A7AA7"/>
    <w:rsid w:val="000B0246"/>
    <w:rsid w:val="000B0B7B"/>
    <w:rsid w:val="000B1213"/>
    <w:rsid w:val="000B2224"/>
    <w:rsid w:val="000B2361"/>
    <w:rsid w:val="000B2EFC"/>
    <w:rsid w:val="000B3605"/>
    <w:rsid w:val="000B3C7B"/>
    <w:rsid w:val="000B4E6D"/>
    <w:rsid w:val="000B63EB"/>
    <w:rsid w:val="000B6418"/>
    <w:rsid w:val="000B65DE"/>
    <w:rsid w:val="000B6F73"/>
    <w:rsid w:val="000B799D"/>
    <w:rsid w:val="000B7D4D"/>
    <w:rsid w:val="000C0108"/>
    <w:rsid w:val="000C0347"/>
    <w:rsid w:val="000C116D"/>
    <w:rsid w:val="000C14C7"/>
    <w:rsid w:val="000C1833"/>
    <w:rsid w:val="000C21F6"/>
    <w:rsid w:val="000C2E47"/>
    <w:rsid w:val="000C5154"/>
    <w:rsid w:val="000C57FF"/>
    <w:rsid w:val="000C5BCA"/>
    <w:rsid w:val="000D035C"/>
    <w:rsid w:val="000D0CF2"/>
    <w:rsid w:val="000D0DEC"/>
    <w:rsid w:val="000D1765"/>
    <w:rsid w:val="000D2409"/>
    <w:rsid w:val="000D2CF8"/>
    <w:rsid w:val="000D3707"/>
    <w:rsid w:val="000D385D"/>
    <w:rsid w:val="000D3B3A"/>
    <w:rsid w:val="000D3BEC"/>
    <w:rsid w:val="000D3C94"/>
    <w:rsid w:val="000D4384"/>
    <w:rsid w:val="000D4500"/>
    <w:rsid w:val="000D4963"/>
    <w:rsid w:val="000D56D9"/>
    <w:rsid w:val="000D57C8"/>
    <w:rsid w:val="000E0084"/>
    <w:rsid w:val="000E01CC"/>
    <w:rsid w:val="000E0EFB"/>
    <w:rsid w:val="000E20B2"/>
    <w:rsid w:val="000E2230"/>
    <w:rsid w:val="000E4531"/>
    <w:rsid w:val="000E4DC0"/>
    <w:rsid w:val="000E532A"/>
    <w:rsid w:val="000E5387"/>
    <w:rsid w:val="000E5758"/>
    <w:rsid w:val="000E6988"/>
    <w:rsid w:val="000E7328"/>
    <w:rsid w:val="000E7B71"/>
    <w:rsid w:val="000E7C0D"/>
    <w:rsid w:val="000F0AE5"/>
    <w:rsid w:val="000F0C00"/>
    <w:rsid w:val="000F2AB3"/>
    <w:rsid w:val="000F30A8"/>
    <w:rsid w:val="000F3427"/>
    <w:rsid w:val="000F3454"/>
    <w:rsid w:val="000F3E9D"/>
    <w:rsid w:val="000F47AC"/>
    <w:rsid w:val="000F4B8A"/>
    <w:rsid w:val="000F65AD"/>
    <w:rsid w:val="000F6EA4"/>
    <w:rsid w:val="001001D9"/>
    <w:rsid w:val="001009F1"/>
    <w:rsid w:val="00101F8D"/>
    <w:rsid w:val="00102A76"/>
    <w:rsid w:val="00102E20"/>
    <w:rsid w:val="0010330E"/>
    <w:rsid w:val="00103EEB"/>
    <w:rsid w:val="001066F4"/>
    <w:rsid w:val="001108F4"/>
    <w:rsid w:val="00111066"/>
    <w:rsid w:val="001118C4"/>
    <w:rsid w:val="00111907"/>
    <w:rsid w:val="00111D1E"/>
    <w:rsid w:val="00111DC3"/>
    <w:rsid w:val="00112A27"/>
    <w:rsid w:val="00112BA9"/>
    <w:rsid w:val="00114950"/>
    <w:rsid w:val="001154E8"/>
    <w:rsid w:val="00116F2E"/>
    <w:rsid w:val="0011759E"/>
    <w:rsid w:val="001179F2"/>
    <w:rsid w:val="00117B2F"/>
    <w:rsid w:val="00121082"/>
    <w:rsid w:val="0012133E"/>
    <w:rsid w:val="00121C16"/>
    <w:rsid w:val="00121DDD"/>
    <w:rsid w:val="00122260"/>
    <w:rsid w:val="00122568"/>
    <w:rsid w:val="001226B9"/>
    <w:rsid w:val="001226D6"/>
    <w:rsid w:val="001228D4"/>
    <w:rsid w:val="00123D09"/>
    <w:rsid w:val="00123F9F"/>
    <w:rsid w:val="00124BBF"/>
    <w:rsid w:val="00126127"/>
    <w:rsid w:val="00126A27"/>
    <w:rsid w:val="00127F47"/>
    <w:rsid w:val="00134368"/>
    <w:rsid w:val="00135173"/>
    <w:rsid w:val="00135B96"/>
    <w:rsid w:val="00135CF8"/>
    <w:rsid w:val="00136893"/>
    <w:rsid w:val="00136928"/>
    <w:rsid w:val="001373C4"/>
    <w:rsid w:val="00140169"/>
    <w:rsid w:val="0014027F"/>
    <w:rsid w:val="00140463"/>
    <w:rsid w:val="001405F5"/>
    <w:rsid w:val="0014133F"/>
    <w:rsid w:val="001414DE"/>
    <w:rsid w:val="001415DA"/>
    <w:rsid w:val="00141967"/>
    <w:rsid w:val="001422BE"/>
    <w:rsid w:val="00142661"/>
    <w:rsid w:val="001426B1"/>
    <w:rsid w:val="00142DE0"/>
    <w:rsid w:val="00144546"/>
    <w:rsid w:val="00144AED"/>
    <w:rsid w:val="00144BAA"/>
    <w:rsid w:val="00145475"/>
    <w:rsid w:val="00145F5E"/>
    <w:rsid w:val="001465D8"/>
    <w:rsid w:val="001472B4"/>
    <w:rsid w:val="00147A39"/>
    <w:rsid w:val="00147B3C"/>
    <w:rsid w:val="00147C4B"/>
    <w:rsid w:val="00150025"/>
    <w:rsid w:val="001502A4"/>
    <w:rsid w:val="00150A19"/>
    <w:rsid w:val="0015288B"/>
    <w:rsid w:val="0015410C"/>
    <w:rsid w:val="00154DB6"/>
    <w:rsid w:val="001565EE"/>
    <w:rsid w:val="00157DCF"/>
    <w:rsid w:val="00160D26"/>
    <w:rsid w:val="00160F52"/>
    <w:rsid w:val="001610E3"/>
    <w:rsid w:val="00161441"/>
    <w:rsid w:val="00161840"/>
    <w:rsid w:val="00161ACA"/>
    <w:rsid w:val="001620F9"/>
    <w:rsid w:val="00162B5F"/>
    <w:rsid w:val="0016457A"/>
    <w:rsid w:val="00164A7C"/>
    <w:rsid w:val="00165B22"/>
    <w:rsid w:val="00167B52"/>
    <w:rsid w:val="00167F3E"/>
    <w:rsid w:val="00170455"/>
    <w:rsid w:val="00170918"/>
    <w:rsid w:val="00170E8D"/>
    <w:rsid w:val="00171905"/>
    <w:rsid w:val="00171972"/>
    <w:rsid w:val="00172BB3"/>
    <w:rsid w:val="00172E85"/>
    <w:rsid w:val="00174640"/>
    <w:rsid w:val="00174C78"/>
    <w:rsid w:val="00175CF3"/>
    <w:rsid w:val="00176373"/>
    <w:rsid w:val="00176ABD"/>
    <w:rsid w:val="00176FBD"/>
    <w:rsid w:val="0017778F"/>
    <w:rsid w:val="00180934"/>
    <w:rsid w:val="00181B12"/>
    <w:rsid w:val="00182EBD"/>
    <w:rsid w:val="0018316E"/>
    <w:rsid w:val="00183A02"/>
    <w:rsid w:val="00183F5B"/>
    <w:rsid w:val="0018428A"/>
    <w:rsid w:val="001853B3"/>
    <w:rsid w:val="001853FC"/>
    <w:rsid w:val="001854BA"/>
    <w:rsid w:val="00190295"/>
    <w:rsid w:val="001907A6"/>
    <w:rsid w:val="00190E28"/>
    <w:rsid w:val="001921F1"/>
    <w:rsid w:val="001925E2"/>
    <w:rsid w:val="00192A55"/>
    <w:rsid w:val="0019349A"/>
    <w:rsid w:val="0019490A"/>
    <w:rsid w:val="00197407"/>
    <w:rsid w:val="00197B38"/>
    <w:rsid w:val="001A16A0"/>
    <w:rsid w:val="001A2416"/>
    <w:rsid w:val="001A2569"/>
    <w:rsid w:val="001A3454"/>
    <w:rsid w:val="001A6009"/>
    <w:rsid w:val="001A606B"/>
    <w:rsid w:val="001A65D8"/>
    <w:rsid w:val="001A6E6F"/>
    <w:rsid w:val="001A7151"/>
    <w:rsid w:val="001B018A"/>
    <w:rsid w:val="001B13CC"/>
    <w:rsid w:val="001B141A"/>
    <w:rsid w:val="001B1420"/>
    <w:rsid w:val="001B33A9"/>
    <w:rsid w:val="001B3EA6"/>
    <w:rsid w:val="001B4227"/>
    <w:rsid w:val="001B49AC"/>
    <w:rsid w:val="001B5798"/>
    <w:rsid w:val="001B64D1"/>
    <w:rsid w:val="001B78EB"/>
    <w:rsid w:val="001C15E7"/>
    <w:rsid w:val="001C18AC"/>
    <w:rsid w:val="001C2198"/>
    <w:rsid w:val="001C440C"/>
    <w:rsid w:val="001C55F2"/>
    <w:rsid w:val="001C5DC5"/>
    <w:rsid w:val="001C6296"/>
    <w:rsid w:val="001C70F0"/>
    <w:rsid w:val="001C716D"/>
    <w:rsid w:val="001C7852"/>
    <w:rsid w:val="001C7ED2"/>
    <w:rsid w:val="001D183F"/>
    <w:rsid w:val="001D1B62"/>
    <w:rsid w:val="001D2263"/>
    <w:rsid w:val="001D2D93"/>
    <w:rsid w:val="001D3771"/>
    <w:rsid w:val="001D3F23"/>
    <w:rsid w:val="001D42C7"/>
    <w:rsid w:val="001D4A23"/>
    <w:rsid w:val="001D5EBE"/>
    <w:rsid w:val="001E0439"/>
    <w:rsid w:val="001E11B7"/>
    <w:rsid w:val="001E16C4"/>
    <w:rsid w:val="001E1EFA"/>
    <w:rsid w:val="001E28DD"/>
    <w:rsid w:val="001E2D02"/>
    <w:rsid w:val="001E537B"/>
    <w:rsid w:val="001E572B"/>
    <w:rsid w:val="001E6B67"/>
    <w:rsid w:val="001E7C61"/>
    <w:rsid w:val="001F0546"/>
    <w:rsid w:val="001F0D60"/>
    <w:rsid w:val="001F2408"/>
    <w:rsid w:val="001F25FC"/>
    <w:rsid w:val="001F2A42"/>
    <w:rsid w:val="001F445C"/>
    <w:rsid w:val="001F46F8"/>
    <w:rsid w:val="001F5289"/>
    <w:rsid w:val="001F7548"/>
    <w:rsid w:val="001F7B18"/>
    <w:rsid w:val="0020010C"/>
    <w:rsid w:val="0020013D"/>
    <w:rsid w:val="00200312"/>
    <w:rsid w:val="00200496"/>
    <w:rsid w:val="00200B5F"/>
    <w:rsid w:val="00200E34"/>
    <w:rsid w:val="0020190D"/>
    <w:rsid w:val="00203CBA"/>
    <w:rsid w:val="002041D1"/>
    <w:rsid w:val="002043DC"/>
    <w:rsid w:val="00204C5A"/>
    <w:rsid w:val="00205BA3"/>
    <w:rsid w:val="00206847"/>
    <w:rsid w:val="00207202"/>
    <w:rsid w:val="00207416"/>
    <w:rsid w:val="00210BC2"/>
    <w:rsid w:val="00211B75"/>
    <w:rsid w:val="00212026"/>
    <w:rsid w:val="002121D4"/>
    <w:rsid w:val="0021230E"/>
    <w:rsid w:val="0021249E"/>
    <w:rsid w:val="00212BA2"/>
    <w:rsid w:val="00213FD9"/>
    <w:rsid w:val="00214189"/>
    <w:rsid w:val="0021476E"/>
    <w:rsid w:val="00214B50"/>
    <w:rsid w:val="00214F86"/>
    <w:rsid w:val="002158A3"/>
    <w:rsid w:val="0021599C"/>
    <w:rsid w:val="002175B5"/>
    <w:rsid w:val="002177BF"/>
    <w:rsid w:val="00220275"/>
    <w:rsid w:val="00220513"/>
    <w:rsid w:val="00220636"/>
    <w:rsid w:val="002207F3"/>
    <w:rsid w:val="00220A6F"/>
    <w:rsid w:val="0022136E"/>
    <w:rsid w:val="002224E0"/>
    <w:rsid w:val="002228DB"/>
    <w:rsid w:val="00224AA9"/>
    <w:rsid w:val="00224B4A"/>
    <w:rsid w:val="00224D04"/>
    <w:rsid w:val="00224E5F"/>
    <w:rsid w:val="00224E79"/>
    <w:rsid w:val="00224F77"/>
    <w:rsid w:val="00226D31"/>
    <w:rsid w:val="002278A2"/>
    <w:rsid w:val="00230521"/>
    <w:rsid w:val="002309AE"/>
    <w:rsid w:val="002313F7"/>
    <w:rsid w:val="00231720"/>
    <w:rsid w:val="00231C98"/>
    <w:rsid w:val="00232F80"/>
    <w:rsid w:val="0023424C"/>
    <w:rsid w:val="00234FC1"/>
    <w:rsid w:val="00235A2A"/>
    <w:rsid w:val="002365DB"/>
    <w:rsid w:val="00236B53"/>
    <w:rsid w:val="00236D71"/>
    <w:rsid w:val="002375F7"/>
    <w:rsid w:val="002376BE"/>
    <w:rsid w:val="0024059E"/>
    <w:rsid w:val="00240B5D"/>
    <w:rsid w:val="00240F86"/>
    <w:rsid w:val="0024177B"/>
    <w:rsid w:val="00242142"/>
    <w:rsid w:val="0024510A"/>
    <w:rsid w:val="002452FE"/>
    <w:rsid w:val="00247596"/>
    <w:rsid w:val="002475B6"/>
    <w:rsid w:val="002508A7"/>
    <w:rsid w:val="00250912"/>
    <w:rsid w:val="00250BFC"/>
    <w:rsid w:val="0025283A"/>
    <w:rsid w:val="00253730"/>
    <w:rsid w:val="002545F0"/>
    <w:rsid w:val="0025541D"/>
    <w:rsid w:val="00255D6B"/>
    <w:rsid w:val="0025664B"/>
    <w:rsid w:val="0026066F"/>
    <w:rsid w:val="00262978"/>
    <w:rsid w:val="002633FD"/>
    <w:rsid w:val="00265C64"/>
    <w:rsid w:val="00266430"/>
    <w:rsid w:val="00266578"/>
    <w:rsid w:val="0026677A"/>
    <w:rsid w:val="0027186B"/>
    <w:rsid w:val="00271B83"/>
    <w:rsid w:val="00271D9F"/>
    <w:rsid w:val="00273EEB"/>
    <w:rsid w:val="00275046"/>
    <w:rsid w:val="002753A8"/>
    <w:rsid w:val="00275F63"/>
    <w:rsid w:val="00276115"/>
    <w:rsid w:val="002763F5"/>
    <w:rsid w:val="00276ABA"/>
    <w:rsid w:val="00276B77"/>
    <w:rsid w:val="00276ED2"/>
    <w:rsid w:val="00277813"/>
    <w:rsid w:val="00280E70"/>
    <w:rsid w:val="002817D1"/>
    <w:rsid w:val="00281859"/>
    <w:rsid w:val="00281936"/>
    <w:rsid w:val="00281A57"/>
    <w:rsid w:val="00281BB8"/>
    <w:rsid w:val="002828B6"/>
    <w:rsid w:val="00283679"/>
    <w:rsid w:val="002847D4"/>
    <w:rsid w:val="002851C6"/>
    <w:rsid w:val="00286DCF"/>
    <w:rsid w:val="00287676"/>
    <w:rsid w:val="00287F10"/>
    <w:rsid w:val="00290C33"/>
    <w:rsid w:val="0029137A"/>
    <w:rsid w:val="00291441"/>
    <w:rsid w:val="0029182A"/>
    <w:rsid w:val="00291A9A"/>
    <w:rsid w:val="00291CB7"/>
    <w:rsid w:val="00295FAF"/>
    <w:rsid w:val="00296E42"/>
    <w:rsid w:val="002A0B5C"/>
    <w:rsid w:val="002A11BD"/>
    <w:rsid w:val="002A2970"/>
    <w:rsid w:val="002A4B42"/>
    <w:rsid w:val="002A515A"/>
    <w:rsid w:val="002A5880"/>
    <w:rsid w:val="002A6F4A"/>
    <w:rsid w:val="002A6FB2"/>
    <w:rsid w:val="002B0EA5"/>
    <w:rsid w:val="002B1461"/>
    <w:rsid w:val="002B1478"/>
    <w:rsid w:val="002B22F2"/>
    <w:rsid w:val="002B5B0A"/>
    <w:rsid w:val="002B61B4"/>
    <w:rsid w:val="002B627D"/>
    <w:rsid w:val="002B720B"/>
    <w:rsid w:val="002B7E3D"/>
    <w:rsid w:val="002C1A03"/>
    <w:rsid w:val="002C1B52"/>
    <w:rsid w:val="002C2A42"/>
    <w:rsid w:val="002C3D29"/>
    <w:rsid w:val="002C420A"/>
    <w:rsid w:val="002D0537"/>
    <w:rsid w:val="002D06F3"/>
    <w:rsid w:val="002D181A"/>
    <w:rsid w:val="002D2164"/>
    <w:rsid w:val="002D2297"/>
    <w:rsid w:val="002D3BEA"/>
    <w:rsid w:val="002D6682"/>
    <w:rsid w:val="002D6A82"/>
    <w:rsid w:val="002D6BB6"/>
    <w:rsid w:val="002D6C60"/>
    <w:rsid w:val="002D6E1D"/>
    <w:rsid w:val="002E090A"/>
    <w:rsid w:val="002E0B70"/>
    <w:rsid w:val="002E0C70"/>
    <w:rsid w:val="002E1ADC"/>
    <w:rsid w:val="002E21F0"/>
    <w:rsid w:val="002E2B60"/>
    <w:rsid w:val="002E2F5A"/>
    <w:rsid w:val="002E3680"/>
    <w:rsid w:val="002E4E4C"/>
    <w:rsid w:val="002E519A"/>
    <w:rsid w:val="002E6089"/>
    <w:rsid w:val="002E7C4A"/>
    <w:rsid w:val="002F01BB"/>
    <w:rsid w:val="002F142F"/>
    <w:rsid w:val="002F14B6"/>
    <w:rsid w:val="002F2FB1"/>
    <w:rsid w:val="002F373F"/>
    <w:rsid w:val="002F3899"/>
    <w:rsid w:val="002F4017"/>
    <w:rsid w:val="002F49C3"/>
    <w:rsid w:val="002F4C47"/>
    <w:rsid w:val="002F4DB1"/>
    <w:rsid w:val="002F4E23"/>
    <w:rsid w:val="002F4E8C"/>
    <w:rsid w:val="002F5371"/>
    <w:rsid w:val="002F6BF4"/>
    <w:rsid w:val="002F6DF2"/>
    <w:rsid w:val="002F6FAC"/>
    <w:rsid w:val="002F74EF"/>
    <w:rsid w:val="002F77C5"/>
    <w:rsid w:val="00300A21"/>
    <w:rsid w:val="003023CF"/>
    <w:rsid w:val="00304861"/>
    <w:rsid w:val="0030536D"/>
    <w:rsid w:val="00306C1F"/>
    <w:rsid w:val="00306E4C"/>
    <w:rsid w:val="00307180"/>
    <w:rsid w:val="0030754C"/>
    <w:rsid w:val="00307E31"/>
    <w:rsid w:val="00310D01"/>
    <w:rsid w:val="00312DA1"/>
    <w:rsid w:val="003130FC"/>
    <w:rsid w:val="00315843"/>
    <w:rsid w:val="00316D99"/>
    <w:rsid w:val="00320A83"/>
    <w:rsid w:val="00320B58"/>
    <w:rsid w:val="00320E1F"/>
    <w:rsid w:val="0032111A"/>
    <w:rsid w:val="0032222B"/>
    <w:rsid w:val="003235F5"/>
    <w:rsid w:val="0032377A"/>
    <w:rsid w:val="00323AE4"/>
    <w:rsid w:val="00323CFA"/>
    <w:rsid w:val="00325B96"/>
    <w:rsid w:val="003263AE"/>
    <w:rsid w:val="003265D4"/>
    <w:rsid w:val="00326A13"/>
    <w:rsid w:val="003276DE"/>
    <w:rsid w:val="00330778"/>
    <w:rsid w:val="00332098"/>
    <w:rsid w:val="003329AC"/>
    <w:rsid w:val="00332A69"/>
    <w:rsid w:val="00332B3F"/>
    <w:rsid w:val="00333685"/>
    <w:rsid w:val="00333C13"/>
    <w:rsid w:val="003358C5"/>
    <w:rsid w:val="00335D5D"/>
    <w:rsid w:val="003363AD"/>
    <w:rsid w:val="00336C9D"/>
    <w:rsid w:val="00336CB6"/>
    <w:rsid w:val="00337265"/>
    <w:rsid w:val="00340BD4"/>
    <w:rsid w:val="00341A0C"/>
    <w:rsid w:val="00341D9D"/>
    <w:rsid w:val="003435AD"/>
    <w:rsid w:val="0034411A"/>
    <w:rsid w:val="003449F4"/>
    <w:rsid w:val="00344B70"/>
    <w:rsid w:val="00345A2A"/>
    <w:rsid w:val="00345B7F"/>
    <w:rsid w:val="00345D26"/>
    <w:rsid w:val="0034664B"/>
    <w:rsid w:val="003479F6"/>
    <w:rsid w:val="0035063F"/>
    <w:rsid w:val="00350B24"/>
    <w:rsid w:val="0035146C"/>
    <w:rsid w:val="00351BF7"/>
    <w:rsid w:val="00352586"/>
    <w:rsid w:val="00352863"/>
    <w:rsid w:val="003531DE"/>
    <w:rsid w:val="003550BF"/>
    <w:rsid w:val="00355466"/>
    <w:rsid w:val="00356309"/>
    <w:rsid w:val="003564CB"/>
    <w:rsid w:val="003569B1"/>
    <w:rsid w:val="00357714"/>
    <w:rsid w:val="00357E41"/>
    <w:rsid w:val="00360946"/>
    <w:rsid w:val="00360BAA"/>
    <w:rsid w:val="00360CC5"/>
    <w:rsid w:val="00363A74"/>
    <w:rsid w:val="00364BDE"/>
    <w:rsid w:val="00364E97"/>
    <w:rsid w:val="0036563D"/>
    <w:rsid w:val="0036591F"/>
    <w:rsid w:val="0036757F"/>
    <w:rsid w:val="003718A7"/>
    <w:rsid w:val="003719E8"/>
    <w:rsid w:val="003729A1"/>
    <w:rsid w:val="00372ADC"/>
    <w:rsid w:val="00373076"/>
    <w:rsid w:val="003731EF"/>
    <w:rsid w:val="003739F3"/>
    <w:rsid w:val="00373C33"/>
    <w:rsid w:val="00376A05"/>
    <w:rsid w:val="00377ED0"/>
    <w:rsid w:val="00380513"/>
    <w:rsid w:val="00380CE2"/>
    <w:rsid w:val="00381A3B"/>
    <w:rsid w:val="003826FB"/>
    <w:rsid w:val="0038314E"/>
    <w:rsid w:val="00383E2E"/>
    <w:rsid w:val="00385C80"/>
    <w:rsid w:val="00385E8C"/>
    <w:rsid w:val="003862A2"/>
    <w:rsid w:val="00386A6B"/>
    <w:rsid w:val="00386D83"/>
    <w:rsid w:val="003870E6"/>
    <w:rsid w:val="003877D3"/>
    <w:rsid w:val="00387E3C"/>
    <w:rsid w:val="00390127"/>
    <w:rsid w:val="003906E2"/>
    <w:rsid w:val="00390EE9"/>
    <w:rsid w:val="0039104E"/>
    <w:rsid w:val="00391D18"/>
    <w:rsid w:val="00393052"/>
    <w:rsid w:val="003932A4"/>
    <w:rsid w:val="0039384D"/>
    <w:rsid w:val="00393855"/>
    <w:rsid w:val="0039471B"/>
    <w:rsid w:val="00394ADE"/>
    <w:rsid w:val="00395497"/>
    <w:rsid w:val="003955EC"/>
    <w:rsid w:val="00396C36"/>
    <w:rsid w:val="003A1F17"/>
    <w:rsid w:val="003A2FB5"/>
    <w:rsid w:val="003A2FBB"/>
    <w:rsid w:val="003A3011"/>
    <w:rsid w:val="003A36CE"/>
    <w:rsid w:val="003A3E33"/>
    <w:rsid w:val="003A4A79"/>
    <w:rsid w:val="003A4CDD"/>
    <w:rsid w:val="003A544E"/>
    <w:rsid w:val="003A6E56"/>
    <w:rsid w:val="003A712E"/>
    <w:rsid w:val="003A7F70"/>
    <w:rsid w:val="003B2188"/>
    <w:rsid w:val="003B2806"/>
    <w:rsid w:val="003B3ED3"/>
    <w:rsid w:val="003B501E"/>
    <w:rsid w:val="003B53AB"/>
    <w:rsid w:val="003C0597"/>
    <w:rsid w:val="003C188B"/>
    <w:rsid w:val="003C1ABC"/>
    <w:rsid w:val="003C33DC"/>
    <w:rsid w:val="003C44BB"/>
    <w:rsid w:val="003C4631"/>
    <w:rsid w:val="003C505B"/>
    <w:rsid w:val="003C67D8"/>
    <w:rsid w:val="003C7E54"/>
    <w:rsid w:val="003D020B"/>
    <w:rsid w:val="003D375D"/>
    <w:rsid w:val="003D37F5"/>
    <w:rsid w:val="003D3A35"/>
    <w:rsid w:val="003D3A70"/>
    <w:rsid w:val="003D440B"/>
    <w:rsid w:val="003D44A8"/>
    <w:rsid w:val="003D48AB"/>
    <w:rsid w:val="003D4C42"/>
    <w:rsid w:val="003D5461"/>
    <w:rsid w:val="003D54BB"/>
    <w:rsid w:val="003D5DE2"/>
    <w:rsid w:val="003D5F50"/>
    <w:rsid w:val="003D62CE"/>
    <w:rsid w:val="003D712E"/>
    <w:rsid w:val="003D74FF"/>
    <w:rsid w:val="003D7661"/>
    <w:rsid w:val="003E0796"/>
    <w:rsid w:val="003E0F2D"/>
    <w:rsid w:val="003E110C"/>
    <w:rsid w:val="003E1D02"/>
    <w:rsid w:val="003E2371"/>
    <w:rsid w:val="003E245F"/>
    <w:rsid w:val="003E2C0F"/>
    <w:rsid w:val="003E31E3"/>
    <w:rsid w:val="003E33A1"/>
    <w:rsid w:val="003E458F"/>
    <w:rsid w:val="003E4F1C"/>
    <w:rsid w:val="003E4FD2"/>
    <w:rsid w:val="003E5F78"/>
    <w:rsid w:val="003E6A3C"/>
    <w:rsid w:val="003E7A0E"/>
    <w:rsid w:val="003F0DF9"/>
    <w:rsid w:val="003F12B6"/>
    <w:rsid w:val="003F137A"/>
    <w:rsid w:val="003F35FD"/>
    <w:rsid w:val="003F391D"/>
    <w:rsid w:val="003F4BD5"/>
    <w:rsid w:val="003F550B"/>
    <w:rsid w:val="003F6C7D"/>
    <w:rsid w:val="003F772B"/>
    <w:rsid w:val="004000F4"/>
    <w:rsid w:val="00400170"/>
    <w:rsid w:val="004009A3"/>
    <w:rsid w:val="00400CB1"/>
    <w:rsid w:val="00401664"/>
    <w:rsid w:val="004018C3"/>
    <w:rsid w:val="00401BCF"/>
    <w:rsid w:val="004022AF"/>
    <w:rsid w:val="0040251A"/>
    <w:rsid w:val="0040427B"/>
    <w:rsid w:val="004057CE"/>
    <w:rsid w:val="00406532"/>
    <w:rsid w:val="004065FA"/>
    <w:rsid w:val="00406B54"/>
    <w:rsid w:val="00406CFE"/>
    <w:rsid w:val="00411A91"/>
    <w:rsid w:val="00413858"/>
    <w:rsid w:val="00413B2B"/>
    <w:rsid w:val="004149A3"/>
    <w:rsid w:val="00414C39"/>
    <w:rsid w:val="00415438"/>
    <w:rsid w:val="0041756A"/>
    <w:rsid w:val="00420DBC"/>
    <w:rsid w:val="00420FA2"/>
    <w:rsid w:val="004211B8"/>
    <w:rsid w:val="004217F6"/>
    <w:rsid w:val="004236AE"/>
    <w:rsid w:val="0042419D"/>
    <w:rsid w:val="0042433A"/>
    <w:rsid w:val="00424B4F"/>
    <w:rsid w:val="00425F70"/>
    <w:rsid w:val="00427A8B"/>
    <w:rsid w:val="00427ABB"/>
    <w:rsid w:val="00427B24"/>
    <w:rsid w:val="00430D2E"/>
    <w:rsid w:val="00431444"/>
    <w:rsid w:val="00431C29"/>
    <w:rsid w:val="00431C8A"/>
    <w:rsid w:val="00431F81"/>
    <w:rsid w:val="004323D9"/>
    <w:rsid w:val="00433E0E"/>
    <w:rsid w:val="0043427D"/>
    <w:rsid w:val="00435399"/>
    <w:rsid w:val="00435482"/>
    <w:rsid w:val="00435CEC"/>
    <w:rsid w:val="00435D5B"/>
    <w:rsid w:val="00436B2E"/>
    <w:rsid w:val="00436BA2"/>
    <w:rsid w:val="004375C9"/>
    <w:rsid w:val="004376DA"/>
    <w:rsid w:val="0043798D"/>
    <w:rsid w:val="004379C0"/>
    <w:rsid w:val="00437EF4"/>
    <w:rsid w:val="00441782"/>
    <w:rsid w:val="0044228C"/>
    <w:rsid w:val="00443258"/>
    <w:rsid w:val="00444628"/>
    <w:rsid w:val="0044533C"/>
    <w:rsid w:val="00445E4A"/>
    <w:rsid w:val="00446920"/>
    <w:rsid w:val="00446C54"/>
    <w:rsid w:val="004501DA"/>
    <w:rsid w:val="004509AD"/>
    <w:rsid w:val="0045394A"/>
    <w:rsid w:val="00453D24"/>
    <w:rsid w:val="00453E6A"/>
    <w:rsid w:val="00453FDF"/>
    <w:rsid w:val="004545D7"/>
    <w:rsid w:val="00455131"/>
    <w:rsid w:val="004552A0"/>
    <w:rsid w:val="00456E0A"/>
    <w:rsid w:val="00457F44"/>
    <w:rsid w:val="00460853"/>
    <w:rsid w:val="00461918"/>
    <w:rsid w:val="00462F5D"/>
    <w:rsid w:val="004634C6"/>
    <w:rsid w:val="00467422"/>
    <w:rsid w:val="004676E2"/>
    <w:rsid w:val="00467934"/>
    <w:rsid w:val="004705DC"/>
    <w:rsid w:val="00471132"/>
    <w:rsid w:val="004711F0"/>
    <w:rsid w:val="00472DF0"/>
    <w:rsid w:val="00472F78"/>
    <w:rsid w:val="00473076"/>
    <w:rsid w:val="0047444A"/>
    <w:rsid w:val="00475104"/>
    <w:rsid w:val="004756B4"/>
    <w:rsid w:val="00476CB6"/>
    <w:rsid w:val="004775CF"/>
    <w:rsid w:val="004776BB"/>
    <w:rsid w:val="00480A4A"/>
    <w:rsid w:val="00481500"/>
    <w:rsid w:val="0048255C"/>
    <w:rsid w:val="00483182"/>
    <w:rsid w:val="00483A21"/>
    <w:rsid w:val="004846B1"/>
    <w:rsid w:val="00485B0C"/>
    <w:rsid w:val="00486B9E"/>
    <w:rsid w:val="004873EC"/>
    <w:rsid w:val="0048793F"/>
    <w:rsid w:val="0049022B"/>
    <w:rsid w:val="004906A2"/>
    <w:rsid w:val="0049113F"/>
    <w:rsid w:val="0049139B"/>
    <w:rsid w:val="00491A92"/>
    <w:rsid w:val="00491BA5"/>
    <w:rsid w:val="004926E2"/>
    <w:rsid w:val="0049291A"/>
    <w:rsid w:val="00493204"/>
    <w:rsid w:val="0049561F"/>
    <w:rsid w:val="0049691E"/>
    <w:rsid w:val="004A02BD"/>
    <w:rsid w:val="004A13F3"/>
    <w:rsid w:val="004A3A33"/>
    <w:rsid w:val="004A4905"/>
    <w:rsid w:val="004A502A"/>
    <w:rsid w:val="004A6975"/>
    <w:rsid w:val="004A6A32"/>
    <w:rsid w:val="004A6A53"/>
    <w:rsid w:val="004A6B53"/>
    <w:rsid w:val="004B170A"/>
    <w:rsid w:val="004B1A07"/>
    <w:rsid w:val="004B262F"/>
    <w:rsid w:val="004B433D"/>
    <w:rsid w:val="004B4B8A"/>
    <w:rsid w:val="004B5CD2"/>
    <w:rsid w:val="004B6B95"/>
    <w:rsid w:val="004B6D3A"/>
    <w:rsid w:val="004B6D79"/>
    <w:rsid w:val="004C1E48"/>
    <w:rsid w:val="004C2593"/>
    <w:rsid w:val="004C2970"/>
    <w:rsid w:val="004C2ECE"/>
    <w:rsid w:val="004C329A"/>
    <w:rsid w:val="004C32A0"/>
    <w:rsid w:val="004C33D8"/>
    <w:rsid w:val="004C3499"/>
    <w:rsid w:val="004C50FB"/>
    <w:rsid w:val="004C58A3"/>
    <w:rsid w:val="004C5E05"/>
    <w:rsid w:val="004C7BDC"/>
    <w:rsid w:val="004D0535"/>
    <w:rsid w:val="004D0B4B"/>
    <w:rsid w:val="004D1151"/>
    <w:rsid w:val="004D16F0"/>
    <w:rsid w:val="004D2454"/>
    <w:rsid w:val="004D2F19"/>
    <w:rsid w:val="004D33ED"/>
    <w:rsid w:val="004D3DBE"/>
    <w:rsid w:val="004D4614"/>
    <w:rsid w:val="004D5A2A"/>
    <w:rsid w:val="004D5D96"/>
    <w:rsid w:val="004D6629"/>
    <w:rsid w:val="004D685A"/>
    <w:rsid w:val="004E03C3"/>
    <w:rsid w:val="004E049E"/>
    <w:rsid w:val="004E2899"/>
    <w:rsid w:val="004E2C81"/>
    <w:rsid w:val="004E376D"/>
    <w:rsid w:val="004E3C04"/>
    <w:rsid w:val="004E441C"/>
    <w:rsid w:val="004E4B64"/>
    <w:rsid w:val="004E5C70"/>
    <w:rsid w:val="004E7E36"/>
    <w:rsid w:val="004F0ADB"/>
    <w:rsid w:val="004F0B57"/>
    <w:rsid w:val="004F0E9F"/>
    <w:rsid w:val="004F1563"/>
    <w:rsid w:val="004F17E3"/>
    <w:rsid w:val="004F1983"/>
    <w:rsid w:val="004F1D25"/>
    <w:rsid w:val="004F1F08"/>
    <w:rsid w:val="004F2988"/>
    <w:rsid w:val="004F373F"/>
    <w:rsid w:val="004F3D4B"/>
    <w:rsid w:val="004F430C"/>
    <w:rsid w:val="004F43E9"/>
    <w:rsid w:val="004F4523"/>
    <w:rsid w:val="004F4DB7"/>
    <w:rsid w:val="004F4EC1"/>
    <w:rsid w:val="004F768A"/>
    <w:rsid w:val="0050243D"/>
    <w:rsid w:val="0050243E"/>
    <w:rsid w:val="005029AD"/>
    <w:rsid w:val="00503478"/>
    <w:rsid w:val="00503D98"/>
    <w:rsid w:val="00504F0D"/>
    <w:rsid w:val="005053D6"/>
    <w:rsid w:val="0050619B"/>
    <w:rsid w:val="00507B7F"/>
    <w:rsid w:val="00510600"/>
    <w:rsid w:val="00510E49"/>
    <w:rsid w:val="005115FE"/>
    <w:rsid w:val="005118B4"/>
    <w:rsid w:val="00511C4A"/>
    <w:rsid w:val="005122F4"/>
    <w:rsid w:val="005123AB"/>
    <w:rsid w:val="00512479"/>
    <w:rsid w:val="005143FB"/>
    <w:rsid w:val="0051462E"/>
    <w:rsid w:val="00514B0D"/>
    <w:rsid w:val="00515336"/>
    <w:rsid w:val="00515912"/>
    <w:rsid w:val="00515FBF"/>
    <w:rsid w:val="00516B0D"/>
    <w:rsid w:val="005176ED"/>
    <w:rsid w:val="00517DA9"/>
    <w:rsid w:val="0052061C"/>
    <w:rsid w:val="00520EED"/>
    <w:rsid w:val="0052159C"/>
    <w:rsid w:val="005235EA"/>
    <w:rsid w:val="00523854"/>
    <w:rsid w:val="005248F1"/>
    <w:rsid w:val="0052622A"/>
    <w:rsid w:val="00526CD5"/>
    <w:rsid w:val="0053154E"/>
    <w:rsid w:val="005317B3"/>
    <w:rsid w:val="00531C02"/>
    <w:rsid w:val="00532765"/>
    <w:rsid w:val="0053322C"/>
    <w:rsid w:val="005332AE"/>
    <w:rsid w:val="00533CD5"/>
    <w:rsid w:val="00534077"/>
    <w:rsid w:val="005343D6"/>
    <w:rsid w:val="00534CFE"/>
    <w:rsid w:val="00534EC3"/>
    <w:rsid w:val="00534FA7"/>
    <w:rsid w:val="0053518D"/>
    <w:rsid w:val="00535BE0"/>
    <w:rsid w:val="00535FB5"/>
    <w:rsid w:val="00536700"/>
    <w:rsid w:val="00536FD0"/>
    <w:rsid w:val="0053754C"/>
    <w:rsid w:val="00537642"/>
    <w:rsid w:val="00540000"/>
    <w:rsid w:val="00540D17"/>
    <w:rsid w:val="00541177"/>
    <w:rsid w:val="0054132C"/>
    <w:rsid w:val="00541425"/>
    <w:rsid w:val="00541EB4"/>
    <w:rsid w:val="0054279B"/>
    <w:rsid w:val="00542FCD"/>
    <w:rsid w:val="00543053"/>
    <w:rsid w:val="00543FEF"/>
    <w:rsid w:val="005465DD"/>
    <w:rsid w:val="00546EC5"/>
    <w:rsid w:val="0054716E"/>
    <w:rsid w:val="005479B4"/>
    <w:rsid w:val="00547EA6"/>
    <w:rsid w:val="005512D2"/>
    <w:rsid w:val="00551607"/>
    <w:rsid w:val="00551D4B"/>
    <w:rsid w:val="00552132"/>
    <w:rsid w:val="005521C4"/>
    <w:rsid w:val="00552342"/>
    <w:rsid w:val="005527BE"/>
    <w:rsid w:val="005539BF"/>
    <w:rsid w:val="00553CE2"/>
    <w:rsid w:val="00554261"/>
    <w:rsid w:val="005544C7"/>
    <w:rsid w:val="0055460F"/>
    <w:rsid w:val="00554E3F"/>
    <w:rsid w:val="00554FB7"/>
    <w:rsid w:val="005559BC"/>
    <w:rsid w:val="00556061"/>
    <w:rsid w:val="00560487"/>
    <w:rsid w:val="00560DD5"/>
    <w:rsid w:val="005616A7"/>
    <w:rsid w:val="00561C4D"/>
    <w:rsid w:val="00562433"/>
    <w:rsid w:val="00563EF0"/>
    <w:rsid w:val="00564065"/>
    <w:rsid w:val="005651DD"/>
    <w:rsid w:val="005655BA"/>
    <w:rsid w:val="00565E47"/>
    <w:rsid w:val="0056619C"/>
    <w:rsid w:val="00566EFF"/>
    <w:rsid w:val="00567CA9"/>
    <w:rsid w:val="00567DDD"/>
    <w:rsid w:val="00570C20"/>
    <w:rsid w:val="0057179D"/>
    <w:rsid w:val="00572B23"/>
    <w:rsid w:val="00574AB8"/>
    <w:rsid w:val="00574EE3"/>
    <w:rsid w:val="005753C6"/>
    <w:rsid w:val="00575EF1"/>
    <w:rsid w:val="00576218"/>
    <w:rsid w:val="00576E79"/>
    <w:rsid w:val="00577591"/>
    <w:rsid w:val="005778A5"/>
    <w:rsid w:val="00577A30"/>
    <w:rsid w:val="00582345"/>
    <w:rsid w:val="005836DA"/>
    <w:rsid w:val="005868FF"/>
    <w:rsid w:val="00586DA6"/>
    <w:rsid w:val="0058708D"/>
    <w:rsid w:val="00590473"/>
    <w:rsid w:val="0059101D"/>
    <w:rsid w:val="00591F55"/>
    <w:rsid w:val="0059583C"/>
    <w:rsid w:val="005966CA"/>
    <w:rsid w:val="005A04C9"/>
    <w:rsid w:val="005A0A54"/>
    <w:rsid w:val="005A0A80"/>
    <w:rsid w:val="005A0CFE"/>
    <w:rsid w:val="005A15CF"/>
    <w:rsid w:val="005A1DC3"/>
    <w:rsid w:val="005A1E5A"/>
    <w:rsid w:val="005A5676"/>
    <w:rsid w:val="005A5B43"/>
    <w:rsid w:val="005A5B7B"/>
    <w:rsid w:val="005A6174"/>
    <w:rsid w:val="005A62CB"/>
    <w:rsid w:val="005A6826"/>
    <w:rsid w:val="005A69AC"/>
    <w:rsid w:val="005A70AA"/>
    <w:rsid w:val="005A7217"/>
    <w:rsid w:val="005A7F0D"/>
    <w:rsid w:val="005B0139"/>
    <w:rsid w:val="005B1828"/>
    <w:rsid w:val="005B1B26"/>
    <w:rsid w:val="005B24E5"/>
    <w:rsid w:val="005B2D1F"/>
    <w:rsid w:val="005B39CC"/>
    <w:rsid w:val="005B3C7D"/>
    <w:rsid w:val="005B4286"/>
    <w:rsid w:val="005B45DA"/>
    <w:rsid w:val="005B516F"/>
    <w:rsid w:val="005B673F"/>
    <w:rsid w:val="005B7CE9"/>
    <w:rsid w:val="005C0A74"/>
    <w:rsid w:val="005C17AE"/>
    <w:rsid w:val="005C1D7F"/>
    <w:rsid w:val="005C2441"/>
    <w:rsid w:val="005C284E"/>
    <w:rsid w:val="005C2A47"/>
    <w:rsid w:val="005C3D79"/>
    <w:rsid w:val="005C4CC0"/>
    <w:rsid w:val="005C574C"/>
    <w:rsid w:val="005C5940"/>
    <w:rsid w:val="005C5AC7"/>
    <w:rsid w:val="005C5DF6"/>
    <w:rsid w:val="005C5F2E"/>
    <w:rsid w:val="005C5F3B"/>
    <w:rsid w:val="005C644A"/>
    <w:rsid w:val="005C674A"/>
    <w:rsid w:val="005C6CE8"/>
    <w:rsid w:val="005C7431"/>
    <w:rsid w:val="005C7C06"/>
    <w:rsid w:val="005C7EB9"/>
    <w:rsid w:val="005D07EE"/>
    <w:rsid w:val="005D10BF"/>
    <w:rsid w:val="005D2546"/>
    <w:rsid w:val="005D4207"/>
    <w:rsid w:val="005D42FA"/>
    <w:rsid w:val="005D441D"/>
    <w:rsid w:val="005D49CD"/>
    <w:rsid w:val="005D673A"/>
    <w:rsid w:val="005D7341"/>
    <w:rsid w:val="005D77CF"/>
    <w:rsid w:val="005E0422"/>
    <w:rsid w:val="005E06FA"/>
    <w:rsid w:val="005E19EC"/>
    <w:rsid w:val="005E1DB3"/>
    <w:rsid w:val="005E2280"/>
    <w:rsid w:val="005E4E53"/>
    <w:rsid w:val="005E59C2"/>
    <w:rsid w:val="005E62A5"/>
    <w:rsid w:val="005E696A"/>
    <w:rsid w:val="005E70B7"/>
    <w:rsid w:val="005F0601"/>
    <w:rsid w:val="005F0807"/>
    <w:rsid w:val="005F2019"/>
    <w:rsid w:val="005F289E"/>
    <w:rsid w:val="005F4AA5"/>
    <w:rsid w:val="005F4EA9"/>
    <w:rsid w:val="005F4F3F"/>
    <w:rsid w:val="005F5868"/>
    <w:rsid w:val="005F5F21"/>
    <w:rsid w:val="005F699F"/>
    <w:rsid w:val="006012C5"/>
    <w:rsid w:val="006022C8"/>
    <w:rsid w:val="006028E3"/>
    <w:rsid w:val="00602C86"/>
    <w:rsid w:val="00603B80"/>
    <w:rsid w:val="0060455B"/>
    <w:rsid w:val="00605693"/>
    <w:rsid w:val="00606D5E"/>
    <w:rsid w:val="00607159"/>
    <w:rsid w:val="006100E3"/>
    <w:rsid w:val="006101D9"/>
    <w:rsid w:val="00610AFC"/>
    <w:rsid w:val="00612C77"/>
    <w:rsid w:val="00613D6A"/>
    <w:rsid w:val="0061425A"/>
    <w:rsid w:val="006151F5"/>
    <w:rsid w:val="006153E6"/>
    <w:rsid w:val="00615910"/>
    <w:rsid w:val="00615952"/>
    <w:rsid w:val="00616113"/>
    <w:rsid w:val="006178B7"/>
    <w:rsid w:val="00620031"/>
    <w:rsid w:val="00620245"/>
    <w:rsid w:val="00621783"/>
    <w:rsid w:val="00621890"/>
    <w:rsid w:val="00621DCB"/>
    <w:rsid w:val="006227BB"/>
    <w:rsid w:val="00622E2F"/>
    <w:rsid w:val="00622FF7"/>
    <w:rsid w:val="00623415"/>
    <w:rsid w:val="00624482"/>
    <w:rsid w:val="00624B9B"/>
    <w:rsid w:val="006255E0"/>
    <w:rsid w:val="0062598F"/>
    <w:rsid w:val="0062648E"/>
    <w:rsid w:val="00627015"/>
    <w:rsid w:val="00627A68"/>
    <w:rsid w:val="00630A83"/>
    <w:rsid w:val="00630FC8"/>
    <w:rsid w:val="00631161"/>
    <w:rsid w:val="006322DA"/>
    <w:rsid w:val="00633770"/>
    <w:rsid w:val="00633E0B"/>
    <w:rsid w:val="006353DD"/>
    <w:rsid w:val="00635854"/>
    <w:rsid w:val="006360ED"/>
    <w:rsid w:val="00636C44"/>
    <w:rsid w:val="006379C8"/>
    <w:rsid w:val="006414FF"/>
    <w:rsid w:val="00641FDC"/>
    <w:rsid w:val="006421EB"/>
    <w:rsid w:val="00642DEE"/>
    <w:rsid w:val="00643857"/>
    <w:rsid w:val="00643E84"/>
    <w:rsid w:val="00645C4B"/>
    <w:rsid w:val="00645ED8"/>
    <w:rsid w:val="00646010"/>
    <w:rsid w:val="00646729"/>
    <w:rsid w:val="00646AD1"/>
    <w:rsid w:val="00646E77"/>
    <w:rsid w:val="00647A63"/>
    <w:rsid w:val="0065266E"/>
    <w:rsid w:val="006531ED"/>
    <w:rsid w:val="00655C46"/>
    <w:rsid w:val="00657446"/>
    <w:rsid w:val="00657695"/>
    <w:rsid w:val="0066096D"/>
    <w:rsid w:val="00661AF8"/>
    <w:rsid w:val="00661F1C"/>
    <w:rsid w:val="006630BB"/>
    <w:rsid w:val="006632C7"/>
    <w:rsid w:val="00664876"/>
    <w:rsid w:val="00664F1A"/>
    <w:rsid w:val="00665E77"/>
    <w:rsid w:val="00665E99"/>
    <w:rsid w:val="006678A0"/>
    <w:rsid w:val="00667AB0"/>
    <w:rsid w:val="0067012F"/>
    <w:rsid w:val="006705B8"/>
    <w:rsid w:val="006707FD"/>
    <w:rsid w:val="00671001"/>
    <w:rsid w:val="00671618"/>
    <w:rsid w:val="00672B58"/>
    <w:rsid w:val="00673D66"/>
    <w:rsid w:val="00674BE2"/>
    <w:rsid w:val="00675660"/>
    <w:rsid w:val="00676215"/>
    <w:rsid w:val="00677015"/>
    <w:rsid w:val="006777CA"/>
    <w:rsid w:val="00677B7F"/>
    <w:rsid w:val="00677BB1"/>
    <w:rsid w:val="006806E7"/>
    <w:rsid w:val="006809DB"/>
    <w:rsid w:val="00681219"/>
    <w:rsid w:val="00682467"/>
    <w:rsid w:val="00684374"/>
    <w:rsid w:val="00684388"/>
    <w:rsid w:val="006848A4"/>
    <w:rsid w:val="00685A68"/>
    <w:rsid w:val="00690BAA"/>
    <w:rsid w:val="00691E48"/>
    <w:rsid w:val="00691F2C"/>
    <w:rsid w:val="00692897"/>
    <w:rsid w:val="006930C6"/>
    <w:rsid w:val="00694135"/>
    <w:rsid w:val="00695927"/>
    <w:rsid w:val="00695A09"/>
    <w:rsid w:val="00696104"/>
    <w:rsid w:val="006961D5"/>
    <w:rsid w:val="006966CF"/>
    <w:rsid w:val="006A0828"/>
    <w:rsid w:val="006A0D1C"/>
    <w:rsid w:val="006A0D36"/>
    <w:rsid w:val="006A144E"/>
    <w:rsid w:val="006A1DC6"/>
    <w:rsid w:val="006A3ABD"/>
    <w:rsid w:val="006A4A42"/>
    <w:rsid w:val="006A5BB7"/>
    <w:rsid w:val="006A5EE0"/>
    <w:rsid w:val="006A62FD"/>
    <w:rsid w:val="006A6A70"/>
    <w:rsid w:val="006A75BD"/>
    <w:rsid w:val="006A75BE"/>
    <w:rsid w:val="006A7A7E"/>
    <w:rsid w:val="006B028D"/>
    <w:rsid w:val="006B07DA"/>
    <w:rsid w:val="006B084E"/>
    <w:rsid w:val="006B175E"/>
    <w:rsid w:val="006B20B7"/>
    <w:rsid w:val="006B262F"/>
    <w:rsid w:val="006B30B1"/>
    <w:rsid w:val="006B36ED"/>
    <w:rsid w:val="006B48C5"/>
    <w:rsid w:val="006B4923"/>
    <w:rsid w:val="006B4B20"/>
    <w:rsid w:val="006B4D97"/>
    <w:rsid w:val="006B5332"/>
    <w:rsid w:val="006B59A4"/>
    <w:rsid w:val="006B606A"/>
    <w:rsid w:val="006B62B1"/>
    <w:rsid w:val="006B71E3"/>
    <w:rsid w:val="006B72B6"/>
    <w:rsid w:val="006B7517"/>
    <w:rsid w:val="006B7EA3"/>
    <w:rsid w:val="006C0A8A"/>
    <w:rsid w:val="006C0D61"/>
    <w:rsid w:val="006C0F0C"/>
    <w:rsid w:val="006C155B"/>
    <w:rsid w:val="006C17F4"/>
    <w:rsid w:val="006C2BB3"/>
    <w:rsid w:val="006C39C5"/>
    <w:rsid w:val="006C3C73"/>
    <w:rsid w:val="006C41B2"/>
    <w:rsid w:val="006C5068"/>
    <w:rsid w:val="006C5801"/>
    <w:rsid w:val="006C6C5A"/>
    <w:rsid w:val="006C72CB"/>
    <w:rsid w:val="006C7476"/>
    <w:rsid w:val="006D010C"/>
    <w:rsid w:val="006D23D9"/>
    <w:rsid w:val="006D29A2"/>
    <w:rsid w:val="006D2EF8"/>
    <w:rsid w:val="006D363D"/>
    <w:rsid w:val="006D3A6F"/>
    <w:rsid w:val="006D3B4A"/>
    <w:rsid w:val="006D5C2E"/>
    <w:rsid w:val="006D7353"/>
    <w:rsid w:val="006D7C4B"/>
    <w:rsid w:val="006E0465"/>
    <w:rsid w:val="006E0AB3"/>
    <w:rsid w:val="006E233B"/>
    <w:rsid w:val="006E2947"/>
    <w:rsid w:val="006E47A5"/>
    <w:rsid w:val="006E4837"/>
    <w:rsid w:val="006E4D6E"/>
    <w:rsid w:val="006E4EC8"/>
    <w:rsid w:val="006E5957"/>
    <w:rsid w:val="006E5CB2"/>
    <w:rsid w:val="006E60FF"/>
    <w:rsid w:val="006E6DA3"/>
    <w:rsid w:val="006E777F"/>
    <w:rsid w:val="006F010C"/>
    <w:rsid w:val="006F068D"/>
    <w:rsid w:val="006F0C5D"/>
    <w:rsid w:val="006F1510"/>
    <w:rsid w:val="006F16B6"/>
    <w:rsid w:val="006F1E88"/>
    <w:rsid w:val="006F2CB8"/>
    <w:rsid w:val="006F3A74"/>
    <w:rsid w:val="006F429C"/>
    <w:rsid w:val="006F50CF"/>
    <w:rsid w:val="006F6027"/>
    <w:rsid w:val="006F766F"/>
    <w:rsid w:val="006F7C17"/>
    <w:rsid w:val="006F7C68"/>
    <w:rsid w:val="006F7DC2"/>
    <w:rsid w:val="006F7F81"/>
    <w:rsid w:val="00701D37"/>
    <w:rsid w:val="00701DE4"/>
    <w:rsid w:val="007023BA"/>
    <w:rsid w:val="007030D7"/>
    <w:rsid w:val="00703111"/>
    <w:rsid w:val="00703CC8"/>
    <w:rsid w:val="00703D50"/>
    <w:rsid w:val="007044D0"/>
    <w:rsid w:val="007046E5"/>
    <w:rsid w:val="00705733"/>
    <w:rsid w:val="007058FF"/>
    <w:rsid w:val="00706D21"/>
    <w:rsid w:val="007079E4"/>
    <w:rsid w:val="007104C8"/>
    <w:rsid w:val="00711AD6"/>
    <w:rsid w:val="0071213C"/>
    <w:rsid w:val="00712BFB"/>
    <w:rsid w:val="007135D5"/>
    <w:rsid w:val="00713AFB"/>
    <w:rsid w:val="00713CE2"/>
    <w:rsid w:val="007141FB"/>
    <w:rsid w:val="00714A73"/>
    <w:rsid w:val="00715960"/>
    <w:rsid w:val="00716CA4"/>
    <w:rsid w:val="00717EB2"/>
    <w:rsid w:val="00720563"/>
    <w:rsid w:val="007205DA"/>
    <w:rsid w:val="00720660"/>
    <w:rsid w:val="0072138C"/>
    <w:rsid w:val="007239A8"/>
    <w:rsid w:val="00723AA1"/>
    <w:rsid w:val="007251C1"/>
    <w:rsid w:val="00725A42"/>
    <w:rsid w:val="007263BB"/>
    <w:rsid w:val="007265E9"/>
    <w:rsid w:val="00726637"/>
    <w:rsid w:val="007269A4"/>
    <w:rsid w:val="007271A4"/>
    <w:rsid w:val="0072729A"/>
    <w:rsid w:val="00731848"/>
    <w:rsid w:val="00732516"/>
    <w:rsid w:val="00733035"/>
    <w:rsid w:val="007343A9"/>
    <w:rsid w:val="00734973"/>
    <w:rsid w:val="0073657C"/>
    <w:rsid w:val="007402D6"/>
    <w:rsid w:val="00740A71"/>
    <w:rsid w:val="00741F74"/>
    <w:rsid w:val="007426F2"/>
    <w:rsid w:val="00742AA2"/>
    <w:rsid w:val="0074346D"/>
    <w:rsid w:val="00743BF0"/>
    <w:rsid w:val="007447FF"/>
    <w:rsid w:val="0074610E"/>
    <w:rsid w:val="007468BC"/>
    <w:rsid w:val="00747FF3"/>
    <w:rsid w:val="00750890"/>
    <w:rsid w:val="00752227"/>
    <w:rsid w:val="007523AB"/>
    <w:rsid w:val="00752581"/>
    <w:rsid w:val="0075333D"/>
    <w:rsid w:val="0075365B"/>
    <w:rsid w:val="00753A97"/>
    <w:rsid w:val="0075419A"/>
    <w:rsid w:val="0075471F"/>
    <w:rsid w:val="00755083"/>
    <w:rsid w:val="0075577E"/>
    <w:rsid w:val="00755C5D"/>
    <w:rsid w:val="0075713D"/>
    <w:rsid w:val="00757AB3"/>
    <w:rsid w:val="007607C8"/>
    <w:rsid w:val="007607E9"/>
    <w:rsid w:val="00761820"/>
    <w:rsid w:val="0076235B"/>
    <w:rsid w:val="007623F9"/>
    <w:rsid w:val="00762FA8"/>
    <w:rsid w:val="00763FCC"/>
    <w:rsid w:val="007640CA"/>
    <w:rsid w:val="00765429"/>
    <w:rsid w:val="00765745"/>
    <w:rsid w:val="00766EBC"/>
    <w:rsid w:val="00767230"/>
    <w:rsid w:val="0076754B"/>
    <w:rsid w:val="00767933"/>
    <w:rsid w:val="00771496"/>
    <w:rsid w:val="00771550"/>
    <w:rsid w:val="007718A0"/>
    <w:rsid w:val="00771D38"/>
    <w:rsid w:val="00773690"/>
    <w:rsid w:val="00773AE6"/>
    <w:rsid w:val="00773C7B"/>
    <w:rsid w:val="00774DC8"/>
    <w:rsid w:val="00775DE1"/>
    <w:rsid w:val="007767AE"/>
    <w:rsid w:val="0077704C"/>
    <w:rsid w:val="00781012"/>
    <w:rsid w:val="00781896"/>
    <w:rsid w:val="0078230C"/>
    <w:rsid w:val="007824B8"/>
    <w:rsid w:val="0078342A"/>
    <w:rsid w:val="00783C92"/>
    <w:rsid w:val="007843BD"/>
    <w:rsid w:val="00785F21"/>
    <w:rsid w:val="0078641D"/>
    <w:rsid w:val="00786DED"/>
    <w:rsid w:val="00787B84"/>
    <w:rsid w:val="00790DA0"/>
    <w:rsid w:val="00790E1B"/>
    <w:rsid w:val="00791506"/>
    <w:rsid w:val="00791E5C"/>
    <w:rsid w:val="0079347E"/>
    <w:rsid w:val="00793863"/>
    <w:rsid w:val="007950C2"/>
    <w:rsid w:val="00797075"/>
    <w:rsid w:val="00797EF7"/>
    <w:rsid w:val="007A19D0"/>
    <w:rsid w:val="007A1B3B"/>
    <w:rsid w:val="007A265D"/>
    <w:rsid w:val="007A3503"/>
    <w:rsid w:val="007A37DA"/>
    <w:rsid w:val="007A4000"/>
    <w:rsid w:val="007A537E"/>
    <w:rsid w:val="007A5747"/>
    <w:rsid w:val="007A5F95"/>
    <w:rsid w:val="007A61BD"/>
    <w:rsid w:val="007A64BA"/>
    <w:rsid w:val="007A656B"/>
    <w:rsid w:val="007A69E4"/>
    <w:rsid w:val="007A6B01"/>
    <w:rsid w:val="007A76C2"/>
    <w:rsid w:val="007B18C6"/>
    <w:rsid w:val="007B1D04"/>
    <w:rsid w:val="007B1EC0"/>
    <w:rsid w:val="007B2FCB"/>
    <w:rsid w:val="007B329C"/>
    <w:rsid w:val="007B32F9"/>
    <w:rsid w:val="007B46EE"/>
    <w:rsid w:val="007B4725"/>
    <w:rsid w:val="007B6D02"/>
    <w:rsid w:val="007B750C"/>
    <w:rsid w:val="007B7BA0"/>
    <w:rsid w:val="007C0370"/>
    <w:rsid w:val="007C0525"/>
    <w:rsid w:val="007C16E8"/>
    <w:rsid w:val="007C1F12"/>
    <w:rsid w:val="007C2E32"/>
    <w:rsid w:val="007C2F16"/>
    <w:rsid w:val="007C357B"/>
    <w:rsid w:val="007C431C"/>
    <w:rsid w:val="007C443A"/>
    <w:rsid w:val="007C50B0"/>
    <w:rsid w:val="007C5479"/>
    <w:rsid w:val="007C5866"/>
    <w:rsid w:val="007C6E1E"/>
    <w:rsid w:val="007D0052"/>
    <w:rsid w:val="007D0440"/>
    <w:rsid w:val="007D0833"/>
    <w:rsid w:val="007D0B54"/>
    <w:rsid w:val="007D26AB"/>
    <w:rsid w:val="007D2BCD"/>
    <w:rsid w:val="007D34ED"/>
    <w:rsid w:val="007D3CA1"/>
    <w:rsid w:val="007D4BD1"/>
    <w:rsid w:val="007D509E"/>
    <w:rsid w:val="007D554C"/>
    <w:rsid w:val="007D59BC"/>
    <w:rsid w:val="007D5E8A"/>
    <w:rsid w:val="007D6562"/>
    <w:rsid w:val="007D7DA7"/>
    <w:rsid w:val="007E1B8A"/>
    <w:rsid w:val="007E1D7A"/>
    <w:rsid w:val="007E1E1E"/>
    <w:rsid w:val="007E4581"/>
    <w:rsid w:val="007E485E"/>
    <w:rsid w:val="007E4AB7"/>
    <w:rsid w:val="007E568F"/>
    <w:rsid w:val="007E6E72"/>
    <w:rsid w:val="007E7E07"/>
    <w:rsid w:val="007E7EE2"/>
    <w:rsid w:val="007F0118"/>
    <w:rsid w:val="007F0852"/>
    <w:rsid w:val="007F19F1"/>
    <w:rsid w:val="007F1E44"/>
    <w:rsid w:val="007F2013"/>
    <w:rsid w:val="007F23C0"/>
    <w:rsid w:val="007F2B20"/>
    <w:rsid w:val="007F3759"/>
    <w:rsid w:val="007F3C98"/>
    <w:rsid w:val="007F5126"/>
    <w:rsid w:val="007F5949"/>
    <w:rsid w:val="007F63C4"/>
    <w:rsid w:val="007F7609"/>
    <w:rsid w:val="007F79C6"/>
    <w:rsid w:val="00800993"/>
    <w:rsid w:val="00801441"/>
    <w:rsid w:val="00801A0A"/>
    <w:rsid w:val="0080212D"/>
    <w:rsid w:val="008024C1"/>
    <w:rsid w:val="0080404B"/>
    <w:rsid w:val="008054E9"/>
    <w:rsid w:val="00805558"/>
    <w:rsid w:val="0080642A"/>
    <w:rsid w:val="008065D3"/>
    <w:rsid w:val="008066A7"/>
    <w:rsid w:val="00807D50"/>
    <w:rsid w:val="00811A2F"/>
    <w:rsid w:val="00811E24"/>
    <w:rsid w:val="00812D4C"/>
    <w:rsid w:val="00813F4A"/>
    <w:rsid w:val="00814970"/>
    <w:rsid w:val="00816D06"/>
    <w:rsid w:val="00817894"/>
    <w:rsid w:val="008208B3"/>
    <w:rsid w:val="008209B3"/>
    <w:rsid w:val="00820C0E"/>
    <w:rsid w:val="00821595"/>
    <w:rsid w:val="00821E8C"/>
    <w:rsid w:val="00823275"/>
    <w:rsid w:val="0082338E"/>
    <w:rsid w:val="00823584"/>
    <w:rsid w:val="00824047"/>
    <w:rsid w:val="00824B7E"/>
    <w:rsid w:val="00824D6F"/>
    <w:rsid w:val="008254CD"/>
    <w:rsid w:val="008259B4"/>
    <w:rsid w:val="008261B9"/>
    <w:rsid w:val="00826C02"/>
    <w:rsid w:val="00826DA9"/>
    <w:rsid w:val="0083083D"/>
    <w:rsid w:val="008327F8"/>
    <w:rsid w:val="00833C65"/>
    <w:rsid w:val="00833EC4"/>
    <w:rsid w:val="0083411E"/>
    <w:rsid w:val="00834934"/>
    <w:rsid w:val="00834AF1"/>
    <w:rsid w:val="00834F0D"/>
    <w:rsid w:val="00835D9C"/>
    <w:rsid w:val="0083631A"/>
    <w:rsid w:val="008370AE"/>
    <w:rsid w:val="0083723C"/>
    <w:rsid w:val="00837C05"/>
    <w:rsid w:val="00837F46"/>
    <w:rsid w:val="00840362"/>
    <w:rsid w:val="008408A6"/>
    <w:rsid w:val="008412C0"/>
    <w:rsid w:val="008429BA"/>
    <w:rsid w:val="00842DDC"/>
    <w:rsid w:val="0084374B"/>
    <w:rsid w:val="00844ED2"/>
    <w:rsid w:val="00845157"/>
    <w:rsid w:val="00845E36"/>
    <w:rsid w:val="008460C0"/>
    <w:rsid w:val="008460D4"/>
    <w:rsid w:val="008479D4"/>
    <w:rsid w:val="00847AB8"/>
    <w:rsid w:val="008521FD"/>
    <w:rsid w:val="00852334"/>
    <w:rsid w:val="00852404"/>
    <w:rsid w:val="00852FAC"/>
    <w:rsid w:val="008545FC"/>
    <w:rsid w:val="00854BDA"/>
    <w:rsid w:val="008554C8"/>
    <w:rsid w:val="00856E74"/>
    <w:rsid w:val="008570E7"/>
    <w:rsid w:val="008572E8"/>
    <w:rsid w:val="00857851"/>
    <w:rsid w:val="00857A2A"/>
    <w:rsid w:val="00857AE4"/>
    <w:rsid w:val="00861D2D"/>
    <w:rsid w:val="0086210F"/>
    <w:rsid w:val="008621C8"/>
    <w:rsid w:val="0086256A"/>
    <w:rsid w:val="008629FF"/>
    <w:rsid w:val="00863CF8"/>
    <w:rsid w:val="00863EE7"/>
    <w:rsid w:val="00864287"/>
    <w:rsid w:val="00865009"/>
    <w:rsid w:val="00865580"/>
    <w:rsid w:val="00866EA5"/>
    <w:rsid w:val="00867306"/>
    <w:rsid w:val="008675EA"/>
    <w:rsid w:val="00867B8E"/>
    <w:rsid w:val="00867F37"/>
    <w:rsid w:val="008715D2"/>
    <w:rsid w:val="00874953"/>
    <w:rsid w:val="00874A7D"/>
    <w:rsid w:val="00874B03"/>
    <w:rsid w:val="00874DA6"/>
    <w:rsid w:val="0087520E"/>
    <w:rsid w:val="00877373"/>
    <w:rsid w:val="008778A4"/>
    <w:rsid w:val="008779BB"/>
    <w:rsid w:val="00880948"/>
    <w:rsid w:val="00880B13"/>
    <w:rsid w:val="00880EE4"/>
    <w:rsid w:val="00881BE5"/>
    <w:rsid w:val="00882888"/>
    <w:rsid w:val="00882AB3"/>
    <w:rsid w:val="008834ED"/>
    <w:rsid w:val="00883C73"/>
    <w:rsid w:val="00883CCB"/>
    <w:rsid w:val="00884DE1"/>
    <w:rsid w:val="00885E23"/>
    <w:rsid w:val="00886576"/>
    <w:rsid w:val="00886E7C"/>
    <w:rsid w:val="008877D0"/>
    <w:rsid w:val="00890195"/>
    <w:rsid w:val="00890D54"/>
    <w:rsid w:val="00890EBE"/>
    <w:rsid w:val="00891189"/>
    <w:rsid w:val="00892125"/>
    <w:rsid w:val="0089399F"/>
    <w:rsid w:val="00893F81"/>
    <w:rsid w:val="00894400"/>
    <w:rsid w:val="00894911"/>
    <w:rsid w:val="00894A70"/>
    <w:rsid w:val="00894A87"/>
    <w:rsid w:val="00895B86"/>
    <w:rsid w:val="00897C1E"/>
    <w:rsid w:val="008A0984"/>
    <w:rsid w:val="008A0C8E"/>
    <w:rsid w:val="008A1B6A"/>
    <w:rsid w:val="008A1FBA"/>
    <w:rsid w:val="008A3CE5"/>
    <w:rsid w:val="008A576F"/>
    <w:rsid w:val="008A60B4"/>
    <w:rsid w:val="008A62EC"/>
    <w:rsid w:val="008A761E"/>
    <w:rsid w:val="008B02E5"/>
    <w:rsid w:val="008B0BB6"/>
    <w:rsid w:val="008B10D8"/>
    <w:rsid w:val="008B113A"/>
    <w:rsid w:val="008B14EE"/>
    <w:rsid w:val="008B188F"/>
    <w:rsid w:val="008B2F45"/>
    <w:rsid w:val="008B4085"/>
    <w:rsid w:val="008B4B57"/>
    <w:rsid w:val="008B503F"/>
    <w:rsid w:val="008B538A"/>
    <w:rsid w:val="008B75E0"/>
    <w:rsid w:val="008C1D48"/>
    <w:rsid w:val="008C3A51"/>
    <w:rsid w:val="008C3FD9"/>
    <w:rsid w:val="008C4419"/>
    <w:rsid w:val="008C4F29"/>
    <w:rsid w:val="008C5D3B"/>
    <w:rsid w:val="008C610F"/>
    <w:rsid w:val="008C61E5"/>
    <w:rsid w:val="008C690E"/>
    <w:rsid w:val="008C6E27"/>
    <w:rsid w:val="008C6E39"/>
    <w:rsid w:val="008C7620"/>
    <w:rsid w:val="008D12A7"/>
    <w:rsid w:val="008D13B9"/>
    <w:rsid w:val="008D43C3"/>
    <w:rsid w:val="008D4972"/>
    <w:rsid w:val="008D4D29"/>
    <w:rsid w:val="008D56ED"/>
    <w:rsid w:val="008E1383"/>
    <w:rsid w:val="008E1D85"/>
    <w:rsid w:val="008E2D89"/>
    <w:rsid w:val="008E2E6E"/>
    <w:rsid w:val="008E3738"/>
    <w:rsid w:val="008E424A"/>
    <w:rsid w:val="008E5C5D"/>
    <w:rsid w:val="008E671D"/>
    <w:rsid w:val="008E6E8C"/>
    <w:rsid w:val="008E7578"/>
    <w:rsid w:val="008F0972"/>
    <w:rsid w:val="008F0F12"/>
    <w:rsid w:val="008F2DF6"/>
    <w:rsid w:val="008F2F30"/>
    <w:rsid w:val="008F4C97"/>
    <w:rsid w:val="008F67CA"/>
    <w:rsid w:val="008F7B4E"/>
    <w:rsid w:val="00902954"/>
    <w:rsid w:val="00902A51"/>
    <w:rsid w:val="00904DA5"/>
    <w:rsid w:val="00905457"/>
    <w:rsid w:val="00907B4B"/>
    <w:rsid w:val="00910AB4"/>
    <w:rsid w:val="00910E0E"/>
    <w:rsid w:val="00911867"/>
    <w:rsid w:val="0091193D"/>
    <w:rsid w:val="009126A0"/>
    <w:rsid w:val="00912C62"/>
    <w:rsid w:val="00912CD8"/>
    <w:rsid w:val="009137C8"/>
    <w:rsid w:val="00914558"/>
    <w:rsid w:val="0091465E"/>
    <w:rsid w:val="00915A55"/>
    <w:rsid w:val="00915D25"/>
    <w:rsid w:val="009160F4"/>
    <w:rsid w:val="00916914"/>
    <w:rsid w:val="00916AF4"/>
    <w:rsid w:val="00917303"/>
    <w:rsid w:val="00917444"/>
    <w:rsid w:val="00917ACA"/>
    <w:rsid w:val="0092043C"/>
    <w:rsid w:val="009205F5"/>
    <w:rsid w:val="00920663"/>
    <w:rsid w:val="0092236C"/>
    <w:rsid w:val="00923461"/>
    <w:rsid w:val="00923E83"/>
    <w:rsid w:val="009240B8"/>
    <w:rsid w:val="00925656"/>
    <w:rsid w:val="00925F6C"/>
    <w:rsid w:val="0092636E"/>
    <w:rsid w:val="0092730A"/>
    <w:rsid w:val="009278ED"/>
    <w:rsid w:val="00927A5A"/>
    <w:rsid w:val="0093088F"/>
    <w:rsid w:val="009309F6"/>
    <w:rsid w:val="00930BA7"/>
    <w:rsid w:val="00931E7A"/>
    <w:rsid w:val="00933295"/>
    <w:rsid w:val="00934626"/>
    <w:rsid w:val="0093483B"/>
    <w:rsid w:val="009352A9"/>
    <w:rsid w:val="0093643F"/>
    <w:rsid w:val="009374D4"/>
    <w:rsid w:val="009379EE"/>
    <w:rsid w:val="00937BBA"/>
    <w:rsid w:val="00937E61"/>
    <w:rsid w:val="00941156"/>
    <w:rsid w:val="00942942"/>
    <w:rsid w:val="0094379C"/>
    <w:rsid w:val="00943EAF"/>
    <w:rsid w:val="00945044"/>
    <w:rsid w:val="00945F27"/>
    <w:rsid w:val="00946FD9"/>
    <w:rsid w:val="00947560"/>
    <w:rsid w:val="00950229"/>
    <w:rsid w:val="0095040B"/>
    <w:rsid w:val="00951B66"/>
    <w:rsid w:val="009525A8"/>
    <w:rsid w:val="00952F27"/>
    <w:rsid w:val="00953A31"/>
    <w:rsid w:val="00953ABA"/>
    <w:rsid w:val="00954AF2"/>
    <w:rsid w:val="0095591C"/>
    <w:rsid w:val="00955BE2"/>
    <w:rsid w:val="00956764"/>
    <w:rsid w:val="009571B3"/>
    <w:rsid w:val="009602DB"/>
    <w:rsid w:val="0096197A"/>
    <w:rsid w:val="00961FF5"/>
    <w:rsid w:val="00962148"/>
    <w:rsid w:val="009627FB"/>
    <w:rsid w:val="00962808"/>
    <w:rsid w:val="00962FF4"/>
    <w:rsid w:val="0096336F"/>
    <w:rsid w:val="00963EC4"/>
    <w:rsid w:val="009641C3"/>
    <w:rsid w:val="00964791"/>
    <w:rsid w:val="009652B5"/>
    <w:rsid w:val="00966DFE"/>
    <w:rsid w:val="009704CC"/>
    <w:rsid w:val="00970DAA"/>
    <w:rsid w:val="00970F76"/>
    <w:rsid w:val="00971F49"/>
    <w:rsid w:val="009724D8"/>
    <w:rsid w:val="0097252D"/>
    <w:rsid w:val="0097290C"/>
    <w:rsid w:val="00972E2C"/>
    <w:rsid w:val="00972F1D"/>
    <w:rsid w:val="009759A1"/>
    <w:rsid w:val="00975E18"/>
    <w:rsid w:val="00976AD8"/>
    <w:rsid w:val="0097769D"/>
    <w:rsid w:val="00980953"/>
    <w:rsid w:val="00980F12"/>
    <w:rsid w:val="009816E5"/>
    <w:rsid w:val="00982260"/>
    <w:rsid w:val="00982CF9"/>
    <w:rsid w:val="00985B9F"/>
    <w:rsid w:val="00985C83"/>
    <w:rsid w:val="00986A73"/>
    <w:rsid w:val="00987749"/>
    <w:rsid w:val="00987AB0"/>
    <w:rsid w:val="00987B96"/>
    <w:rsid w:val="00990B46"/>
    <w:rsid w:val="009921B2"/>
    <w:rsid w:val="0099253F"/>
    <w:rsid w:val="0099267B"/>
    <w:rsid w:val="009932EB"/>
    <w:rsid w:val="009932FF"/>
    <w:rsid w:val="009939C1"/>
    <w:rsid w:val="0099405E"/>
    <w:rsid w:val="00994ACE"/>
    <w:rsid w:val="00994D6F"/>
    <w:rsid w:val="00994F54"/>
    <w:rsid w:val="009960C1"/>
    <w:rsid w:val="00996416"/>
    <w:rsid w:val="00996419"/>
    <w:rsid w:val="0099658E"/>
    <w:rsid w:val="009A13C1"/>
    <w:rsid w:val="009A14AA"/>
    <w:rsid w:val="009A1B4A"/>
    <w:rsid w:val="009A2394"/>
    <w:rsid w:val="009A2E4E"/>
    <w:rsid w:val="009A469C"/>
    <w:rsid w:val="009A4EAD"/>
    <w:rsid w:val="009A5031"/>
    <w:rsid w:val="009A6CEB"/>
    <w:rsid w:val="009A7609"/>
    <w:rsid w:val="009A7897"/>
    <w:rsid w:val="009B0D3B"/>
    <w:rsid w:val="009B1484"/>
    <w:rsid w:val="009B24F7"/>
    <w:rsid w:val="009B2C85"/>
    <w:rsid w:val="009B3B3E"/>
    <w:rsid w:val="009B449A"/>
    <w:rsid w:val="009B48C1"/>
    <w:rsid w:val="009B53C6"/>
    <w:rsid w:val="009B5477"/>
    <w:rsid w:val="009B638B"/>
    <w:rsid w:val="009B6C05"/>
    <w:rsid w:val="009B704D"/>
    <w:rsid w:val="009C02D7"/>
    <w:rsid w:val="009C038D"/>
    <w:rsid w:val="009C124C"/>
    <w:rsid w:val="009C259E"/>
    <w:rsid w:val="009C2D35"/>
    <w:rsid w:val="009C54B9"/>
    <w:rsid w:val="009C5608"/>
    <w:rsid w:val="009C693F"/>
    <w:rsid w:val="009D011D"/>
    <w:rsid w:val="009D0694"/>
    <w:rsid w:val="009D28FB"/>
    <w:rsid w:val="009D36EC"/>
    <w:rsid w:val="009D475A"/>
    <w:rsid w:val="009D5308"/>
    <w:rsid w:val="009D5405"/>
    <w:rsid w:val="009D5408"/>
    <w:rsid w:val="009D54AA"/>
    <w:rsid w:val="009D633A"/>
    <w:rsid w:val="009D7BB4"/>
    <w:rsid w:val="009D7C6C"/>
    <w:rsid w:val="009E025F"/>
    <w:rsid w:val="009E0766"/>
    <w:rsid w:val="009E079F"/>
    <w:rsid w:val="009E2430"/>
    <w:rsid w:val="009E2800"/>
    <w:rsid w:val="009E283D"/>
    <w:rsid w:val="009E31F7"/>
    <w:rsid w:val="009E48CC"/>
    <w:rsid w:val="009E4F58"/>
    <w:rsid w:val="009E51C6"/>
    <w:rsid w:val="009E54F1"/>
    <w:rsid w:val="009E6980"/>
    <w:rsid w:val="009E6BB0"/>
    <w:rsid w:val="009E6C81"/>
    <w:rsid w:val="009E6F2B"/>
    <w:rsid w:val="009E7F14"/>
    <w:rsid w:val="009F09AB"/>
    <w:rsid w:val="009F2CEE"/>
    <w:rsid w:val="009F3D0C"/>
    <w:rsid w:val="009F48B4"/>
    <w:rsid w:val="009F4A2B"/>
    <w:rsid w:val="009F4A42"/>
    <w:rsid w:val="009F4ACF"/>
    <w:rsid w:val="009F4FD8"/>
    <w:rsid w:val="009F53C1"/>
    <w:rsid w:val="009F5FCC"/>
    <w:rsid w:val="009F6780"/>
    <w:rsid w:val="009F6C0E"/>
    <w:rsid w:val="009F7221"/>
    <w:rsid w:val="009F72FD"/>
    <w:rsid w:val="009F77D8"/>
    <w:rsid w:val="009F78D0"/>
    <w:rsid w:val="009F7EC3"/>
    <w:rsid w:val="00A00B64"/>
    <w:rsid w:val="00A00C96"/>
    <w:rsid w:val="00A0144B"/>
    <w:rsid w:val="00A01E58"/>
    <w:rsid w:val="00A01FB9"/>
    <w:rsid w:val="00A026E2"/>
    <w:rsid w:val="00A02961"/>
    <w:rsid w:val="00A02D3F"/>
    <w:rsid w:val="00A02F6F"/>
    <w:rsid w:val="00A04C6C"/>
    <w:rsid w:val="00A04F2D"/>
    <w:rsid w:val="00A055CB"/>
    <w:rsid w:val="00A0580B"/>
    <w:rsid w:val="00A05FD9"/>
    <w:rsid w:val="00A07689"/>
    <w:rsid w:val="00A07805"/>
    <w:rsid w:val="00A10F06"/>
    <w:rsid w:val="00A1130A"/>
    <w:rsid w:val="00A1240F"/>
    <w:rsid w:val="00A132A5"/>
    <w:rsid w:val="00A142A6"/>
    <w:rsid w:val="00A14339"/>
    <w:rsid w:val="00A1445D"/>
    <w:rsid w:val="00A14496"/>
    <w:rsid w:val="00A15F64"/>
    <w:rsid w:val="00A16404"/>
    <w:rsid w:val="00A17259"/>
    <w:rsid w:val="00A17AA1"/>
    <w:rsid w:val="00A207C4"/>
    <w:rsid w:val="00A21C31"/>
    <w:rsid w:val="00A233DC"/>
    <w:rsid w:val="00A24446"/>
    <w:rsid w:val="00A2474B"/>
    <w:rsid w:val="00A249EB"/>
    <w:rsid w:val="00A24A3A"/>
    <w:rsid w:val="00A259E8"/>
    <w:rsid w:val="00A264B9"/>
    <w:rsid w:val="00A303DA"/>
    <w:rsid w:val="00A30879"/>
    <w:rsid w:val="00A30D88"/>
    <w:rsid w:val="00A31AB8"/>
    <w:rsid w:val="00A31D5F"/>
    <w:rsid w:val="00A332CF"/>
    <w:rsid w:val="00A3434D"/>
    <w:rsid w:val="00A3533E"/>
    <w:rsid w:val="00A363E1"/>
    <w:rsid w:val="00A36A4A"/>
    <w:rsid w:val="00A36A6E"/>
    <w:rsid w:val="00A37110"/>
    <w:rsid w:val="00A37BA8"/>
    <w:rsid w:val="00A403D9"/>
    <w:rsid w:val="00A40EC3"/>
    <w:rsid w:val="00A41CB6"/>
    <w:rsid w:val="00A43D1C"/>
    <w:rsid w:val="00A43FFC"/>
    <w:rsid w:val="00A448EE"/>
    <w:rsid w:val="00A5016A"/>
    <w:rsid w:val="00A5263A"/>
    <w:rsid w:val="00A526B3"/>
    <w:rsid w:val="00A5357E"/>
    <w:rsid w:val="00A5560D"/>
    <w:rsid w:val="00A557B5"/>
    <w:rsid w:val="00A5598C"/>
    <w:rsid w:val="00A55C0D"/>
    <w:rsid w:val="00A561F3"/>
    <w:rsid w:val="00A57214"/>
    <w:rsid w:val="00A57348"/>
    <w:rsid w:val="00A576DB"/>
    <w:rsid w:val="00A60593"/>
    <w:rsid w:val="00A6111B"/>
    <w:rsid w:val="00A6355C"/>
    <w:rsid w:val="00A64084"/>
    <w:rsid w:val="00A64663"/>
    <w:rsid w:val="00A6782D"/>
    <w:rsid w:val="00A67CD1"/>
    <w:rsid w:val="00A67D40"/>
    <w:rsid w:val="00A70683"/>
    <w:rsid w:val="00A70705"/>
    <w:rsid w:val="00A70B89"/>
    <w:rsid w:val="00A713CB"/>
    <w:rsid w:val="00A7246B"/>
    <w:rsid w:val="00A7314B"/>
    <w:rsid w:val="00A7353A"/>
    <w:rsid w:val="00A739CB"/>
    <w:rsid w:val="00A80233"/>
    <w:rsid w:val="00A81377"/>
    <w:rsid w:val="00A813AB"/>
    <w:rsid w:val="00A8235A"/>
    <w:rsid w:val="00A828AD"/>
    <w:rsid w:val="00A82B41"/>
    <w:rsid w:val="00A83A77"/>
    <w:rsid w:val="00A83C39"/>
    <w:rsid w:val="00A84BCE"/>
    <w:rsid w:val="00A871C7"/>
    <w:rsid w:val="00A87481"/>
    <w:rsid w:val="00A87915"/>
    <w:rsid w:val="00A87F9D"/>
    <w:rsid w:val="00A903AB"/>
    <w:rsid w:val="00A92865"/>
    <w:rsid w:val="00A93686"/>
    <w:rsid w:val="00A93C16"/>
    <w:rsid w:val="00A943DC"/>
    <w:rsid w:val="00A95EBE"/>
    <w:rsid w:val="00A97153"/>
    <w:rsid w:val="00A9756B"/>
    <w:rsid w:val="00A975E3"/>
    <w:rsid w:val="00A97895"/>
    <w:rsid w:val="00A97E4B"/>
    <w:rsid w:val="00AA07D3"/>
    <w:rsid w:val="00AA0E13"/>
    <w:rsid w:val="00AA1705"/>
    <w:rsid w:val="00AA33B1"/>
    <w:rsid w:val="00AA3575"/>
    <w:rsid w:val="00AA3B34"/>
    <w:rsid w:val="00AA4766"/>
    <w:rsid w:val="00AA4977"/>
    <w:rsid w:val="00AA5A31"/>
    <w:rsid w:val="00AA65E6"/>
    <w:rsid w:val="00AA6E3F"/>
    <w:rsid w:val="00AA7042"/>
    <w:rsid w:val="00AA7720"/>
    <w:rsid w:val="00AB0BAA"/>
    <w:rsid w:val="00AB0C0C"/>
    <w:rsid w:val="00AB0ED7"/>
    <w:rsid w:val="00AB143B"/>
    <w:rsid w:val="00AB14DD"/>
    <w:rsid w:val="00AB1A2F"/>
    <w:rsid w:val="00AB1C19"/>
    <w:rsid w:val="00AB25C7"/>
    <w:rsid w:val="00AB29B8"/>
    <w:rsid w:val="00AB4FB1"/>
    <w:rsid w:val="00AB5113"/>
    <w:rsid w:val="00AB669B"/>
    <w:rsid w:val="00AB7461"/>
    <w:rsid w:val="00AB79D5"/>
    <w:rsid w:val="00AB7D34"/>
    <w:rsid w:val="00AC0ADC"/>
    <w:rsid w:val="00AC0BA2"/>
    <w:rsid w:val="00AC16E5"/>
    <w:rsid w:val="00AC190C"/>
    <w:rsid w:val="00AC1B47"/>
    <w:rsid w:val="00AC1B90"/>
    <w:rsid w:val="00AC2022"/>
    <w:rsid w:val="00AC2548"/>
    <w:rsid w:val="00AC29EA"/>
    <w:rsid w:val="00AC2CC7"/>
    <w:rsid w:val="00AC31EF"/>
    <w:rsid w:val="00AC45F9"/>
    <w:rsid w:val="00AC49F2"/>
    <w:rsid w:val="00AC4BD9"/>
    <w:rsid w:val="00AC4EB0"/>
    <w:rsid w:val="00AC602E"/>
    <w:rsid w:val="00AC74FE"/>
    <w:rsid w:val="00AD0370"/>
    <w:rsid w:val="00AD0495"/>
    <w:rsid w:val="00AD0EE2"/>
    <w:rsid w:val="00AD18ED"/>
    <w:rsid w:val="00AD1D52"/>
    <w:rsid w:val="00AD1FCD"/>
    <w:rsid w:val="00AD233E"/>
    <w:rsid w:val="00AD3683"/>
    <w:rsid w:val="00AD3DCD"/>
    <w:rsid w:val="00AD4141"/>
    <w:rsid w:val="00AD432B"/>
    <w:rsid w:val="00AD4654"/>
    <w:rsid w:val="00AD5ABC"/>
    <w:rsid w:val="00AD5F14"/>
    <w:rsid w:val="00AD692E"/>
    <w:rsid w:val="00AD6991"/>
    <w:rsid w:val="00AD71CA"/>
    <w:rsid w:val="00AE01E6"/>
    <w:rsid w:val="00AE0246"/>
    <w:rsid w:val="00AE0B4F"/>
    <w:rsid w:val="00AE12E6"/>
    <w:rsid w:val="00AE190F"/>
    <w:rsid w:val="00AE1AEC"/>
    <w:rsid w:val="00AE2FA7"/>
    <w:rsid w:val="00AE3375"/>
    <w:rsid w:val="00AE3513"/>
    <w:rsid w:val="00AE5DF9"/>
    <w:rsid w:val="00AE62B0"/>
    <w:rsid w:val="00AF04BD"/>
    <w:rsid w:val="00AF0608"/>
    <w:rsid w:val="00AF150A"/>
    <w:rsid w:val="00AF21B6"/>
    <w:rsid w:val="00AF2514"/>
    <w:rsid w:val="00AF2F8E"/>
    <w:rsid w:val="00AF2FE3"/>
    <w:rsid w:val="00AF4E51"/>
    <w:rsid w:val="00AF5410"/>
    <w:rsid w:val="00AF5932"/>
    <w:rsid w:val="00AF6148"/>
    <w:rsid w:val="00AF6EA7"/>
    <w:rsid w:val="00AF7251"/>
    <w:rsid w:val="00AF771C"/>
    <w:rsid w:val="00AF7B6C"/>
    <w:rsid w:val="00B00E45"/>
    <w:rsid w:val="00B01432"/>
    <w:rsid w:val="00B01DA6"/>
    <w:rsid w:val="00B020F1"/>
    <w:rsid w:val="00B02B51"/>
    <w:rsid w:val="00B03494"/>
    <w:rsid w:val="00B036BB"/>
    <w:rsid w:val="00B04770"/>
    <w:rsid w:val="00B04A63"/>
    <w:rsid w:val="00B04F54"/>
    <w:rsid w:val="00B0632C"/>
    <w:rsid w:val="00B06EB5"/>
    <w:rsid w:val="00B073CA"/>
    <w:rsid w:val="00B103E0"/>
    <w:rsid w:val="00B10B94"/>
    <w:rsid w:val="00B110FA"/>
    <w:rsid w:val="00B113B3"/>
    <w:rsid w:val="00B1252D"/>
    <w:rsid w:val="00B146A1"/>
    <w:rsid w:val="00B15E8F"/>
    <w:rsid w:val="00B16358"/>
    <w:rsid w:val="00B1717E"/>
    <w:rsid w:val="00B232E3"/>
    <w:rsid w:val="00B23C7B"/>
    <w:rsid w:val="00B24363"/>
    <w:rsid w:val="00B247E5"/>
    <w:rsid w:val="00B25845"/>
    <w:rsid w:val="00B26392"/>
    <w:rsid w:val="00B270A5"/>
    <w:rsid w:val="00B27E86"/>
    <w:rsid w:val="00B301B8"/>
    <w:rsid w:val="00B30AD3"/>
    <w:rsid w:val="00B30CB9"/>
    <w:rsid w:val="00B30E70"/>
    <w:rsid w:val="00B31135"/>
    <w:rsid w:val="00B316D0"/>
    <w:rsid w:val="00B31828"/>
    <w:rsid w:val="00B319CE"/>
    <w:rsid w:val="00B31A1A"/>
    <w:rsid w:val="00B330DD"/>
    <w:rsid w:val="00B33928"/>
    <w:rsid w:val="00B33DDE"/>
    <w:rsid w:val="00B3471A"/>
    <w:rsid w:val="00B3507B"/>
    <w:rsid w:val="00B40B84"/>
    <w:rsid w:val="00B41A41"/>
    <w:rsid w:val="00B42056"/>
    <w:rsid w:val="00B44899"/>
    <w:rsid w:val="00B452F8"/>
    <w:rsid w:val="00B4587E"/>
    <w:rsid w:val="00B4589E"/>
    <w:rsid w:val="00B45E87"/>
    <w:rsid w:val="00B46012"/>
    <w:rsid w:val="00B46482"/>
    <w:rsid w:val="00B467C3"/>
    <w:rsid w:val="00B474D1"/>
    <w:rsid w:val="00B475CB"/>
    <w:rsid w:val="00B51CFD"/>
    <w:rsid w:val="00B5266E"/>
    <w:rsid w:val="00B53514"/>
    <w:rsid w:val="00B535C9"/>
    <w:rsid w:val="00B544A3"/>
    <w:rsid w:val="00B54976"/>
    <w:rsid w:val="00B54E18"/>
    <w:rsid w:val="00B55099"/>
    <w:rsid w:val="00B5545E"/>
    <w:rsid w:val="00B55DE6"/>
    <w:rsid w:val="00B55F58"/>
    <w:rsid w:val="00B560A7"/>
    <w:rsid w:val="00B5705E"/>
    <w:rsid w:val="00B57DD5"/>
    <w:rsid w:val="00B600B9"/>
    <w:rsid w:val="00B600C1"/>
    <w:rsid w:val="00B608EF"/>
    <w:rsid w:val="00B61709"/>
    <w:rsid w:val="00B61D8A"/>
    <w:rsid w:val="00B623EC"/>
    <w:rsid w:val="00B62DCD"/>
    <w:rsid w:val="00B6359E"/>
    <w:rsid w:val="00B64064"/>
    <w:rsid w:val="00B64677"/>
    <w:rsid w:val="00B64FB4"/>
    <w:rsid w:val="00B66FDF"/>
    <w:rsid w:val="00B671FF"/>
    <w:rsid w:val="00B6723D"/>
    <w:rsid w:val="00B67A18"/>
    <w:rsid w:val="00B70D5B"/>
    <w:rsid w:val="00B71AAE"/>
    <w:rsid w:val="00B72630"/>
    <w:rsid w:val="00B7318B"/>
    <w:rsid w:val="00B733D5"/>
    <w:rsid w:val="00B73B3E"/>
    <w:rsid w:val="00B73FA2"/>
    <w:rsid w:val="00B74823"/>
    <w:rsid w:val="00B74D9C"/>
    <w:rsid w:val="00B7516D"/>
    <w:rsid w:val="00B7718A"/>
    <w:rsid w:val="00B800E2"/>
    <w:rsid w:val="00B800F6"/>
    <w:rsid w:val="00B806A6"/>
    <w:rsid w:val="00B8125A"/>
    <w:rsid w:val="00B8181E"/>
    <w:rsid w:val="00B82789"/>
    <w:rsid w:val="00B83B20"/>
    <w:rsid w:val="00B83FDC"/>
    <w:rsid w:val="00B8423E"/>
    <w:rsid w:val="00B84489"/>
    <w:rsid w:val="00B844FE"/>
    <w:rsid w:val="00B8524A"/>
    <w:rsid w:val="00B85B68"/>
    <w:rsid w:val="00B86F47"/>
    <w:rsid w:val="00B87810"/>
    <w:rsid w:val="00B946E9"/>
    <w:rsid w:val="00B94812"/>
    <w:rsid w:val="00B949D7"/>
    <w:rsid w:val="00B94BA7"/>
    <w:rsid w:val="00B94E9D"/>
    <w:rsid w:val="00B95799"/>
    <w:rsid w:val="00B9616C"/>
    <w:rsid w:val="00B96550"/>
    <w:rsid w:val="00B96B50"/>
    <w:rsid w:val="00B96D3A"/>
    <w:rsid w:val="00B9742A"/>
    <w:rsid w:val="00BA018A"/>
    <w:rsid w:val="00BA045B"/>
    <w:rsid w:val="00BA0AB9"/>
    <w:rsid w:val="00BA1447"/>
    <w:rsid w:val="00BA1BBA"/>
    <w:rsid w:val="00BA265B"/>
    <w:rsid w:val="00BA2C4D"/>
    <w:rsid w:val="00BA2F76"/>
    <w:rsid w:val="00BA3015"/>
    <w:rsid w:val="00BA45BF"/>
    <w:rsid w:val="00BA4904"/>
    <w:rsid w:val="00BA4FAD"/>
    <w:rsid w:val="00BA5166"/>
    <w:rsid w:val="00BA5235"/>
    <w:rsid w:val="00BA5899"/>
    <w:rsid w:val="00BA59BD"/>
    <w:rsid w:val="00BA5B1B"/>
    <w:rsid w:val="00BA7A9C"/>
    <w:rsid w:val="00BA7DD3"/>
    <w:rsid w:val="00BB254A"/>
    <w:rsid w:val="00BB3714"/>
    <w:rsid w:val="00BB3DB2"/>
    <w:rsid w:val="00BB741D"/>
    <w:rsid w:val="00BB75A3"/>
    <w:rsid w:val="00BB776E"/>
    <w:rsid w:val="00BC00BB"/>
    <w:rsid w:val="00BC0A03"/>
    <w:rsid w:val="00BC0C8A"/>
    <w:rsid w:val="00BC1714"/>
    <w:rsid w:val="00BC209D"/>
    <w:rsid w:val="00BC2444"/>
    <w:rsid w:val="00BC2710"/>
    <w:rsid w:val="00BC33B1"/>
    <w:rsid w:val="00BC3424"/>
    <w:rsid w:val="00BC46BA"/>
    <w:rsid w:val="00BC5020"/>
    <w:rsid w:val="00BC53DF"/>
    <w:rsid w:val="00BC5FC6"/>
    <w:rsid w:val="00BC65EA"/>
    <w:rsid w:val="00BC6E21"/>
    <w:rsid w:val="00BD055A"/>
    <w:rsid w:val="00BD05B4"/>
    <w:rsid w:val="00BD16D9"/>
    <w:rsid w:val="00BD2F16"/>
    <w:rsid w:val="00BD3285"/>
    <w:rsid w:val="00BD3729"/>
    <w:rsid w:val="00BD3AEF"/>
    <w:rsid w:val="00BD3FBA"/>
    <w:rsid w:val="00BD40F5"/>
    <w:rsid w:val="00BD7A67"/>
    <w:rsid w:val="00BD7D62"/>
    <w:rsid w:val="00BD7FFA"/>
    <w:rsid w:val="00BE0361"/>
    <w:rsid w:val="00BE043F"/>
    <w:rsid w:val="00BE136B"/>
    <w:rsid w:val="00BE2735"/>
    <w:rsid w:val="00BE287E"/>
    <w:rsid w:val="00BE3B28"/>
    <w:rsid w:val="00BE494B"/>
    <w:rsid w:val="00BE7257"/>
    <w:rsid w:val="00BE7E55"/>
    <w:rsid w:val="00BF227E"/>
    <w:rsid w:val="00BF36F7"/>
    <w:rsid w:val="00BF4589"/>
    <w:rsid w:val="00BF5CD8"/>
    <w:rsid w:val="00C00408"/>
    <w:rsid w:val="00C0045C"/>
    <w:rsid w:val="00C012D8"/>
    <w:rsid w:val="00C01DC8"/>
    <w:rsid w:val="00C020A0"/>
    <w:rsid w:val="00C02441"/>
    <w:rsid w:val="00C028C5"/>
    <w:rsid w:val="00C02EF2"/>
    <w:rsid w:val="00C03730"/>
    <w:rsid w:val="00C03F56"/>
    <w:rsid w:val="00C045A4"/>
    <w:rsid w:val="00C0508A"/>
    <w:rsid w:val="00C052EB"/>
    <w:rsid w:val="00C05CC6"/>
    <w:rsid w:val="00C05FCC"/>
    <w:rsid w:val="00C06836"/>
    <w:rsid w:val="00C0699E"/>
    <w:rsid w:val="00C079A9"/>
    <w:rsid w:val="00C07F86"/>
    <w:rsid w:val="00C11FE0"/>
    <w:rsid w:val="00C12659"/>
    <w:rsid w:val="00C12BAE"/>
    <w:rsid w:val="00C12EC3"/>
    <w:rsid w:val="00C12F4D"/>
    <w:rsid w:val="00C13852"/>
    <w:rsid w:val="00C1496A"/>
    <w:rsid w:val="00C153B3"/>
    <w:rsid w:val="00C15642"/>
    <w:rsid w:val="00C15D3C"/>
    <w:rsid w:val="00C15E28"/>
    <w:rsid w:val="00C16FE4"/>
    <w:rsid w:val="00C17373"/>
    <w:rsid w:val="00C2101B"/>
    <w:rsid w:val="00C225A4"/>
    <w:rsid w:val="00C22A61"/>
    <w:rsid w:val="00C23046"/>
    <w:rsid w:val="00C2324E"/>
    <w:rsid w:val="00C239EF"/>
    <w:rsid w:val="00C24652"/>
    <w:rsid w:val="00C24B97"/>
    <w:rsid w:val="00C25049"/>
    <w:rsid w:val="00C2513D"/>
    <w:rsid w:val="00C253C3"/>
    <w:rsid w:val="00C255D2"/>
    <w:rsid w:val="00C25A9C"/>
    <w:rsid w:val="00C25BC4"/>
    <w:rsid w:val="00C262FC"/>
    <w:rsid w:val="00C26FC8"/>
    <w:rsid w:val="00C27160"/>
    <w:rsid w:val="00C27C4B"/>
    <w:rsid w:val="00C30993"/>
    <w:rsid w:val="00C315F9"/>
    <w:rsid w:val="00C32560"/>
    <w:rsid w:val="00C32667"/>
    <w:rsid w:val="00C326C6"/>
    <w:rsid w:val="00C32CCC"/>
    <w:rsid w:val="00C33919"/>
    <w:rsid w:val="00C343F1"/>
    <w:rsid w:val="00C34C59"/>
    <w:rsid w:val="00C36BCA"/>
    <w:rsid w:val="00C3741B"/>
    <w:rsid w:val="00C37AF6"/>
    <w:rsid w:val="00C40844"/>
    <w:rsid w:val="00C40D46"/>
    <w:rsid w:val="00C42F7F"/>
    <w:rsid w:val="00C434E4"/>
    <w:rsid w:val="00C43BBC"/>
    <w:rsid w:val="00C44EBB"/>
    <w:rsid w:val="00C45E47"/>
    <w:rsid w:val="00C46061"/>
    <w:rsid w:val="00C46D43"/>
    <w:rsid w:val="00C47082"/>
    <w:rsid w:val="00C47DDF"/>
    <w:rsid w:val="00C511A2"/>
    <w:rsid w:val="00C52B8A"/>
    <w:rsid w:val="00C53809"/>
    <w:rsid w:val="00C538C4"/>
    <w:rsid w:val="00C541A9"/>
    <w:rsid w:val="00C568C3"/>
    <w:rsid w:val="00C5701E"/>
    <w:rsid w:val="00C60211"/>
    <w:rsid w:val="00C60F62"/>
    <w:rsid w:val="00C61477"/>
    <w:rsid w:val="00C62B9C"/>
    <w:rsid w:val="00C63F92"/>
    <w:rsid w:val="00C6507E"/>
    <w:rsid w:val="00C651F8"/>
    <w:rsid w:val="00C654E4"/>
    <w:rsid w:val="00C65E53"/>
    <w:rsid w:val="00C663CA"/>
    <w:rsid w:val="00C668B9"/>
    <w:rsid w:val="00C6769B"/>
    <w:rsid w:val="00C70A9F"/>
    <w:rsid w:val="00C711EA"/>
    <w:rsid w:val="00C7156F"/>
    <w:rsid w:val="00C72056"/>
    <w:rsid w:val="00C72E49"/>
    <w:rsid w:val="00C72E89"/>
    <w:rsid w:val="00C7423B"/>
    <w:rsid w:val="00C75210"/>
    <w:rsid w:val="00C75B2F"/>
    <w:rsid w:val="00C75C39"/>
    <w:rsid w:val="00C762F1"/>
    <w:rsid w:val="00C77999"/>
    <w:rsid w:val="00C77B12"/>
    <w:rsid w:val="00C8009F"/>
    <w:rsid w:val="00C81D70"/>
    <w:rsid w:val="00C8249B"/>
    <w:rsid w:val="00C838DD"/>
    <w:rsid w:val="00C84A7E"/>
    <w:rsid w:val="00C84DDC"/>
    <w:rsid w:val="00C85257"/>
    <w:rsid w:val="00C87F33"/>
    <w:rsid w:val="00C91882"/>
    <w:rsid w:val="00C92D1B"/>
    <w:rsid w:val="00C93DA7"/>
    <w:rsid w:val="00C94EAE"/>
    <w:rsid w:val="00C954A7"/>
    <w:rsid w:val="00C95671"/>
    <w:rsid w:val="00C95E4A"/>
    <w:rsid w:val="00C962D5"/>
    <w:rsid w:val="00C963F0"/>
    <w:rsid w:val="00C967AA"/>
    <w:rsid w:val="00CA1495"/>
    <w:rsid w:val="00CA1770"/>
    <w:rsid w:val="00CA2477"/>
    <w:rsid w:val="00CA2741"/>
    <w:rsid w:val="00CA2AD1"/>
    <w:rsid w:val="00CA2C28"/>
    <w:rsid w:val="00CA50DE"/>
    <w:rsid w:val="00CA51D0"/>
    <w:rsid w:val="00CA530E"/>
    <w:rsid w:val="00CA5718"/>
    <w:rsid w:val="00CA5BD2"/>
    <w:rsid w:val="00CB0A91"/>
    <w:rsid w:val="00CB1815"/>
    <w:rsid w:val="00CB264E"/>
    <w:rsid w:val="00CB26FA"/>
    <w:rsid w:val="00CB3E28"/>
    <w:rsid w:val="00CB3EAE"/>
    <w:rsid w:val="00CB489C"/>
    <w:rsid w:val="00CB5BF7"/>
    <w:rsid w:val="00CC0E98"/>
    <w:rsid w:val="00CC219F"/>
    <w:rsid w:val="00CC2223"/>
    <w:rsid w:val="00CC2299"/>
    <w:rsid w:val="00CC26B2"/>
    <w:rsid w:val="00CC4CAB"/>
    <w:rsid w:val="00CC513E"/>
    <w:rsid w:val="00CC52A1"/>
    <w:rsid w:val="00CC56B4"/>
    <w:rsid w:val="00CC59EB"/>
    <w:rsid w:val="00CC6678"/>
    <w:rsid w:val="00CC75B2"/>
    <w:rsid w:val="00CC795C"/>
    <w:rsid w:val="00CC7BEA"/>
    <w:rsid w:val="00CD2182"/>
    <w:rsid w:val="00CD5349"/>
    <w:rsid w:val="00CD546E"/>
    <w:rsid w:val="00CD5A4A"/>
    <w:rsid w:val="00CD60B6"/>
    <w:rsid w:val="00CD7730"/>
    <w:rsid w:val="00CE0298"/>
    <w:rsid w:val="00CE1381"/>
    <w:rsid w:val="00CE1651"/>
    <w:rsid w:val="00CE1B89"/>
    <w:rsid w:val="00CE22FD"/>
    <w:rsid w:val="00CE3489"/>
    <w:rsid w:val="00CE52F2"/>
    <w:rsid w:val="00CE5D8E"/>
    <w:rsid w:val="00CE6CE3"/>
    <w:rsid w:val="00CE762E"/>
    <w:rsid w:val="00CE7910"/>
    <w:rsid w:val="00CF0415"/>
    <w:rsid w:val="00CF047B"/>
    <w:rsid w:val="00CF0FAB"/>
    <w:rsid w:val="00CF2266"/>
    <w:rsid w:val="00CF2D1B"/>
    <w:rsid w:val="00CF653D"/>
    <w:rsid w:val="00CF66D9"/>
    <w:rsid w:val="00CF7F4E"/>
    <w:rsid w:val="00D00063"/>
    <w:rsid w:val="00D0014F"/>
    <w:rsid w:val="00D002B9"/>
    <w:rsid w:val="00D018F6"/>
    <w:rsid w:val="00D01963"/>
    <w:rsid w:val="00D019AC"/>
    <w:rsid w:val="00D022E2"/>
    <w:rsid w:val="00D03840"/>
    <w:rsid w:val="00D038B5"/>
    <w:rsid w:val="00D03AAA"/>
    <w:rsid w:val="00D054BC"/>
    <w:rsid w:val="00D0660F"/>
    <w:rsid w:val="00D1065C"/>
    <w:rsid w:val="00D10C57"/>
    <w:rsid w:val="00D11BE9"/>
    <w:rsid w:val="00D11FD8"/>
    <w:rsid w:val="00D12F77"/>
    <w:rsid w:val="00D13237"/>
    <w:rsid w:val="00D138CA"/>
    <w:rsid w:val="00D1564B"/>
    <w:rsid w:val="00D15854"/>
    <w:rsid w:val="00D158A7"/>
    <w:rsid w:val="00D171A6"/>
    <w:rsid w:val="00D178E4"/>
    <w:rsid w:val="00D17C2A"/>
    <w:rsid w:val="00D21AC5"/>
    <w:rsid w:val="00D22EC9"/>
    <w:rsid w:val="00D22F0C"/>
    <w:rsid w:val="00D23020"/>
    <w:rsid w:val="00D2349A"/>
    <w:rsid w:val="00D23EB5"/>
    <w:rsid w:val="00D23EEF"/>
    <w:rsid w:val="00D24241"/>
    <w:rsid w:val="00D248F9"/>
    <w:rsid w:val="00D25790"/>
    <w:rsid w:val="00D2663E"/>
    <w:rsid w:val="00D30076"/>
    <w:rsid w:val="00D307A7"/>
    <w:rsid w:val="00D31379"/>
    <w:rsid w:val="00D31C29"/>
    <w:rsid w:val="00D32390"/>
    <w:rsid w:val="00D3395F"/>
    <w:rsid w:val="00D34B8F"/>
    <w:rsid w:val="00D350C8"/>
    <w:rsid w:val="00D356AA"/>
    <w:rsid w:val="00D3607B"/>
    <w:rsid w:val="00D379DD"/>
    <w:rsid w:val="00D4007D"/>
    <w:rsid w:val="00D40CB2"/>
    <w:rsid w:val="00D40D00"/>
    <w:rsid w:val="00D42DC9"/>
    <w:rsid w:val="00D43E19"/>
    <w:rsid w:val="00D446D2"/>
    <w:rsid w:val="00D44745"/>
    <w:rsid w:val="00D448C4"/>
    <w:rsid w:val="00D44BE0"/>
    <w:rsid w:val="00D451EC"/>
    <w:rsid w:val="00D45437"/>
    <w:rsid w:val="00D45D91"/>
    <w:rsid w:val="00D464B7"/>
    <w:rsid w:val="00D5077A"/>
    <w:rsid w:val="00D5106E"/>
    <w:rsid w:val="00D51208"/>
    <w:rsid w:val="00D5266C"/>
    <w:rsid w:val="00D540C2"/>
    <w:rsid w:val="00D54C7C"/>
    <w:rsid w:val="00D54E8A"/>
    <w:rsid w:val="00D551B8"/>
    <w:rsid w:val="00D554D9"/>
    <w:rsid w:val="00D563D7"/>
    <w:rsid w:val="00D56FF9"/>
    <w:rsid w:val="00D5733D"/>
    <w:rsid w:val="00D57F21"/>
    <w:rsid w:val="00D61FCD"/>
    <w:rsid w:val="00D62886"/>
    <w:rsid w:val="00D63EBE"/>
    <w:rsid w:val="00D6448F"/>
    <w:rsid w:val="00D67442"/>
    <w:rsid w:val="00D72BD5"/>
    <w:rsid w:val="00D72D31"/>
    <w:rsid w:val="00D743BA"/>
    <w:rsid w:val="00D74553"/>
    <w:rsid w:val="00D74EFC"/>
    <w:rsid w:val="00D754A3"/>
    <w:rsid w:val="00D76185"/>
    <w:rsid w:val="00D76CC4"/>
    <w:rsid w:val="00D7732F"/>
    <w:rsid w:val="00D77B95"/>
    <w:rsid w:val="00D8087F"/>
    <w:rsid w:val="00D80E9B"/>
    <w:rsid w:val="00D810CC"/>
    <w:rsid w:val="00D8133D"/>
    <w:rsid w:val="00D813FE"/>
    <w:rsid w:val="00D821B9"/>
    <w:rsid w:val="00D82C4F"/>
    <w:rsid w:val="00D82FF7"/>
    <w:rsid w:val="00D8464B"/>
    <w:rsid w:val="00D84939"/>
    <w:rsid w:val="00D84BFA"/>
    <w:rsid w:val="00D850F6"/>
    <w:rsid w:val="00D8531B"/>
    <w:rsid w:val="00D86F2E"/>
    <w:rsid w:val="00D8733D"/>
    <w:rsid w:val="00D87386"/>
    <w:rsid w:val="00D9098D"/>
    <w:rsid w:val="00D91E17"/>
    <w:rsid w:val="00D92CB4"/>
    <w:rsid w:val="00D92DDF"/>
    <w:rsid w:val="00D93562"/>
    <w:rsid w:val="00D9464A"/>
    <w:rsid w:val="00D94C27"/>
    <w:rsid w:val="00D94D18"/>
    <w:rsid w:val="00D95633"/>
    <w:rsid w:val="00D95747"/>
    <w:rsid w:val="00D95AD2"/>
    <w:rsid w:val="00D95EDB"/>
    <w:rsid w:val="00D96168"/>
    <w:rsid w:val="00D9626F"/>
    <w:rsid w:val="00D96B71"/>
    <w:rsid w:val="00D96DA7"/>
    <w:rsid w:val="00D97324"/>
    <w:rsid w:val="00D9773D"/>
    <w:rsid w:val="00D97BF8"/>
    <w:rsid w:val="00DA128F"/>
    <w:rsid w:val="00DA202A"/>
    <w:rsid w:val="00DA2149"/>
    <w:rsid w:val="00DA2436"/>
    <w:rsid w:val="00DA2EB0"/>
    <w:rsid w:val="00DA56B7"/>
    <w:rsid w:val="00DA5AE9"/>
    <w:rsid w:val="00DA5EDB"/>
    <w:rsid w:val="00DA7435"/>
    <w:rsid w:val="00DA79CD"/>
    <w:rsid w:val="00DB3390"/>
    <w:rsid w:val="00DB35B3"/>
    <w:rsid w:val="00DB3CF8"/>
    <w:rsid w:val="00DB40C7"/>
    <w:rsid w:val="00DB6021"/>
    <w:rsid w:val="00DB7F82"/>
    <w:rsid w:val="00DC0119"/>
    <w:rsid w:val="00DC0B01"/>
    <w:rsid w:val="00DC0BF2"/>
    <w:rsid w:val="00DC1480"/>
    <w:rsid w:val="00DC2022"/>
    <w:rsid w:val="00DC3A35"/>
    <w:rsid w:val="00DC3C3E"/>
    <w:rsid w:val="00DC575B"/>
    <w:rsid w:val="00DC63CA"/>
    <w:rsid w:val="00DC6A1A"/>
    <w:rsid w:val="00DD1643"/>
    <w:rsid w:val="00DD17D6"/>
    <w:rsid w:val="00DD18E4"/>
    <w:rsid w:val="00DD1C91"/>
    <w:rsid w:val="00DD21EF"/>
    <w:rsid w:val="00DD2DE5"/>
    <w:rsid w:val="00DD306D"/>
    <w:rsid w:val="00DD4C5A"/>
    <w:rsid w:val="00DD527B"/>
    <w:rsid w:val="00DD5E31"/>
    <w:rsid w:val="00DD5FFB"/>
    <w:rsid w:val="00DD6040"/>
    <w:rsid w:val="00DD6131"/>
    <w:rsid w:val="00DD660A"/>
    <w:rsid w:val="00DD6E4E"/>
    <w:rsid w:val="00DD712B"/>
    <w:rsid w:val="00DD7AA7"/>
    <w:rsid w:val="00DE20C1"/>
    <w:rsid w:val="00DE3129"/>
    <w:rsid w:val="00DE3424"/>
    <w:rsid w:val="00DE3BA0"/>
    <w:rsid w:val="00DE4DC1"/>
    <w:rsid w:val="00DE509B"/>
    <w:rsid w:val="00DE562F"/>
    <w:rsid w:val="00DE568C"/>
    <w:rsid w:val="00DE5A15"/>
    <w:rsid w:val="00DE61F5"/>
    <w:rsid w:val="00DE62E2"/>
    <w:rsid w:val="00DE7432"/>
    <w:rsid w:val="00DF0610"/>
    <w:rsid w:val="00DF0E78"/>
    <w:rsid w:val="00DF1322"/>
    <w:rsid w:val="00DF15EF"/>
    <w:rsid w:val="00DF2CA8"/>
    <w:rsid w:val="00DF3024"/>
    <w:rsid w:val="00DF3696"/>
    <w:rsid w:val="00DF462F"/>
    <w:rsid w:val="00DF5253"/>
    <w:rsid w:val="00DF65C8"/>
    <w:rsid w:val="00E004DD"/>
    <w:rsid w:val="00E00531"/>
    <w:rsid w:val="00E0055C"/>
    <w:rsid w:val="00E0101C"/>
    <w:rsid w:val="00E0169A"/>
    <w:rsid w:val="00E03F44"/>
    <w:rsid w:val="00E048F2"/>
    <w:rsid w:val="00E04DBB"/>
    <w:rsid w:val="00E05C1D"/>
    <w:rsid w:val="00E06FD7"/>
    <w:rsid w:val="00E073FF"/>
    <w:rsid w:val="00E106D2"/>
    <w:rsid w:val="00E10BB8"/>
    <w:rsid w:val="00E1147C"/>
    <w:rsid w:val="00E1227A"/>
    <w:rsid w:val="00E124A3"/>
    <w:rsid w:val="00E126EC"/>
    <w:rsid w:val="00E12E22"/>
    <w:rsid w:val="00E13E79"/>
    <w:rsid w:val="00E16509"/>
    <w:rsid w:val="00E168A2"/>
    <w:rsid w:val="00E177AE"/>
    <w:rsid w:val="00E17C57"/>
    <w:rsid w:val="00E17E52"/>
    <w:rsid w:val="00E2013D"/>
    <w:rsid w:val="00E21524"/>
    <w:rsid w:val="00E23880"/>
    <w:rsid w:val="00E23A08"/>
    <w:rsid w:val="00E24071"/>
    <w:rsid w:val="00E24722"/>
    <w:rsid w:val="00E24987"/>
    <w:rsid w:val="00E24A3B"/>
    <w:rsid w:val="00E24C33"/>
    <w:rsid w:val="00E25054"/>
    <w:rsid w:val="00E263CF"/>
    <w:rsid w:val="00E26C8B"/>
    <w:rsid w:val="00E27373"/>
    <w:rsid w:val="00E277E8"/>
    <w:rsid w:val="00E27E3F"/>
    <w:rsid w:val="00E27FCF"/>
    <w:rsid w:val="00E3147D"/>
    <w:rsid w:val="00E32E37"/>
    <w:rsid w:val="00E3456F"/>
    <w:rsid w:val="00E34936"/>
    <w:rsid w:val="00E34C20"/>
    <w:rsid w:val="00E34F35"/>
    <w:rsid w:val="00E3519B"/>
    <w:rsid w:val="00E35C7C"/>
    <w:rsid w:val="00E35DF6"/>
    <w:rsid w:val="00E36787"/>
    <w:rsid w:val="00E36DAF"/>
    <w:rsid w:val="00E36F0D"/>
    <w:rsid w:val="00E375B8"/>
    <w:rsid w:val="00E377C3"/>
    <w:rsid w:val="00E415AC"/>
    <w:rsid w:val="00E41FA0"/>
    <w:rsid w:val="00E421FD"/>
    <w:rsid w:val="00E42365"/>
    <w:rsid w:val="00E437E4"/>
    <w:rsid w:val="00E43E25"/>
    <w:rsid w:val="00E450F5"/>
    <w:rsid w:val="00E451D1"/>
    <w:rsid w:val="00E476E5"/>
    <w:rsid w:val="00E504B9"/>
    <w:rsid w:val="00E5324B"/>
    <w:rsid w:val="00E53A50"/>
    <w:rsid w:val="00E55BBE"/>
    <w:rsid w:val="00E56263"/>
    <w:rsid w:val="00E563B7"/>
    <w:rsid w:val="00E5696B"/>
    <w:rsid w:val="00E57006"/>
    <w:rsid w:val="00E5762F"/>
    <w:rsid w:val="00E57F08"/>
    <w:rsid w:val="00E60618"/>
    <w:rsid w:val="00E60957"/>
    <w:rsid w:val="00E61DEB"/>
    <w:rsid w:val="00E624B6"/>
    <w:rsid w:val="00E626F3"/>
    <w:rsid w:val="00E62911"/>
    <w:rsid w:val="00E63326"/>
    <w:rsid w:val="00E634E5"/>
    <w:rsid w:val="00E63737"/>
    <w:rsid w:val="00E63B1F"/>
    <w:rsid w:val="00E63F34"/>
    <w:rsid w:val="00E641A3"/>
    <w:rsid w:val="00E6543D"/>
    <w:rsid w:val="00E65E6B"/>
    <w:rsid w:val="00E669DD"/>
    <w:rsid w:val="00E7070F"/>
    <w:rsid w:val="00E70E44"/>
    <w:rsid w:val="00E7401D"/>
    <w:rsid w:val="00E74786"/>
    <w:rsid w:val="00E7499E"/>
    <w:rsid w:val="00E7780B"/>
    <w:rsid w:val="00E77A76"/>
    <w:rsid w:val="00E804D2"/>
    <w:rsid w:val="00E80A62"/>
    <w:rsid w:val="00E80C94"/>
    <w:rsid w:val="00E83B9E"/>
    <w:rsid w:val="00E848DF"/>
    <w:rsid w:val="00E854BE"/>
    <w:rsid w:val="00E85792"/>
    <w:rsid w:val="00E85FB6"/>
    <w:rsid w:val="00E86D4E"/>
    <w:rsid w:val="00E87063"/>
    <w:rsid w:val="00E874DF"/>
    <w:rsid w:val="00E877D4"/>
    <w:rsid w:val="00E916A7"/>
    <w:rsid w:val="00E91CDB"/>
    <w:rsid w:val="00E91FFD"/>
    <w:rsid w:val="00E92604"/>
    <w:rsid w:val="00E937B0"/>
    <w:rsid w:val="00E9495F"/>
    <w:rsid w:val="00E95758"/>
    <w:rsid w:val="00E96D51"/>
    <w:rsid w:val="00EA0AB7"/>
    <w:rsid w:val="00EA0AE7"/>
    <w:rsid w:val="00EA0FF7"/>
    <w:rsid w:val="00EA1898"/>
    <w:rsid w:val="00EA199B"/>
    <w:rsid w:val="00EA2120"/>
    <w:rsid w:val="00EA229D"/>
    <w:rsid w:val="00EA2D2C"/>
    <w:rsid w:val="00EA3029"/>
    <w:rsid w:val="00EA34A4"/>
    <w:rsid w:val="00EA37B7"/>
    <w:rsid w:val="00EA4308"/>
    <w:rsid w:val="00EA50C8"/>
    <w:rsid w:val="00EA5335"/>
    <w:rsid w:val="00EA545E"/>
    <w:rsid w:val="00EA54D9"/>
    <w:rsid w:val="00EA6325"/>
    <w:rsid w:val="00EA6889"/>
    <w:rsid w:val="00EA6B41"/>
    <w:rsid w:val="00EA6B89"/>
    <w:rsid w:val="00EA71CD"/>
    <w:rsid w:val="00EA7731"/>
    <w:rsid w:val="00EA7946"/>
    <w:rsid w:val="00EB031A"/>
    <w:rsid w:val="00EB037D"/>
    <w:rsid w:val="00EB050B"/>
    <w:rsid w:val="00EB1932"/>
    <w:rsid w:val="00EB2DAC"/>
    <w:rsid w:val="00EB3AB5"/>
    <w:rsid w:val="00EB42AD"/>
    <w:rsid w:val="00EB4AAF"/>
    <w:rsid w:val="00EB562E"/>
    <w:rsid w:val="00EC1098"/>
    <w:rsid w:val="00EC1709"/>
    <w:rsid w:val="00EC2DBB"/>
    <w:rsid w:val="00EC36DF"/>
    <w:rsid w:val="00EC39B5"/>
    <w:rsid w:val="00EC4030"/>
    <w:rsid w:val="00EC5F62"/>
    <w:rsid w:val="00EC65CD"/>
    <w:rsid w:val="00EC6BAF"/>
    <w:rsid w:val="00EC6D6D"/>
    <w:rsid w:val="00EC73B2"/>
    <w:rsid w:val="00ED0D2D"/>
    <w:rsid w:val="00ED112C"/>
    <w:rsid w:val="00ED1171"/>
    <w:rsid w:val="00ED14BA"/>
    <w:rsid w:val="00ED2E01"/>
    <w:rsid w:val="00ED3004"/>
    <w:rsid w:val="00ED589C"/>
    <w:rsid w:val="00ED651F"/>
    <w:rsid w:val="00ED7407"/>
    <w:rsid w:val="00ED776F"/>
    <w:rsid w:val="00ED7DDE"/>
    <w:rsid w:val="00EE031E"/>
    <w:rsid w:val="00EE03E9"/>
    <w:rsid w:val="00EE18B6"/>
    <w:rsid w:val="00EE2287"/>
    <w:rsid w:val="00EE2F45"/>
    <w:rsid w:val="00EE412B"/>
    <w:rsid w:val="00EE4BBB"/>
    <w:rsid w:val="00EE50CF"/>
    <w:rsid w:val="00EE526E"/>
    <w:rsid w:val="00EE59DE"/>
    <w:rsid w:val="00EE5ED3"/>
    <w:rsid w:val="00EE6071"/>
    <w:rsid w:val="00EE70DF"/>
    <w:rsid w:val="00EE76F9"/>
    <w:rsid w:val="00EE778F"/>
    <w:rsid w:val="00EE7D82"/>
    <w:rsid w:val="00EF0674"/>
    <w:rsid w:val="00EF0D1C"/>
    <w:rsid w:val="00EF0F82"/>
    <w:rsid w:val="00EF152F"/>
    <w:rsid w:val="00EF1A23"/>
    <w:rsid w:val="00EF3676"/>
    <w:rsid w:val="00EF39BD"/>
    <w:rsid w:val="00EF5696"/>
    <w:rsid w:val="00EF69F6"/>
    <w:rsid w:val="00EF6DC7"/>
    <w:rsid w:val="00EF6FA0"/>
    <w:rsid w:val="00EF7F82"/>
    <w:rsid w:val="00F007AA"/>
    <w:rsid w:val="00F00AAA"/>
    <w:rsid w:val="00F00EBB"/>
    <w:rsid w:val="00F021BC"/>
    <w:rsid w:val="00F03706"/>
    <w:rsid w:val="00F03DDB"/>
    <w:rsid w:val="00F04E50"/>
    <w:rsid w:val="00F065CA"/>
    <w:rsid w:val="00F07637"/>
    <w:rsid w:val="00F07B21"/>
    <w:rsid w:val="00F10F9C"/>
    <w:rsid w:val="00F118E8"/>
    <w:rsid w:val="00F1245B"/>
    <w:rsid w:val="00F132D5"/>
    <w:rsid w:val="00F1547C"/>
    <w:rsid w:val="00F16684"/>
    <w:rsid w:val="00F17047"/>
    <w:rsid w:val="00F1739A"/>
    <w:rsid w:val="00F2014A"/>
    <w:rsid w:val="00F22B63"/>
    <w:rsid w:val="00F23001"/>
    <w:rsid w:val="00F24CB1"/>
    <w:rsid w:val="00F25088"/>
    <w:rsid w:val="00F2608A"/>
    <w:rsid w:val="00F267FF"/>
    <w:rsid w:val="00F2714C"/>
    <w:rsid w:val="00F27169"/>
    <w:rsid w:val="00F27517"/>
    <w:rsid w:val="00F27F9B"/>
    <w:rsid w:val="00F30A60"/>
    <w:rsid w:val="00F30B02"/>
    <w:rsid w:val="00F3140B"/>
    <w:rsid w:val="00F31418"/>
    <w:rsid w:val="00F3255E"/>
    <w:rsid w:val="00F33626"/>
    <w:rsid w:val="00F34715"/>
    <w:rsid w:val="00F3552F"/>
    <w:rsid w:val="00F365D8"/>
    <w:rsid w:val="00F374FF"/>
    <w:rsid w:val="00F408DF"/>
    <w:rsid w:val="00F40D7D"/>
    <w:rsid w:val="00F40FC7"/>
    <w:rsid w:val="00F41C91"/>
    <w:rsid w:val="00F420A0"/>
    <w:rsid w:val="00F420EA"/>
    <w:rsid w:val="00F42692"/>
    <w:rsid w:val="00F433F5"/>
    <w:rsid w:val="00F43F60"/>
    <w:rsid w:val="00F446E4"/>
    <w:rsid w:val="00F44860"/>
    <w:rsid w:val="00F44989"/>
    <w:rsid w:val="00F4530A"/>
    <w:rsid w:val="00F46796"/>
    <w:rsid w:val="00F479A7"/>
    <w:rsid w:val="00F479CF"/>
    <w:rsid w:val="00F50B11"/>
    <w:rsid w:val="00F51480"/>
    <w:rsid w:val="00F51FC2"/>
    <w:rsid w:val="00F521B9"/>
    <w:rsid w:val="00F52398"/>
    <w:rsid w:val="00F52C42"/>
    <w:rsid w:val="00F543ED"/>
    <w:rsid w:val="00F54AE7"/>
    <w:rsid w:val="00F5559E"/>
    <w:rsid w:val="00F56569"/>
    <w:rsid w:val="00F56D15"/>
    <w:rsid w:val="00F60582"/>
    <w:rsid w:val="00F6079A"/>
    <w:rsid w:val="00F60868"/>
    <w:rsid w:val="00F62D40"/>
    <w:rsid w:val="00F6383D"/>
    <w:rsid w:val="00F63906"/>
    <w:rsid w:val="00F641EF"/>
    <w:rsid w:val="00F65E8C"/>
    <w:rsid w:val="00F70788"/>
    <w:rsid w:val="00F707FD"/>
    <w:rsid w:val="00F70EBD"/>
    <w:rsid w:val="00F7100A"/>
    <w:rsid w:val="00F71DB8"/>
    <w:rsid w:val="00F726A7"/>
    <w:rsid w:val="00F72703"/>
    <w:rsid w:val="00F737E0"/>
    <w:rsid w:val="00F74682"/>
    <w:rsid w:val="00F753EC"/>
    <w:rsid w:val="00F7724C"/>
    <w:rsid w:val="00F82533"/>
    <w:rsid w:val="00F82F67"/>
    <w:rsid w:val="00F83592"/>
    <w:rsid w:val="00F843A9"/>
    <w:rsid w:val="00F84BB1"/>
    <w:rsid w:val="00F84C6F"/>
    <w:rsid w:val="00F84D5F"/>
    <w:rsid w:val="00F84EC3"/>
    <w:rsid w:val="00F85638"/>
    <w:rsid w:val="00F86B52"/>
    <w:rsid w:val="00F877C6"/>
    <w:rsid w:val="00F901B1"/>
    <w:rsid w:val="00F90441"/>
    <w:rsid w:val="00F92426"/>
    <w:rsid w:val="00F93018"/>
    <w:rsid w:val="00F93BE5"/>
    <w:rsid w:val="00F941E9"/>
    <w:rsid w:val="00F94286"/>
    <w:rsid w:val="00F94453"/>
    <w:rsid w:val="00F94D97"/>
    <w:rsid w:val="00F94DA5"/>
    <w:rsid w:val="00F95C07"/>
    <w:rsid w:val="00F962C5"/>
    <w:rsid w:val="00F96716"/>
    <w:rsid w:val="00F96C76"/>
    <w:rsid w:val="00F96EF0"/>
    <w:rsid w:val="00F97506"/>
    <w:rsid w:val="00FA1837"/>
    <w:rsid w:val="00FA1BA9"/>
    <w:rsid w:val="00FA2766"/>
    <w:rsid w:val="00FA4240"/>
    <w:rsid w:val="00FA4935"/>
    <w:rsid w:val="00FA51AF"/>
    <w:rsid w:val="00FA670D"/>
    <w:rsid w:val="00FA71FB"/>
    <w:rsid w:val="00FA7761"/>
    <w:rsid w:val="00FA79B3"/>
    <w:rsid w:val="00FB145C"/>
    <w:rsid w:val="00FB215D"/>
    <w:rsid w:val="00FB24FB"/>
    <w:rsid w:val="00FB2594"/>
    <w:rsid w:val="00FB35B7"/>
    <w:rsid w:val="00FB3684"/>
    <w:rsid w:val="00FB4A5E"/>
    <w:rsid w:val="00FB5D3F"/>
    <w:rsid w:val="00FB606A"/>
    <w:rsid w:val="00FB70B7"/>
    <w:rsid w:val="00FC1B30"/>
    <w:rsid w:val="00FC27AC"/>
    <w:rsid w:val="00FC3CA7"/>
    <w:rsid w:val="00FC4F98"/>
    <w:rsid w:val="00FC5F20"/>
    <w:rsid w:val="00FC5FF3"/>
    <w:rsid w:val="00FC6534"/>
    <w:rsid w:val="00FC6613"/>
    <w:rsid w:val="00FC6D30"/>
    <w:rsid w:val="00FC72A4"/>
    <w:rsid w:val="00FC775C"/>
    <w:rsid w:val="00FC7795"/>
    <w:rsid w:val="00FC77CE"/>
    <w:rsid w:val="00FC7D15"/>
    <w:rsid w:val="00FD0828"/>
    <w:rsid w:val="00FD1D5A"/>
    <w:rsid w:val="00FD2370"/>
    <w:rsid w:val="00FD248B"/>
    <w:rsid w:val="00FD28B0"/>
    <w:rsid w:val="00FD3080"/>
    <w:rsid w:val="00FD3C47"/>
    <w:rsid w:val="00FD439C"/>
    <w:rsid w:val="00FD4E42"/>
    <w:rsid w:val="00FD57E7"/>
    <w:rsid w:val="00FD5A8C"/>
    <w:rsid w:val="00FD7309"/>
    <w:rsid w:val="00FE0F82"/>
    <w:rsid w:val="00FE1801"/>
    <w:rsid w:val="00FE1E1F"/>
    <w:rsid w:val="00FE25E0"/>
    <w:rsid w:val="00FE2EF8"/>
    <w:rsid w:val="00FE4D25"/>
    <w:rsid w:val="00FE4E38"/>
    <w:rsid w:val="00FE7AD6"/>
    <w:rsid w:val="00FE7B7F"/>
    <w:rsid w:val="00FE7E6E"/>
    <w:rsid w:val="00FF06C9"/>
    <w:rsid w:val="00FF19A2"/>
    <w:rsid w:val="00FF1EEB"/>
    <w:rsid w:val="00FF51E4"/>
    <w:rsid w:val="00FF6354"/>
    <w:rsid w:val="00FF6D5A"/>
    <w:rsid w:val="00FF774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026C19"/>
  </w:style>
  <w:style w:type="paragraph" w:styleId="Titolo1">
    <w:name w:val="heading 1"/>
    <w:basedOn w:val="Normale"/>
    <w:next w:val="Normale"/>
    <w:link w:val="Titolo1Carattere"/>
    <w:uiPriority w:val="9"/>
    <w:qFormat/>
    <w:rsid w:val="0003078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olo2">
    <w:name w:val="heading 2"/>
    <w:basedOn w:val="Normale"/>
    <w:next w:val="Normale"/>
    <w:link w:val="Titolo2Carattere"/>
    <w:uiPriority w:val="9"/>
    <w:unhideWhenUsed/>
    <w:qFormat/>
    <w:rsid w:val="00030789"/>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CA5718"/>
    <w:pPr>
      <w:ind w:left="720"/>
      <w:contextualSpacing/>
    </w:pPr>
  </w:style>
  <w:style w:type="paragraph" w:styleId="Testonotaapidipagina">
    <w:name w:val="footnote text"/>
    <w:basedOn w:val="Normale"/>
    <w:link w:val="TestonotaapidipaginaCarattere"/>
    <w:uiPriority w:val="99"/>
    <w:unhideWhenUsed/>
    <w:rsid w:val="00CA5718"/>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rsid w:val="00CA5718"/>
    <w:rPr>
      <w:sz w:val="20"/>
      <w:szCs w:val="20"/>
    </w:rPr>
  </w:style>
  <w:style w:type="character" w:styleId="Rimandonotaapidipagina">
    <w:name w:val="footnote reference"/>
    <w:basedOn w:val="Carpredefinitoparagrafo"/>
    <w:uiPriority w:val="99"/>
    <w:semiHidden/>
    <w:unhideWhenUsed/>
    <w:rsid w:val="00CA5718"/>
    <w:rPr>
      <w:vertAlign w:val="superscript"/>
    </w:rPr>
  </w:style>
  <w:style w:type="paragraph" w:styleId="Intestazione">
    <w:name w:val="header"/>
    <w:basedOn w:val="Normale"/>
    <w:link w:val="IntestazioneCarattere"/>
    <w:uiPriority w:val="99"/>
    <w:unhideWhenUsed/>
    <w:rsid w:val="00CA5718"/>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CA5718"/>
  </w:style>
  <w:style w:type="paragraph" w:styleId="Pidipagina">
    <w:name w:val="footer"/>
    <w:basedOn w:val="Normale"/>
    <w:link w:val="PidipaginaCarattere"/>
    <w:uiPriority w:val="99"/>
    <w:unhideWhenUsed/>
    <w:rsid w:val="00CA5718"/>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CA5718"/>
  </w:style>
  <w:style w:type="character" w:styleId="Titolodellibro">
    <w:name w:val="Book Title"/>
    <w:basedOn w:val="Carpredefinitoparagrafo"/>
    <w:uiPriority w:val="33"/>
    <w:qFormat/>
    <w:rsid w:val="00CA5718"/>
    <w:rPr>
      <w:rFonts w:ascii="Times New Roman" w:hAnsi="Times New Roman" w:cs="Times New Roman" w:hint="default"/>
      <w:b/>
      <w:bCs/>
      <w:smallCaps/>
      <w:spacing w:val="5"/>
    </w:rPr>
  </w:style>
  <w:style w:type="paragraph" w:styleId="Testofumetto">
    <w:name w:val="Balloon Text"/>
    <w:basedOn w:val="Normale"/>
    <w:link w:val="TestofumettoCarattere"/>
    <w:uiPriority w:val="99"/>
    <w:semiHidden/>
    <w:unhideWhenUsed/>
    <w:rsid w:val="00CA5718"/>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A5718"/>
    <w:rPr>
      <w:rFonts w:ascii="Tahoma" w:hAnsi="Tahoma" w:cs="Tahoma"/>
      <w:sz w:val="16"/>
      <w:szCs w:val="16"/>
    </w:rPr>
  </w:style>
  <w:style w:type="character" w:styleId="Collegamentoipertestuale">
    <w:name w:val="Hyperlink"/>
    <w:basedOn w:val="Carpredefinitoparagrafo"/>
    <w:uiPriority w:val="99"/>
    <w:unhideWhenUsed/>
    <w:rsid w:val="00CA5718"/>
    <w:rPr>
      <w:color w:val="0000FF"/>
      <w:u w:val="single"/>
    </w:rPr>
  </w:style>
  <w:style w:type="paragraph" w:styleId="NormaleWeb">
    <w:name w:val="Normal (Web)"/>
    <w:basedOn w:val="Normale"/>
    <w:uiPriority w:val="99"/>
    <w:semiHidden/>
    <w:unhideWhenUsed/>
    <w:rsid w:val="00CA5718"/>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Default">
    <w:name w:val="Default"/>
    <w:rsid w:val="00CA5718"/>
    <w:pPr>
      <w:autoSpaceDE w:val="0"/>
      <w:autoSpaceDN w:val="0"/>
      <w:adjustRightInd w:val="0"/>
      <w:spacing w:after="0" w:line="240" w:lineRule="auto"/>
    </w:pPr>
    <w:rPr>
      <w:rFonts w:ascii="Times New Roman" w:hAnsi="Times New Roman" w:cs="Times New Roman"/>
      <w:color w:val="000000"/>
      <w:sz w:val="24"/>
      <w:szCs w:val="24"/>
    </w:rPr>
  </w:style>
  <w:style w:type="character" w:styleId="Testosegnaposto">
    <w:name w:val="Placeholder Text"/>
    <w:basedOn w:val="Carpredefinitoparagrafo"/>
    <w:uiPriority w:val="99"/>
    <w:semiHidden/>
    <w:rsid w:val="00333C13"/>
    <w:rPr>
      <w:color w:val="808080"/>
    </w:rPr>
  </w:style>
  <w:style w:type="character" w:customStyle="1" w:styleId="Titolo1Carattere">
    <w:name w:val="Titolo 1 Carattere"/>
    <w:basedOn w:val="Carpredefinitoparagrafo"/>
    <w:link w:val="Titolo1"/>
    <w:uiPriority w:val="9"/>
    <w:rsid w:val="00030789"/>
    <w:rPr>
      <w:rFonts w:asciiTheme="majorHAnsi" w:eastAsiaTheme="majorEastAsia" w:hAnsiTheme="majorHAnsi" w:cstheme="majorBidi"/>
      <w:b/>
      <w:bCs/>
      <w:color w:val="365F91" w:themeColor="accent1" w:themeShade="BF"/>
      <w:sz w:val="28"/>
      <w:szCs w:val="28"/>
    </w:rPr>
  </w:style>
  <w:style w:type="character" w:customStyle="1" w:styleId="Titolo2Carattere">
    <w:name w:val="Titolo 2 Carattere"/>
    <w:basedOn w:val="Carpredefinitoparagrafo"/>
    <w:link w:val="Titolo2"/>
    <w:uiPriority w:val="9"/>
    <w:rsid w:val="00030789"/>
    <w:rPr>
      <w:rFonts w:asciiTheme="majorHAnsi" w:eastAsiaTheme="majorEastAsia" w:hAnsiTheme="majorHAnsi" w:cstheme="majorBidi"/>
      <w:b/>
      <w:bCs/>
      <w:color w:val="4F81BD" w:themeColor="accent1"/>
      <w:sz w:val="26"/>
      <w:szCs w:val="26"/>
    </w:rPr>
  </w:style>
  <w:style w:type="paragraph" w:styleId="Titolo">
    <w:name w:val="Title"/>
    <w:basedOn w:val="Normale"/>
    <w:next w:val="Normale"/>
    <w:link w:val="TitoloCarattere"/>
    <w:uiPriority w:val="10"/>
    <w:qFormat/>
    <w:rsid w:val="00ED7DDE"/>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oloCarattere">
    <w:name w:val="Titolo Carattere"/>
    <w:basedOn w:val="Carpredefinitoparagrafo"/>
    <w:link w:val="Titolo"/>
    <w:uiPriority w:val="10"/>
    <w:rsid w:val="00ED7DDE"/>
    <w:rPr>
      <w:rFonts w:asciiTheme="majorHAnsi" w:eastAsiaTheme="majorEastAsia" w:hAnsiTheme="majorHAnsi" w:cstheme="majorBidi"/>
      <w:color w:val="17365D" w:themeColor="text2" w:themeShade="BF"/>
      <w:spacing w:val="5"/>
      <w:kern w:val="28"/>
      <w:sz w:val="52"/>
      <w:szCs w:val="52"/>
    </w:rPr>
  </w:style>
  <w:style w:type="character" w:customStyle="1" w:styleId="sb8d990e2">
    <w:name w:val="sb8d990e2"/>
    <w:basedOn w:val="Carpredefinitoparagrafo"/>
    <w:rsid w:val="00C17373"/>
  </w:style>
  <w:style w:type="character" w:customStyle="1" w:styleId="apple-converted-space">
    <w:name w:val="apple-converted-space"/>
    <w:basedOn w:val="Carpredefinitoparagrafo"/>
    <w:rsid w:val="00C17373"/>
  </w:style>
  <w:style w:type="character" w:customStyle="1" w:styleId="wordhighlighted">
    <w:name w:val="wordhighlighted"/>
    <w:basedOn w:val="Carpredefinitoparagrafo"/>
    <w:rsid w:val="00C17373"/>
  </w:style>
  <w:style w:type="paragraph" w:styleId="Nessunaspaziatura">
    <w:name w:val="No Spacing"/>
    <w:link w:val="NessunaspaziaturaCarattere"/>
    <w:uiPriority w:val="1"/>
    <w:qFormat/>
    <w:rsid w:val="00C60F62"/>
    <w:pPr>
      <w:spacing w:after="0" w:line="240" w:lineRule="auto"/>
    </w:pPr>
    <w:rPr>
      <w:rFonts w:eastAsiaTheme="minorEastAsia"/>
      <w:lang w:eastAsia="it-IT"/>
    </w:rPr>
  </w:style>
  <w:style w:type="character" w:customStyle="1" w:styleId="NessunaspaziaturaCarattere">
    <w:name w:val="Nessuna spaziatura Carattere"/>
    <w:basedOn w:val="Carpredefinitoparagrafo"/>
    <w:link w:val="Nessunaspaziatura"/>
    <w:uiPriority w:val="1"/>
    <w:rsid w:val="00C60F62"/>
    <w:rPr>
      <w:rFonts w:eastAsiaTheme="minorEastAsia"/>
      <w:lang w:eastAsia="it-I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026C19"/>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CA5718"/>
    <w:pPr>
      <w:ind w:left="720"/>
      <w:contextualSpacing/>
    </w:pPr>
  </w:style>
  <w:style w:type="paragraph" w:styleId="Testonotaapidipagina">
    <w:name w:val="footnote text"/>
    <w:basedOn w:val="Normale"/>
    <w:link w:val="TestonotaapidipaginaCarattere"/>
    <w:uiPriority w:val="99"/>
    <w:unhideWhenUsed/>
    <w:rsid w:val="00CA5718"/>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rsid w:val="00CA5718"/>
    <w:rPr>
      <w:sz w:val="20"/>
      <w:szCs w:val="20"/>
    </w:rPr>
  </w:style>
  <w:style w:type="character" w:styleId="Rimandonotaapidipagina">
    <w:name w:val="footnote reference"/>
    <w:basedOn w:val="Carpredefinitoparagrafo"/>
    <w:uiPriority w:val="99"/>
    <w:semiHidden/>
    <w:unhideWhenUsed/>
    <w:rsid w:val="00CA5718"/>
    <w:rPr>
      <w:vertAlign w:val="superscript"/>
    </w:rPr>
  </w:style>
  <w:style w:type="paragraph" w:styleId="Intestazione">
    <w:name w:val="header"/>
    <w:basedOn w:val="Normale"/>
    <w:link w:val="IntestazioneCarattere"/>
    <w:uiPriority w:val="99"/>
    <w:unhideWhenUsed/>
    <w:rsid w:val="00CA5718"/>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CA5718"/>
  </w:style>
  <w:style w:type="paragraph" w:styleId="Pidipagina">
    <w:name w:val="footer"/>
    <w:basedOn w:val="Normale"/>
    <w:link w:val="PidipaginaCarattere"/>
    <w:uiPriority w:val="99"/>
    <w:unhideWhenUsed/>
    <w:rsid w:val="00CA5718"/>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CA5718"/>
  </w:style>
  <w:style w:type="character" w:styleId="Titolodellibro">
    <w:name w:val="Book Title"/>
    <w:basedOn w:val="Carpredefinitoparagrafo"/>
    <w:uiPriority w:val="33"/>
    <w:qFormat/>
    <w:rsid w:val="00CA5718"/>
    <w:rPr>
      <w:rFonts w:ascii="Times New Roman" w:hAnsi="Times New Roman" w:cs="Times New Roman" w:hint="default"/>
      <w:b/>
      <w:bCs/>
      <w:smallCaps/>
      <w:spacing w:val="5"/>
    </w:rPr>
  </w:style>
  <w:style w:type="paragraph" w:styleId="Testofumetto">
    <w:name w:val="Balloon Text"/>
    <w:basedOn w:val="Normale"/>
    <w:link w:val="TestofumettoCarattere"/>
    <w:uiPriority w:val="99"/>
    <w:semiHidden/>
    <w:unhideWhenUsed/>
    <w:rsid w:val="00CA5718"/>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A5718"/>
    <w:rPr>
      <w:rFonts w:ascii="Tahoma" w:hAnsi="Tahoma" w:cs="Tahoma"/>
      <w:sz w:val="16"/>
      <w:szCs w:val="16"/>
    </w:rPr>
  </w:style>
  <w:style w:type="character" w:styleId="Collegamentoipertestuale">
    <w:name w:val="Hyperlink"/>
    <w:basedOn w:val="Carpredefinitoparagrafo"/>
    <w:uiPriority w:val="99"/>
    <w:semiHidden/>
    <w:unhideWhenUsed/>
    <w:rsid w:val="00CA5718"/>
    <w:rPr>
      <w:color w:val="0000FF"/>
      <w:u w:val="single"/>
    </w:rPr>
  </w:style>
  <w:style w:type="paragraph" w:styleId="NormaleWeb">
    <w:name w:val="Normal (Web)"/>
    <w:basedOn w:val="Normale"/>
    <w:uiPriority w:val="99"/>
    <w:semiHidden/>
    <w:unhideWhenUsed/>
    <w:rsid w:val="00CA5718"/>
    <w:pPr>
      <w:spacing w:before="100" w:beforeAutospacing="1" w:after="100" w:afterAutospacing="1" w:line="240" w:lineRule="auto"/>
    </w:pPr>
    <w:rPr>
      <w:rFonts w:ascii="Times New Roman" w:eastAsia="Times New Roman" w:hAnsi="Times New Roman" w:cs="Times New Roman"/>
      <w:sz w:val="24"/>
      <w:szCs w:val="24"/>
      <w:lang w:eastAsia="it-IT"/>
    </w:rPr>
  </w:style>
  <w:style w:type="paragraph" w:customStyle="1" w:styleId="Default">
    <w:name w:val="Default"/>
    <w:rsid w:val="00CA5718"/>
    <w:pPr>
      <w:autoSpaceDE w:val="0"/>
      <w:autoSpaceDN w:val="0"/>
      <w:adjustRightInd w:val="0"/>
      <w:spacing w:after="0" w:line="240" w:lineRule="auto"/>
    </w:pPr>
    <w:rPr>
      <w:rFonts w:ascii="Times New Roman" w:hAnsi="Times New Roman" w:cs="Times New Roman"/>
      <w:color w:val="000000"/>
      <w:sz w:val="24"/>
      <w:szCs w:val="24"/>
    </w:rPr>
  </w:style>
  <w:style w:type="character" w:styleId="Testosegnaposto">
    <w:name w:val="Placeholder Text"/>
    <w:basedOn w:val="Carpredefinitoparagrafo"/>
    <w:uiPriority w:val="99"/>
    <w:semiHidden/>
    <w:rsid w:val="00333C13"/>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8886677">
      <w:bodyDiv w:val="1"/>
      <w:marLeft w:val="0"/>
      <w:marRight w:val="0"/>
      <w:marTop w:val="0"/>
      <w:marBottom w:val="0"/>
      <w:divBdr>
        <w:top w:val="none" w:sz="0" w:space="0" w:color="auto"/>
        <w:left w:val="none" w:sz="0" w:space="0" w:color="auto"/>
        <w:bottom w:val="none" w:sz="0" w:space="0" w:color="auto"/>
        <w:right w:val="none" w:sz="0" w:space="0" w:color="auto"/>
      </w:divBdr>
    </w:div>
    <w:div w:id="331102901">
      <w:bodyDiv w:val="1"/>
      <w:marLeft w:val="0"/>
      <w:marRight w:val="0"/>
      <w:marTop w:val="0"/>
      <w:marBottom w:val="0"/>
      <w:divBdr>
        <w:top w:val="none" w:sz="0" w:space="0" w:color="auto"/>
        <w:left w:val="none" w:sz="0" w:space="0" w:color="auto"/>
        <w:bottom w:val="none" w:sz="0" w:space="0" w:color="auto"/>
        <w:right w:val="none" w:sz="0" w:space="0" w:color="auto"/>
      </w:divBdr>
    </w:div>
    <w:div w:id="904418813">
      <w:bodyDiv w:val="1"/>
      <w:marLeft w:val="0"/>
      <w:marRight w:val="0"/>
      <w:marTop w:val="0"/>
      <w:marBottom w:val="0"/>
      <w:divBdr>
        <w:top w:val="none" w:sz="0" w:space="0" w:color="auto"/>
        <w:left w:val="none" w:sz="0" w:space="0" w:color="auto"/>
        <w:bottom w:val="none" w:sz="0" w:space="0" w:color="auto"/>
        <w:right w:val="none" w:sz="0" w:space="0" w:color="auto"/>
      </w:divBdr>
    </w:div>
    <w:div w:id="1149175138">
      <w:bodyDiv w:val="1"/>
      <w:marLeft w:val="0"/>
      <w:marRight w:val="0"/>
      <w:marTop w:val="0"/>
      <w:marBottom w:val="0"/>
      <w:divBdr>
        <w:top w:val="none" w:sz="0" w:space="0" w:color="auto"/>
        <w:left w:val="none" w:sz="0" w:space="0" w:color="auto"/>
        <w:bottom w:val="none" w:sz="0" w:space="0" w:color="auto"/>
        <w:right w:val="none" w:sz="0" w:space="0" w:color="auto"/>
      </w:divBdr>
    </w:div>
    <w:div w:id="1412001947">
      <w:bodyDiv w:val="1"/>
      <w:marLeft w:val="0"/>
      <w:marRight w:val="0"/>
      <w:marTop w:val="0"/>
      <w:marBottom w:val="0"/>
      <w:divBdr>
        <w:top w:val="none" w:sz="0" w:space="0" w:color="auto"/>
        <w:left w:val="none" w:sz="0" w:space="0" w:color="auto"/>
        <w:bottom w:val="none" w:sz="0" w:space="0" w:color="auto"/>
        <w:right w:val="none" w:sz="0" w:space="0" w:color="auto"/>
      </w:divBdr>
    </w:div>
    <w:div w:id="1471632562">
      <w:bodyDiv w:val="1"/>
      <w:marLeft w:val="0"/>
      <w:marRight w:val="0"/>
      <w:marTop w:val="0"/>
      <w:marBottom w:val="0"/>
      <w:divBdr>
        <w:top w:val="none" w:sz="0" w:space="0" w:color="auto"/>
        <w:left w:val="none" w:sz="0" w:space="0" w:color="auto"/>
        <w:bottom w:val="none" w:sz="0" w:space="0" w:color="auto"/>
        <w:right w:val="none" w:sz="0" w:space="0" w:color="auto"/>
      </w:divBdr>
    </w:div>
    <w:div w:id="16738018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5.xml"/><Relationship Id="rId2" Type="http://schemas.openxmlformats.org/officeDocument/2006/relationships/numbering" Target="numbering.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footer" Target="foot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3.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A055EF-0E11-4770-B2F7-685E907609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321</TotalTime>
  <Pages>1</Pages>
  <Words>72732</Words>
  <Characters>414573</Characters>
  <Application>Microsoft Office Word</Application>
  <DocSecurity>0</DocSecurity>
  <Lines>3454</Lines>
  <Paragraphs>972</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LA RESPONSABILITÁ INTERNAZIONALE DELLO STATO PER FATTI ILLECITI ULTRA VIRES: IL PROBLEMA DELL’ATTRIBUZIONE</vt:lpstr>
      <vt:lpstr/>
    </vt:vector>
  </TitlesOfParts>
  <Company/>
  <LinksUpToDate>false</LinksUpToDate>
  <CharactersWithSpaces>486333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LA RESPONSABILITÁ INTERNAZIONALE DELLO STATO PER FATTI ILLECITI ULTRA VIRES: IL PROBLEMA DELL’ATTRIBUZIONE</dc:title>
  <dc:creator>FRNCESCA</dc:creator>
  <cp:lastModifiedBy>FRANCESCA</cp:lastModifiedBy>
  <cp:revision>80</cp:revision>
  <cp:lastPrinted>2013-12-14T20:10:00Z</cp:lastPrinted>
  <dcterms:created xsi:type="dcterms:W3CDTF">2013-12-21T08:58:00Z</dcterms:created>
  <dcterms:modified xsi:type="dcterms:W3CDTF">2014-04-29T16:04:00Z</dcterms:modified>
</cp:coreProperties>
</file>